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D2531" w14:textId="2343395C" w:rsidR="00584ABE" w:rsidRPr="00CB54FB" w:rsidRDefault="00E03DCD" w:rsidP="005923F4">
      <w:pPr>
        <w:pStyle w:val="3GPPHeader"/>
        <w:spacing w:after="60"/>
        <w:rPr>
          <w:rFonts w:ascii="Arial" w:hAnsi="Arial" w:cs="Arial"/>
          <w:lang w:val="de-DE"/>
        </w:rPr>
      </w:pPr>
      <w:bookmarkStart w:id="0" w:name="_Ref462817227"/>
      <w:bookmarkStart w:id="1" w:name="_GoBack"/>
      <w:bookmarkEnd w:id="1"/>
      <w:r w:rsidRPr="00CB54FB">
        <w:rPr>
          <w:lang w:val="de-DE"/>
        </w:rPr>
        <w:t>3GPP</w:t>
      </w:r>
      <w:r w:rsidR="00BB6996" w:rsidRPr="00CB54FB">
        <w:rPr>
          <w:lang w:val="de-DE"/>
        </w:rPr>
        <w:t xml:space="preserve"> TSG-RAN WG1 #96</w:t>
      </w:r>
      <w:r w:rsidR="00CB54FB" w:rsidRPr="00CB54FB">
        <w:rPr>
          <w:lang w:val="de-DE"/>
        </w:rPr>
        <w:t>bis</w:t>
      </w:r>
      <w:r w:rsidR="00B548DA" w:rsidRPr="00CB54FB">
        <w:rPr>
          <w:rFonts w:ascii="Arial" w:hAnsi="Arial" w:cs="Arial"/>
          <w:lang w:val="de-DE"/>
        </w:rPr>
        <w:tab/>
      </w:r>
      <w:r w:rsidR="00783800" w:rsidRPr="00CB54FB">
        <w:rPr>
          <w:rFonts w:ascii="Arial" w:hAnsi="Arial" w:cs="Arial"/>
          <w:lang w:val="de-DE"/>
        </w:rPr>
        <w:t>R1</w:t>
      </w:r>
      <w:r w:rsidR="008E1D88" w:rsidRPr="00CB54FB">
        <w:rPr>
          <w:rFonts w:ascii="Arial" w:hAnsi="Arial" w:cs="Arial"/>
          <w:lang w:val="de-DE"/>
        </w:rPr>
        <w:t>-</w:t>
      </w:r>
      <w:r w:rsidR="00BB6996" w:rsidRPr="00CB54FB">
        <w:rPr>
          <w:rFonts w:ascii="Arial" w:hAnsi="Arial" w:cs="Arial"/>
          <w:lang w:val="de-DE"/>
        </w:rPr>
        <w:t>190</w:t>
      </w:r>
      <w:r w:rsidR="00880D3E">
        <w:rPr>
          <w:rFonts w:ascii="Arial" w:hAnsi="Arial" w:cs="Arial"/>
          <w:lang w:val="de-DE"/>
        </w:rPr>
        <w:t>4165</w:t>
      </w:r>
      <w:r w:rsidR="005A147F" w:rsidRPr="00CB54FB" w:rsidDel="005A147F">
        <w:rPr>
          <w:rFonts w:ascii="Arial" w:hAnsi="Arial" w:cs="Arial"/>
          <w:lang w:val="de-DE"/>
        </w:rPr>
        <w:t xml:space="preserve"> </w:t>
      </w:r>
    </w:p>
    <w:p w14:paraId="7A9879CD" w14:textId="7B9BD1ED" w:rsidR="00584ABE" w:rsidRPr="007A3FE1" w:rsidRDefault="00CB54FB" w:rsidP="005923F4">
      <w:pPr>
        <w:pStyle w:val="3GPPHeader"/>
        <w:spacing w:after="60"/>
        <w:rPr>
          <w:rFonts w:ascii="Arial" w:hAnsi="Arial" w:cs="Arial"/>
          <w:b w:val="0"/>
          <w:noProof/>
        </w:rPr>
      </w:pPr>
      <w:r>
        <w:t>Xi’an, China</w:t>
      </w:r>
      <w:r w:rsidR="00F66DDF">
        <w:t xml:space="preserve">, </w:t>
      </w:r>
      <w:r>
        <w:t>8</w:t>
      </w:r>
      <w:r w:rsidR="00BB6996" w:rsidRPr="00BB6996">
        <w:rPr>
          <w:vertAlign w:val="superscript"/>
        </w:rPr>
        <w:t>th</w:t>
      </w:r>
      <w:r w:rsidR="00BB6996">
        <w:t xml:space="preserve"> </w:t>
      </w:r>
      <w:r w:rsidR="00E03DCD">
        <w:t xml:space="preserve">– </w:t>
      </w:r>
      <w:r w:rsidR="00BB6996">
        <w:t>1</w:t>
      </w:r>
      <w:r>
        <w:t>2</w:t>
      </w:r>
      <w:r>
        <w:rPr>
          <w:vertAlign w:val="superscript"/>
        </w:rPr>
        <w:t>th</w:t>
      </w:r>
      <w:r>
        <w:t xml:space="preserve"> April</w:t>
      </w:r>
      <w:r w:rsidR="00E03DCD">
        <w:t>, 2019</w:t>
      </w:r>
      <w:r w:rsidR="00F40C33">
        <w:rPr>
          <w:rFonts w:ascii="Arial" w:hAnsi="Arial" w:cs="Arial"/>
        </w:rPr>
        <w:tab/>
      </w:r>
    </w:p>
    <w:p w14:paraId="4685A5BC" w14:textId="77777777" w:rsidR="00584ABE" w:rsidRPr="007A3FE1" w:rsidRDefault="00584ABE" w:rsidP="005923F4">
      <w:pPr>
        <w:pStyle w:val="3GPPHeader"/>
        <w:rPr>
          <w:rFonts w:ascii="Arial" w:hAnsi="Arial" w:cs="Arial"/>
        </w:rPr>
      </w:pPr>
    </w:p>
    <w:p w14:paraId="1033E54E" w14:textId="6B535E80" w:rsidR="00584ABE" w:rsidRPr="007A3FE1" w:rsidRDefault="00783800" w:rsidP="005923F4">
      <w:pPr>
        <w:pStyle w:val="3GPPHeader"/>
        <w:rPr>
          <w:rFonts w:ascii="Arial" w:hAnsi="Arial" w:cs="Arial"/>
          <w:sz w:val="22"/>
        </w:rPr>
      </w:pPr>
      <w:r>
        <w:rPr>
          <w:rFonts w:ascii="Arial" w:hAnsi="Arial" w:cs="Arial"/>
          <w:sz w:val="22"/>
        </w:rPr>
        <w:t>Agenda Item:</w:t>
      </w:r>
      <w:r>
        <w:rPr>
          <w:rFonts w:ascii="Arial" w:hAnsi="Arial" w:cs="Arial"/>
          <w:sz w:val="22"/>
        </w:rPr>
        <w:tab/>
        <w:t>7</w:t>
      </w:r>
      <w:r w:rsidR="00584ABE" w:rsidRPr="007A3FE1">
        <w:rPr>
          <w:rFonts w:ascii="Arial" w:hAnsi="Arial" w:cs="Arial"/>
          <w:sz w:val="22"/>
        </w:rPr>
        <w:t>.</w:t>
      </w:r>
      <w:r w:rsidR="00F66DDF">
        <w:rPr>
          <w:rFonts w:ascii="Arial" w:hAnsi="Arial" w:cs="Arial"/>
          <w:sz w:val="22"/>
        </w:rPr>
        <w:t>2.2.2</w:t>
      </w:r>
      <w:r w:rsidR="00E03DCD">
        <w:rPr>
          <w:rFonts w:ascii="Arial" w:hAnsi="Arial" w:cs="Arial"/>
          <w:sz w:val="22"/>
        </w:rPr>
        <w:t>.5</w:t>
      </w:r>
    </w:p>
    <w:p w14:paraId="31F0AA2B" w14:textId="12285102" w:rsidR="00584ABE" w:rsidRPr="007A3FE1" w:rsidRDefault="00584ABE" w:rsidP="005923F4">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p>
    <w:p w14:paraId="78BCFC60" w14:textId="44027BCD"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BA52AA">
        <w:rPr>
          <w:rFonts w:ascii="Arial" w:hAnsi="Arial" w:cs="Arial"/>
          <w:sz w:val="22"/>
        </w:rPr>
        <w:t>Wideband operation in NR unlicensed</w:t>
      </w:r>
    </w:p>
    <w:p w14:paraId="052AD707" w14:textId="77777777" w:rsidR="00584ABE" w:rsidRPr="007A3FE1" w:rsidRDefault="00584ABE" w:rsidP="005923F4">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5923F4">
      <w:pPr>
        <w:pStyle w:val="Heading1"/>
        <w:rPr>
          <w:lang w:val="en-US"/>
        </w:rPr>
      </w:pPr>
      <w:r w:rsidRPr="002202E1">
        <w:rPr>
          <w:lang w:val="en-US"/>
        </w:rPr>
        <w:t>Introduction</w:t>
      </w:r>
      <w:bookmarkEnd w:id="0"/>
    </w:p>
    <w:p w14:paraId="2EEB116A" w14:textId="77777777" w:rsidR="00E328C4" w:rsidRDefault="009B76F3" w:rsidP="001F718F">
      <w:pPr>
        <w:pStyle w:val="Proposal"/>
        <w:numPr>
          <w:ilvl w:val="0"/>
          <w:numId w:val="0"/>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In this paper, we discuss wideband operation </w:t>
      </w:r>
      <w:r w:rsidR="0086540F">
        <w:rPr>
          <w:rFonts w:ascii="Times New Roman" w:hAnsi="Times New Roman" w:cs="Times New Roman"/>
          <w:b w:val="0"/>
          <w:bCs w:val="0"/>
          <w:sz w:val="20"/>
          <w:szCs w:val="20"/>
          <w:lang w:eastAsia="en-US"/>
        </w:rPr>
        <w:t xml:space="preserve">with the bandwidth of a single serving cell </w:t>
      </w:r>
      <w:r w:rsidR="00D511FF">
        <w:rPr>
          <w:rFonts w:ascii="Times New Roman" w:hAnsi="Times New Roman" w:cs="Times New Roman"/>
          <w:b w:val="0"/>
          <w:bCs w:val="0"/>
          <w:sz w:val="20"/>
          <w:szCs w:val="20"/>
          <w:lang w:eastAsia="en-US"/>
        </w:rPr>
        <w:t>larger than 20 MHz, including topics of UL BWP options, COT indication in frequency domain, and PDSCH transmission in case that partial BWP has passed LBT.</w:t>
      </w:r>
    </w:p>
    <w:p w14:paraId="413FC6EA" w14:textId="21E9C140" w:rsidR="009B76F3" w:rsidRDefault="009B76F3" w:rsidP="001F718F">
      <w:pPr>
        <w:pStyle w:val="Proposal"/>
        <w:numPr>
          <w:ilvl w:val="0"/>
          <w:numId w:val="0"/>
        </w:numPr>
        <w:rPr>
          <w:rFonts w:ascii="Times New Roman" w:hAnsi="Times New Roman" w:cs="Times New Roman"/>
          <w:b w:val="0"/>
          <w:bCs w:val="0"/>
          <w:sz w:val="20"/>
          <w:szCs w:val="20"/>
          <w:lang w:eastAsia="en-US"/>
        </w:rPr>
      </w:pPr>
    </w:p>
    <w:p w14:paraId="76C7A3A5" w14:textId="28D3F368" w:rsidR="00AF1559" w:rsidRPr="00DC33E4" w:rsidRDefault="00AF1559" w:rsidP="00AF1559">
      <w:pPr>
        <w:pStyle w:val="Heading1"/>
        <w:rPr>
          <w:lang w:val="en-US"/>
        </w:rPr>
      </w:pPr>
      <w:r>
        <w:rPr>
          <w:lang w:val="en-US"/>
        </w:rPr>
        <w:t>UL BWP options</w:t>
      </w:r>
    </w:p>
    <w:p w14:paraId="0CDC3E7E" w14:textId="797BC53C" w:rsidR="003B7851" w:rsidRPr="003B7851" w:rsidRDefault="00AF1559" w:rsidP="003B7851">
      <w:pPr>
        <w:spacing w:after="0" w:line="240" w:lineRule="auto"/>
        <w:rPr>
          <w:rFonts w:ascii="Times" w:eastAsia="Batang" w:hAnsi="Times" w:cs="Times"/>
          <w:sz w:val="20"/>
          <w:szCs w:val="20"/>
          <w:lang w:val="en-US" w:eastAsia="x-none"/>
        </w:rPr>
      </w:pPr>
      <w:r>
        <w:rPr>
          <w:rFonts w:ascii="Times" w:eastAsia="Batang" w:hAnsi="Times" w:cs="Times"/>
          <w:sz w:val="20"/>
          <w:szCs w:val="20"/>
          <w:lang w:val="en-US" w:eastAsia="x-none"/>
        </w:rPr>
        <w:t>For BWP-based UL wideband operation, the following two options are remaining since multiple active BWP operation is not supported for NR-U</w:t>
      </w:r>
      <w:r w:rsidR="00855482">
        <w:rPr>
          <w:rFonts w:ascii="Times" w:eastAsia="Batang" w:hAnsi="Times" w:cs="Times"/>
          <w:sz w:val="20"/>
          <w:szCs w:val="20"/>
          <w:lang w:val="en-US" w:eastAsia="x-none"/>
        </w:rPr>
        <w:t>:</w:t>
      </w:r>
      <w:r>
        <w:rPr>
          <w:rFonts w:ascii="Times" w:eastAsia="Batang" w:hAnsi="Times" w:cs="Times"/>
          <w:sz w:val="20"/>
          <w:szCs w:val="20"/>
          <w:lang w:val="en-US" w:eastAsia="x-none"/>
        </w:rPr>
        <w:t xml:space="preserve"> </w:t>
      </w:r>
      <w:r w:rsidR="003B7851">
        <w:rPr>
          <w:rFonts w:ascii="Times" w:eastAsia="Batang" w:hAnsi="Times" w:cs="Times"/>
          <w:sz w:val="20"/>
          <w:szCs w:val="20"/>
          <w:lang w:val="en-US" w:eastAsia="x-none"/>
        </w:rPr>
        <w:t xml:space="preserve"> </w:t>
      </w:r>
    </w:p>
    <w:p w14:paraId="76572AF1" w14:textId="77777777" w:rsidR="003B7851" w:rsidRDefault="003B7851" w:rsidP="003B7851">
      <w:pPr>
        <w:spacing w:after="0" w:line="240" w:lineRule="auto"/>
        <w:rPr>
          <w:rFonts w:ascii="Times" w:eastAsia="Batang" w:hAnsi="Times" w:cs="Times"/>
          <w:sz w:val="20"/>
          <w:szCs w:val="20"/>
          <w:highlight w:val="green"/>
          <w:lang w:eastAsia="x-none"/>
        </w:rPr>
      </w:pPr>
    </w:p>
    <w:p w14:paraId="542011FE" w14:textId="77777777" w:rsidR="00E03DCD" w:rsidRPr="00C0286B" w:rsidRDefault="00E03DCD" w:rsidP="00E03DCD">
      <w:pPr>
        <w:pStyle w:val="B1"/>
        <w:rPr>
          <w:rFonts w:ascii="Times New Roman" w:hAnsi="Times New Roman" w:cs="Times New Roman"/>
          <w:sz w:val="20"/>
          <w:szCs w:val="20"/>
          <w:lang w:val="en-US"/>
        </w:rPr>
      </w:pPr>
      <w:r w:rsidRPr="00057276">
        <w:rPr>
          <w:rFonts w:ascii="Times New Roman" w:hAnsi="Times New Roman" w:cs="Times New Roman"/>
          <w:i/>
          <w:sz w:val="20"/>
          <w:szCs w:val="20"/>
          <w:lang w:val="en-US"/>
        </w:rPr>
        <w:t>-</w:t>
      </w:r>
      <w:r w:rsidRPr="00057276">
        <w:rPr>
          <w:rFonts w:ascii="Times New Roman" w:hAnsi="Times New Roman" w:cs="Times New Roman"/>
          <w:i/>
          <w:sz w:val="20"/>
          <w:szCs w:val="20"/>
          <w:lang w:val="en-US"/>
        </w:rPr>
        <w:tab/>
      </w:r>
      <w:r w:rsidRPr="00C0286B">
        <w:rPr>
          <w:rFonts w:ascii="Times" w:eastAsia="Batang" w:hAnsi="Times" w:cs="Times"/>
          <w:sz w:val="20"/>
          <w:szCs w:val="20"/>
          <w:lang w:val="en-US" w:eastAsia="x-none"/>
        </w:rPr>
        <w:t>Option 2: Multiple BWPs can be configured, single BWP activated, UE transmits PUSCH on a single BWP if CCA is successful at UE for the whole BWP</w:t>
      </w:r>
    </w:p>
    <w:p w14:paraId="6D5F2A4B" w14:textId="77777777" w:rsidR="00E03DCD" w:rsidRPr="00C0286B" w:rsidRDefault="00E03DCD" w:rsidP="00E03DCD">
      <w:pPr>
        <w:pStyle w:val="B1"/>
        <w:rPr>
          <w:rFonts w:ascii="Times New Roman" w:hAnsi="Times New Roman" w:cs="Times New Roman"/>
          <w:sz w:val="20"/>
          <w:szCs w:val="20"/>
          <w:lang w:val="en-US"/>
        </w:rPr>
      </w:pPr>
      <w:r w:rsidRPr="00C0286B">
        <w:rPr>
          <w:rFonts w:ascii="Times New Roman" w:hAnsi="Times New Roman" w:cs="Times New Roman"/>
          <w:sz w:val="20"/>
          <w:szCs w:val="20"/>
          <w:lang w:val="en-US"/>
        </w:rPr>
        <w:t>-</w:t>
      </w:r>
      <w:r w:rsidRPr="00C0286B">
        <w:rPr>
          <w:rFonts w:ascii="Times New Roman" w:hAnsi="Times New Roman" w:cs="Times New Roman"/>
          <w:sz w:val="20"/>
          <w:szCs w:val="20"/>
          <w:lang w:val="en-US"/>
        </w:rPr>
        <w:tab/>
        <w:t>Option 3</w:t>
      </w:r>
      <w:r w:rsidRPr="00C0286B">
        <w:rPr>
          <w:rFonts w:ascii="Times" w:eastAsia="Batang" w:hAnsi="Times" w:cs="Times"/>
          <w:sz w:val="20"/>
          <w:szCs w:val="20"/>
          <w:lang w:val="en-US" w:eastAsia="x-none"/>
        </w:rPr>
        <w:t>: Multiple BWPs can be configured, single BWP activated, UE transmits PUSCH on parts or whole of single BWP where CCA is successful</w:t>
      </w:r>
      <w:r w:rsidRPr="00C0286B">
        <w:rPr>
          <w:rFonts w:ascii="Times New Roman" w:hAnsi="Times New Roman" w:cs="Times New Roman"/>
          <w:sz w:val="20"/>
          <w:szCs w:val="20"/>
          <w:lang w:val="en-US"/>
        </w:rPr>
        <w:t xml:space="preserve"> at UE</w:t>
      </w:r>
    </w:p>
    <w:p w14:paraId="6292E2B0" w14:textId="6B0A897E" w:rsidR="000F153F" w:rsidRDefault="000F153F" w:rsidP="000F153F">
      <w:pPr>
        <w:rPr>
          <w:rFonts w:ascii="Times New Roman" w:hAnsi="Times New Roman" w:cs="Times New Roman"/>
          <w:sz w:val="20"/>
          <w:szCs w:val="20"/>
          <w:lang w:eastAsia="en-US"/>
        </w:rPr>
      </w:pPr>
      <w:bookmarkStart w:id="2" w:name="_Ref462918989"/>
      <w:r>
        <w:rPr>
          <w:rFonts w:ascii="Times New Roman" w:hAnsi="Times New Roman" w:cs="Times New Roman"/>
          <w:sz w:val="20"/>
          <w:szCs w:val="20"/>
          <w:lang w:eastAsia="en-US"/>
        </w:rPr>
        <w:t>The UL transmission can happen within or outside gNB’s acquired channel occupancy time (COT). Since the CCA requirements are different, we discuss the two cases separately in the following.</w:t>
      </w:r>
      <w:r w:rsidRPr="000F153F">
        <w:rPr>
          <w:rFonts w:ascii="Times New Roman" w:hAnsi="Times New Roman" w:cs="Times New Roman"/>
          <w:sz w:val="20"/>
          <w:szCs w:val="20"/>
          <w:lang w:eastAsia="en-US"/>
        </w:rPr>
        <w:t xml:space="preserve"> </w:t>
      </w:r>
    </w:p>
    <w:p w14:paraId="0E49978B" w14:textId="4879AFDB" w:rsidR="0020528E" w:rsidRPr="00DD288E" w:rsidRDefault="0020528E" w:rsidP="00DD288E">
      <w:pPr>
        <w:spacing w:after="180" w:line="240" w:lineRule="auto"/>
        <w:jc w:val="both"/>
        <w:rPr>
          <w:rFonts w:ascii="Times New Roman" w:eastAsia="MS Mincho" w:hAnsi="Times New Roman" w:cs="Times New Roman"/>
          <w:b/>
          <w:sz w:val="20"/>
          <w:szCs w:val="20"/>
          <w:u w:val="single"/>
          <w:lang w:val="en-AU"/>
        </w:rPr>
      </w:pPr>
      <w:r w:rsidRPr="00DD288E">
        <w:rPr>
          <w:rFonts w:ascii="Times New Roman" w:eastAsia="MS Mincho" w:hAnsi="Times New Roman" w:cs="Times New Roman"/>
          <w:b/>
          <w:sz w:val="20"/>
          <w:szCs w:val="20"/>
          <w:u w:val="single"/>
          <w:lang w:val="en-AU"/>
        </w:rPr>
        <w:t>UL transmission within gNB’s COT</w:t>
      </w:r>
    </w:p>
    <w:p w14:paraId="62D81641" w14:textId="70F34B62" w:rsidR="006D398D" w:rsidRDefault="004C5405" w:rsidP="000F153F">
      <w:pPr>
        <w:rPr>
          <w:rFonts w:ascii="Times New Roman" w:hAnsi="Times New Roman" w:cs="Times New Roman"/>
          <w:sz w:val="20"/>
          <w:szCs w:val="20"/>
          <w:lang w:eastAsia="en-US"/>
        </w:rPr>
      </w:pPr>
      <w:r>
        <w:rPr>
          <w:rFonts w:ascii="Times New Roman" w:hAnsi="Times New Roman" w:cs="Times New Roman"/>
          <w:sz w:val="20"/>
          <w:szCs w:val="20"/>
          <w:lang w:eastAsia="en-US"/>
        </w:rPr>
        <w:t>Grant-based PUSCH transmission is expected to happen within the gNB’s acquired COT. It is subject to Cat 1 immediate transmission or Cat 2 LBT</w:t>
      </w:r>
      <w:r w:rsidR="006B6D73">
        <w:rPr>
          <w:rFonts w:ascii="Times New Roman" w:hAnsi="Times New Roman" w:cs="Times New Roman"/>
          <w:sz w:val="20"/>
          <w:szCs w:val="20"/>
          <w:lang w:eastAsia="en-US"/>
        </w:rPr>
        <w:t xml:space="preserve"> [1]</w:t>
      </w:r>
      <w:r>
        <w:rPr>
          <w:rFonts w:ascii="Times New Roman" w:hAnsi="Times New Roman" w:cs="Times New Roman"/>
          <w:sz w:val="20"/>
          <w:szCs w:val="20"/>
          <w:lang w:eastAsia="en-US"/>
        </w:rPr>
        <w:t xml:space="preserve">. </w:t>
      </w:r>
    </w:p>
    <w:p w14:paraId="107E646B" w14:textId="65D584DD" w:rsidR="00EF45A4" w:rsidRDefault="00855482" w:rsidP="000F153F">
      <w:pPr>
        <w:rPr>
          <w:rFonts w:ascii="Times New Roman" w:hAnsi="Times New Roman" w:cs="Times New Roman"/>
          <w:sz w:val="20"/>
          <w:szCs w:val="20"/>
          <w:lang w:eastAsia="en-US"/>
        </w:rPr>
      </w:pPr>
      <w:r>
        <w:rPr>
          <w:rFonts w:ascii="Times New Roman" w:hAnsi="Times New Roman" w:cs="Times New Roman"/>
          <w:sz w:val="20"/>
          <w:szCs w:val="20"/>
          <w:lang w:eastAsia="en-US"/>
        </w:rPr>
        <w:t>For</w:t>
      </w:r>
      <w:r w:rsidR="006D398D">
        <w:rPr>
          <w:rFonts w:ascii="Times New Roman" w:hAnsi="Times New Roman" w:cs="Times New Roman"/>
          <w:sz w:val="20"/>
          <w:szCs w:val="20"/>
          <w:lang w:eastAsia="en-US"/>
        </w:rPr>
        <w:t xml:space="preserve"> the DL, it has been already agreed that gNB is allowed to transmit PDSCH on parts of the active BWP where CCA is successful. One reasonable BWP operation in NR-U is, depending on the traffic situation, to activate the widest DL and UL BWP to accommodate more transmission opportunities without the need for BWP switching, because BWP switching would introduce the scheduling delay. </w:t>
      </w:r>
    </w:p>
    <w:p w14:paraId="5094A8C4" w14:textId="0C75BB8F" w:rsidR="00EF40ED" w:rsidRDefault="006D398D" w:rsidP="000F153F">
      <w:pPr>
        <w:rPr>
          <w:rFonts w:ascii="Times New Roman" w:hAnsi="Times New Roman" w:cs="Times New Roman"/>
          <w:sz w:val="20"/>
          <w:szCs w:val="20"/>
          <w:lang w:eastAsia="en-US"/>
        </w:rPr>
      </w:pPr>
      <w:r>
        <w:rPr>
          <w:rFonts w:ascii="Times New Roman" w:hAnsi="Times New Roman" w:cs="Times New Roman"/>
          <w:sz w:val="20"/>
          <w:szCs w:val="20"/>
          <w:lang w:eastAsia="en-US"/>
        </w:rPr>
        <w:t>Consider the case where gNB has acquired access to only parts of the active DL (and UL) BWP.</w:t>
      </w:r>
      <w:r w:rsidR="00EF45A4">
        <w:rPr>
          <w:rFonts w:ascii="Times New Roman" w:hAnsi="Times New Roman" w:cs="Times New Roman"/>
          <w:sz w:val="20"/>
          <w:szCs w:val="20"/>
          <w:lang w:eastAsia="en-US"/>
        </w:rPr>
        <w:t xml:space="preserve"> gNB would schedule UL transmission over the RBs which are in the sub-band(s) that have passed LBT at gNB side. </w:t>
      </w:r>
      <w:r>
        <w:rPr>
          <w:rFonts w:ascii="Times New Roman" w:hAnsi="Times New Roman" w:cs="Times New Roman"/>
          <w:sz w:val="20"/>
          <w:szCs w:val="20"/>
          <w:lang w:eastAsia="en-US"/>
        </w:rPr>
        <w:t xml:space="preserve">For Cat 1 immediate transmission of PUSCH within gNB’s COT, </w:t>
      </w:r>
      <w:r w:rsidR="00EF40ED">
        <w:rPr>
          <w:rFonts w:ascii="Times New Roman" w:hAnsi="Times New Roman" w:cs="Times New Roman"/>
          <w:sz w:val="20"/>
          <w:szCs w:val="20"/>
          <w:lang w:eastAsia="en-US"/>
        </w:rPr>
        <w:t>since no LBT needs to be performed by UE</w:t>
      </w:r>
      <w:r>
        <w:rPr>
          <w:rFonts w:ascii="Times New Roman" w:hAnsi="Times New Roman" w:cs="Times New Roman"/>
          <w:sz w:val="20"/>
          <w:szCs w:val="20"/>
          <w:lang w:eastAsia="en-US"/>
        </w:rPr>
        <w:t>,</w:t>
      </w:r>
      <w:r w:rsidR="00EF40ED">
        <w:rPr>
          <w:rFonts w:ascii="Times New Roman" w:hAnsi="Times New Roman" w:cs="Times New Roman"/>
          <w:sz w:val="20"/>
          <w:szCs w:val="20"/>
          <w:lang w:eastAsia="en-US"/>
        </w:rPr>
        <w:t xml:space="preserve"> UE should be allowed to transmit PUSCH following the UL grant even if only part of its UL active BWP is in the sub-bands that passed LBT at gNB side when gNB initiating the COT. </w:t>
      </w:r>
    </w:p>
    <w:p w14:paraId="58671B26" w14:textId="429AA53E" w:rsidR="0020528E" w:rsidRDefault="00EF40ED" w:rsidP="000F153F">
      <w:pPr>
        <w:rPr>
          <w:rFonts w:ascii="Times New Roman" w:hAnsi="Times New Roman" w:cs="Times New Roman"/>
          <w:sz w:val="20"/>
          <w:szCs w:val="20"/>
          <w:lang w:eastAsia="en-US"/>
        </w:rPr>
      </w:pPr>
      <w:r>
        <w:rPr>
          <w:rFonts w:ascii="Times New Roman" w:hAnsi="Times New Roman" w:cs="Times New Roman"/>
          <w:sz w:val="20"/>
          <w:szCs w:val="20"/>
          <w:lang w:eastAsia="en-US"/>
        </w:rPr>
        <w:t>Similarly, for PUSCH transmission subject to Cat 2 LBT, it is likely LBT outcome obtained b</w:t>
      </w:r>
      <w:r w:rsidR="00EF45A4">
        <w:rPr>
          <w:rFonts w:ascii="Times New Roman" w:hAnsi="Times New Roman" w:cs="Times New Roman"/>
          <w:sz w:val="20"/>
          <w:szCs w:val="20"/>
          <w:lang w:eastAsia="en-US"/>
        </w:rPr>
        <w:t xml:space="preserve">y the UE is the same as the one performed by gNB recently. </w:t>
      </w:r>
      <w:r w:rsidR="00CA3172">
        <w:rPr>
          <w:rFonts w:ascii="Times New Roman" w:hAnsi="Times New Roman" w:cs="Times New Roman"/>
          <w:sz w:val="20"/>
          <w:szCs w:val="20"/>
          <w:lang w:eastAsia="en-US"/>
        </w:rPr>
        <w:t xml:space="preserve">If only option 2 is supported, UE has to switch active BWP to match the LBT outcome before performing UL transmission. Note that NR-U is operating as a TDD system, which means the UL and DL are paired and they have to be switched together. The switching delay is considerable, during which no UL/DL </w:t>
      </w:r>
      <w:r w:rsidR="00CA3172">
        <w:rPr>
          <w:rFonts w:ascii="Times New Roman" w:hAnsi="Times New Roman" w:cs="Times New Roman"/>
          <w:sz w:val="20"/>
          <w:szCs w:val="20"/>
          <w:lang w:eastAsia="en-US"/>
        </w:rPr>
        <w:lastRenderedPageBreak/>
        <w:t xml:space="preserve">transmission is expected for the UE. Therefore, in order to ease the scheduling limitation, option 3 should be supported instead.  </w:t>
      </w:r>
    </w:p>
    <w:p w14:paraId="116C904C" w14:textId="25AF72B9" w:rsidR="0020528E" w:rsidRPr="00DD288E" w:rsidRDefault="0020528E" w:rsidP="00DD288E">
      <w:pPr>
        <w:spacing w:after="180" w:line="240" w:lineRule="auto"/>
        <w:jc w:val="both"/>
        <w:rPr>
          <w:rFonts w:ascii="Times New Roman" w:eastAsia="MS Mincho" w:hAnsi="Times New Roman" w:cs="Times New Roman"/>
          <w:b/>
          <w:sz w:val="20"/>
          <w:szCs w:val="20"/>
          <w:u w:val="single"/>
          <w:lang w:val="en-AU"/>
        </w:rPr>
      </w:pPr>
      <w:r w:rsidRPr="00DD288E">
        <w:rPr>
          <w:rFonts w:ascii="Times New Roman" w:eastAsia="MS Mincho" w:hAnsi="Times New Roman" w:cs="Times New Roman"/>
          <w:b/>
          <w:sz w:val="20"/>
          <w:szCs w:val="20"/>
          <w:u w:val="single"/>
          <w:lang w:val="en-AU"/>
        </w:rPr>
        <w:t>UL transmission outside gNB’s COT</w:t>
      </w:r>
    </w:p>
    <w:p w14:paraId="7C7E3863" w14:textId="0615B8E7" w:rsidR="00400EA0" w:rsidRDefault="00E95EE7" w:rsidP="005E5C6F">
      <w:pPr>
        <w:pStyle w:val="text"/>
        <w:rPr>
          <w:rFonts w:ascii="Times New Roman" w:hAnsi="Times New Roman"/>
          <w:sz w:val="20"/>
          <w:lang w:eastAsia="en-US"/>
        </w:rPr>
      </w:pPr>
      <w:r>
        <w:rPr>
          <w:rFonts w:ascii="Times New Roman" w:hAnsi="Times New Roman"/>
          <w:sz w:val="20"/>
          <w:lang w:eastAsia="en-US"/>
        </w:rPr>
        <w:t>At least c</w:t>
      </w:r>
      <w:r w:rsidR="006B6D73">
        <w:rPr>
          <w:rFonts w:ascii="Times New Roman" w:hAnsi="Times New Roman"/>
          <w:sz w:val="20"/>
          <w:lang w:eastAsia="en-US"/>
        </w:rPr>
        <w:t>onfigured grant transmission can happen outside gNB’s COT, which may be subject to Cat 4 LBT [1].</w:t>
      </w:r>
      <w:r w:rsidR="0026743E">
        <w:rPr>
          <w:rFonts w:ascii="Times New Roman" w:hAnsi="Times New Roman"/>
          <w:sz w:val="20"/>
          <w:lang w:eastAsia="en-US"/>
        </w:rPr>
        <w:t xml:space="preserve"> For wideband operation, it is reasonable to reserve the configured grant resources in multiple sub-bands. Consequently, depending on the LBT outcome, the chance of grant-free transmission can be increased even if some sub-bands are blocked by other system. With such consideration, for UE who is demanding grant-free transmission, the active UL BWP can correspond to the widest BWP cov</w:t>
      </w:r>
      <w:r>
        <w:rPr>
          <w:rFonts w:ascii="Times New Roman" w:hAnsi="Times New Roman"/>
          <w:sz w:val="20"/>
          <w:lang w:eastAsia="en-US"/>
        </w:rPr>
        <w:t>er</w:t>
      </w:r>
      <w:r w:rsidR="0026743E">
        <w:rPr>
          <w:rFonts w:ascii="Times New Roman" w:hAnsi="Times New Roman"/>
          <w:sz w:val="20"/>
          <w:lang w:eastAsia="en-US"/>
        </w:rPr>
        <w:t xml:space="preserve">ing more grant-free resources. If option 3 is supported, UE </w:t>
      </w:r>
      <w:r w:rsidR="00654C29">
        <w:rPr>
          <w:rFonts w:ascii="Times New Roman" w:hAnsi="Times New Roman"/>
          <w:sz w:val="20"/>
          <w:lang w:eastAsia="en-US"/>
        </w:rPr>
        <w:t>is allowed to</w:t>
      </w:r>
      <w:r w:rsidR="0026743E">
        <w:rPr>
          <w:rFonts w:ascii="Times New Roman" w:hAnsi="Times New Roman"/>
          <w:sz w:val="20"/>
          <w:lang w:eastAsia="en-US"/>
        </w:rPr>
        <w:t xml:space="preserve"> proceed with configur</w:t>
      </w:r>
      <w:r w:rsidR="00654C29">
        <w:rPr>
          <w:rFonts w:ascii="Times New Roman" w:hAnsi="Times New Roman"/>
          <w:sz w:val="20"/>
          <w:lang w:eastAsia="en-US"/>
        </w:rPr>
        <w:t>ed grant transmission in case that</w:t>
      </w:r>
      <w:r w:rsidR="0026743E">
        <w:rPr>
          <w:rFonts w:ascii="Times New Roman" w:hAnsi="Times New Roman"/>
          <w:sz w:val="20"/>
          <w:lang w:eastAsia="en-US"/>
        </w:rPr>
        <w:t xml:space="preserve"> parts of its</w:t>
      </w:r>
      <w:r w:rsidR="00654C29">
        <w:rPr>
          <w:rFonts w:ascii="Times New Roman" w:hAnsi="Times New Roman"/>
          <w:sz w:val="20"/>
          <w:lang w:eastAsia="en-US"/>
        </w:rPr>
        <w:t xml:space="preserve"> wide active BWP has passed LBT, without the need for changing active BWP. </w:t>
      </w:r>
      <w:r w:rsidR="006B6D73">
        <w:rPr>
          <w:rFonts w:ascii="Times New Roman" w:hAnsi="Times New Roman"/>
          <w:sz w:val="20"/>
          <w:lang w:eastAsia="en-US"/>
        </w:rPr>
        <w:t xml:space="preserve">  </w:t>
      </w:r>
      <w:r w:rsidR="0066415F">
        <w:rPr>
          <w:rFonts w:ascii="Times New Roman" w:hAnsi="Times New Roman"/>
          <w:sz w:val="20"/>
          <w:lang w:eastAsia="en-US"/>
        </w:rPr>
        <w:t xml:space="preserve">  </w:t>
      </w:r>
      <w:r w:rsidR="00D93E15">
        <w:rPr>
          <w:rFonts w:ascii="Times New Roman" w:hAnsi="Times New Roman"/>
          <w:sz w:val="20"/>
          <w:lang w:eastAsia="en-US"/>
        </w:rPr>
        <w:t xml:space="preserve">  </w:t>
      </w:r>
    </w:p>
    <w:p w14:paraId="15C7DE91" w14:textId="53752E1E" w:rsidR="00D661B0" w:rsidRDefault="00CE3F6C" w:rsidP="009B19F5">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Therefore, we proposed:</w:t>
      </w:r>
      <w:r w:rsidR="00D04BD0">
        <w:rPr>
          <w:rFonts w:ascii="Times New Roman" w:hAnsi="Times New Roman" w:cs="Times New Roman"/>
          <w:sz w:val="20"/>
          <w:szCs w:val="20"/>
          <w:lang w:eastAsia="en-US"/>
        </w:rPr>
        <w:t xml:space="preserve">  </w:t>
      </w:r>
      <w:r w:rsidR="00F020A9">
        <w:rPr>
          <w:rFonts w:ascii="Times New Roman" w:hAnsi="Times New Roman" w:cs="Times New Roman"/>
          <w:sz w:val="20"/>
          <w:szCs w:val="20"/>
          <w:lang w:eastAsia="en-US"/>
        </w:rPr>
        <w:t xml:space="preserve"> </w:t>
      </w:r>
      <w:r w:rsidR="00D661B0">
        <w:rPr>
          <w:rFonts w:ascii="Times New Roman" w:hAnsi="Times New Roman" w:cs="Times New Roman"/>
          <w:sz w:val="20"/>
          <w:szCs w:val="20"/>
          <w:lang w:eastAsia="en-US"/>
        </w:rPr>
        <w:t xml:space="preserve"> </w:t>
      </w:r>
    </w:p>
    <w:p w14:paraId="30ED559D" w14:textId="2546324B" w:rsidR="00362DE3" w:rsidRDefault="0056299D" w:rsidP="009B19F5">
      <w:pPr>
        <w:pStyle w:val="BodyText"/>
        <w:rPr>
          <w:rFonts w:ascii="Times New Roman" w:hAnsi="Times New Roman" w:cs="Times New Roman"/>
          <w:sz w:val="20"/>
          <w:szCs w:val="20"/>
          <w:lang w:eastAsia="en-US"/>
        </w:rPr>
      </w:pPr>
      <w:r>
        <w:rPr>
          <w:rFonts w:ascii="Times New Roman" w:hAnsi="Times New Roman" w:cs="Times New Roman"/>
          <w:b/>
          <w:sz w:val="20"/>
          <w:szCs w:val="20"/>
          <w:lang w:eastAsia="en-US"/>
        </w:rPr>
        <w:t xml:space="preserve">Proposal </w:t>
      </w:r>
      <w:r w:rsidR="00CE3F6C">
        <w:rPr>
          <w:rFonts w:ascii="Times New Roman" w:hAnsi="Times New Roman" w:cs="Times New Roman"/>
          <w:b/>
          <w:sz w:val="20"/>
          <w:szCs w:val="20"/>
          <w:lang w:eastAsia="en-US"/>
        </w:rPr>
        <w:t>1</w:t>
      </w:r>
      <w:r>
        <w:rPr>
          <w:rFonts w:ascii="Times New Roman" w:hAnsi="Times New Roman" w:cs="Times New Roman"/>
          <w:b/>
          <w:sz w:val="20"/>
          <w:szCs w:val="20"/>
          <w:lang w:eastAsia="en-US"/>
        </w:rPr>
        <w:t xml:space="preserve">: </w:t>
      </w:r>
      <w:r w:rsidR="00CE3F6C">
        <w:rPr>
          <w:rFonts w:ascii="Times New Roman" w:hAnsi="Times New Roman" w:cs="Times New Roman"/>
          <w:b/>
          <w:sz w:val="20"/>
          <w:szCs w:val="20"/>
          <w:lang w:eastAsia="en-US"/>
        </w:rPr>
        <w:t xml:space="preserve">RAN1 </w:t>
      </w:r>
      <w:r w:rsidR="000C1A51">
        <w:rPr>
          <w:rFonts w:ascii="Times New Roman" w:hAnsi="Times New Roman" w:cs="Times New Roman"/>
          <w:b/>
          <w:sz w:val="20"/>
          <w:szCs w:val="20"/>
          <w:lang w:eastAsia="en-US"/>
        </w:rPr>
        <w:t xml:space="preserve">supports </w:t>
      </w:r>
      <w:r w:rsidR="00CE3F6C">
        <w:rPr>
          <w:rFonts w:ascii="Times New Roman" w:hAnsi="Times New Roman" w:cs="Times New Roman"/>
          <w:b/>
          <w:sz w:val="20"/>
          <w:szCs w:val="20"/>
          <w:lang w:eastAsia="en-US"/>
        </w:rPr>
        <w:t xml:space="preserve">Option 3 </w:t>
      </w:r>
      <w:r w:rsidR="000C1A51">
        <w:rPr>
          <w:rFonts w:ascii="Times New Roman" w:hAnsi="Times New Roman" w:cs="Times New Roman"/>
          <w:b/>
          <w:sz w:val="20"/>
          <w:szCs w:val="20"/>
          <w:lang w:eastAsia="en-US"/>
        </w:rPr>
        <w:t xml:space="preserve">for </w:t>
      </w:r>
      <w:r w:rsidR="00BB3E6E">
        <w:rPr>
          <w:rFonts w:ascii="Times New Roman" w:hAnsi="Times New Roman" w:cs="Times New Roman"/>
          <w:b/>
          <w:sz w:val="20"/>
          <w:szCs w:val="20"/>
          <w:lang w:eastAsia="en-US"/>
        </w:rPr>
        <w:t xml:space="preserve">NR-U </w:t>
      </w:r>
      <w:r w:rsidR="00654C29">
        <w:rPr>
          <w:rFonts w:ascii="Times New Roman" w:hAnsi="Times New Roman" w:cs="Times New Roman"/>
          <w:b/>
          <w:sz w:val="20"/>
          <w:szCs w:val="20"/>
          <w:lang w:eastAsia="en-US"/>
        </w:rPr>
        <w:t xml:space="preserve">UL </w:t>
      </w:r>
      <w:r w:rsidR="00BB3E6E">
        <w:rPr>
          <w:rFonts w:ascii="Times New Roman" w:hAnsi="Times New Roman" w:cs="Times New Roman"/>
          <w:b/>
          <w:sz w:val="20"/>
          <w:szCs w:val="20"/>
          <w:lang w:eastAsia="en-US"/>
        </w:rPr>
        <w:t>wideband operation where a carrier has bandwidth larger than 20 MHz</w:t>
      </w:r>
      <w:r w:rsidR="00D215AD">
        <w:rPr>
          <w:rFonts w:ascii="Times New Roman" w:hAnsi="Times New Roman" w:cs="Times New Roman"/>
          <w:b/>
          <w:sz w:val="20"/>
          <w:szCs w:val="20"/>
          <w:lang w:eastAsia="en-US"/>
        </w:rPr>
        <w:t>.</w:t>
      </w:r>
      <w:r w:rsidR="00CE3F6C">
        <w:rPr>
          <w:rFonts w:ascii="Times New Roman" w:hAnsi="Times New Roman" w:cs="Times New Roman"/>
          <w:b/>
          <w:sz w:val="20"/>
          <w:szCs w:val="20"/>
          <w:lang w:eastAsia="en-US"/>
        </w:rPr>
        <w:t xml:space="preserve"> </w:t>
      </w:r>
      <w:r w:rsidR="00D215AD">
        <w:rPr>
          <w:rFonts w:ascii="Times New Roman" w:hAnsi="Times New Roman" w:cs="Times New Roman"/>
          <w:b/>
          <w:sz w:val="20"/>
          <w:szCs w:val="20"/>
          <w:lang w:eastAsia="en-US"/>
        </w:rPr>
        <w:t xml:space="preserve"> </w:t>
      </w:r>
      <w:r>
        <w:rPr>
          <w:rFonts w:ascii="Times New Roman" w:hAnsi="Times New Roman" w:cs="Times New Roman"/>
          <w:sz w:val="20"/>
          <w:szCs w:val="20"/>
          <w:lang w:eastAsia="en-US"/>
        </w:rPr>
        <w:t xml:space="preserve"> </w:t>
      </w:r>
    </w:p>
    <w:bookmarkEnd w:id="2"/>
    <w:p w14:paraId="3A94FE98" w14:textId="1BFDF000" w:rsidR="00855482" w:rsidRDefault="00855482" w:rsidP="00855482">
      <w:pPr>
        <w:pStyle w:val="Heading1"/>
        <w:rPr>
          <w:lang w:val="en-US"/>
        </w:rPr>
      </w:pPr>
      <w:r>
        <w:rPr>
          <w:lang w:val="en-US"/>
        </w:rPr>
        <w:t>COT structure indication in frequency domain</w:t>
      </w:r>
    </w:p>
    <w:p w14:paraId="560AC2B1" w14:textId="72147B46" w:rsidR="00855482" w:rsidRDefault="00855482" w:rsidP="00855482">
      <w:pPr>
        <w:spacing w:after="180"/>
        <w:rPr>
          <w:rFonts w:ascii="Times New Roman" w:eastAsia="MS Mincho" w:hAnsi="Times New Roman" w:cs="Times New Roman"/>
          <w:sz w:val="20"/>
          <w:szCs w:val="20"/>
          <w:lang w:val="en-AU"/>
        </w:rPr>
      </w:pPr>
      <w:r>
        <w:rPr>
          <w:rFonts w:ascii="Times New Roman" w:eastAsia="MS Mincho" w:hAnsi="Times New Roman" w:cs="Times New Roman"/>
          <w:sz w:val="20"/>
          <w:szCs w:val="20"/>
          <w:lang w:val="en-AU"/>
        </w:rPr>
        <w:t xml:space="preserve">As agreed </w:t>
      </w:r>
      <w:r w:rsidR="00C06AF4">
        <w:rPr>
          <w:rFonts w:ascii="Times New Roman" w:eastAsia="MS Mincho" w:hAnsi="Times New Roman" w:cs="Times New Roman"/>
          <w:sz w:val="20"/>
          <w:szCs w:val="20"/>
          <w:lang w:val="en-AU"/>
        </w:rPr>
        <w:t>for DL</w:t>
      </w:r>
      <w:r>
        <w:rPr>
          <w:rFonts w:ascii="Times New Roman" w:eastAsia="MS Mincho" w:hAnsi="Times New Roman" w:cs="Times New Roman"/>
          <w:sz w:val="20"/>
          <w:szCs w:val="20"/>
          <w:lang w:val="en-AU"/>
        </w:rPr>
        <w:t xml:space="preserve">, gNB should be allowed to </w:t>
      </w:r>
      <w:r w:rsidRPr="005E0FF1">
        <w:rPr>
          <w:rFonts w:ascii="Times New Roman" w:eastAsia="MS Mincho" w:hAnsi="Times New Roman" w:cs="Times New Roman"/>
          <w:sz w:val="20"/>
          <w:szCs w:val="20"/>
          <w:lang w:val="en-AU"/>
        </w:rPr>
        <w:t xml:space="preserve">grab the </w:t>
      </w:r>
      <w:r w:rsidRPr="005E0FF1">
        <w:rPr>
          <w:rFonts w:ascii="Times New Roman" w:eastAsia="MS Mincho" w:hAnsi="Times New Roman" w:cs="Times New Roman"/>
          <w:b/>
          <w:i/>
          <w:sz w:val="20"/>
          <w:szCs w:val="20"/>
          <w:lang w:val="en-AU"/>
        </w:rPr>
        <w:t>partial</w:t>
      </w:r>
      <w:r w:rsidRPr="005E0FF1">
        <w:rPr>
          <w:rFonts w:ascii="Times New Roman" w:eastAsia="MS Mincho" w:hAnsi="Times New Roman" w:cs="Times New Roman"/>
          <w:sz w:val="20"/>
          <w:szCs w:val="20"/>
          <w:lang w:val="en-AU"/>
        </w:rPr>
        <w:t xml:space="preserve"> wideband channel that is clear from channel assessment even if the whole wideband is configured as one BWP. In other words, it may happen that gNB does not gain access on some portion of UE’s active BWP due to LBT failure over those portions, but gNB still proceeds for DL transmission over the acquired part. In such case, it is beneficial for the UE to know which part of the active BWP that gNB has failed gaining control, such that UE can skip the PDCCH/PDSCH over those portions. </w:t>
      </w:r>
      <w:r>
        <w:rPr>
          <w:rFonts w:ascii="Times New Roman" w:eastAsia="MS Mincho" w:hAnsi="Times New Roman" w:cs="Times New Roman"/>
          <w:sz w:val="20"/>
          <w:szCs w:val="20"/>
          <w:lang w:val="en-AU"/>
        </w:rPr>
        <w:t>On the other hand, for semi-static configured UL transmission such as PRACH, configured grant type-1 within gNB’s COT, it is also important for UE to know which 20MHz LBT sub-band(s) of the active BWP are allowed.</w:t>
      </w:r>
    </w:p>
    <w:p w14:paraId="75DBE753" w14:textId="77777777" w:rsidR="00855482" w:rsidRDefault="00855482" w:rsidP="00855482">
      <w:pPr>
        <w:spacing w:after="180"/>
        <w:rPr>
          <w:rFonts w:ascii="Times New Roman" w:eastAsia="MS Mincho" w:hAnsi="Times New Roman" w:cs="Times New Roman"/>
          <w:sz w:val="20"/>
          <w:szCs w:val="20"/>
          <w:lang w:val="en-AU"/>
        </w:rPr>
      </w:pPr>
      <w:r>
        <w:rPr>
          <w:rFonts w:ascii="Times New Roman" w:eastAsia="MS Mincho" w:hAnsi="Times New Roman" w:cs="Times New Roman"/>
          <w:sz w:val="20"/>
          <w:szCs w:val="20"/>
          <w:lang w:val="en-AU"/>
        </w:rPr>
        <w:t>Either implicit identification or explicit signalling can be considered as follows:</w:t>
      </w:r>
    </w:p>
    <w:p w14:paraId="104651FE" w14:textId="77777777" w:rsidR="00855482" w:rsidRPr="0098035C" w:rsidRDefault="00855482" w:rsidP="00855482">
      <w:pPr>
        <w:pStyle w:val="ListParagraph"/>
        <w:numPr>
          <w:ilvl w:val="0"/>
          <w:numId w:val="14"/>
        </w:numPr>
        <w:spacing w:after="180"/>
        <w:rPr>
          <w:rFonts w:ascii="Times New Roman" w:eastAsia="MS Mincho" w:hAnsi="Times New Roman" w:cs="Times New Roman"/>
          <w:sz w:val="20"/>
          <w:szCs w:val="20"/>
          <w:lang w:val="en-AU"/>
        </w:rPr>
      </w:pPr>
      <w:r w:rsidRPr="0098035C">
        <w:rPr>
          <w:rFonts w:ascii="Times New Roman" w:eastAsia="MS Mincho" w:hAnsi="Times New Roman" w:cs="Times New Roman"/>
          <w:b/>
          <w:sz w:val="20"/>
          <w:szCs w:val="20"/>
          <w:lang w:val="en-AU"/>
        </w:rPr>
        <w:t>Implicit method:</w:t>
      </w:r>
      <w:r>
        <w:rPr>
          <w:rFonts w:ascii="Times New Roman" w:eastAsia="MS Mincho" w:hAnsi="Times New Roman" w:cs="Times New Roman"/>
          <w:sz w:val="20"/>
          <w:szCs w:val="20"/>
          <w:lang w:val="en-AU"/>
        </w:rPr>
        <w:t xml:space="preserve"> the DL transmission BW is identified by checking wideband DMRS, TRS, or some kind of preamble at the beginning of DL burst (if supported)</w:t>
      </w:r>
      <w:r>
        <w:rPr>
          <w:rFonts w:ascii="Times New Roman" w:eastAsia="MS Mincho" w:hAnsi="Times New Roman" w:cs="Times New Roman"/>
          <w:sz w:val="20"/>
          <w:szCs w:val="20"/>
        </w:rPr>
        <w:t xml:space="preserve">, then UL BW follows the DL BW. </w:t>
      </w:r>
    </w:p>
    <w:p w14:paraId="74C4340B" w14:textId="77777777" w:rsidR="00855482" w:rsidRDefault="00855482" w:rsidP="00855482">
      <w:pPr>
        <w:pStyle w:val="ListParagraph"/>
        <w:numPr>
          <w:ilvl w:val="0"/>
          <w:numId w:val="14"/>
        </w:numPr>
        <w:spacing w:after="180"/>
        <w:rPr>
          <w:rFonts w:ascii="Times New Roman" w:eastAsia="MS Mincho" w:hAnsi="Times New Roman" w:cs="Times New Roman"/>
          <w:sz w:val="20"/>
          <w:szCs w:val="20"/>
          <w:lang w:val="en-AU"/>
        </w:rPr>
      </w:pPr>
      <w:r w:rsidRPr="0098035C">
        <w:rPr>
          <w:rFonts w:ascii="Times New Roman" w:eastAsia="MS Mincho" w:hAnsi="Times New Roman" w:cs="Times New Roman"/>
          <w:b/>
          <w:sz w:val="20"/>
          <w:szCs w:val="20"/>
        </w:rPr>
        <w:t>Explicit method:</w:t>
      </w:r>
      <w:r>
        <w:rPr>
          <w:rFonts w:ascii="Times New Roman" w:eastAsia="MS Mincho" w:hAnsi="Times New Roman" w:cs="Times New Roman"/>
          <w:sz w:val="20"/>
          <w:szCs w:val="20"/>
        </w:rPr>
        <w:t xml:space="preserve"> UE is</w:t>
      </w:r>
      <w:r w:rsidRPr="0037289A">
        <w:rPr>
          <w:rFonts w:ascii="Times New Roman" w:eastAsia="MS Mincho" w:hAnsi="Times New Roman" w:cs="Times New Roman"/>
          <w:sz w:val="20"/>
          <w:szCs w:val="20"/>
        </w:rPr>
        <w:t xml:space="preserve"> explicitly signall</w:t>
      </w:r>
      <w:r>
        <w:rPr>
          <w:rFonts w:ascii="Times New Roman" w:eastAsia="MS Mincho" w:hAnsi="Times New Roman" w:cs="Times New Roman"/>
          <w:sz w:val="20"/>
          <w:szCs w:val="20"/>
        </w:rPr>
        <w:t>ed</w:t>
      </w:r>
      <w:r w:rsidRPr="0037289A">
        <w:rPr>
          <w:rFonts w:ascii="Times New Roman" w:eastAsia="MS Mincho" w:hAnsi="Times New Roman" w:cs="Times New Roman"/>
          <w:sz w:val="20"/>
          <w:szCs w:val="20"/>
        </w:rPr>
        <w:t xml:space="preserve"> via</w:t>
      </w:r>
      <w:r>
        <w:rPr>
          <w:rFonts w:ascii="Times New Roman" w:eastAsia="MS Mincho" w:hAnsi="Times New Roman" w:cs="Times New Roman"/>
          <w:sz w:val="20"/>
          <w:szCs w:val="20"/>
        </w:rPr>
        <w:t xml:space="preserve"> COT structure indication the DL/UL BW</w:t>
      </w:r>
      <w:r w:rsidRPr="0037289A">
        <w:rPr>
          <w:rFonts w:ascii="Times New Roman" w:eastAsia="MS Mincho" w:hAnsi="Times New Roman" w:cs="Times New Roman"/>
          <w:sz w:val="20"/>
          <w:szCs w:val="20"/>
          <w:lang w:val="en-AU"/>
        </w:rPr>
        <w:t>.</w:t>
      </w:r>
    </w:p>
    <w:p w14:paraId="260D81BC" w14:textId="1A6F33AB" w:rsidR="00855482" w:rsidRPr="005E0FF1" w:rsidRDefault="00855482" w:rsidP="00855482">
      <w:pPr>
        <w:spacing w:after="180"/>
        <w:rPr>
          <w:rFonts w:ascii="Times New Roman" w:eastAsia="MS Mincho" w:hAnsi="Times New Roman" w:cs="Times New Roman"/>
          <w:sz w:val="20"/>
          <w:szCs w:val="20"/>
          <w:lang w:val="en-AU"/>
        </w:rPr>
      </w:pPr>
      <w:r>
        <w:rPr>
          <w:rFonts w:ascii="Times New Roman" w:eastAsia="MS Mincho" w:hAnsi="Times New Roman" w:cs="Times New Roman"/>
          <w:sz w:val="20"/>
          <w:szCs w:val="20"/>
          <w:lang w:val="en-AU"/>
        </w:rPr>
        <w:t xml:space="preserve">Both methods are workable. However, comparing these two methods, explicit signalling can achieve better flexibility, because it gives more freedom for gNB to control UE’s reception and transmission. More importantly, if COT structure indication is carried by a certain channel such as group common PDCCH, it is much more robust compared to the implicit method which relies on sequence detection without protection of channel coding including CRC. </w:t>
      </w:r>
      <w:r w:rsidR="00C06AF4">
        <w:rPr>
          <w:rFonts w:ascii="Times New Roman" w:eastAsia="MS Mincho" w:hAnsi="Times New Roman" w:cs="Times New Roman"/>
          <w:sz w:val="20"/>
          <w:szCs w:val="20"/>
          <w:lang w:val="en-AU"/>
        </w:rPr>
        <w:t>Please see our companion paper [2] for more discussion on COT indication signalling design and COT structure information in time domain.</w:t>
      </w:r>
    </w:p>
    <w:p w14:paraId="6F36C6F6" w14:textId="77777777" w:rsidR="00855482" w:rsidRDefault="00855482" w:rsidP="00855482">
      <w:pPr>
        <w:pStyle w:val="BodyText"/>
        <w:rPr>
          <w:rFonts w:ascii="Times New Roman" w:eastAsia="MS Mincho" w:hAnsi="Times New Roman" w:cs="Times New Roman"/>
          <w:sz w:val="20"/>
          <w:szCs w:val="20"/>
          <w:lang w:val="en-AU"/>
        </w:rPr>
      </w:pPr>
      <w:r>
        <w:rPr>
          <w:rFonts w:ascii="Times New Roman" w:eastAsia="MS Mincho" w:hAnsi="Times New Roman" w:cs="Times New Roman"/>
          <w:sz w:val="20"/>
          <w:szCs w:val="20"/>
          <w:lang w:val="en-AU"/>
        </w:rPr>
        <w:t>Therefore, in wideband operation</w:t>
      </w:r>
      <w:r w:rsidRPr="005E0FF1">
        <w:rPr>
          <w:rFonts w:ascii="Times New Roman" w:eastAsia="MS Mincho" w:hAnsi="Times New Roman" w:cs="Times New Roman"/>
          <w:sz w:val="20"/>
          <w:szCs w:val="20"/>
          <w:lang w:val="en-AU"/>
        </w:rPr>
        <w:t xml:space="preserve">, the COT structure should include 2-dimension information, time and frequency. </w:t>
      </w:r>
      <w:r>
        <w:rPr>
          <w:rFonts w:ascii="Times New Roman" w:eastAsia="MS Mincho" w:hAnsi="Times New Roman" w:cs="Times New Roman"/>
          <w:sz w:val="20"/>
          <w:szCs w:val="20"/>
          <w:lang w:val="en-AU"/>
        </w:rPr>
        <w:t>Or more precisely, the original meaning of COT structure (as its name suggested) should be associated with a frequency domain applicable range, where t</w:t>
      </w:r>
      <w:r w:rsidRPr="005E0FF1">
        <w:rPr>
          <w:rFonts w:ascii="Times New Roman" w:eastAsia="MS Mincho" w:hAnsi="Times New Roman" w:cs="Times New Roman"/>
          <w:sz w:val="20"/>
          <w:szCs w:val="20"/>
          <w:lang w:val="en-AU"/>
        </w:rPr>
        <w:t>he granul</w:t>
      </w:r>
      <w:r>
        <w:rPr>
          <w:rFonts w:ascii="Times New Roman" w:eastAsia="MS Mincho" w:hAnsi="Times New Roman" w:cs="Times New Roman"/>
          <w:sz w:val="20"/>
          <w:szCs w:val="20"/>
          <w:lang w:val="en-AU"/>
        </w:rPr>
        <w:t>arity can be per 20MHz LBT sub-band</w:t>
      </w:r>
      <w:r w:rsidRPr="005E0FF1">
        <w:rPr>
          <w:rFonts w:ascii="Times New Roman" w:eastAsia="MS Mincho" w:hAnsi="Times New Roman" w:cs="Times New Roman"/>
          <w:sz w:val="20"/>
          <w:szCs w:val="20"/>
          <w:lang w:val="en-AU"/>
        </w:rPr>
        <w:t>.</w:t>
      </w:r>
      <w:r>
        <w:rPr>
          <w:rFonts w:ascii="Times New Roman" w:eastAsia="MS Mincho" w:hAnsi="Times New Roman" w:cs="Times New Roman"/>
          <w:sz w:val="20"/>
          <w:szCs w:val="20"/>
          <w:lang w:val="en-AU"/>
        </w:rPr>
        <w:t xml:space="preserve"> One example is given in the figure below, where the active BWP has 80 MHz but #4 20 MHz sub-band has failed LBT. As a result, the time domain slot format is associated with the applicable frequency range of 60 MHz consisting of sub-bands #1,#2, and #3. Thanks to this information, UE need not monitor/receive any PDCCH/PDSCH over the #4 sub-band.     </w:t>
      </w:r>
    </w:p>
    <w:p w14:paraId="237BB804" w14:textId="77777777" w:rsidR="00855482" w:rsidRDefault="00855482" w:rsidP="00855482">
      <w:pPr>
        <w:pStyle w:val="BodyText"/>
        <w:jc w:val="center"/>
        <w:rPr>
          <w:rFonts w:ascii="Times New Roman" w:eastAsia="MS Mincho" w:hAnsi="Times New Roman" w:cs="Times New Roman"/>
          <w:sz w:val="20"/>
          <w:szCs w:val="20"/>
          <w:lang w:val="en-AU"/>
        </w:rPr>
      </w:pPr>
    </w:p>
    <w:p w14:paraId="5C4F339D" w14:textId="77777777" w:rsidR="00855482" w:rsidRDefault="00855482" w:rsidP="00855482">
      <w:pPr>
        <w:pStyle w:val="BodyText"/>
        <w:jc w:val="center"/>
        <w:rPr>
          <w:rFonts w:ascii="Times New Roman" w:eastAsia="MS Mincho" w:hAnsi="Times New Roman" w:cs="Times New Roman"/>
          <w:sz w:val="20"/>
          <w:szCs w:val="20"/>
          <w:lang w:val="en-AU"/>
        </w:rPr>
      </w:pPr>
      <w:r>
        <w:rPr>
          <w:rFonts w:ascii="Times New Roman" w:eastAsia="MS Mincho" w:hAnsi="Times New Roman" w:cs="Times New Roman"/>
          <w:noProof/>
          <w:sz w:val="20"/>
          <w:szCs w:val="20"/>
        </w:rPr>
        <w:lastRenderedPageBreak/>
        <w:drawing>
          <wp:inline distT="0" distB="0" distL="0" distR="0" wp14:anchorId="67CF2700" wp14:editId="111821C4">
            <wp:extent cx="3369129" cy="3561193"/>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72529" cy="3564787"/>
                    </a:xfrm>
                    <a:prstGeom prst="rect">
                      <a:avLst/>
                    </a:prstGeom>
                    <a:noFill/>
                  </pic:spPr>
                </pic:pic>
              </a:graphicData>
            </a:graphic>
          </wp:inline>
        </w:drawing>
      </w:r>
    </w:p>
    <w:p w14:paraId="657BF6C8" w14:textId="77777777" w:rsidR="00855482" w:rsidRDefault="00855482" w:rsidP="00855482">
      <w:pPr>
        <w:pStyle w:val="BodyText"/>
        <w:rPr>
          <w:rFonts w:ascii="Times New Roman" w:eastAsia="MS Mincho" w:hAnsi="Times New Roman" w:cs="Times New Roman"/>
          <w:sz w:val="20"/>
          <w:szCs w:val="20"/>
          <w:lang w:val="en-AU"/>
        </w:rPr>
      </w:pPr>
    </w:p>
    <w:p w14:paraId="5FB7544F" w14:textId="77777777" w:rsidR="00855482" w:rsidRDefault="00855482" w:rsidP="00855482">
      <w:pPr>
        <w:pStyle w:val="BodyText"/>
        <w:jc w:val="center"/>
        <w:rPr>
          <w:rFonts w:ascii="Times New Roman" w:eastAsia="MS Mincho" w:hAnsi="Times New Roman" w:cs="Times New Roman"/>
          <w:sz w:val="20"/>
          <w:szCs w:val="20"/>
          <w:lang w:val="en-AU"/>
        </w:rPr>
      </w:pPr>
    </w:p>
    <w:p w14:paraId="172A4BFE" w14:textId="16C38B6A" w:rsidR="00855482" w:rsidRDefault="00855482" w:rsidP="00855482">
      <w:pPr>
        <w:pStyle w:val="BodyText"/>
        <w:rPr>
          <w:rFonts w:ascii="Times New Roman" w:eastAsia="MS Mincho" w:hAnsi="Times New Roman" w:cs="Times New Roman"/>
          <w:sz w:val="20"/>
          <w:szCs w:val="20"/>
          <w:lang w:val="en-AU"/>
        </w:rPr>
      </w:pPr>
      <w:r>
        <w:rPr>
          <w:rFonts w:ascii="Times New Roman" w:eastAsia="MS Mincho" w:hAnsi="Times New Roman" w:cs="Times New Roman"/>
          <w:sz w:val="20"/>
          <w:szCs w:val="20"/>
          <w:lang w:val="en-AU"/>
        </w:rPr>
        <w:t>To summarize, we have the following proposal.</w:t>
      </w:r>
    </w:p>
    <w:p w14:paraId="4CB21B53" w14:textId="0DFDE313" w:rsidR="00855482" w:rsidRDefault="00855482" w:rsidP="00855482">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Proposal 2: For wideband operation, in addition to time domain structure defining DL, UL and Flexible symbols, COT structure defines in frequency domain which LBT sub-band(s) are accessible to the UE.</w:t>
      </w:r>
    </w:p>
    <w:p w14:paraId="77ED00B2" w14:textId="77777777" w:rsidR="00855482" w:rsidRPr="000F3343" w:rsidRDefault="00855482" w:rsidP="000F3343"/>
    <w:p w14:paraId="71100277" w14:textId="2377335C" w:rsidR="00270D24" w:rsidRPr="00DC33E4" w:rsidRDefault="00270D24" w:rsidP="00270D24">
      <w:pPr>
        <w:pStyle w:val="Heading1"/>
        <w:rPr>
          <w:lang w:val="en-US"/>
        </w:rPr>
      </w:pPr>
      <w:r>
        <w:rPr>
          <w:lang w:val="en-US"/>
        </w:rPr>
        <w:t xml:space="preserve">PDSCH transmission </w:t>
      </w:r>
    </w:p>
    <w:p w14:paraId="183153B4" w14:textId="41017E82" w:rsidR="00E32C7B" w:rsidRDefault="000F3343" w:rsidP="001632FD">
      <w:pPr>
        <w:pStyle w:val="BodyText"/>
        <w:rPr>
          <w:rFonts w:ascii="Times New Roman" w:hAnsi="Times New Roman" w:cs="Times New Roman"/>
          <w:sz w:val="20"/>
          <w:szCs w:val="20"/>
          <w:lang w:eastAsia="en-US"/>
        </w:rPr>
      </w:pPr>
      <w:r w:rsidRPr="000F3343">
        <w:rPr>
          <w:rFonts w:ascii="Times New Roman" w:hAnsi="Times New Roman" w:cs="Times New Roman"/>
          <w:sz w:val="20"/>
          <w:szCs w:val="20"/>
          <w:lang w:eastAsia="en-US"/>
        </w:rPr>
        <w:t xml:space="preserve">For PDSCH </w:t>
      </w:r>
      <w:r>
        <w:rPr>
          <w:rFonts w:ascii="Times New Roman" w:hAnsi="Times New Roman" w:cs="Times New Roman"/>
          <w:sz w:val="20"/>
          <w:szCs w:val="20"/>
          <w:lang w:eastAsia="en-US"/>
        </w:rPr>
        <w:t>transmission in wideband operation, in order to cope with the situation where a certain LBT sub-band within the UE active BWP fails the CCA, some options have identified and summarized in the Feature Lead note in the previous meeting [3]:</w:t>
      </w:r>
    </w:p>
    <w:p w14:paraId="69185CC1" w14:textId="4B1685EF" w:rsidR="00E83BE0" w:rsidRDefault="00E83BE0" w:rsidP="00E83BE0">
      <w:pPr>
        <w:numPr>
          <w:ilvl w:val="0"/>
          <w:numId w:val="13"/>
        </w:numPr>
        <w:spacing w:before="120" w:after="120" w:line="240" w:lineRule="auto"/>
        <w:ind w:left="1020"/>
        <w:jc w:val="both"/>
        <w:rPr>
          <w:rFonts w:ascii="Times New Roman" w:hAnsi="Times New Roman" w:cs="Times New Roman"/>
          <w:sz w:val="20"/>
          <w:szCs w:val="20"/>
          <w:lang w:eastAsia="en-US"/>
        </w:rPr>
      </w:pPr>
      <w:r>
        <w:rPr>
          <w:rFonts w:ascii="Times New Roman" w:hAnsi="Times New Roman" w:cs="Times New Roman"/>
          <w:sz w:val="20"/>
          <w:szCs w:val="20"/>
          <w:lang w:eastAsia="en-US"/>
        </w:rPr>
        <w:t xml:space="preserve">Option 1: </w:t>
      </w:r>
      <w:r w:rsidRPr="006A2E86">
        <w:rPr>
          <w:rFonts w:ascii="Times New Roman" w:hAnsi="Times New Roman" w:cs="Times New Roman"/>
          <w:sz w:val="20"/>
          <w:szCs w:val="20"/>
          <w:lang w:eastAsia="en-US"/>
        </w:rPr>
        <w:t>Each PDSCH is contained within a LBT sub-band.</w:t>
      </w:r>
    </w:p>
    <w:p w14:paraId="04F76DA4" w14:textId="645575FF" w:rsidR="00E83BE0" w:rsidRPr="006A2E86" w:rsidRDefault="00E83BE0" w:rsidP="00E83BE0">
      <w:pPr>
        <w:numPr>
          <w:ilvl w:val="0"/>
          <w:numId w:val="13"/>
        </w:numPr>
        <w:spacing w:before="120" w:after="120" w:line="240" w:lineRule="auto"/>
        <w:ind w:left="1020"/>
        <w:jc w:val="both"/>
        <w:rPr>
          <w:rFonts w:ascii="Times New Roman" w:hAnsi="Times New Roman" w:cs="Times New Roman"/>
          <w:sz w:val="20"/>
          <w:szCs w:val="20"/>
          <w:lang w:eastAsia="en-US"/>
        </w:rPr>
      </w:pPr>
      <w:r w:rsidRPr="006A2E86">
        <w:rPr>
          <w:rFonts w:ascii="Times New Roman" w:hAnsi="Times New Roman" w:cs="Times New Roman"/>
          <w:sz w:val="20"/>
          <w:szCs w:val="20"/>
          <w:lang w:eastAsia="en-US"/>
        </w:rPr>
        <w:t>Option 2: PDSCH can be spanned over multiple LBT sub-bands and the part of PDSCH is punctured if some of LBT sub-bands including PDSCH are not transmitted due to LBT failure at gNB</w:t>
      </w:r>
    </w:p>
    <w:p w14:paraId="67E42D0A" w14:textId="2CA2CAEB" w:rsidR="00E83BE0" w:rsidRDefault="00E83BE0" w:rsidP="00E83BE0">
      <w:pPr>
        <w:numPr>
          <w:ilvl w:val="0"/>
          <w:numId w:val="13"/>
        </w:numPr>
        <w:spacing w:before="120" w:after="120" w:line="240" w:lineRule="auto"/>
        <w:ind w:left="1020"/>
        <w:jc w:val="both"/>
        <w:rPr>
          <w:rFonts w:ascii="Times New Roman" w:hAnsi="Times New Roman" w:cs="Times New Roman"/>
          <w:sz w:val="20"/>
          <w:szCs w:val="20"/>
          <w:lang w:eastAsia="en-US"/>
        </w:rPr>
      </w:pPr>
      <w:r w:rsidRPr="006A2E86">
        <w:rPr>
          <w:rFonts w:ascii="Times New Roman" w:hAnsi="Times New Roman" w:cs="Times New Roman"/>
          <w:sz w:val="20"/>
          <w:szCs w:val="20"/>
          <w:lang w:eastAsia="en-US"/>
        </w:rPr>
        <w:t>Option 3: gNB prepares for multiple sets of PDSCH mappings and selects one of them depending on LBT outcome</w:t>
      </w:r>
    </w:p>
    <w:p w14:paraId="029AE410" w14:textId="77777777" w:rsidR="00570F8E" w:rsidRDefault="003D5C6F" w:rsidP="006A2E86">
      <w:pPr>
        <w:spacing w:before="120" w:after="120" w:line="240" w:lineRule="auto"/>
        <w:jc w:val="both"/>
        <w:rPr>
          <w:rFonts w:ascii="Times New Roman" w:hAnsi="Times New Roman" w:cs="Times New Roman"/>
          <w:sz w:val="20"/>
          <w:szCs w:val="20"/>
          <w:lang w:eastAsia="en-US"/>
        </w:rPr>
      </w:pPr>
      <w:r>
        <w:rPr>
          <w:rFonts w:ascii="Times New Roman" w:hAnsi="Times New Roman" w:cs="Times New Roman"/>
          <w:sz w:val="20"/>
          <w:szCs w:val="20"/>
          <w:lang w:eastAsia="en-US"/>
        </w:rPr>
        <w:t>Option 1 is already feasible for Rel-15 by the scheduling implementation, as long as different PDSCHs in different LBT sub-bands are intended for different UE.</w:t>
      </w:r>
      <w:r w:rsidR="0053355A">
        <w:rPr>
          <w:rFonts w:ascii="Times New Roman" w:hAnsi="Times New Roman" w:cs="Times New Roman"/>
          <w:sz w:val="20"/>
          <w:szCs w:val="20"/>
          <w:lang w:eastAsia="en-US"/>
        </w:rPr>
        <w:t xml:space="preserve"> However, it is still an open design whether to allow multiple PDSCH prepared for the same UE, each located in a different LBT sub-band. Further studies are needed. Even it is adopted eventually, restricting each PDSCH within one 20 MHz sub-band is not so efficient in terms of control signalling overhead. Therefore, it is very important to allow one PDSCH to span multiple 20 MHz sub-bands </w:t>
      </w:r>
      <w:r w:rsidR="00570F8E">
        <w:rPr>
          <w:rFonts w:ascii="Times New Roman" w:hAnsi="Times New Roman" w:cs="Times New Roman"/>
          <w:sz w:val="20"/>
          <w:szCs w:val="20"/>
          <w:lang w:eastAsia="en-US"/>
        </w:rPr>
        <w:t>in wideband operation if those 20 MHz sub-bands are clear from CCA. Option 1, if supported, should be limited to the initial (sub-)slot of the COT. Once the COT structure information including the available BW, as mentioned in Section 3, is indicated to the UE, PDSCH should be allowed to span multiple free LBT sub-bands.</w:t>
      </w:r>
    </w:p>
    <w:p w14:paraId="59EDDF34" w14:textId="7E02195E" w:rsidR="00BA5A3F" w:rsidRDefault="00570F8E" w:rsidP="006A2E86">
      <w:pPr>
        <w:spacing w:before="120" w:after="120" w:line="240" w:lineRule="auto"/>
        <w:jc w:val="both"/>
        <w:rPr>
          <w:rFonts w:ascii="Times New Roman" w:hAnsi="Times New Roman" w:cs="Times New Roman"/>
          <w:sz w:val="20"/>
          <w:szCs w:val="20"/>
          <w:lang w:eastAsia="en-US"/>
        </w:rPr>
      </w:pPr>
      <w:r>
        <w:rPr>
          <w:rFonts w:ascii="Times New Roman" w:hAnsi="Times New Roman" w:cs="Times New Roman"/>
          <w:sz w:val="20"/>
          <w:szCs w:val="20"/>
          <w:lang w:eastAsia="en-US"/>
        </w:rPr>
        <w:t xml:space="preserve">Option 3 is a kind of generalized version of Option 1, </w:t>
      </w:r>
      <w:r w:rsidR="00BA5A3F">
        <w:rPr>
          <w:rFonts w:ascii="Times New Roman" w:hAnsi="Times New Roman" w:cs="Times New Roman"/>
          <w:sz w:val="20"/>
          <w:szCs w:val="20"/>
          <w:lang w:eastAsia="en-US"/>
        </w:rPr>
        <w:t>in the sense that multiple versions of PDSCH are prepared with the hope that one of it could match the LBT outcome. However, since</w:t>
      </w:r>
      <w:r w:rsidR="002E53A4">
        <w:rPr>
          <w:rFonts w:ascii="Times New Roman" w:hAnsi="Times New Roman" w:cs="Times New Roman"/>
          <w:sz w:val="20"/>
          <w:szCs w:val="20"/>
          <w:lang w:eastAsia="en-US"/>
        </w:rPr>
        <w:t xml:space="preserve"> the number of combination of failed and success</w:t>
      </w:r>
      <w:r w:rsidR="00BA5A3F">
        <w:rPr>
          <w:rFonts w:ascii="Times New Roman" w:hAnsi="Times New Roman" w:cs="Times New Roman"/>
          <w:sz w:val="20"/>
          <w:szCs w:val="20"/>
          <w:lang w:eastAsia="en-US"/>
        </w:rPr>
        <w:t xml:space="preserve">ful </w:t>
      </w:r>
      <w:r w:rsidR="00BA5A3F">
        <w:rPr>
          <w:rFonts w:ascii="Times New Roman" w:hAnsi="Times New Roman" w:cs="Times New Roman"/>
          <w:sz w:val="20"/>
          <w:szCs w:val="20"/>
          <w:lang w:eastAsia="en-US"/>
        </w:rPr>
        <w:lastRenderedPageBreak/>
        <w:t xml:space="preserve">sub-bands could become high, it may be a burden for gNB to prepare PDSCH accounting for all possible outcomes of LBT. </w:t>
      </w:r>
      <w:r w:rsidR="00AD6DFA">
        <w:rPr>
          <w:rFonts w:ascii="Times New Roman" w:hAnsi="Times New Roman" w:cs="Times New Roman"/>
          <w:sz w:val="20"/>
          <w:szCs w:val="20"/>
          <w:lang w:eastAsia="en-US"/>
        </w:rPr>
        <w:t>Therefore, it could be left as an implementation choice of gNB</w:t>
      </w:r>
      <w:r w:rsidR="00BA5A3F">
        <w:rPr>
          <w:rFonts w:ascii="Times New Roman" w:hAnsi="Times New Roman" w:cs="Times New Roman"/>
          <w:sz w:val="20"/>
          <w:szCs w:val="20"/>
          <w:lang w:eastAsia="en-US"/>
        </w:rPr>
        <w:t>.</w:t>
      </w:r>
    </w:p>
    <w:p w14:paraId="2851425A" w14:textId="77777777" w:rsidR="00FB4589" w:rsidRDefault="00963C21" w:rsidP="006A2E86">
      <w:pPr>
        <w:spacing w:before="120" w:after="120" w:line="240" w:lineRule="auto"/>
        <w:jc w:val="both"/>
        <w:rPr>
          <w:rFonts w:ascii="Times New Roman" w:hAnsi="Times New Roman" w:cs="Times New Roman"/>
          <w:sz w:val="20"/>
          <w:szCs w:val="20"/>
          <w:lang w:eastAsia="en-US"/>
        </w:rPr>
      </w:pPr>
      <w:r>
        <w:rPr>
          <w:rFonts w:ascii="Times New Roman" w:hAnsi="Times New Roman" w:cs="Times New Roman"/>
          <w:sz w:val="20"/>
          <w:szCs w:val="20"/>
          <w:lang w:eastAsia="en-US"/>
        </w:rPr>
        <w:t>On the other hand, Option 2 does not require too much effort for the gNB, since one PDSCH (for one UE) is prepared without considering the LBT outcome. To reduce the negative impact of puncturing as much as possible, when preparing PDSCH, the frequency-first</w:t>
      </w:r>
      <w:r w:rsidR="00FB4589">
        <w:rPr>
          <w:rFonts w:ascii="Times New Roman" w:hAnsi="Times New Roman" w:cs="Times New Roman"/>
          <w:sz w:val="20"/>
          <w:szCs w:val="20"/>
          <w:lang w:eastAsia="en-US"/>
        </w:rPr>
        <w:t xml:space="preserve"> mapping</w:t>
      </w:r>
      <w:r>
        <w:rPr>
          <w:rFonts w:ascii="Times New Roman" w:hAnsi="Times New Roman" w:cs="Times New Roman"/>
          <w:sz w:val="20"/>
          <w:szCs w:val="20"/>
          <w:lang w:eastAsia="en-US"/>
        </w:rPr>
        <w:t xml:space="preserve"> is performed within one 20 MHz LBT sub-band, followed by time domain, then across different LBT sub-bands. </w:t>
      </w:r>
      <w:r w:rsidR="00FB4589">
        <w:rPr>
          <w:rFonts w:ascii="Times New Roman" w:hAnsi="Times New Roman" w:cs="Times New Roman"/>
          <w:sz w:val="20"/>
          <w:szCs w:val="20"/>
          <w:lang w:eastAsia="en-US"/>
        </w:rPr>
        <w:t xml:space="preserve">With such mapping, the damage due to the puncturing of PDSCH over a certain LBT sub-band could be limited to one CBG, which can be recovered by CBG retransmission. Furthermore, in order for the UE to be aware of the puncturing, which LBT sub-bands are clear or blocked out of CCA should be indicated to the UE, which can be done by COT structure indication, as mentioned in Section 3. </w:t>
      </w:r>
    </w:p>
    <w:p w14:paraId="6A78D254" w14:textId="33A55C7D" w:rsidR="00FB4589" w:rsidRDefault="00FB4589" w:rsidP="006A2E86">
      <w:pPr>
        <w:spacing w:before="120" w:after="120" w:line="240" w:lineRule="auto"/>
        <w:jc w:val="both"/>
        <w:rPr>
          <w:rFonts w:ascii="Times New Roman" w:hAnsi="Times New Roman" w:cs="Times New Roman"/>
          <w:sz w:val="20"/>
          <w:szCs w:val="20"/>
          <w:lang w:eastAsia="en-US"/>
        </w:rPr>
      </w:pPr>
      <w:r>
        <w:rPr>
          <w:rFonts w:ascii="Times New Roman" w:hAnsi="Times New Roman" w:cs="Times New Roman"/>
          <w:sz w:val="20"/>
          <w:szCs w:val="20"/>
          <w:lang w:eastAsia="en-US"/>
        </w:rPr>
        <w:t xml:space="preserve">Therefore, we propose to support both </w:t>
      </w:r>
      <w:r w:rsidR="00F92798">
        <w:rPr>
          <w:rFonts w:ascii="Times New Roman" w:hAnsi="Times New Roman" w:cs="Times New Roman"/>
          <w:sz w:val="20"/>
          <w:szCs w:val="20"/>
          <w:lang w:eastAsia="en-US"/>
        </w:rPr>
        <w:t>all options</w:t>
      </w:r>
      <w:r>
        <w:rPr>
          <w:rFonts w:ascii="Times New Roman" w:hAnsi="Times New Roman" w:cs="Times New Roman"/>
          <w:sz w:val="20"/>
          <w:szCs w:val="20"/>
          <w:lang w:eastAsia="en-US"/>
        </w:rPr>
        <w:t>.</w:t>
      </w:r>
    </w:p>
    <w:p w14:paraId="45EF9B1E" w14:textId="449C83A2" w:rsidR="00FB4589" w:rsidRDefault="00FB4589" w:rsidP="00FB4589">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Proposal 3: Support the following options for PDSCH transmission in wideband operation:</w:t>
      </w:r>
    </w:p>
    <w:p w14:paraId="4372B658" w14:textId="1FD5FE94" w:rsidR="00FB4589" w:rsidRDefault="00FB4589" w:rsidP="00880D3E">
      <w:pPr>
        <w:pStyle w:val="BodyText"/>
        <w:numPr>
          <w:ilvl w:val="0"/>
          <w:numId w:val="15"/>
        </w:numPr>
        <w:rPr>
          <w:rFonts w:ascii="Times New Roman" w:hAnsi="Times New Roman" w:cs="Times New Roman"/>
          <w:b/>
          <w:sz w:val="20"/>
          <w:szCs w:val="20"/>
          <w:lang w:eastAsia="en-US"/>
        </w:rPr>
      </w:pPr>
      <w:r>
        <w:rPr>
          <w:rFonts w:ascii="Times New Roman" w:hAnsi="Times New Roman" w:cs="Times New Roman"/>
          <w:b/>
          <w:sz w:val="20"/>
          <w:szCs w:val="20"/>
          <w:lang w:eastAsia="en-US"/>
        </w:rPr>
        <w:t>Each PDSCH is contained within a LBT sub-band</w:t>
      </w:r>
      <w:r w:rsidR="00B514E7">
        <w:rPr>
          <w:rFonts w:ascii="Times New Roman" w:hAnsi="Times New Roman" w:cs="Times New Roman"/>
          <w:b/>
          <w:sz w:val="20"/>
          <w:szCs w:val="20"/>
          <w:lang w:eastAsia="en-US"/>
        </w:rPr>
        <w:t xml:space="preserve"> (FFS for the same UE)</w:t>
      </w:r>
    </w:p>
    <w:p w14:paraId="48E802FF" w14:textId="4019E74A" w:rsidR="00FB4589" w:rsidRDefault="00FB4589" w:rsidP="00880D3E">
      <w:pPr>
        <w:pStyle w:val="BodyText"/>
        <w:numPr>
          <w:ilvl w:val="0"/>
          <w:numId w:val="15"/>
        </w:numPr>
        <w:rPr>
          <w:rFonts w:ascii="Times New Roman" w:hAnsi="Times New Roman" w:cs="Times New Roman"/>
          <w:b/>
          <w:sz w:val="20"/>
          <w:szCs w:val="20"/>
          <w:lang w:eastAsia="en-US"/>
        </w:rPr>
      </w:pPr>
      <w:r>
        <w:rPr>
          <w:rFonts w:ascii="Times New Roman" w:hAnsi="Times New Roman" w:cs="Times New Roman"/>
          <w:b/>
          <w:sz w:val="20"/>
          <w:szCs w:val="20"/>
          <w:lang w:eastAsia="en-US"/>
        </w:rPr>
        <w:t>PDSCH can be spanned over multiple LBT sub-bands and the part o</w:t>
      </w:r>
      <w:r w:rsidR="00341BF2">
        <w:rPr>
          <w:rFonts w:ascii="Times New Roman" w:hAnsi="Times New Roman" w:cs="Times New Roman"/>
          <w:b/>
          <w:sz w:val="20"/>
          <w:szCs w:val="20"/>
          <w:lang w:eastAsia="en-US"/>
        </w:rPr>
        <w:t>f PDSCH is punctured where CCA fails.</w:t>
      </w:r>
      <w:r>
        <w:rPr>
          <w:rFonts w:ascii="Times New Roman" w:hAnsi="Times New Roman" w:cs="Times New Roman"/>
          <w:b/>
          <w:sz w:val="20"/>
          <w:szCs w:val="20"/>
          <w:lang w:eastAsia="en-US"/>
        </w:rPr>
        <w:t xml:space="preserve"> </w:t>
      </w:r>
    </w:p>
    <w:p w14:paraId="3CCAD2BB" w14:textId="53108EC7" w:rsidR="00F92798" w:rsidRDefault="00F92798" w:rsidP="00880D3E">
      <w:pPr>
        <w:pStyle w:val="BodyText"/>
        <w:numPr>
          <w:ilvl w:val="0"/>
          <w:numId w:val="15"/>
        </w:numPr>
        <w:rPr>
          <w:rFonts w:ascii="Times New Roman" w:hAnsi="Times New Roman" w:cs="Times New Roman"/>
          <w:b/>
          <w:sz w:val="20"/>
          <w:szCs w:val="20"/>
          <w:lang w:eastAsia="en-US"/>
        </w:rPr>
      </w:pPr>
      <w:r w:rsidRPr="00880D3E">
        <w:rPr>
          <w:rFonts w:ascii="Times New Roman" w:hAnsi="Times New Roman" w:cs="Times New Roman"/>
          <w:b/>
          <w:sz w:val="20"/>
          <w:szCs w:val="20"/>
          <w:lang w:eastAsia="en-US"/>
        </w:rPr>
        <w:t>gNB prepares for multiple sets of PDSCH mappings and selects one of them depending on LBT outcome</w:t>
      </w:r>
    </w:p>
    <w:p w14:paraId="7C4F6E90" w14:textId="5DD5B475" w:rsidR="003D5C6F" w:rsidRPr="00880D3E" w:rsidRDefault="00FB4589" w:rsidP="00880D3E">
      <w:pPr>
        <w:spacing w:before="120" w:after="120" w:line="240" w:lineRule="auto"/>
        <w:jc w:val="both"/>
        <w:rPr>
          <w:rFonts w:ascii="Times New Roman" w:hAnsi="Times New Roman" w:cs="Times New Roman"/>
          <w:sz w:val="20"/>
          <w:szCs w:val="20"/>
          <w:lang w:eastAsia="en-US"/>
        </w:rPr>
      </w:pPr>
      <w:r>
        <w:rPr>
          <w:rFonts w:ascii="Times New Roman" w:hAnsi="Times New Roman" w:cs="Times New Roman"/>
          <w:sz w:val="20"/>
          <w:szCs w:val="20"/>
          <w:lang w:eastAsia="en-US"/>
        </w:rPr>
        <w:t xml:space="preserve">  </w:t>
      </w:r>
      <w:r w:rsidR="002E53A4">
        <w:rPr>
          <w:rFonts w:ascii="Times New Roman" w:hAnsi="Times New Roman" w:cs="Times New Roman"/>
          <w:sz w:val="20"/>
          <w:szCs w:val="20"/>
          <w:lang w:eastAsia="en-US"/>
        </w:rPr>
        <w:t xml:space="preserve"> </w:t>
      </w:r>
      <w:r w:rsidR="0053355A">
        <w:rPr>
          <w:rFonts w:ascii="Times New Roman" w:hAnsi="Times New Roman" w:cs="Times New Roman"/>
          <w:sz w:val="20"/>
          <w:szCs w:val="20"/>
          <w:lang w:eastAsia="en-US"/>
        </w:rPr>
        <w:t xml:space="preserve">   </w:t>
      </w:r>
      <w:r w:rsidR="003D5C6F">
        <w:rPr>
          <w:rFonts w:ascii="Times New Roman" w:hAnsi="Times New Roman" w:cs="Times New Roman"/>
          <w:sz w:val="20"/>
          <w:szCs w:val="20"/>
          <w:lang w:eastAsia="en-US"/>
        </w:rPr>
        <w:t xml:space="preserve"> </w:t>
      </w:r>
    </w:p>
    <w:p w14:paraId="715F2328" w14:textId="77777777" w:rsidR="000F3343" w:rsidRPr="00880D3E" w:rsidRDefault="000F3343" w:rsidP="001632FD">
      <w:pPr>
        <w:pStyle w:val="BodyText"/>
        <w:rPr>
          <w:rFonts w:ascii="Times New Roman" w:hAnsi="Times New Roman" w:cs="Times New Roman"/>
          <w:sz w:val="20"/>
          <w:szCs w:val="20"/>
          <w:lang w:val="en-US" w:eastAsia="en-US"/>
        </w:rPr>
      </w:pPr>
    </w:p>
    <w:p w14:paraId="357BA1E3" w14:textId="3E09A0E6" w:rsidR="004B155E" w:rsidRPr="00DC33E4" w:rsidRDefault="004B155E" w:rsidP="004B155E">
      <w:pPr>
        <w:pStyle w:val="Heading1"/>
        <w:rPr>
          <w:lang w:val="en-US"/>
        </w:rPr>
      </w:pPr>
      <w:r>
        <w:rPr>
          <w:lang w:val="en-US"/>
        </w:rPr>
        <w:t>Conclusion</w:t>
      </w:r>
    </w:p>
    <w:p w14:paraId="4B4C258C" w14:textId="6FCAC089" w:rsidR="004B155E" w:rsidRDefault="004B155E" w:rsidP="004B155E">
      <w:pPr>
        <w:pStyle w:val="Proposal"/>
        <w:numPr>
          <w:ilvl w:val="0"/>
          <w:numId w:val="0"/>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Based on the discussion, we </w:t>
      </w:r>
      <w:r w:rsidR="00A35130">
        <w:rPr>
          <w:rFonts w:ascii="Times New Roman" w:hAnsi="Times New Roman" w:cs="Times New Roman"/>
          <w:b w:val="0"/>
          <w:bCs w:val="0"/>
          <w:sz w:val="20"/>
          <w:szCs w:val="20"/>
          <w:lang w:eastAsia="en-US"/>
        </w:rPr>
        <w:t xml:space="preserve">have the following </w:t>
      </w:r>
      <w:r w:rsidR="00BB3E6E">
        <w:rPr>
          <w:rFonts w:ascii="Times New Roman" w:hAnsi="Times New Roman" w:cs="Times New Roman"/>
          <w:b w:val="0"/>
          <w:bCs w:val="0"/>
          <w:sz w:val="20"/>
          <w:szCs w:val="20"/>
          <w:lang w:eastAsia="en-US"/>
        </w:rPr>
        <w:t>proposal</w:t>
      </w:r>
      <w:r w:rsidR="00A35130">
        <w:rPr>
          <w:rFonts w:ascii="Times New Roman" w:hAnsi="Times New Roman" w:cs="Times New Roman"/>
          <w:b w:val="0"/>
          <w:bCs w:val="0"/>
          <w:sz w:val="20"/>
          <w:szCs w:val="20"/>
          <w:lang w:eastAsia="en-US"/>
        </w:rPr>
        <w:t>:</w:t>
      </w:r>
      <w:r>
        <w:rPr>
          <w:rFonts w:ascii="Times New Roman" w:hAnsi="Times New Roman" w:cs="Times New Roman"/>
          <w:b w:val="0"/>
          <w:bCs w:val="0"/>
          <w:sz w:val="20"/>
          <w:szCs w:val="20"/>
          <w:lang w:eastAsia="en-US"/>
        </w:rPr>
        <w:t xml:space="preserve"> </w:t>
      </w:r>
    </w:p>
    <w:p w14:paraId="305C9E7D" w14:textId="31C6E0CC" w:rsidR="00BB3E6E" w:rsidRDefault="00BB3E6E" w:rsidP="00BB3E6E">
      <w:pPr>
        <w:pStyle w:val="BodyText"/>
        <w:rPr>
          <w:rFonts w:ascii="Times New Roman" w:hAnsi="Times New Roman" w:cs="Times New Roman"/>
          <w:sz w:val="20"/>
          <w:szCs w:val="20"/>
          <w:lang w:eastAsia="en-US"/>
        </w:rPr>
      </w:pPr>
      <w:r>
        <w:rPr>
          <w:rFonts w:ascii="Times New Roman" w:hAnsi="Times New Roman" w:cs="Times New Roman"/>
          <w:b/>
          <w:sz w:val="20"/>
          <w:szCs w:val="20"/>
          <w:lang w:eastAsia="en-US"/>
        </w:rPr>
        <w:t xml:space="preserve">Proposal 1: RAN1 supports Option 3 for NR-U </w:t>
      </w:r>
      <w:r w:rsidR="00654C29">
        <w:rPr>
          <w:rFonts w:ascii="Times New Roman" w:hAnsi="Times New Roman" w:cs="Times New Roman"/>
          <w:b/>
          <w:sz w:val="20"/>
          <w:szCs w:val="20"/>
          <w:lang w:eastAsia="en-US"/>
        </w:rPr>
        <w:t xml:space="preserve">UL </w:t>
      </w:r>
      <w:r>
        <w:rPr>
          <w:rFonts w:ascii="Times New Roman" w:hAnsi="Times New Roman" w:cs="Times New Roman"/>
          <w:b/>
          <w:sz w:val="20"/>
          <w:szCs w:val="20"/>
          <w:lang w:eastAsia="en-US"/>
        </w:rPr>
        <w:t xml:space="preserve">wideband operation where a carrier has bandwidth larger than 20 MHz.  </w:t>
      </w:r>
      <w:r>
        <w:rPr>
          <w:rFonts w:ascii="Times New Roman" w:hAnsi="Times New Roman" w:cs="Times New Roman"/>
          <w:sz w:val="20"/>
          <w:szCs w:val="20"/>
          <w:lang w:eastAsia="en-US"/>
        </w:rPr>
        <w:t xml:space="preserve"> </w:t>
      </w:r>
    </w:p>
    <w:p w14:paraId="20558155" w14:textId="77777777" w:rsidR="00AC47B3" w:rsidRDefault="00AC47B3" w:rsidP="00AC47B3">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Proposal 2: For wideband operation, in addition to time domain structure defining DL, UL and Flexible symbols, COT structure defines in frequency domain which LBT sub-band(s) are accessible to the UE.</w:t>
      </w:r>
    </w:p>
    <w:p w14:paraId="0071BD52" w14:textId="77777777" w:rsidR="00AC47B3" w:rsidRDefault="00AC47B3" w:rsidP="00AC47B3">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Proposal 3: Support the following options for PDSCH transmission in wideband operation:</w:t>
      </w:r>
    </w:p>
    <w:p w14:paraId="2678A3DE" w14:textId="6DBB7E78" w:rsidR="00AC47B3" w:rsidRDefault="00AC47B3" w:rsidP="00AC47B3">
      <w:pPr>
        <w:pStyle w:val="BodyText"/>
        <w:numPr>
          <w:ilvl w:val="0"/>
          <w:numId w:val="15"/>
        </w:numPr>
        <w:rPr>
          <w:rFonts w:ascii="Times New Roman" w:hAnsi="Times New Roman" w:cs="Times New Roman"/>
          <w:b/>
          <w:sz w:val="20"/>
          <w:szCs w:val="20"/>
          <w:lang w:eastAsia="en-US"/>
        </w:rPr>
      </w:pPr>
      <w:r>
        <w:rPr>
          <w:rFonts w:ascii="Times New Roman" w:hAnsi="Times New Roman" w:cs="Times New Roman"/>
          <w:b/>
          <w:sz w:val="20"/>
          <w:szCs w:val="20"/>
          <w:lang w:eastAsia="en-US"/>
        </w:rPr>
        <w:t>Each PDSCH is contained within a LBT sub-band</w:t>
      </w:r>
      <w:r w:rsidR="00B514E7">
        <w:rPr>
          <w:rFonts w:ascii="Times New Roman" w:hAnsi="Times New Roman" w:cs="Times New Roman"/>
          <w:b/>
          <w:sz w:val="20"/>
          <w:szCs w:val="20"/>
          <w:lang w:eastAsia="en-US"/>
        </w:rPr>
        <w:t xml:space="preserve"> (FFS for the same UE)</w:t>
      </w:r>
    </w:p>
    <w:p w14:paraId="7D335483" w14:textId="288D8EC5" w:rsidR="00AC47B3" w:rsidRDefault="00AC47B3" w:rsidP="00AC47B3">
      <w:pPr>
        <w:pStyle w:val="BodyText"/>
        <w:numPr>
          <w:ilvl w:val="0"/>
          <w:numId w:val="15"/>
        </w:numPr>
        <w:rPr>
          <w:rFonts w:ascii="Times New Roman" w:hAnsi="Times New Roman" w:cs="Times New Roman"/>
          <w:b/>
          <w:sz w:val="20"/>
          <w:szCs w:val="20"/>
          <w:lang w:eastAsia="en-US"/>
        </w:rPr>
      </w:pPr>
      <w:r>
        <w:rPr>
          <w:rFonts w:ascii="Times New Roman" w:hAnsi="Times New Roman" w:cs="Times New Roman"/>
          <w:b/>
          <w:sz w:val="20"/>
          <w:szCs w:val="20"/>
          <w:lang w:eastAsia="en-US"/>
        </w:rPr>
        <w:t xml:space="preserve">PDSCH can be spanned over multiple LBT sub-bands and the part of PDSCH is punctured where CCA fails. </w:t>
      </w:r>
    </w:p>
    <w:p w14:paraId="59AAEB37" w14:textId="576B218C" w:rsidR="000B751E" w:rsidRDefault="000B751E" w:rsidP="00AC47B3">
      <w:pPr>
        <w:pStyle w:val="BodyText"/>
        <w:numPr>
          <w:ilvl w:val="0"/>
          <w:numId w:val="15"/>
        </w:numPr>
        <w:rPr>
          <w:rFonts w:ascii="Times New Roman" w:hAnsi="Times New Roman" w:cs="Times New Roman"/>
          <w:b/>
          <w:sz w:val="20"/>
          <w:szCs w:val="20"/>
          <w:lang w:eastAsia="en-US"/>
        </w:rPr>
      </w:pPr>
      <w:r w:rsidRPr="00003175">
        <w:rPr>
          <w:rFonts w:ascii="Times New Roman" w:hAnsi="Times New Roman" w:cs="Times New Roman"/>
          <w:b/>
          <w:sz w:val="20"/>
          <w:szCs w:val="20"/>
          <w:lang w:eastAsia="en-US"/>
        </w:rPr>
        <w:t>gNB prepares for multiple sets of PDSCH mappings and selects one of them depending on LBT outcome</w:t>
      </w:r>
    </w:p>
    <w:p w14:paraId="504930E5" w14:textId="77777777" w:rsidR="00BB3E6E" w:rsidRDefault="00BB3E6E" w:rsidP="004B155E">
      <w:pPr>
        <w:pStyle w:val="Proposal"/>
        <w:numPr>
          <w:ilvl w:val="0"/>
          <w:numId w:val="0"/>
        </w:numPr>
        <w:rPr>
          <w:rFonts w:ascii="Times New Roman" w:hAnsi="Times New Roman" w:cs="Times New Roman"/>
          <w:b w:val="0"/>
          <w:bCs w:val="0"/>
          <w:sz w:val="20"/>
          <w:szCs w:val="20"/>
          <w:lang w:eastAsia="en-US"/>
        </w:rPr>
      </w:pPr>
    </w:p>
    <w:p w14:paraId="7C211DE8" w14:textId="77777777" w:rsidR="00587BD2" w:rsidRPr="00DC33E4" w:rsidRDefault="00587BD2" w:rsidP="00587BD2">
      <w:pPr>
        <w:pStyle w:val="Heading1"/>
        <w:rPr>
          <w:lang w:val="en-US"/>
        </w:rPr>
      </w:pPr>
      <w:r>
        <w:rPr>
          <w:lang w:val="en-US"/>
        </w:rPr>
        <w:t>Reference</w:t>
      </w:r>
    </w:p>
    <w:p w14:paraId="316AFA0A" w14:textId="305D1C3A" w:rsidR="00CE3F6C" w:rsidRDefault="00587BD2" w:rsidP="005E5C6F">
      <w:pPr>
        <w:pStyle w:val="Reference"/>
        <w:numPr>
          <w:ilvl w:val="0"/>
          <w:numId w:val="0"/>
        </w:numPr>
        <w:ind w:left="567" w:hanging="567"/>
        <w:rPr>
          <w:rFonts w:ascii="Times New Roman" w:hAnsi="Times New Roman" w:cs="Times New Roman"/>
          <w:sz w:val="20"/>
          <w:szCs w:val="20"/>
          <w:lang w:eastAsia="en-US"/>
        </w:rPr>
      </w:pPr>
      <w:r>
        <w:rPr>
          <w:rFonts w:ascii="Times New Roman" w:hAnsi="Times New Roman" w:cs="Times New Roman"/>
          <w:sz w:val="20"/>
          <w:szCs w:val="20"/>
          <w:lang w:eastAsia="en-US"/>
        </w:rPr>
        <w:t xml:space="preserve">[1] TR38.889, </w:t>
      </w:r>
      <w:r w:rsidRPr="00D7556C">
        <w:rPr>
          <w:rFonts w:ascii="Times New Roman" w:hAnsi="Times New Roman" w:cs="Times New Roman"/>
          <w:sz w:val="20"/>
          <w:szCs w:val="20"/>
          <w:lang w:eastAsia="en-US"/>
        </w:rPr>
        <w:t>Study on NR-based access to unlicensed spectrum</w:t>
      </w:r>
      <w:r>
        <w:rPr>
          <w:rFonts w:ascii="Times New Roman" w:hAnsi="Times New Roman" w:cs="Times New Roman"/>
          <w:sz w:val="20"/>
          <w:szCs w:val="20"/>
          <w:lang w:eastAsia="en-US"/>
        </w:rPr>
        <w:t>, v16.0.0, 2018-12</w:t>
      </w:r>
      <w:r w:rsidR="00D46DC9">
        <w:rPr>
          <w:rFonts w:ascii="Times New Roman" w:hAnsi="Times New Roman" w:cs="Times New Roman"/>
          <w:sz w:val="20"/>
          <w:szCs w:val="20"/>
          <w:lang w:eastAsia="en-US"/>
        </w:rPr>
        <w:t>, RAN</w:t>
      </w:r>
    </w:p>
    <w:p w14:paraId="7F10B28F" w14:textId="762EAA95" w:rsidR="00C06AF4" w:rsidRDefault="00C06AF4" w:rsidP="005E5C6F">
      <w:pPr>
        <w:pStyle w:val="Reference"/>
        <w:numPr>
          <w:ilvl w:val="0"/>
          <w:numId w:val="0"/>
        </w:numPr>
        <w:ind w:left="567" w:hanging="567"/>
        <w:rPr>
          <w:rFonts w:ascii="Times New Roman" w:hAnsi="Times New Roman" w:cs="Times New Roman"/>
          <w:sz w:val="20"/>
          <w:szCs w:val="20"/>
          <w:lang w:eastAsia="en-US"/>
        </w:rPr>
      </w:pPr>
      <w:r>
        <w:rPr>
          <w:rFonts w:ascii="Times New Roman" w:hAnsi="Times New Roman" w:cs="Times New Roman"/>
          <w:sz w:val="20"/>
          <w:szCs w:val="20"/>
          <w:lang w:eastAsia="en-US"/>
        </w:rPr>
        <w:t>[2] R1-</w:t>
      </w:r>
      <w:r w:rsidR="00880D3E">
        <w:rPr>
          <w:rFonts w:ascii="Times New Roman" w:hAnsi="Times New Roman" w:cs="Times New Roman"/>
          <w:sz w:val="20"/>
          <w:szCs w:val="20"/>
          <w:lang w:eastAsia="en-US"/>
        </w:rPr>
        <w:t>1904166</w:t>
      </w:r>
      <w:r>
        <w:rPr>
          <w:rFonts w:ascii="Times New Roman" w:hAnsi="Times New Roman" w:cs="Times New Roman"/>
          <w:sz w:val="20"/>
          <w:szCs w:val="20"/>
          <w:lang w:eastAsia="en-US"/>
        </w:rPr>
        <w:t xml:space="preserve">, DL signals and channels for NR-U, Panasonic, </w:t>
      </w:r>
      <w:r w:rsidR="000F3343">
        <w:rPr>
          <w:rFonts w:ascii="Times New Roman" w:hAnsi="Times New Roman" w:cs="Times New Roman"/>
          <w:sz w:val="20"/>
          <w:szCs w:val="20"/>
          <w:lang w:eastAsia="en-US"/>
        </w:rPr>
        <w:t>RAN1#96bis.</w:t>
      </w:r>
    </w:p>
    <w:p w14:paraId="23DA23BC" w14:textId="459F5E18" w:rsidR="000F3343" w:rsidRPr="00880D3E" w:rsidRDefault="00880D3E" w:rsidP="000F3343">
      <w:pPr>
        <w:rPr>
          <w:rFonts w:ascii="Times New Roman" w:hAnsi="Times New Roman" w:cs="Times New Roman"/>
          <w:sz w:val="20"/>
          <w:szCs w:val="20"/>
          <w:lang w:eastAsia="en-US"/>
        </w:rPr>
      </w:pPr>
      <w:r>
        <w:rPr>
          <w:rFonts w:ascii="Times New Roman" w:hAnsi="Times New Roman" w:cs="Times New Roman"/>
          <w:sz w:val="20"/>
          <w:szCs w:val="20"/>
          <w:lang w:eastAsia="en-US"/>
        </w:rPr>
        <w:t xml:space="preserve">[3] R1-1903595, </w:t>
      </w:r>
      <w:r w:rsidR="000F3343" w:rsidRPr="00880D3E">
        <w:rPr>
          <w:rFonts w:ascii="Times New Roman" w:hAnsi="Times New Roman" w:cs="Times New Roman"/>
          <w:sz w:val="20"/>
          <w:szCs w:val="20"/>
          <w:lang w:eastAsia="en-US"/>
        </w:rPr>
        <w:t>Summary #2 on wide-band operation for NR-U</w:t>
      </w:r>
      <w:r w:rsidR="000F3343">
        <w:rPr>
          <w:rFonts w:ascii="Times New Roman" w:hAnsi="Times New Roman" w:cs="Times New Roman"/>
          <w:sz w:val="20"/>
          <w:szCs w:val="20"/>
          <w:lang w:eastAsia="en-US"/>
        </w:rPr>
        <w:t xml:space="preserve">, </w:t>
      </w:r>
      <w:r w:rsidR="000F3343" w:rsidRPr="00880D3E">
        <w:rPr>
          <w:rFonts w:ascii="Times New Roman" w:hAnsi="Times New Roman" w:cs="Times New Roman"/>
          <w:sz w:val="20"/>
          <w:szCs w:val="20"/>
          <w:lang w:eastAsia="en-US"/>
        </w:rPr>
        <w:t>LG Electronics</w:t>
      </w:r>
      <w:r w:rsidR="000F3343">
        <w:rPr>
          <w:rFonts w:ascii="Times New Roman" w:hAnsi="Times New Roman" w:cs="Times New Roman"/>
          <w:sz w:val="20"/>
          <w:szCs w:val="20"/>
          <w:lang w:eastAsia="en-US"/>
        </w:rPr>
        <w:t>, RAN1#96</w:t>
      </w:r>
    </w:p>
    <w:p w14:paraId="22E87F1B" w14:textId="77777777" w:rsidR="000F3343" w:rsidRDefault="000F3343" w:rsidP="005E5C6F">
      <w:pPr>
        <w:pStyle w:val="Reference"/>
        <w:numPr>
          <w:ilvl w:val="0"/>
          <w:numId w:val="0"/>
        </w:numPr>
        <w:ind w:left="567" w:hanging="567"/>
        <w:rPr>
          <w:rFonts w:ascii="Times New Roman" w:hAnsi="Times New Roman" w:cs="Times New Roman"/>
          <w:b/>
          <w:sz w:val="20"/>
          <w:szCs w:val="20"/>
          <w:lang w:eastAsia="en-US"/>
        </w:rPr>
      </w:pPr>
    </w:p>
    <w:p w14:paraId="31B16C63" w14:textId="64D2A06F" w:rsidR="001F718F" w:rsidRDefault="001F718F" w:rsidP="001F718F">
      <w:pPr>
        <w:pStyle w:val="Reference"/>
        <w:numPr>
          <w:ilvl w:val="0"/>
          <w:numId w:val="0"/>
        </w:numPr>
        <w:ind w:left="567" w:hanging="567"/>
        <w:rPr>
          <w:rFonts w:ascii="Times New Roman" w:hAnsi="Times New Roman" w:cs="Times New Roman"/>
          <w:sz w:val="20"/>
          <w:szCs w:val="20"/>
          <w:lang w:eastAsia="en-US"/>
        </w:rPr>
      </w:pPr>
    </w:p>
    <w:p w14:paraId="42DC7235" w14:textId="77777777" w:rsidR="001F718F" w:rsidRPr="00CE032F" w:rsidRDefault="001F718F" w:rsidP="001F718F">
      <w:pPr>
        <w:pStyle w:val="Reference"/>
        <w:numPr>
          <w:ilvl w:val="0"/>
          <w:numId w:val="0"/>
        </w:numPr>
        <w:ind w:left="567" w:hanging="567"/>
        <w:rPr>
          <w:rFonts w:ascii="Times New Roman" w:hAnsi="Times New Roman" w:cs="Times New Roman"/>
          <w:sz w:val="20"/>
          <w:szCs w:val="20"/>
          <w:lang w:eastAsia="en-US"/>
        </w:rPr>
      </w:pPr>
    </w:p>
    <w:sectPr w:rsidR="001F718F" w:rsidRPr="00CE032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FE22F7" w16cid:durableId="200E87B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2DB6D0" w14:textId="77777777" w:rsidR="00040D7D" w:rsidRDefault="00040D7D">
      <w:r>
        <w:separator/>
      </w:r>
    </w:p>
  </w:endnote>
  <w:endnote w:type="continuationSeparator" w:id="0">
    <w:p w14:paraId="25638429" w14:textId="77777777" w:rsidR="00040D7D" w:rsidRDefault="00040D7D">
      <w:r>
        <w:continuationSeparator/>
      </w:r>
    </w:p>
  </w:endnote>
  <w:endnote w:type="continuationNotice" w:id="1">
    <w:p w14:paraId="0E29B836" w14:textId="77777777" w:rsidR="00040D7D" w:rsidRDefault="00040D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150EA64C"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17DB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17DB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C6A653" w14:textId="77777777" w:rsidR="00040D7D" w:rsidRDefault="00040D7D">
      <w:r>
        <w:separator/>
      </w:r>
    </w:p>
  </w:footnote>
  <w:footnote w:type="continuationSeparator" w:id="0">
    <w:p w14:paraId="108B81CE" w14:textId="77777777" w:rsidR="00040D7D" w:rsidRDefault="00040D7D">
      <w:r>
        <w:continuationSeparator/>
      </w:r>
    </w:p>
  </w:footnote>
  <w:footnote w:type="continuationNotice" w:id="1">
    <w:p w14:paraId="2FD659C6" w14:textId="77777777" w:rsidR="00040D7D" w:rsidRDefault="00040D7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427C68" w:rsidRDefault="00427C6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47562DD"/>
    <w:multiLevelType w:val="hybridMultilevel"/>
    <w:tmpl w:val="2C7AC694"/>
    <w:lvl w:ilvl="0" w:tplc="FD8EC69C">
      <w:start w:val="8"/>
      <w:numFmt w:val="bullet"/>
      <w:lvlText w:val="-"/>
      <w:lvlJc w:val="left"/>
      <w:pPr>
        <w:ind w:left="747" w:hanging="360"/>
      </w:pPr>
      <w:rPr>
        <w:rFonts w:ascii="Times New Roman" w:eastAsia="SimSun" w:hAnsi="Times New Roman" w:cs="Times New Roman" w:hint="default"/>
      </w:rPr>
    </w:lvl>
    <w:lvl w:ilvl="1" w:tplc="08090003" w:tentative="1">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92C69"/>
    <w:multiLevelType w:val="hybridMultilevel"/>
    <w:tmpl w:val="C4A8E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num w:numId="1">
    <w:abstractNumId w:val="0"/>
  </w:num>
  <w:num w:numId="2">
    <w:abstractNumId w:val="9"/>
  </w:num>
  <w:num w:numId="3">
    <w:abstractNumId w:val="4"/>
  </w:num>
  <w:num w:numId="4">
    <w:abstractNumId w:val="5"/>
  </w:num>
  <w:num w:numId="5">
    <w:abstractNumId w:val="2"/>
  </w:num>
  <w:num w:numId="6">
    <w:abstractNumId w:val="7"/>
  </w:num>
  <w:num w:numId="7">
    <w:abstractNumId w:val="12"/>
  </w:num>
  <w:num w:numId="8">
    <w:abstractNumId w:val="3"/>
  </w:num>
  <w:num w:numId="9">
    <w:abstractNumId w:val="10"/>
  </w:num>
  <w:num w:numId="10">
    <w:abstractNumId w:val="13"/>
  </w:num>
  <w:num w:numId="11">
    <w:abstractNumId w:val="8"/>
  </w:num>
  <w:num w:numId="12">
    <w:abstractNumId w:val="6"/>
  </w:num>
  <w:num w:numId="13">
    <w:abstractNumId w:val="14"/>
  </w:num>
  <w:num w:numId="14">
    <w:abstractNumId w:val="1"/>
  </w:num>
  <w:num w:numId="1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C5B"/>
    <w:rsid w:val="00002A37"/>
    <w:rsid w:val="00006446"/>
    <w:rsid w:val="00006896"/>
    <w:rsid w:val="00006B58"/>
    <w:rsid w:val="00007CDC"/>
    <w:rsid w:val="00011153"/>
    <w:rsid w:val="00011B28"/>
    <w:rsid w:val="0001207F"/>
    <w:rsid w:val="00012D65"/>
    <w:rsid w:val="00014E6A"/>
    <w:rsid w:val="00015D15"/>
    <w:rsid w:val="00016E88"/>
    <w:rsid w:val="000176B2"/>
    <w:rsid w:val="00020538"/>
    <w:rsid w:val="0002564D"/>
    <w:rsid w:val="00025ECA"/>
    <w:rsid w:val="00026008"/>
    <w:rsid w:val="0002609C"/>
    <w:rsid w:val="00027939"/>
    <w:rsid w:val="000302D0"/>
    <w:rsid w:val="00030DCD"/>
    <w:rsid w:val="000325B8"/>
    <w:rsid w:val="00033F83"/>
    <w:rsid w:val="000344F1"/>
    <w:rsid w:val="00034AE9"/>
    <w:rsid w:val="00034C15"/>
    <w:rsid w:val="000364F5"/>
    <w:rsid w:val="00036BA1"/>
    <w:rsid w:val="00040D7D"/>
    <w:rsid w:val="00042049"/>
    <w:rsid w:val="000422E2"/>
    <w:rsid w:val="00042F22"/>
    <w:rsid w:val="000444EF"/>
    <w:rsid w:val="000455B9"/>
    <w:rsid w:val="00050B9F"/>
    <w:rsid w:val="00051FE1"/>
    <w:rsid w:val="00052A07"/>
    <w:rsid w:val="000534E3"/>
    <w:rsid w:val="0005606A"/>
    <w:rsid w:val="00057117"/>
    <w:rsid w:val="00057276"/>
    <w:rsid w:val="00057E2C"/>
    <w:rsid w:val="00060FD1"/>
    <w:rsid w:val="000616E7"/>
    <w:rsid w:val="00063C67"/>
    <w:rsid w:val="0006487E"/>
    <w:rsid w:val="00065E1A"/>
    <w:rsid w:val="00067548"/>
    <w:rsid w:val="00072D36"/>
    <w:rsid w:val="00075168"/>
    <w:rsid w:val="00077E5F"/>
    <w:rsid w:val="0008036A"/>
    <w:rsid w:val="00081AE6"/>
    <w:rsid w:val="00082017"/>
    <w:rsid w:val="000821B8"/>
    <w:rsid w:val="000841B9"/>
    <w:rsid w:val="000841EB"/>
    <w:rsid w:val="0008434E"/>
    <w:rsid w:val="000855EB"/>
    <w:rsid w:val="00085B52"/>
    <w:rsid w:val="000866F2"/>
    <w:rsid w:val="00086FD0"/>
    <w:rsid w:val="0009009F"/>
    <w:rsid w:val="00090B21"/>
    <w:rsid w:val="00091557"/>
    <w:rsid w:val="000924C1"/>
    <w:rsid w:val="000924F0"/>
    <w:rsid w:val="00093474"/>
    <w:rsid w:val="0009510F"/>
    <w:rsid w:val="00096079"/>
    <w:rsid w:val="000A01BF"/>
    <w:rsid w:val="000A0795"/>
    <w:rsid w:val="000A19D5"/>
    <w:rsid w:val="000A1B7B"/>
    <w:rsid w:val="000A2E8D"/>
    <w:rsid w:val="000A56F2"/>
    <w:rsid w:val="000A7958"/>
    <w:rsid w:val="000B2719"/>
    <w:rsid w:val="000B2793"/>
    <w:rsid w:val="000B2AD4"/>
    <w:rsid w:val="000B3A8F"/>
    <w:rsid w:val="000B3BB4"/>
    <w:rsid w:val="000B4AB9"/>
    <w:rsid w:val="000B4CF7"/>
    <w:rsid w:val="000B58C3"/>
    <w:rsid w:val="000B61E9"/>
    <w:rsid w:val="000B7068"/>
    <w:rsid w:val="000B751E"/>
    <w:rsid w:val="000B7CF7"/>
    <w:rsid w:val="000C0B03"/>
    <w:rsid w:val="000C0F46"/>
    <w:rsid w:val="000C165A"/>
    <w:rsid w:val="000C1A51"/>
    <w:rsid w:val="000C2E19"/>
    <w:rsid w:val="000C302A"/>
    <w:rsid w:val="000C3084"/>
    <w:rsid w:val="000C3BB5"/>
    <w:rsid w:val="000C65B7"/>
    <w:rsid w:val="000D0D07"/>
    <w:rsid w:val="000D1C00"/>
    <w:rsid w:val="000D2ACE"/>
    <w:rsid w:val="000D4797"/>
    <w:rsid w:val="000D4C5E"/>
    <w:rsid w:val="000E0527"/>
    <w:rsid w:val="000E1E92"/>
    <w:rsid w:val="000E58DF"/>
    <w:rsid w:val="000E5D8D"/>
    <w:rsid w:val="000E7C6F"/>
    <w:rsid w:val="000F06D6"/>
    <w:rsid w:val="000F0EB1"/>
    <w:rsid w:val="000F1106"/>
    <w:rsid w:val="000F153F"/>
    <w:rsid w:val="000F2040"/>
    <w:rsid w:val="000F3343"/>
    <w:rsid w:val="000F3AF3"/>
    <w:rsid w:val="000F3BE9"/>
    <w:rsid w:val="000F3F6C"/>
    <w:rsid w:val="000F5C00"/>
    <w:rsid w:val="000F6DF3"/>
    <w:rsid w:val="001005FF"/>
    <w:rsid w:val="001062FB"/>
    <w:rsid w:val="001063E6"/>
    <w:rsid w:val="00107197"/>
    <w:rsid w:val="00112BC6"/>
    <w:rsid w:val="00113CF4"/>
    <w:rsid w:val="001153EA"/>
    <w:rsid w:val="00115643"/>
    <w:rsid w:val="00116765"/>
    <w:rsid w:val="00117B7E"/>
    <w:rsid w:val="0012078D"/>
    <w:rsid w:val="0012080F"/>
    <w:rsid w:val="001219F5"/>
    <w:rsid w:val="00121A20"/>
    <w:rsid w:val="00122F2E"/>
    <w:rsid w:val="00123610"/>
    <w:rsid w:val="0012377F"/>
    <w:rsid w:val="00124314"/>
    <w:rsid w:val="001254E8"/>
    <w:rsid w:val="00126B4A"/>
    <w:rsid w:val="001272AC"/>
    <w:rsid w:val="00127B88"/>
    <w:rsid w:val="00127E49"/>
    <w:rsid w:val="00131DAF"/>
    <w:rsid w:val="00131EC3"/>
    <w:rsid w:val="00132FD0"/>
    <w:rsid w:val="00133CEB"/>
    <w:rsid w:val="001344C0"/>
    <w:rsid w:val="001346FA"/>
    <w:rsid w:val="00135252"/>
    <w:rsid w:val="00135588"/>
    <w:rsid w:val="00137194"/>
    <w:rsid w:val="00137AB5"/>
    <w:rsid w:val="00137ED0"/>
    <w:rsid w:val="00137F0B"/>
    <w:rsid w:val="001406B8"/>
    <w:rsid w:val="001416F8"/>
    <w:rsid w:val="00141A7D"/>
    <w:rsid w:val="00145D40"/>
    <w:rsid w:val="00146270"/>
    <w:rsid w:val="00146AD8"/>
    <w:rsid w:val="00151723"/>
    <w:rsid w:val="00151E23"/>
    <w:rsid w:val="001526E0"/>
    <w:rsid w:val="00152DF6"/>
    <w:rsid w:val="001550E1"/>
    <w:rsid w:val="001551B5"/>
    <w:rsid w:val="0015525E"/>
    <w:rsid w:val="0015531C"/>
    <w:rsid w:val="00155652"/>
    <w:rsid w:val="00155888"/>
    <w:rsid w:val="001608F0"/>
    <w:rsid w:val="00160DD8"/>
    <w:rsid w:val="001632FD"/>
    <w:rsid w:val="001643A8"/>
    <w:rsid w:val="0016465B"/>
    <w:rsid w:val="0016522A"/>
    <w:rsid w:val="001659C1"/>
    <w:rsid w:val="00165A59"/>
    <w:rsid w:val="0016607D"/>
    <w:rsid w:val="00171A1F"/>
    <w:rsid w:val="00171D4D"/>
    <w:rsid w:val="00171D60"/>
    <w:rsid w:val="00173A8E"/>
    <w:rsid w:val="0017489D"/>
    <w:rsid w:val="00177795"/>
    <w:rsid w:val="00180D4C"/>
    <w:rsid w:val="0018143F"/>
    <w:rsid w:val="00181887"/>
    <w:rsid w:val="00184585"/>
    <w:rsid w:val="00190AC1"/>
    <w:rsid w:val="001928DE"/>
    <w:rsid w:val="00192C10"/>
    <w:rsid w:val="0019341A"/>
    <w:rsid w:val="00195520"/>
    <w:rsid w:val="001963B6"/>
    <w:rsid w:val="00197BC4"/>
    <w:rsid w:val="00197DF9"/>
    <w:rsid w:val="001A1987"/>
    <w:rsid w:val="001A2564"/>
    <w:rsid w:val="001A2C49"/>
    <w:rsid w:val="001A45EE"/>
    <w:rsid w:val="001A4EC0"/>
    <w:rsid w:val="001A5E6F"/>
    <w:rsid w:val="001A6173"/>
    <w:rsid w:val="001A6CBA"/>
    <w:rsid w:val="001B0D97"/>
    <w:rsid w:val="001B1B9B"/>
    <w:rsid w:val="001B2E53"/>
    <w:rsid w:val="001B3012"/>
    <w:rsid w:val="001B5A5D"/>
    <w:rsid w:val="001B6053"/>
    <w:rsid w:val="001B6CE0"/>
    <w:rsid w:val="001B7DF3"/>
    <w:rsid w:val="001C1CE5"/>
    <w:rsid w:val="001C3D2A"/>
    <w:rsid w:val="001C3D73"/>
    <w:rsid w:val="001C4A35"/>
    <w:rsid w:val="001C5950"/>
    <w:rsid w:val="001C6495"/>
    <w:rsid w:val="001C67E3"/>
    <w:rsid w:val="001C7060"/>
    <w:rsid w:val="001D02D8"/>
    <w:rsid w:val="001D05CD"/>
    <w:rsid w:val="001D280D"/>
    <w:rsid w:val="001D2FFD"/>
    <w:rsid w:val="001D3AD3"/>
    <w:rsid w:val="001D4132"/>
    <w:rsid w:val="001D4ABC"/>
    <w:rsid w:val="001D51BA"/>
    <w:rsid w:val="001D6342"/>
    <w:rsid w:val="001D6D53"/>
    <w:rsid w:val="001E1D1D"/>
    <w:rsid w:val="001E344E"/>
    <w:rsid w:val="001E58E2"/>
    <w:rsid w:val="001E7AED"/>
    <w:rsid w:val="001F15FB"/>
    <w:rsid w:val="001F3916"/>
    <w:rsid w:val="001F4AB0"/>
    <w:rsid w:val="001F54C5"/>
    <w:rsid w:val="001F662C"/>
    <w:rsid w:val="001F7074"/>
    <w:rsid w:val="001F718F"/>
    <w:rsid w:val="00200490"/>
    <w:rsid w:val="00200F45"/>
    <w:rsid w:val="00201F3A"/>
    <w:rsid w:val="00203F96"/>
    <w:rsid w:val="0020419A"/>
    <w:rsid w:val="00204846"/>
    <w:rsid w:val="0020528E"/>
    <w:rsid w:val="0020661F"/>
    <w:rsid w:val="002069B2"/>
    <w:rsid w:val="00206C08"/>
    <w:rsid w:val="00207F96"/>
    <w:rsid w:val="00207FA3"/>
    <w:rsid w:val="00214DA8"/>
    <w:rsid w:val="0021518A"/>
    <w:rsid w:val="00215423"/>
    <w:rsid w:val="002158FA"/>
    <w:rsid w:val="00216564"/>
    <w:rsid w:val="00216EB1"/>
    <w:rsid w:val="002202E1"/>
    <w:rsid w:val="00220600"/>
    <w:rsid w:val="00221997"/>
    <w:rsid w:val="002224DB"/>
    <w:rsid w:val="00222DEF"/>
    <w:rsid w:val="00223FCB"/>
    <w:rsid w:val="002252C3"/>
    <w:rsid w:val="00225C54"/>
    <w:rsid w:val="00225E7C"/>
    <w:rsid w:val="002261EF"/>
    <w:rsid w:val="0023019F"/>
    <w:rsid w:val="00230568"/>
    <w:rsid w:val="00230765"/>
    <w:rsid w:val="002319E4"/>
    <w:rsid w:val="00233AFC"/>
    <w:rsid w:val="00235562"/>
    <w:rsid w:val="00235632"/>
    <w:rsid w:val="00235872"/>
    <w:rsid w:val="00241559"/>
    <w:rsid w:val="00241B98"/>
    <w:rsid w:val="00242973"/>
    <w:rsid w:val="00242A0A"/>
    <w:rsid w:val="002435B3"/>
    <w:rsid w:val="00244DBD"/>
    <w:rsid w:val="0024547B"/>
    <w:rsid w:val="002454D4"/>
    <w:rsid w:val="002458EB"/>
    <w:rsid w:val="002500C8"/>
    <w:rsid w:val="00250F16"/>
    <w:rsid w:val="0025167F"/>
    <w:rsid w:val="00254378"/>
    <w:rsid w:val="002558D7"/>
    <w:rsid w:val="00257543"/>
    <w:rsid w:val="00257F88"/>
    <w:rsid w:val="00261285"/>
    <w:rsid w:val="002617E7"/>
    <w:rsid w:val="00261FC8"/>
    <w:rsid w:val="00264109"/>
    <w:rsid w:val="00264228"/>
    <w:rsid w:val="00264334"/>
    <w:rsid w:val="0026473E"/>
    <w:rsid w:val="00266214"/>
    <w:rsid w:val="0026743E"/>
    <w:rsid w:val="00267C58"/>
    <w:rsid w:val="00267C83"/>
    <w:rsid w:val="00270D24"/>
    <w:rsid w:val="0027144F"/>
    <w:rsid w:val="00271F3A"/>
    <w:rsid w:val="0027208A"/>
    <w:rsid w:val="00272796"/>
    <w:rsid w:val="00273278"/>
    <w:rsid w:val="002737F4"/>
    <w:rsid w:val="0027455E"/>
    <w:rsid w:val="00275CAD"/>
    <w:rsid w:val="002803F3"/>
    <w:rsid w:val="002805F5"/>
    <w:rsid w:val="00280751"/>
    <w:rsid w:val="0028280A"/>
    <w:rsid w:val="00286ACD"/>
    <w:rsid w:val="00287838"/>
    <w:rsid w:val="00287895"/>
    <w:rsid w:val="002907B5"/>
    <w:rsid w:val="00292E71"/>
    <w:rsid w:val="00292EB7"/>
    <w:rsid w:val="00293B29"/>
    <w:rsid w:val="00293F02"/>
    <w:rsid w:val="00296227"/>
    <w:rsid w:val="00296F44"/>
    <w:rsid w:val="0029774E"/>
    <w:rsid w:val="0029777D"/>
    <w:rsid w:val="002A036D"/>
    <w:rsid w:val="002A055E"/>
    <w:rsid w:val="002A1D4E"/>
    <w:rsid w:val="002A2117"/>
    <w:rsid w:val="002A2869"/>
    <w:rsid w:val="002A45C6"/>
    <w:rsid w:val="002A50D7"/>
    <w:rsid w:val="002A5160"/>
    <w:rsid w:val="002A75FE"/>
    <w:rsid w:val="002B06F0"/>
    <w:rsid w:val="002B0B1F"/>
    <w:rsid w:val="002B24D6"/>
    <w:rsid w:val="002B2CC5"/>
    <w:rsid w:val="002B467E"/>
    <w:rsid w:val="002B47B7"/>
    <w:rsid w:val="002B7F65"/>
    <w:rsid w:val="002C244C"/>
    <w:rsid w:val="002C31CA"/>
    <w:rsid w:val="002C32A1"/>
    <w:rsid w:val="002C39FD"/>
    <w:rsid w:val="002C40EF"/>
    <w:rsid w:val="002C41E6"/>
    <w:rsid w:val="002D00AE"/>
    <w:rsid w:val="002D022A"/>
    <w:rsid w:val="002D071A"/>
    <w:rsid w:val="002D34B2"/>
    <w:rsid w:val="002D362A"/>
    <w:rsid w:val="002D4ADC"/>
    <w:rsid w:val="002D5402"/>
    <w:rsid w:val="002D5976"/>
    <w:rsid w:val="002D7637"/>
    <w:rsid w:val="002E14D6"/>
    <w:rsid w:val="002E17F2"/>
    <w:rsid w:val="002E3CAE"/>
    <w:rsid w:val="002E3DED"/>
    <w:rsid w:val="002E53A4"/>
    <w:rsid w:val="002E64DB"/>
    <w:rsid w:val="002E7CAE"/>
    <w:rsid w:val="002F246A"/>
    <w:rsid w:val="002F2771"/>
    <w:rsid w:val="002F3420"/>
    <w:rsid w:val="002F37A9"/>
    <w:rsid w:val="002F421A"/>
    <w:rsid w:val="002F4796"/>
    <w:rsid w:val="00300010"/>
    <w:rsid w:val="00301CE6"/>
    <w:rsid w:val="0030256B"/>
    <w:rsid w:val="00303FC5"/>
    <w:rsid w:val="0030501F"/>
    <w:rsid w:val="00305A9E"/>
    <w:rsid w:val="00305D11"/>
    <w:rsid w:val="003060DE"/>
    <w:rsid w:val="00307047"/>
    <w:rsid w:val="00307BA1"/>
    <w:rsid w:val="00311702"/>
    <w:rsid w:val="00311E82"/>
    <w:rsid w:val="00313FD6"/>
    <w:rsid w:val="003143BD"/>
    <w:rsid w:val="003177E4"/>
    <w:rsid w:val="00317B01"/>
    <w:rsid w:val="003203ED"/>
    <w:rsid w:val="003207D7"/>
    <w:rsid w:val="00322C9F"/>
    <w:rsid w:val="00322CD7"/>
    <w:rsid w:val="003248B5"/>
    <w:rsid w:val="00324D23"/>
    <w:rsid w:val="003261A9"/>
    <w:rsid w:val="00327044"/>
    <w:rsid w:val="00331751"/>
    <w:rsid w:val="00334579"/>
    <w:rsid w:val="00334708"/>
    <w:rsid w:val="00335858"/>
    <w:rsid w:val="00335A88"/>
    <w:rsid w:val="0033621A"/>
    <w:rsid w:val="00336BDA"/>
    <w:rsid w:val="0034033C"/>
    <w:rsid w:val="003408A5"/>
    <w:rsid w:val="00341BF2"/>
    <w:rsid w:val="00342BD7"/>
    <w:rsid w:val="00342D3F"/>
    <w:rsid w:val="00343A07"/>
    <w:rsid w:val="0034436D"/>
    <w:rsid w:val="00344407"/>
    <w:rsid w:val="00344919"/>
    <w:rsid w:val="00344941"/>
    <w:rsid w:val="003453C2"/>
    <w:rsid w:val="003455D2"/>
    <w:rsid w:val="00345862"/>
    <w:rsid w:val="00346DB5"/>
    <w:rsid w:val="003477B1"/>
    <w:rsid w:val="003508BF"/>
    <w:rsid w:val="00351A57"/>
    <w:rsid w:val="003526DA"/>
    <w:rsid w:val="0035482C"/>
    <w:rsid w:val="00355135"/>
    <w:rsid w:val="0035709A"/>
    <w:rsid w:val="00357380"/>
    <w:rsid w:val="003602D9"/>
    <w:rsid w:val="003604CE"/>
    <w:rsid w:val="00361478"/>
    <w:rsid w:val="0036161E"/>
    <w:rsid w:val="00362DE3"/>
    <w:rsid w:val="00365A6D"/>
    <w:rsid w:val="00366717"/>
    <w:rsid w:val="00366D3B"/>
    <w:rsid w:val="003670B6"/>
    <w:rsid w:val="00370E47"/>
    <w:rsid w:val="003714E8"/>
    <w:rsid w:val="003735E5"/>
    <w:rsid w:val="003742AC"/>
    <w:rsid w:val="00374C70"/>
    <w:rsid w:val="00375204"/>
    <w:rsid w:val="003768C5"/>
    <w:rsid w:val="00377CE1"/>
    <w:rsid w:val="00385BF0"/>
    <w:rsid w:val="0038629C"/>
    <w:rsid w:val="00387618"/>
    <w:rsid w:val="00387BA7"/>
    <w:rsid w:val="00390264"/>
    <w:rsid w:val="003939FF"/>
    <w:rsid w:val="00396A2D"/>
    <w:rsid w:val="00397681"/>
    <w:rsid w:val="003A127C"/>
    <w:rsid w:val="003A2223"/>
    <w:rsid w:val="003A23C7"/>
    <w:rsid w:val="003A254F"/>
    <w:rsid w:val="003A2A0F"/>
    <w:rsid w:val="003A369D"/>
    <w:rsid w:val="003A45A1"/>
    <w:rsid w:val="003A5B0A"/>
    <w:rsid w:val="003A6BAC"/>
    <w:rsid w:val="003A7EF3"/>
    <w:rsid w:val="003B159C"/>
    <w:rsid w:val="003B2930"/>
    <w:rsid w:val="003B2D90"/>
    <w:rsid w:val="003B369F"/>
    <w:rsid w:val="003B36A3"/>
    <w:rsid w:val="003B4D22"/>
    <w:rsid w:val="003B4F17"/>
    <w:rsid w:val="003B608D"/>
    <w:rsid w:val="003B72A4"/>
    <w:rsid w:val="003B7851"/>
    <w:rsid w:val="003B7FE5"/>
    <w:rsid w:val="003C0766"/>
    <w:rsid w:val="003C10D1"/>
    <w:rsid w:val="003C11C8"/>
    <w:rsid w:val="003C1869"/>
    <w:rsid w:val="003C2702"/>
    <w:rsid w:val="003C2F3A"/>
    <w:rsid w:val="003C383A"/>
    <w:rsid w:val="003C4788"/>
    <w:rsid w:val="003C7806"/>
    <w:rsid w:val="003D03A4"/>
    <w:rsid w:val="003D109F"/>
    <w:rsid w:val="003D1E65"/>
    <w:rsid w:val="003D2478"/>
    <w:rsid w:val="003D2D9C"/>
    <w:rsid w:val="003D2FC4"/>
    <w:rsid w:val="003D387A"/>
    <w:rsid w:val="003D3C45"/>
    <w:rsid w:val="003D4532"/>
    <w:rsid w:val="003D5B1F"/>
    <w:rsid w:val="003D5C6F"/>
    <w:rsid w:val="003D5E2C"/>
    <w:rsid w:val="003E0F12"/>
    <w:rsid w:val="003E10E7"/>
    <w:rsid w:val="003E15FA"/>
    <w:rsid w:val="003E21B4"/>
    <w:rsid w:val="003E3CA5"/>
    <w:rsid w:val="003E45F5"/>
    <w:rsid w:val="003E4EAD"/>
    <w:rsid w:val="003E55E4"/>
    <w:rsid w:val="003E5613"/>
    <w:rsid w:val="003E6588"/>
    <w:rsid w:val="003E74E3"/>
    <w:rsid w:val="003E75BA"/>
    <w:rsid w:val="003F05C7"/>
    <w:rsid w:val="003F1D11"/>
    <w:rsid w:val="003F1D35"/>
    <w:rsid w:val="003F2CD4"/>
    <w:rsid w:val="003F3088"/>
    <w:rsid w:val="003F38B8"/>
    <w:rsid w:val="003F6BBE"/>
    <w:rsid w:val="003F75E8"/>
    <w:rsid w:val="004000E8"/>
    <w:rsid w:val="00400EA0"/>
    <w:rsid w:val="004014F3"/>
    <w:rsid w:val="00402DD0"/>
    <w:rsid w:val="00402E2B"/>
    <w:rsid w:val="00403E95"/>
    <w:rsid w:val="0040512B"/>
    <w:rsid w:val="00405B22"/>
    <w:rsid w:val="00405CA5"/>
    <w:rsid w:val="0040709E"/>
    <w:rsid w:val="0040715C"/>
    <w:rsid w:val="00407CD3"/>
    <w:rsid w:val="00410134"/>
    <w:rsid w:val="00410B72"/>
    <w:rsid w:val="00410F18"/>
    <w:rsid w:val="0041263E"/>
    <w:rsid w:val="00413AAC"/>
    <w:rsid w:val="00413EFB"/>
    <w:rsid w:val="00415A4C"/>
    <w:rsid w:val="00416B1B"/>
    <w:rsid w:val="00417BAF"/>
    <w:rsid w:val="00417EB0"/>
    <w:rsid w:val="00420DC3"/>
    <w:rsid w:val="00421105"/>
    <w:rsid w:val="00421755"/>
    <w:rsid w:val="004234D8"/>
    <w:rsid w:val="00423C9D"/>
    <w:rsid w:val="004242F4"/>
    <w:rsid w:val="00427248"/>
    <w:rsid w:val="00427C68"/>
    <w:rsid w:val="0043123D"/>
    <w:rsid w:val="004332BB"/>
    <w:rsid w:val="00433B47"/>
    <w:rsid w:val="0043448A"/>
    <w:rsid w:val="004351A3"/>
    <w:rsid w:val="00435213"/>
    <w:rsid w:val="00435CD3"/>
    <w:rsid w:val="00435ECC"/>
    <w:rsid w:val="00437447"/>
    <w:rsid w:val="004374BA"/>
    <w:rsid w:val="00440548"/>
    <w:rsid w:val="00440B16"/>
    <w:rsid w:val="00441A92"/>
    <w:rsid w:val="00443BE9"/>
    <w:rsid w:val="00444AAD"/>
    <w:rsid w:val="00444C54"/>
    <w:rsid w:val="00444C6F"/>
    <w:rsid w:val="00444F56"/>
    <w:rsid w:val="00445D84"/>
    <w:rsid w:val="004462C8"/>
    <w:rsid w:val="00446488"/>
    <w:rsid w:val="004517AA"/>
    <w:rsid w:val="00451811"/>
    <w:rsid w:val="004521EC"/>
    <w:rsid w:val="00452CAC"/>
    <w:rsid w:val="00452F5B"/>
    <w:rsid w:val="00453200"/>
    <w:rsid w:val="00453851"/>
    <w:rsid w:val="00453875"/>
    <w:rsid w:val="00457565"/>
    <w:rsid w:val="00457B71"/>
    <w:rsid w:val="00460DB9"/>
    <w:rsid w:val="00461FDF"/>
    <w:rsid w:val="00462F46"/>
    <w:rsid w:val="0046300D"/>
    <w:rsid w:val="00464200"/>
    <w:rsid w:val="00465F3A"/>
    <w:rsid w:val="004669E2"/>
    <w:rsid w:val="004671E7"/>
    <w:rsid w:val="00470C31"/>
    <w:rsid w:val="0047157F"/>
    <w:rsid w:val="00471AA9"/>
    <w:rsid w:val="004726C7"/>
    <w:rsid w:val="004734D0"/>
    <w:rsid w:val="00474804"/>
    <w:rsid w:val="0047556B"/>
    <w:rsid w:val="004759D0"/>
    <w:rsid w:val="00475AC8"/>
    <w:rsid w:val="004769FA"/>
    <w:rsid w:val="00476B40"/>
    <w:rsid w:val="00477768"/>
    <w:rsid w:val="004835D6"/>
    <w:rsid w:val="004846D1"/>
    <w:rsid w:val="004850E5"/>
    <w:rsid w:val="00485BC6"/>
    <w:rsid w:val="00492BC5"/>
    <w:rsid w:val="00493F23"/>
    <w:rsid w:val="00494430"/>
    <w:rsid w:val="004961CE"/>
    <w:rsid w:val="004963BF"/>
    <w:rsid w:val="004964F1"/>
    <w:rsid w:val="004970B3"/>
    <w:rsid w:val="004A16BC"/>
    <w:rsid w:val="004A2B94"/>
    <w:rsid w:val="004A7E7F"/>
    <w:rsid w:val="004B155E"/>
    <w:rsid w:val="004B2BC9"/>
    <w:rsid w:val="004B2FD1"/>
    <w:rsid w:val="004B3ACB"/>
    <w:rsid w:val="004B563D"/>
    <w:rsid w:val="004B7C0C"/>
    <w:rsid w:val="004C01C8"/>
    <w:rsid w:val="004C2328"/>
    <w:rsid w:val="004C2D6E"/>
    <w:rsid w:val="004C3898"/>
    <w:rsid w:val="004C5405"/>
    <w:rsid w:val="004C54C2"/>
    <w:rsid w:val="004C6EDD"/>
    <w:rsid w:val="004D18D8"/>
    <w:rsid w:val="004D2237"/>
    <w:rsid w:val="004D36B1"/>
    <w:rsid w:val="004D7EBD"/>
    <w:rsid w:val="004E0BD6"/>
    <w:rsid w:val="004E1A9A"/>
    <w:rsid w:val="004E2680"/>
    <w:rsid w:val="004E2847"/>
    <w:rsid w:val="004E28F9"/>
    <w:rsid w:val="004E2A64"/>
    <w:rsid w:val="004E38F5"/>
    <w:rsid w:val="004E462E"/>
    <w:rsid w:val="004E4F53"/>
    <w:rsid w:val="004E56DC"/>
    <w:rsid w:val="004E5AC2"/>
    <w:rsid w:val="004E6960"/>
    <w:rsid w:val="004E76F4"/>
    <w:rsid w:val="004E7980"/>
    <w:rsid w:val="004F0B4E"/>
    <w:rsid w:val="004F0B6C"/>
    <w:rsid w:val="004F2078"/>
    <w:rsid w:val="004F4DA3"/>
    <w:rsid w:val="004F7740"/>
    <w:rsid w:val="004F7EA9"/>
    <w:rsid w:val="0050054E"/>
    <w:rsid w:val="00500754"/>
    <w:rsid w:val="00502773"/>
    <w:rsid w:val="0050361D"/>
    <w:rsid w:val="00503A6D"/>
    <w:rsid w:val="0050462F"/>
    <w:rsid w:val="00504651"/>
    <w:rsid w:val="005054B0"/>
    <w:rsid w:val="00506557"/>
    <w:rsid w:val="0050677A"/>
    <w:rsid w:val="00507454"/>
    <w:rsid w:val="005079A0"/>
    <w:rsid w:val="005108D8"/>
    <w:rsid w:val="005111A1"/>
    <w:rsid w:val="005116F9"/>
    <w:rsid w:val="005153A7"/>
    <w:rsid w:val="005154C5"/>
    <w:rsid w:val="00517303"/>
    <w:rsid w:val="005219CF"/>
    <w:rsid w:val="00522D07"/>
    <w:rsid w:val="00525F75"/>
    <w:rsid w:val="005267A6"/>
    <w:rsid w:val="00526C0D"/>
    <w:rsid w:val="00527104"/>
    <w:rsid w:val="00531534"/>
    <w:rsid w:val="00531CAC"/>
    <w:rsid w:val="00531F1D"/>
    <w:rsid w:val="00532331"/>
    <w:rsid w:val="00532546"/>
    <w:rsid w:val="0053355A"/>
    <w:rsid w:val="005336B9"/>
    <w:rsid w:val="005338D0"/>
    <w:rsid w:val="005343FA"/>
    <w:rsid w:val="00534B59"/>
    <w:rsid w:val="00536759"/>
    <w:rsid w:val="005369A8"/>
    <w:rsid w:val="00537C62"/>
    <w:rsid w:val="00543336"/>
    <w:rsid w:val="00543775"/>
    <w:rsid w:val="00546970"/>
    <w:rsid w:val="00547A14"/>
    <w:rsid w:val="00547F05"/>
    <w:rsid w:val="0055001B"/>
    <w:rsid w:val="00553715"/>
    <w:rsid w:val="00554E19"/>
    <w:rsid w:val="00555D73"/>
    <w:rsid w:val="005564FC"/>
    <w:rsid w:val="005579C5"/>
    <w:rsid w:val="00561182"/>
    <w:rsid w:val="0056121F"/>
    <w:rsid w:val="00561320"/>
    <w:rsid w:val="00562064"/>
    <w:rsid w:val="0056299D"/>
    <w:rsid w:val="00562A1A"/>
    <w:rsid w:val="0056356C"/>
    <w:rsid w:val="005636E8"/>
    <w:rsid w:val="00570F8E"/>
    <w:rsid w:val="00572505"/>
    <w:rsid w:val="00572CE8"/>
    <w:rsid w:val="00580202"/>
    <w:rsid w:val="00582746"/>
    <w:rsid w:val="00582809"/>
    <w:rsid w:val="00582A4A"/>
    <w:rsid w:val="00584ABE"/>
    <w:rsid w:val="0058563E"/>
    <w:rsid w:val="005874C6"/>
    <w:rsid w:val="0058798C"/>
    <w:rsid w:val="00587BD2"/>
    <w:rsid w:val="005900FA"/>
    <w:rsid w:val="005923F4"/>
    <w:rsid w:val="005935A4"/>
    <w:rsid w:val="005948C2"/>
    <w:rsid w:val="00595DCA"/>
    <w:rsid w:val="0059779B"/>
    <w:rsid w:val="005A0D5F"/>
    <w:rsid w:val="005A147F"/>
    <w:rsid w:val="005A1D12"/>
    <w:rsid w:val="005A209A"/>
    <w:rsid w:val="005A2A38"/>
    <w:rsid w:val="005A3ADD"/>
    <w:rsid w:val="005A4518"/>
    <w:rsid w:val="005A5323"/>
    <w:rsid w:val="005A662D"/>
    <w:rsid w:val="005B35D7"/>
    <w:rsid w:val="005B392A"/>
    <w:rsid w:val="005B3AA3"/>
    <w:rsid w:val="005B41BD"/>
    <w:rsid w:val="005B4E16"/>
    <w:rsid w:val="005B544F"/>
    <w:rsid w:val="005B55E3"/>
    <w:rsid w:val="005B6F83"/>
    <w:rsid w:val="005C04B6"/>
    <w:rsid w:val="005C25FC"/>
    <w:rsid w:val="005C2995"/>
    <w:rsid w:val="005C32E7"/>
    <w:rsid w:val="005C470A"/>
    <w:rsid w:val="005C493C"/>
    <w:rsid w:val="005C74FB"/>
    <w:rsid w:val="005D1498"/>
    <w:rsid w:val="005D1602"/>
    <w:rsid w:val="005D1A70"/>
    <w:rsid w:val="005D65DE"/>
    <w:rsid w:val="005D6B0B"/>
    <w:rsid w:val="005D7BBD"/>
    <w:rsid w:val="005E12A6"/>
    <w:rsid w:val="005E30FD"/>
    <w:rsid w:val="005E385F"/>
    <w:rsid w:val="005E3915"/>
    <w:rsid w:val="005E45BC"/>
    <w:rsid w:val="005E5B81"/>
    <w:rsid w:val="005E5C6F"/>
    <w:rsid w:val="005E5D85"/>
    <w:rsid w:val="005F06E0"/>
    <w:rsid w:val="005F168C"/>
    <w:rsid w:val="005F2CB1"/>
    <w:rsid w:val="005F3025"/>
    <w:rsid w:val="005F3AC1"/>
    <w:rsid w:val="005F4D03"/>
    <w:rsid w:val="005F50BF"/>
    <w:rsid w:val="005F528E"/>
    <w:rsid w:val="005F5AF7"/>
    <w:rsid w:val="005F618C"/>
    <w:rsid w:val="005F6777"/>
    <w:rsid w:val="005F70BD"/>
    <w:rsid w:val="00601ACA"/>
    <w:rsid w:val="0060283C"/>
    <w:rsid w:val="00602CC9"/>
    <w:rsid w:val="00604F14"/>
    <w:rsid w:val="00605F62"/>
    <w:rsid w:val="00610371"/>
    <w:rsid w:val="00611B83"/>
    <w:rsid w:val="00611BEC"/>
    <w:rsid w:val="00613257"/>
    <w:rsid w:val="00620A71"/>
    <w:rsid w:val="00620D80"/>
    <w:rsid w:val="006234A6"/>
    <w:rsid w:val="00624D23"/>
    <w:rsid w:val="00624F8F"/>
    <w:rsid w:val="00625051"/>
    <w:rsid w:val="006276C5"/>
    <w:rsid w:val="00630001"/>
    <w:rsid w:val="006311B3"/>
    <w:rsid w:val="0063284C"/>
    <w:rsid w:val="00632C35"/>
    <w:rsid w:val="00633833"/>
    <w:rsid w:val="0063397D"/>
    <w:rsid w:val="00634E62"/>
    <w:rsid w:val="00635F6F"/>
    <w:rsid w:val="00636046"/>
    <w:rsid w:val="00636398"/>
    <w:rsid w:val="006368D3"/>
    <w:rsid w:val="00636A5D"/>
    <w:rsid w:val="006377EC"/>
    <w:rsid w:val="0064151F"/>
    <w:rsid w:val="00641533"/>
    <w:rsid w:val="0064208D"/>
    <w:rsid w:val="0064304C"/>
    <w:rsid w:val="00643475"/>
    <w:rsid w:val="0064396A"/>
    <w:rsid w:val="0064624E"/>
    <w:rsid w:val="00646851"/>
    <w:rsid w:val="00650AB9"/>
    <w:rsid w:val="00650C8A"/>
    <w:rsid w:val="00651393"/>
    <w:rsid w:val="006523F3"/>
    <w:rsid w:val="006528F9"/>
    <w:rsid w:val="00652DCB"/>
    <w:rsid w:val="00654C29"/>
    <w:rsid w:val="00654D99"/>
    <w:rsid w:val="00655733"/>
    <w:rsid w:val="00655A53"/>
    <w:rsid w:val="00655ACD"/>
    <w:rsid w:val="00656A92"/>
    <w:rsid w:val="00656DDE"/>
    <w:rsid w:val="0066011D"/>
    <w:rsid w:val="006607C0"/>
    <w:rsid w:val="006613A6"/>
    <w:rsid w:val="006627A2"/>
    <w:rsid w:val="006634E6"/>
    <w:rsid w:val="00663BE6"/>
    <w:rsid w:val="0066415F"/>
    <w:rsid w:val="0066547A"/>
    <w:rsid w:val="006655EE"/>
    <w:rsid w:val="00666D72"/>
    <w:rsid w:val="006675F9"/>
    <w:rsid w:val="00667EE7"/>
    <w:rsid w:val="00670051"/>
    <w:rsid w:val="00670922"/>
    <w:rsid w:val="00670BE1"/>
    <w:rsid w:val="00670E0F"/>
    <w:rsid w:val="0067218F"/>
    <w:rsid w:val="00673C16"/>
    <w:rsid w:val="00673DBC"/>
    <w:rsid w:val="006741F2"/>
    <w:rsid w:val="00674CC3"/>
    <w:rsid w:val="00675C72"/>
    <w:rsid w:val="00676012"/>
    <w:rsid w:val="00676AF2"/>
    <w:rsid w:val="006771F9"/>
    <w:rsid w:val="006776D7"/>
    <w:rsid w:val="00677A03"/>
    <w:rsid w:val="00681003"/>
    <w:rsid w:val="006817C9"/>
    <w:rsid w:val="00681D82"/>
    <w:rsid w:val="00682BA6"/>
    <w:rsid w:val="00683ECE"/>
    <w:rsid w:val="00687E2C"/>
    <w:rsid w:val="00690B70"/>
    <w:rsid w:val="006913A9"/>
    <w:rsid w:val="00691F27"/>
    <w:rsid w:val="00692B16"/>
    <w:rsid w:val="00695FC2"/>
    <w:rsid w:val="00696949"/>
    <w:rsid w:val="00697052"/>
    <w:rsid w:val="00697220"/>
    <w:rsid w:val="006A2E86"/>
    <w:rsid w:val="006A30AF"/>
    <w:rsid w:val="006A46FB"/>
    <w:rsid w:val="006A5E28"/>
    <w:rsid w:val="006A6086"/>
    <w:rsid w:val="006A697B"/>
    <w:rsid w:val="006A7988"/>
    <w:rsid w:val="006A7AFF"/>
    <w:rsid w:val="006B1816"/>
    <w:rsid w:val="006B2099"/>
    <w:rsid w:val="006B2FD3"/>
    <w:rsid w:val="006B50CF"/>
    <w:rsid w:val="006B570D"/>
    <w:rsid w:val="006B5727"/>
    <w:rsid w:val="006B5C2B"/>
    <w:rsid w:val="006B5EE4"/>
    <w:rsid w:val="006B67CF"/>
    <w:rsid w:val="006B6BC3"/>
    <w:rsid w:val="006B6D73"/>
    <w:rsid w:val="006C03B8"/>
    <w:rsid w:val="006C44C2"/>
    <w:rsid w:val="006C5EC9"/>
    <w:rsid w:val="006C6059"/>
    <w:rsid w:val="006C6BE1"/>
    <w:rsid w:val="006C7522"/>
    <w:rsid w:val="006D0580"/>
    <w:rsid w:val="006D2A46"/>
    <w:rsid w:val="006D398D"/>
    <w:rsid w:val="006D56C8"/>
    <w:rsid w:val="006D571C"/>
    <w:rsid w:val="006D5D00"/>
    <w:rsid w:val="006D666D"/>
    <w:rsid w:val="006D6F08"/>
    <w:rsid w:val="006D7811"/>
    <w:rsid w:val="006E062C"/>
    <w:rsid w:val="006E28B7"/>
    <w:rsid w:val="006E3310"/>
    <w:rsid w:val="006E4E39"/>
    <w:rsid w:val="006E565E"/>
    <w:rsid w:val="006E64B5"/>
    <w:rsid w:val="006E673D"/>
    <w:rsid w:val="006E7D3B"/>
    <w:rsid w:val="006F0B65"/>
    <w:rsid w:val="006F0CAD"/>
    <w:rsid w:val="006F1B70"/>
    <w:rsid w:val="006F341D"/>
    <w:rsid w:val="006F3CDE"/>
    <w:rsid w:val="006F58D4"/>
    <w:rsid w:val="006F6D56"/>
    <w:rsid w:val="006F7626"/>
    <w:rsid w:val="0070346E"/>
    <w:rsid w:val="00704406"/>
    <w:rsid w:val="00704EDB"/>
    <w:rsid w:val="0070537F"/>
    <w:rsid w:val="00705480"/>
    <w:rsid w:val="00705753"/>
    <w:rsid w:val="00706028"/>
    <w:rsid w:val="00706101"/>
    <w:rsid w:val="00707072"/>
    <w:rsid w:val="00707706"/>
    <w:rsid w:val="00707D61"/>
    <w:rsid w:val="00712287"/>
    <w:rsid w:val="007123B6"/>
    <w:rsid w:val="00712772"/>
    <w:rsid w:val="007146AF"/>
    <w:rsid w:val="007148D3"/>
    <w:rsid w:val="00715B9A"/>
    <w:rsid w:val="0071798B"/>
    <w:rsid w:val="00717DB6"/>
    <w:rsid w:val="00720376"/>
    <w:rsid w:val="007205B8"/>
    <w:rsid w:val="00721205"/>
    <w:rsid w:val="00721593"/>
    <w:rsid w:val="007231E6"/>
    <w:rsid w:val="00726EA6"/>
    <w:rsid w:val="00726ED5"/>
    <w:rsid w:val="00727208"/>
    <w:rsid w:val="00727680"/>
    <w:rsid w:val="007348B1"/>
    <w:rsid w:val="00734B23"/>
    <w:rsid w:val="007362A6"/>
    <w:rsid w:val="00736D7D"/>
    <w:rsid w:val="00740344"/>
    <w:rsid w:val="00740E58"/>
    <w:rsid w:val="00742612"/>
    <w:rsid w:val="00742E3D"/>
    <w:rsid w:val="0074405B"/>
    <w:rsid w:val="00744142"/>
    <w:rsid w:val="007445A0"/>
    <w:rsid w:val="00744ECC"/>
    <w:rsid w:val="0074524B"/>
    <w:rsid w:val="007460A0"/>
    <w:rsid w:val="00747751"/>
    <w:rsid w:val="00747B4D"/>
    <w:rsid w:val="00747D8B"/>
    <w:rsid w:val="00750580"/>
    <w:rsid w:val="00751228"/>
    <w:rsid w:val="007535D6"/>
    <w:rsid w:val="00753CAE"/>
    <w:rsid w:val="00754B9B"/>
    <w:rsid w:val="007571E1"/>
    <w:rsid w:val="007604B2"/>
    <w:rsid w:val="00763989"/>
    <w:rsid w:val="00764B17"/>
    <w:rsid w:val="00765281"/>
    <w:rsid w:val="00765787"/>
    <w:rsid w:val="00766BAD"/>
    <w:rsid w:val="00767A0C"/>
    <w:rsid w:val="007716C3"/>
    <w:rsid w:val="00772C01"/>
    <w:rsid w:val="007730BD"/>
    <w:rsid w:val="007755F2"/>
    <w:rsid w:val="00775BC4"/>
    <w:rsid w:val="00775C76"/>
    <w:rsid w:val="00776971"/>
    <w:rsid w:val="00777025"/>
    <w:rsid w:val="007804ED"/>
    <w:rsid w:val="0078177E"/>
    <w:rsid w:val="0078242F"/>
    <w:rsid w:val="0078304C"/>
    <w:rsid w:val="00783673"/>
    <w:rsid w:val="00783800"/>
    <w:rsid w:val="00783E9E"/>
    <w:rsid w:val="00785490"/>
    <w:rsid w:val="00790829"/>
    <w:rsid w:val="007913AC"/>
    <w:rsid w:val="007925EA"/>
    <w:rsid w:val="00793CD8"/>
    <w:rsid w:val="00793EEA"/>
    <w:rsid w:val="00795C92"/>
    <w:rsid w:val="00796231"/>
    <w:rsid w:val="007A000A"/>
    <w:rsid w:val="007A18AB"/>
    <w:rsid w:val="007A1CB3"/>
    <w:rsid w:val="007A306F"/>
    <w:rsid w:val="007A3A3A"/>
    <w:rsid w:val="007A3FE1"/>
    <w:rsid w:val="007A43A6"/>
    <w:rsid w:val="007A554B"/>
    <w:rsid w:val="007A58A6"/>
    <w:rsid w:val="007A5C78"/>
    <w:rsid w:val="007A7495"/>
    <w:rsid w:val="007B3D2D"/>
    <w:rsid w:val="007B50AE"/>
    <w:rsid w:val="007B51DF"/>
    <w:rsid w:val="007B5ACB"/>
    <w:rsid w:val="007C05DD"/>
    <w:rsid w:val="007C0A75"/>
    <w:rsid w:val="007C1C0A"/>
    <w:rsid w:val="007C2F4B"/>
    <w:rsid w:val="007C342A"/>
    <w:rsid w:val="007C3D18"/>
    <w:rsid w:val="007C40D0"/>
    <w:rsid w:val="007C528D"/>
    <w:rsid w:val="007C60BF"/>
    <w:rsid w:val="007C6A07"/>
    <w:rsid w:val="007C75A1"/>
    <w:rsid w:val="007C77A5"/>
    <w:rsid w:val="007D04E5"/>
    <w:rsid w:val="007D29A3"/>
    <w:rsid w:val="007D3941"/>
    <w:rsid w:val="007D3AD2"/>
    <w:rsid w:val="007D3FDF"/>
    <w:rsid w:val="007D5901"/>
    <w:rsid w:val="007D65C4"/>
    <w:rsid w:val="007D7526"/>
    <w:rsid w:val="007E050B"/>
    <w:rsid w:val="007E1DCF"/>
    <w:rsid w:val="007E28CE"/>
    <w:rsid w:val="007E324C"/>
    <w:rsid w:val="007E3ED6"/>
    <w:rsid w:val="007E4610"/>
    <w:rsid w:val="007E4715"/>
    <w:rsid w:val="007E505B"/>
    <w:rsid w:val="007E55D7"/>
    <w:rsid w:val="007E5FE8"/>
    <w:rsid w:val="007E6BD5"/>
    <w:rsid w:val="007E7091"/>
    <w:rsid w:val="007F0115"/>
    <w:rsid w:val="007F03C3"/>
    <w:rsid w:val="007F0A6C"/>
    <w:rsid w:val="007F0C73"/>
    <w:rsid w:val="007F1359"/>
    <w:rsid w:val="007F264E"/>
    <w:rsid w:val="007F26F1"/>
    <w:rsid w:val="0080049D"/>
    <w:rsid w:val="00802DCA"/>
    <w:rsid w:val="008036DF"/>
    <w:rsid w:val="00803B8A"/>
    <w:rsid w:val="00803FAE"/>
    <w:rsid w:val="0080605F"/>
    <w:rsid w:val="00807786"/>
    <w:rsid w:val="0081055B"/>
    <w:rsid w:val="00811425"/>
    <w:rsid w:val="00811505"/>
    <w:rsid w:val="00811FCB"/>
    <w:rsid w:val="008144B9"/>
    <w:rsid w:val="008158D6"/>
    <w:rsid w:val="0081606D"/>
    <w:rsid w:val="00817196"/>
    <w:rsid w:val="00817EDE"/>
    <w:rsid w:val="00821D89"/>
    <w:rsid w:val="00822943"/>
    <w:rsid w:val="00823081"/>
    <w:rsid w:val="008235DB"/>
    <w:rsid w:val="00824AB4"/>
    <w:rsid w:val="00824B72"/>
    <w:rsid w:val="00825C42"/>
    <w:rsid w:val="00825D25"/>
    <w:rsid w:val="00827D6F"/>
    <w:rsid w:val="00827E1A"/>
    <w:rsid w:val="008311F3"/>
    <w:rsid w:val="00831210"/>
    <w:rsid w:val="00832D13"/>
    <w:rsid w:val="0083765F"/>
    <w:rsid w:val="008376AC"/>
    <w:rsid w:val="0084116C"/>
    <w:rsid w:val="00841CB3"/>
    <w:rsid w:val="00842451"/>
    <w:rsid w:val="008444E8"/>
    <w:rsid w:val="00844E80"/>
    <w:rsid w:val="00846834"/>
    <w:rsid w:val="00846FE7"/>
    <w:rsid w:val="00847403"/>
    <w:rsid w:val="00847FC4"/>
    <w:rsid w:val="008504A2"/>
    <w:rsid w:val="00850CEC"/>
    <w:rsid w:val="00850E9E"/>
    <w:rsid w:val="0085247B"/>
    <w:rsid w:val="00854B3A"/>
    <w:rsid w:val="00855482"/>
    <w:rsid w:val="00856911"/>
    <w:rsid w:val="00857C84"/>
    <w:rsid w:val="00860458"/>
    <w:rsid w:val="008628C0"/>
    <w:rsid w:val="00865044"/>
    <w:rsid w:val="00865151"/>
    <w:rsid w:val="0086540F"/>
    <w:rsid w:val="00865698"/>
    <w:rsid w:val="00865EFB"/>
    <w:rsid w:val="0086740A"/>
    <w:rsid w:val="0086758D"/>
    <w:rsid w:val="008677FD"/>
    <w:rsid w:val="008706D4"/>
    <w:rsid w:val="00870F8A"/>
    <w:rsid w:val="008719A4"/>
    <w:rsid w:val="00871D23"/>
    <w:rsid w:val="00873C26"/>
    <w:rsid w:val="00874312"/>
    <w:rsid w:val="0087437C"/>
    <w:rsid w:val="00875CD7"/>
    <w:rsid w:val="0087646B"/>
    <w:rsid w:val="00876B4D"/>
    <w:rsid w:val="00877F18"/>
    <w:rsid w:val="0088016B"/>
    <w:rsid w:val="008803CA"/>
    <w:rsid w:val="00880D3E"/>
    <w:rsid w:val="00884366"/>
    <w:rsid w:val="008864B9"/>
    <w:rsid w:val="0089173C"/>
    <w:rsid w:val="00893C6A"/>
    <w:rsid w:val="008940F7"/>
    <w:rsid w:val="00894A88"/>
    <w:rsid w:val="00895386"/>
    <w:rsid w:val="00895660"/>
    <w:rsid w:val="00897036"/>
    <w:rsid w:val="00897414"/>
    <w:rsid w:val="008A0628"/>
    <w:rsid w:val="008A21FF"/>
    <w:rsid w:val="008A2CE2"/>
    <w:rsid w:val="008A30AC"/>
    <w:rsid w:val="008A44B8"/>
    <w:rsid w:val="008A4CCF"/>
    <w:rsid w:val="008A4CE0"/>
    <w:rsid w:val="008A51A8"/>
    <w:rsid w:val="008A54C7"/>
    <w:rsid w:val="008A77D8"/>
    <w:rsid w:val="008A7858"/>
    <w:rsid w:val="008B0483"/>
    <w:rsid w:val="008B120C"/>
    <w:rsid w:val="008B40D0"/>
    <w:rsid w:val="008B51A0"/>
    <w:rsid w:val="008B592A"/>
    <w:rsid w:val="008B63B8"/>
    <w:rsid w:val="008B7B5C"/>
    <w:rsid w:val="008C0C99"/>
    <w:rsid w:val="008C1BD9"/>
    <w:rsid w:val="008C2017"/>
    <w:rsid w:val="008C4958"/>
    <w:rsid w:val="008C4BAA"/>
    <w:rsid w:val="008C68D0"/>
    <w:rsid w:val="008C6AE8"/>
    <w:rsid w:val="008C7573"/>
    <w:rsid w:val="008D0655"/>
    <w:rsid w:val="008D0BFB"/>
    <w:rsid w:val="008D0CE9"/>
    <w:rsid w:val="008D0EFD"/>
    <w:rsid w:val="008D27D3"/>
    <w:rsid w:val="008D34F1"/>
    <w:rsid w:val="008D39D8"/>
    <w:rsid w:val="008D4336"/>
    <w:rsid w:val="008D4603"/>
    <w:rsid w:val="008D6AF5"/>
    <w:rsid w:val="008D6CCC"/>
    <w:rsid w:val="008D6D1A"/>
    <w:rsid w:val="008E05F6"/>
    <w:rsid w:val="008E065E"/>
    <w:rsid w:val="008E0927"/>
    <w:rsid w:val="008E0FF2"/>
    <w:rsid w:val="008E1909"/>
    <w:rsid w:val="008E1B93"/>
    <w:rsid w:val="008E1D88"/>
    <w:rsid w:val="008E25DF"/>
    <w:rsid w:val="008E3445"/>
    <w:rsid w:val="008E6DB3"/>
    <w:rsid w:val="008E76FD"/>
    <w:rsid w:val="008F0B25"/>
    <w:rsid w:val="008F0E93"/>
    <w:rsid w:val="008F109D"/>
    <w:rsid w:val="008F1EAB"/>
    <w:rsid w:val="008F33DC"/>
    <w:rsid w:val="008F477F"/>
    <w:rsid w:val="008F55FE"/>
    <w:rsid w:val="008F6C3F"/>
    <w:rsid w:val="00901136"/>
    <w:rsid w:val="00901380"/>
    <w:rsid w:val="00902350"/>
    <w:rsid w:val="0090336B"/>
    <w:rsid w:val="009053AA"/>
    <w:rsid w:val="009068B4"/>
    <w:rsid w:val="00906939"/>
    <w:rsid w:val="00910B7D"/>
    <w:rsid w:val="00911127"/>
    <w:rsid w:val="00911DFB"/>
    <w:rsid w:val="00912944"/>
    <w:rsid w:val="009139D9"/>
    <w:rsid w:val="0091445A"/>
    <w:rsid w:val="00914AD8"/>
    <w:rsid w:val="00915240"/>
    <w:rsid w:val="00915E3A"/>
    <w:rsid w:val="00916079"/>
    <w:rsid w:val="00916DAC"/>
    <w:rsid w:val="0091703B"/>
    <w:rsid w:val="00917641"/>
    <w:rsid w:val="0091778E"/>
    <w:rsid w:val="00917CE9"/>
    <w:rsid w:val="00920BF2"/>
    <w:rsid w:val="00922010"/>
    <w:rsid w:val="00922A69"/>
    <w:rsid w:val="00926863"/>
    <w:rsid w:val="009270E9"/>
    <w:rsid w:val="00927F40"/>
    <w:rsid w:val="0093103F"/>
    <w:rsid w:val="00931661"/>
    <w:rsid w:val="00931BD9"/>
    <w:rsid w:val="00931F69"/>
    <w:rsid w:val="00934DF8"/>
    <w:rsid w:val="0093601A"/>
    <w:rsid w:val="00936851"/>
    <w:rsid w:val="009368F3"/>
    <w:rsid w:val="00940BAC"/>
    <w:rsid w:val="009414FD"/>
    <w:rsid w:val="00941636"/>
    <w:rsid w:val="0094346C"/>
    <w:rsid w:val="00943742"/>
    <w:rsid w:val="00945C05"/>
    <w:rsid w:val="00946945"/>
    <w:rsid w:val="00947179"/>
    <w:rsid w:val="00947713"/>
    <w:rsid w:val="00947B01"/>
    <w:rsid w:val="009506F9"/>
    <w:rsid w:val="00950DE7"/>
    <w:rsid w:val="00950FBF"/>
    <w:rsid w:val="00951BFD"/>
    <w:rsid w:val="00953920"/>
    <w:rsid w:val="00953D47"/>
    <w:rsid w:val="00956711"/>
    <w:rsid w:val="0095681E"/>
    <w:rsid w:val="009572D4"/>
    <w:rsid w:val="00957337"/>
    <w:rsid w:val="0095740D"/>
    <w:rsid w:val="009579C0"/>
    <w:rsid w:val="00960FEA"/>
    <w:rsid w:val="00961921"/>
    <w:rsid w:val="00961DF7"/>
    <w:rsid w:val="00963C21"/>
    <w:rsid w:val="0096430A"/>
    <w:rsid w:val="009646C1"/>
    <w:rsid w:val="00964C30"/>
    <w:rsid w:val="0096554B"/>
    <w:rsid w:val="0096584A"/>
    <w:rsid w:val="00965C53"/>
    <w:rsid w:val="00967A33"/>
    <w:rsid w:val="00970523"/>
    <w:rsid w:val="00971F08"/>
    <w:rsid w:val="009739E6"/>
    <w:rsid w:val="00975997"/>
    <w:rsid w:val="0097603D"/>
    <w:rsid w:val="00976949"/>
    <w:rsid w:val="00980477"/>
    <w:rsid w:val="009827EF"/>
    <w:rsid w:val="0098284E"/>
    <w:rsid w:val="00984217"/>
    <w:rsid w:val="00985253"/>
    <w:rsid w:val="009853B3"/>
    <w:rsid w:val="00985CBE"/>
    <w:rsid w:val="00990630"/>
    <w:rsid w:val="00991761"/>
    <w:rsid w:val="00993727"/>
    <w:rsid w:val="00994DCA"/>
    <w:rsid w:val="00995585"/>
    <w:rsid w:val="009960EC"/>
    <w:rsid w:val="00996D46"/>
    <w:rsid w:val="009970DD"/>
    <w:rsid w:val="00997687"/>
    <w:rsid w:val="009A0FBA"/>
    <w:rsid w:val="009A1601"/>
    <w:rsid w:val="009A330C"/>
    <w:rsid w:val="009A3421"/>
    <w:rsid w:val="009A41F8"/>
    <w:rsid w:val="009A462D"/>
    <w:rsid w:val="009A54C1"/>
    <w:rsid w:val="009A5CBA"/>
    <w:rsid w:val="009A72AE"/>
    <w:rsid w:val="009B19F5"/>
    <w:rsid w:val="009B1F30"/>
    <w:rsid w:val="009B3AC2"/>
    <w:rsid w:val="009B4B77"/>
    <w:rsid w:val="009B4DF4"/>
    <w:rsid w:val="009B564E"/>
    <w:rsid w:val="009B76F3"/>
    <w:rsid w:val="009B7E87"/>
    <w:rsid w:val="009C08B0"/>
    <w:rsid w:val="009C2A60"/>
    <w:rsid w:val="009C403E"/>
    <w:rsid w:val="009C4EDC"/>
    <w:rsid w:val="009C527F"/>
    <w:rsid w:val="009C748E"/>
    <w:rsid w:val="009D0B72"/>
    <w:rsid w:val="009D1618"/>
    <w:rsid w:val="009D28C4"/>
    <w:rsid w:val="009D4FF0"/>
    <w:rsid w:val="009D5983"/>
    <w:rsid w:val="009D5E2A"/>
    <w:rsid w:val="009D6AE4"/>
    <w:rsid w:val="009D703C"/>
    <w:rsid w:val="009D718F"/>
    <w:rsid w:val="009D7A4A"/>
    <w:rsid w:val="009E068F"/>
    <w:rsid w:val="009E14E0"/>
    <w:rsid w:val="009E35DB"/>
    <w:rsid w:val="009E407B"/>
    <w:rsid w:val="009E47A3"/>
    <w:rsid w:val="009E537B"/>
    <w:rsid w:val="009E5902"/>
    <w:rsid w:val="009E6AA6"/>
    <w:rsid w:val="009E6AC2"/>
    <w:rsid w:val="009E6F0C"/>
    <w:rsid w:val="009F08F3"/>
    <w:rsid w:val="009F1ECE"/>
    <w:rsid w:val="009F21AA"/>
    <w:rsid w:val="009F344F"/>
    <w:rsid w:val="009F3D98"/>
    <w:rsid w:val="009F4360"/>
    <w:rsid w:val="009F47FE"/>
    <w:rsid w:val="00A00F1F"/>
    <w:rsid w:val="00A032E4"/>
    <w:rsid w:val="00A048A8"/>
    <w:rsid w:val="00A04F49"/>
    <w:rsid w:val="00A0651F"/>
    <w:rsid w:val="00A07855"/>
    <w:rsid w:val="00A10C8A"/>
    <w:rsid w:val="00A11AB7"/>
    <w:rsid w:val="00A1305E"/>
    <w:rsid w:val="00A1364F"/>
    <w:rsid w:val="00A13991"/>
    <w:rsid w:val="00A13E54"/>
    <w:rsid w:val="00A1595C"/>
    <w:rsid w:val="00A17F63"/>
    <w:rsid w:val="00A2193B"/>
    <w:rsid w:val="00A2351A"/>
    <w:rsid w:val="00A23945"/>
    <w:rsid w:val="00A24365"/>
    <w:rsid w:val="00A249D6"/>
    <w:rsid w:val="00A264A9"/>
    <w:rsid w:val="00A27785"/>
    <w:rsid w:val="00A30187"/>
    <w:rsid w:val="00A31044"/>
    <w:rsid w:val="00A3448A"/>
    <w:rsid w:val="00A35099"/>
    <w:rsid w:val="00A35130"/>
    <w:rsid w:val="00A354DD"/>
    <w:rsid w:val="00A36297"/>
    <w:rsid w:val="00A3751A"/>
    <w:rsid w:val="00A4191F"/>
    <w:rsid w:val="00A41E2B"/>
    <w:rsid w:val="00A44B11"/>
    <w:rsid w:val="00A45B74"/>
    <w:rsid w:val="00A50F35"/>
    <w:rsid w:val="00A50FA9"/>
    <w:rsid w:val="00A521B4"/>
    <w:rsid w:val="00A52E1D"/>
    <w:rsid w:val="00A55F73"/>
    <w:rsid w:val="00A56D3F"/>
    <w:rsid w:val="00A571A6"/>
    <w:rsid w:val="00A60917"/>
    <w:rsid w:val="00A61499"/>
    <w:rsid w:val="00A622C6"/>
    <w:rsid w:val="00A62A77"/>
    <w:rsid w:val="00A631EF"/>
    <w:rsid w:val="00A63483"/>
    <w:rsid w:val="00A654B7"/>
    <w:rsid w:val="00A657D7"/>
    <w:rsid w:val="00A65935"/>
    <w:rsid w:val="00A660AC"/>
    <w:rsid w:val="00A670A6"/>
    <w:rsid w:val="00A674D5"/>
    <w:rsid w:val="00A67E6C"/>
    <w:rsid w:val="00A71B99"/>
    <w:rsid w:val="00A739D0"/>
    <w:rsid w:val="00A74E64"/>
    <w:rsid w:val="00A758C5"/>
    <w:rsid w:val="00A761D4"/>
    <w:rsid w:val="00A77EC4"/>
    <w:rsid w:val="00A80BAB"/>
    <w:rsid w:val="00A8392D"/>
    <w:rsid w:val="00A85AE7"/>
    <w:rsid w:val="00A9043E"/>
    <w:rsid w:val="00A908BD"/>
    <w:rsid w:val="00A92879"/>
    <w:rsid w:val="00A93F17"/>
    <w:rsid w:val="00A9442A"/>
    <w:rsid w:val="00A96CC6"/>
    <w:rsid w:val="00AA016F"/>
    <w:rsid w:val="00AA18D0"/>
    <w:rsid w:val="00AA1ED6"/>
    <w:rsid w:val="00AA2677"/>
    <w:rsid w:val="00AA2FDC"/>
    <w:rsid w:val="00AA51D6"/>
    <w:rsid w:val="00AA56AA"/>
    <w:rsid w:val="00AB0BC8"/>
    <w:rsid w:val="00AB11CA"/>
    <w:rsid w:val="00AB14D9"/>
    <w:rsid w:val="00AB1EAE"/>
    <w:rsid w:val="00AB2AA4"/>
    <w:rsid w:val="00AB3A11"/>
    <w:rsid w:val="00AB4AB8"/>
    <w:rsid w:val="00AB54EC"/>
    <w:rsid w:val="00AB655E"/>
    <w:rsid w:val="00AB7AE6"/>
    <w:rsid w:val="00AC007F"/>
    <w:rsid w:val="00AC294B"/>
    <w:rsid w:val="00AC297D"/>
    <w:rsid w:val="00AC2ECD"/>
    <w:rsid w:val="00AC3119"/>
    <w:rsid w:val="00AC4138"/>
    <w:rsid w:val="00AC468A"/>
    <w:rsid w:val="00AC47B3"/>
    <w:rsid w:val="00AC49FB"/>
    <w:rsid w:val="00AC5A10"/>
    <w:rsid w:val="00AC6D53"/>
    <w:rsid w:val="00AD0348"/>
    <w:rsid w:val="00AD0AA3"/>
    <w:rsid w:val="00AD123F"/>
    <w:rsid w:val="00AD3168"/>
    <w:rsid w:val="00AD3F94"/>
    <w:rsid w:val="00AD4A5A"/>
    <w:rsid w:val="00AD6DFA"/>
    <w:rsid w:val="00AD7F95"/>
    <w:rsid w:val="00AE0905"/>
    <w:rsid w:val="00AE27AC"/>
    <w:rsid w:val="00AE40E0"/>
    <w:rsid w:val="00AE4DBA"/>
    <w:rsid w:val="00AE4F07"/>
    <w:rsid w:val="00AE62E2"/>
    <w:rsid w:val="00AE7446"/>
    <w:rsid w:val="00AF0DB6"/>
    <w:rsid w:val="00AF1559"/>
    <w:rsid w:val="00AF1C5D"/>
    <w:rsid w:val="00AF2026"/>
    <w:rsid w:val="00AF42D7"/>
    <w:rsid w:val="00AF43AB"/>
    <w:rsid w:val="00AF50C3"/>
    <w:rsid w:val="00AF53B6"/>
    <w:rsid w:val="00AF5CB5"/>
    <w:rsid w:val="00B0035B"/>
    <w:rsid w:val="00B00379"/>
    <w:rsid w:val="00B006FE"/>
    <w:rsid w:val="00B007CB"/>
    <w:rsid w:val="00B010BF"/>
    <w:rsid w:val="00B02AA9"/>
    <w:rsid w:val="00B02FA3"/>
    <w:rsid w:val="00B03C4C"/>
    <w:rsid w:val="00B0419A"/>
    <w:rsid w:val="00B05084"/>
    <w:rsid w:val="00B05BA5"/>
    <w:rsid w:val="00B0611B"/>
    <w:rsid w:val="00B10B32"/>
    <w:rsid w:val="00B136CA"/>
    <w:rsid w:val="00B14FE8"/>
    <w:rsid w:val="00B157F9"/>
    <w:rsid w:val="00B167F1"/>
    <w:rsid w:val="00B20256"/>
    <w:rsid w:val="00B20D09"/>
    <w:rsid w:val="00B211B2"/>
    <w:rsid w:val="00B21BE8"/>
    <w:rsid w:val="00B253E6"/>
    <w:rsid w:val="00B2763F"/>
    <w:rsid w:val="00B27AAC"/>
    <w:rsid w:val="00B30591"/>
    <w:rsid w:val="00B30929"/>
    <w:rsid w:val="00B31239"/>
    <w:rsid w:val="00B34AC3"/>
    <w:rsid w:val="00B372AA"/>
    <w:rsid w:val="00B37BC2"/>
    <w:rsid w:val="00B40445"/>
    <w:rsid w:val="00B40ECB"/>
    <w:rsid w:val="00B413D6"/>
    <w:rsid w:val="00B41888"/>
    <w:rsid w:val="00B41DF0"/>
    <w:rsid w:val="00B425F8"/>
    <w:rsid w:val="00B42BDB"/>
    <w:rsid w:val="00B43407"/>
    <w:rsid w:val="00B45A52"/>
    <w:rsid w:val="00B46175"/>
    <w:rsid w:val="00B474B4"/>
    <w:rsid w:val="00B514E7"/>
    <w:rsid w:val="00B51BFF"/>
    <w:rsid w:val="00B51F19"/>
    <w:rsid w:val="00B548DA"/>
    <w:rsid w:val="00B5748F"/>
    <w:rsid w:val="00B6145A"/>
    <w:rsid w:val="00B61615"/>
    <w:rsid w:val="00B61BB1"/>
    <w:rsid w:val="00B61E56"/>
    <w:rsid w:val="00B62AAA"/>
    <w:rsid w:val="00B650C1"/>
    <w:rsid w:val="00B664C7"/>
    <w:rsid w:val="00B666BC"/>
    <w:rsid w:val="00B669AD"/>
    <w:rsid w:val="00B66C81"/>
    <w:rsid w:val="00B67691"/>
    <w:rsid w:val="00B706A1"/>
    <w:rsid w:val="00B70D90"/>
    <w:rsid w:val="00B739F6"/>
    <w:rsid w:val="00B74B6C"/>
    <w:rsid w:val="00B81A6C"/>
    <w:rsid w:val="00B81FDF"/>
    <w:rsid w:val="00B837ED"/>
    <w:rsid w:val="00B85DE5"/>
    <w:rsid w:val="00B90580"/>
    <w:rsid w:val="00B907EA"/>
    <w:rsid w:val="00B90F73"/>
    <w:rsid w:val="00B93188"/>
    <w:rsid w:val="00B93B59"/>
    <w:rsid w:val="00B9406A"/>
    <w:rsid w:val="00B940C7"/>
    <w:rsid w:val="00B959EC"/>
    <w:rsid w:val="00B97D9D"/>
    <w:rsid w:val="00BA04E2"/>
    <w:rsid w:val="00BA181D"/>
    <w:rsid w:val="00BA1FE5"/>
    <w:rsid w:val="00BA2280"/>
    <w:rsid w:val="00BA2A08"/>
    <w:rsid w:val="00BA4150"/>
    <w:rsid w:val="00BA52AA"/>
    <w:rsid w:val="00BA5641"/>
    <w:rsid w:val="00BA56D2"/>
    <w:rsid w:val="00BA5A3F"/>
    <w:rsid w:val="00BA76E0"/>
    <w:rsid w:val="00BB2A25"/>
    <w:rsid w:val="00BB346D"/>
    <w:rsid w:val="00BB3E6E"/>
    <w:rsid w:val="00BB40A1"/>
    <w:rsid w:val="00BB51BB"/>
    <w:rsid w:val="00BB51E9"/>
    <w:rsid w:val="00BB5430"/>
    <w:rsid w:val="00BB6996"/>
    <w:rsid w:val="00BC0C69"/>
    <w:rsid w:val="00BC0E6A"/>
    <w:rsid w:val="00BC0FDC"/>
    <w:rsid w:val="00BC1DBA"/>
    <w:rsid w:val="00BC1DEE"/>
    <w:rsid w:val="00BC29AB"/>
    <w:rsid w:val="00BC3053"/>
    <w:rsid w:val="00BC4D2E"/>
    <w:rsid w:val="00BC6412"/>
    <w:rsid w:val="00BC762C"/>
    <w:rsid w:val="00BD48AC"/>
    <w:rsid w:val="00BD5F1A"/>
    <w:rsid w:val="00BD63B6"/>
    <w:rsid w:val="00BE00AA"/>
    <w:rsid w:val="00BE0792"/>
    <w:rsid w:val="00BE1234"/>
    <w:rsid w:val="00BE23A9"/>
    <w:rsid w:val="00BE2D8C"/>
    <w:rsid w:val="00BE2FA6"/>
    <w:rsid w:val="00BE32F5"/>
    <w:rsid w:val="00BE333F"/>
    <w:rsid w:val="00BE7406"/>
    <w:rsid w:val="00BE7603"/>
    <w:rsid w:val="00BF058E"/>
    <w:rsid w:val="00BF0B1D"/>
    <w:rsid w:val="00BF16CF"/>
    <w:rsid w:val="00BF20C7"/>
    <w:rsid w:val="00BF3279"/>
    <w:rsid w:val="00BF5B78"/>
    <w:rsid w:val="00BF74C7"/>
    <w:rsid w:val="00C00DEB"/>
    <w:rsid w:val="00C015F1"/>
    <w:rsid w:val="00C0173E"/>
    <w:rsid w:val="00C01973"/>
    <w:rsid w:val="00C01F33"/>
    <w:rsid w:val="00C0286B"/>
    <w:rsid w:val="00C02CC6"/>
    <w:rsid w:val="00C040F7"/>
    <w:rsid w:val="00C041B0"/>
    <w:rsid w:val="00C044AB"/>
    <w:rsid w:val="00C055AB"/>
    <w:rsid w:val="00C05706"/>
    <w:rsid w:val="00C06AF4"/>
    <w:rsid w:val="00C07377"/>
    <w:rsid w:val="00C10478"/>
    <w:rsid w:val="00C11122"/>
    <w:rsid w:val="00C1189B"/>
    <w:rsid w:val="00C11B5A"/>
    <w:rsid w:val="00C12107"/>
    <w:rsid w:val="00C12C66"/>
    <w:rsid w:val="00C145B6"/>
    <w:rsid w:val="00C14D4B"/>
    <w:rsid w:val="00C154BB"/>
    <w:rsid w:val="00C20190"/>
    <w:rsid w:val="00C223E6"/>
    <w:rsid w:val="00C23971"/>
    <w:rsid w:val="00C24DFB"/>
    <w:rsid w:val="00C26F91"/>
    <w:rsid w:val="00C26FAA"/>
    <w:rsid w:val="00C279B5"/>
    <w:rsid w:val="00C27C45"/>
    <w:rsid w:val="00C27E0C"/>
    <w:rsid w:val="00C30437"/>
    <w:rsid w:val="00C317A7"/>
    <w:rsid w:val="00C34167"/>
    <w:rsid w:val="00C3719D"/>
    <w:rsid w:val="00C372D0"/>
    <w:rsid w:val="00C41A9D"/>
    <w:rsid w:val="00C43C3B"/>
    <w:rsid w:val="00C44AE7"/>
    <w:rsid w:val="00C4791A"/>
    <w:rsid w:val="00C47A84"/>
    <w:rsid w:val="00C50C02"/>
    <w:rsid w:val="00C536F2"/>
    <w:rsid w:val="00C5386C"/>
    <w:rsid w:val="00C54995"/>
    <w:rsid w:val="00C54D41"/>
    <w:rsid w:val="00C5639D"/>
    <w:rsid w:val="00C56496"/>
    <w:rsid w:val="00C60783"/>
    <w:rsid w:val="00C60E2B"/>
    <w:rsid w:val="00C644F7"/>
    <w:rsid w:val="00C64672"/>
    <w:rsid w:val="00C66356"/>
    <w:rsid w:val="00C70697"/>
    <w:rsid w:val="00C7229E"/>
    <w:rsid w:val="00C72EF4"/>
    <w:rsid w:val="00C73B76"/>
    <w:rsid w:val="00C74D92"/>
    <w:rsid w:val="00C75608"/>
    <w:rsid w:val="00C75857"/>
    <w:rsid w:val="00C759CB"/>
    <w:rsid w:val="00C75D2F"/>
    <w:rsid w:val="00C767BE"/>
    <w:rsid w:val="00C76963"/>
    <w:rsid w:val="00C76E3C"/>
    <w:rsid w:val="00C76E76"/>
    <w:rsid w:val="00C81534"/>
    <w:rsid w:val="00C81568"/>
    <w:rsid w:val="00C81698"/>
    <w:rsid w:val="00C82B92"/>
    <w:rsid w:val="00C856D5"/>
    <w:rsid w:val="00C86997"/>
    <w:rsid w:val="00C87CDD"/>
    <w:rsid w:val="00C9027A"/>
    <w:rsid w:val="00C905DF"/>
    <w:rsid w:val="00C9068E"/>
    <w:rsid w:val="00C9363F"/>
    <w:rsid w:val="00C93C4B"/>
    <w:rsid w:val="00C94175"/>
    <w:rsid w:val="00C944AB"/>
    <w:rsid w:val="00C9451D"/>
    <w:rsid w:val="00C9474E"/>
    <w:rsid w:val="00C95B40"/>
    <w:rsid w:val="00C968EC"/>
    <w:rsid w:val="00C9793A"/>
    <w:rsid w:val="00C97B29"/>
    <w:rsid w:val="00CA0805"/>
    <w:rsid w:val="00CA0A10"/>
    <w:rsid w:val="00CA1ED8"/>
    <w:rsid w:val="00CA3172"/>
    <w:rsid w:val="00CA61FB"/>
    <w:rsid w:val="00CA6CFD"/>
    <w:rsid w:val="00CA7170"/>
    <w:rsid w:val="00CB0DE9"/>
    <w:rsid w:val="00CB1F63"/>
    <w:rsid w:val="00CB54FB"/>
    <w:rsid w:val="00CB585C"/>
    <w:rsid w:val="00CB7170"/>
    <w:rsid w:val="00CC040E"/>
    <w:rsid w:val="00CC0818"/>
    <w:rsid w:val="00CC1083"/>
    <w:rsid w:val="00CC111F"/>
    <w:rsid w:val="00CC2011"/>
    <w:rsid w:val="00CC3879"/>
    <w:rsid w:val="00CC3EA0"/>
    <w:rsid w:val="00CC4FF9"/>
    <w:rsid w:val="00CC565C"/>
    <w:rsid w:val="00CC594A"/>
    <w:rsid w:val="00CC7B45"/>
    <w:rsid w:val="00CD0835"/>
    <w:rsid w:val="00CD1188"/>
    <w:rsid w:val="00CD1D2E"/>
    <w:rsid w:val="00CD2ED1"/>
    <w:rsid w:val="00CD337B"/>
    <w:rsid w:val="00CD3A90"/>
    <w:rsid w:val="00CD3F6B"/>
    <w:rsid w:val="00CD5A07"/>
    <w:rsid w:val="00CD5C14"/>
    <w:rsid w:val="00CD7AD3"/>
    <w:rsid w:val="00CE032F"/>
    <w:rsid w:val="00CE0424"/>
    <w:rsid w:val="00CE077B"/>
    <w:rsid w:val="00CE2300"/>
    <w:rsid w:val="00CE3DF2"/>
    <w:rsid w:val="00CE3F6C"/>
    <w:rsid w:val="00CE5905"/>
    <w:rsid w:val="00CE7561"/>
    <w:rsid w:val="00CF1354"/>
    <w:rsid w:val="00CF3332"/>
    <w:rsid w:val="00CF3B1F"/>
    <w:rsid w:val="00CF3BF6"/>
    <w:rsid w:val="00CF46BC"/>
    <w:rsid w:val="00CF4E02"/>
    <w:rsid w:val="00CF4E77"/>
    <w:rsid w:val="00CF50AB"/>
    <w:rsid w:val="00CF625B"/>
    <w:rsid w:val="00CF687E"/>
    <w:rsid w:val="00CF7216"/>
    <w:rsid w:val="00CF7673"/>
    <w:rsid w:val="00D00339"/>
    <w:rsid w:val="00D0194F"/>
    <w:rsid w:val="00D0252F"/>
    <w:rsid w:val="00D0339E"/>
    <w:rsid w:val="00D0349B"/>
    <w:rsid w:val="00D03CBF"/>
    <w:rsid w:val="00D04434"/>
    <w:rsid w:val="00D04BD0"/>
    <w:rsid w:val="00D1001F"/>
    <w:rsid w:val="00D10249"/>
    <w:rsid w:val="00D115C3"/>
    <w:rsid w:val="00D11897"/>
    <w:rsid w:val="00D11F71"/>
    <w:rsid w:val="00D13135"/>
    <w:rsid w:val="00D13ABF"/>
    <w:rsid w:val="00D13E4E"/>
    <w:rsid w:val="00D15089"/>
    <w:rsid w:val="00D1723B"/>
    <w:rsid w:val="00D215AD"/>
    <w:rsid w:val="00D22874"/>
    <w:rsid w:val="00D239A7"/>
    <w:rsid w:val="00D23F47"/>
    <w:rsid w:val="00D2503E"/>
    <w:rsid w:val="00D25B3F"/>
    <w:rsid w:val="00D3005B"/>
    <w:rsid w:val="00D3101D"/>
    <w:rsid w:val="00D32166"/>
    <w:rsid w:val="00D35234"/>
    <w:rsid w:val="00D35F56"/>
    <w:rsid w:val="00D36E71"/>
    <w:rsid w:val="00D37D87"/>
    <w:rsid w:val="00D40B33"/>
    <w:rsid w:val="00D426CB"/>
    <w:rsid w:val="00D4318F"/>
    <w:rsid w:val="00D438BF"/>
    <w:rsid w:val="00D440F8"/>
    <w:rsid w:val="00D45637"/>
    <w:rsid w:val="00D46DC9"/>
    <w:rsid w:val="00D46FA5"/>
    <w:rsid w:val="00D501A9"/>
    <w:rsid w:val="00D511FF"/>
    <w:rsid w:val="00D51446"/>
    <w:rsid w:val="00D537D6"/>
    <w:rsid w:val="00D546FF"/>
    <w:rsid w:val="00D54AF4"/>
    <w:rsid w:val="00D55AD5"/>
    <w:rsid w:val="00D55B51"/>
    <w:rsid w:val="00D55C96"/>
    <w:rsid w:val="00D576CA"/>
    <w:rsid w:val="00D601A6"/>
    <w:rsid w:val="00D60E13"/>
    <w:rsid w:val="00D61AF5"/>
    <w:rsid w:val="00D62CD5"/>
    <w:rsid w:val="00D63268"/>
    <w:rsid w:val="00D63C72"/>
    <w:rsid w:val="00D6435F"/>
    <w:rsid w:val="00D64A1D"/>
    <w:rsid w:val="00D652B5"/>
    <w:rsid w:val="00D66147"/>
    <w:rsid w:val="00D66155"/>
    <w:rsid w:val="00D661B0"/>
    <w:rsid w:val="00D708B0"/>
    <w:rsid w:val="00D70E73"/>
    <w:rsid w:val="00D71BB9"/>
    <w:rsid w:val="00D75A8B"/>
    <w:rsid w:val="00D76F86"/>
    <w:rsid w:val="00D77B1D"/>
    <w:rsid w:val="00D8021F"/>
    <w:rsid w:val="00D80383"/>
    <w:rsid w:val="00D815D6"/>
    <w:rsid w:val="00D8203B"/>
    <w:rsid w:val="00D823C6"/>
    <w:rsid w:val="00D83426"/>
    <w:rsid w:val="00D85EF7"/>
    <w:rsid w:val="00D86CA3"/>
    <w:rsid w:val="00D871CE"/>
    <w:rsid w:val="00D9196D"/>
    <w:rsid w:val="00D920A7"/>
    <w:rsid w:val="00D92982"/>
    <w:rsid w:val="00D93E15"/>
    <w:rsid w:val="00D95A22"/>
    <w:rsid w:val="00D965C0"/>
    <w:rsid w:val="00DA0701"/>
    <w:rsid w:val="00DA305E"/>
    <w:rsid w:val="00DA5007"/>
    <w:rsid w:val="00DA536E"/>
    <w:rsid w:val="00DA5417"/>
    <w:rsid w:val="00DA56E8"/>
    <w:rsid w:val="00DA67A6"/>
    <w:rsid w:val="00DB06D8"/>
    <w:rsid w:val="00DB0A9F"/>
    <w:rsid w:val="00DB377D"/>
    <w:rsid w:val="00DB7182"/>
    <w:rsid w:val="00DB7A15"/>
    <w:rsid w:val="00DC21E1"/>
    <w:rsid w:val="00DC2396"/>
    <w:rsid w:val="00DC2D36"/>
    <w:rsid w:val="00DC33E4"/>
    <w:rsid w:val="00DC3DD8"/>
    <w:rsid w:val="00DC53EF"/>
    <w:rsid w:val="00DC552C"/>
    <w:rsid w:val="00DC6D71"/>
    <w:rsid w:val="00DC7FEA"/>
    <w:rsid w:val="00DD1F9F"/>
    <w:rsid w:val="00DD288E"/>
    <w:rsid w:val="00DD7867"/>
    <w:rsid w:val="00DE3A33"/>
    <w:rsid w:val="00DE5608"/>
    <w:rsid w:val="00DE58D0"/>
    <w:rsid w:val="00DE654F"/>
    <w:rsid w:val="00DF0B6E"/>
    <w:rsid w:val="00DF15E0"/>
    <w:rsid w:val="00DF20A7"/>
    <w:rsid w:val="00DF37A0"/>
    <w:rsid w:val="00DF5C56"/>
    <w:rsid w:val="00E008FB"/>
    <w:rsid w:val="00E009BE"/>
    <w:rsid w:val="00E02CFE"/>
    <w:rsid w:val="00E03DCD"/>
    <w:rsid w:val="00E05B34"/>
    <w:rsid w:val="00E110E7"/>
    <w:rsid w:val="00E11B20"/>
    <w:rsid w:val="00E141E3"/>
    <w:rsid w:val="00E156FA"/>
    <w:rsid w:val="00E174CA"/>
    <w:rsid w:val="00E17970"/>
    <w:rsid w:val="00E17B45"/>
    <w:rsid w:val="00E17FA2"/>
    <w:rsid w:val="00E22330"/>
    <w:rsid w:val="00E25B80"/>
    <w:rsid w:val="00E30776"/>
    <w:rsid w:val="00E30B5A"/>
    <w:rsid w:val="00E3123D"/>
    <w:rsid w:val="00E31461"/>
    <w:rsid w:val="00E31C0F"/>
    <w:rsid w:val="00E31D43"/>
    <w:rsid w:val="00E32608"/>
    <w:rsid w:val="00E328C4"/>
    <w:rsid w:val="00E32C7B"/>
    <w:rsid w:val="00E33E4A"/>
    <w:rsid w:val="00E34188"/>
    <w:rsid w:val="00E345CD"/>
    <w:rsid w:val="00E34B6E"/>
    <w:rsid w:val="00E35559"/>
    <w:rsid w:val="00E36156"/>
    <w:rsid w:val="00E371BC"/>
    <w:rsid w:val="00E3723A"/>
    <w:rsid w:val="00E372E0"/>
    <w:rsid w:val="00E37860"/>
    <w:rsid w:val="00E41503"/>
    <w:rsid w:val="00E446F1"/>
    <w:rsid w:val="00E44B94"/>
    <w:rsid w:val="00E46886"/>
    <w:rsid w:val="00E47AEF"/>
    <w:rsid w:val="00E52397"/>
    <w:rsid w:val="00E53037"/>
    <w:rsid w:val="00E53B29"/>
    <w:rsid w:val="00E53B75"/>
    <w:rsid w:val="00E54E3B"/>
    <w:rsid w:val="00E557CC"/>
    <w:rsid w:val="00E57565"/>
    <w:rsid w:val="00E57A1C"/>
    <w:rsid w:val="00E604AE"/>
    <w:rsid w:val="00E62B73"/>
    <w:rsid w:val="00E63838"/>
    <w:rsid w:val="00E64022"/>
    <w:rsid w:val="00E64434"/>
    <w:rsid w:val="00E67C51"/>
    <w:rsid w:val="00E70D86"/>
    <w:rsid w:val="00E72EFC"/>
    <w:rsid w:val="00E758EC"/>
    <w:rsid w:val="00E7599C"/>
    <w:rsid w:val="00E76569"/>
    <w:rsid w:val="00E81B9B"/>
    <w:rsid w:val="00E8234C"/>
    <w:rsid w:val="00E83AA9"/>
    <w:rsid w:val="00E83BE0"/>
    <w:rsid w:val="00E85928"/>
    <w:rsid w:val="00E87822"/>
    <w:rsid w:val="00E90395"/>
    <w:rsid w:val="00E90E49"/>
    <w:rsid w:val="00E91756"/>
    <w:rsid w:val="00E917F9"/>
    <w:rsid w:val="00E91E36"/>
    <w:rsid w:val="00E9291C"/>
    <w:rsid w:val="00E93FFE"/>
    <w:rsid w:val="00E94B98"/>
    <w:rsid w:val="00E94F8A"/>
    <w:rsid w:val="00E95EE7"/>
    <w:rsid w:val="00E9719C"/>
    <w:rsid w:val="00EA3284"/>
    <w:rsid w:val="00EA5B73"/>
    <w:rsid w:val="00EA6E0E"/>
    <w:rsid w:val="00EA7A41"/>
    <w:rsid w:val="00EB077B"/>
    <w:rsid w:val="00EB3697"/>
    <w:rsid w:val="00EB45F9"/>
    <w:rsid w:val="00EB4EA2"/>
    <w:rsid w:val="00EB62EC"/>
    <w:rsid w:val="00EB6361"/>
    <w:rsid w:val="00EC27C6"/>
    <w:rsid w:val="00EC38A0"/>
    <w:rsid w:val="00EC4207"/>
    <w:rsid w:val="00EC4A0B"/>
    <w:rsid w:val="00EC4A1E"/>
    <w:rsid w:val="00EC4C96"/>
    <w:rsid w:val="00EC5653"/>
    <w:rsid w:val="00EC60B5"/>
    <w:rsid w:val="00EC66B4"/>
    <w:rsid w:val="00EC71CE"/>
    <w:rsid w:val="00EC7304"/>
    <w:rsid w:val="00EC7CBE"/>
    <w:rsid w:val="00ED1006"/>
    <w:rsid w:val="00ED129F"/>
    <w:rsid w:val="00ED5DF4"/>
    <w:rsid w:val="00ED6E06"/>
    <w:rsid w:val="00EE0956"/>
    <w:rsid w:val="00EE1975"/>
    <w:rsid w:val="00EE22C9"/>
    <w:rsid w:val="00EE25E7"/>
    <w:rsid w:val="00EE57B6"/>
    <w:rsid w:val="00EE6379"/>
    <w:rsid w:val="00EE6561"/>
    <w:rsid w:val="00EF0038"/>
    <w:rsid w:val="00EF10BC"/>
    <w:rsid w:val="00EF18FE"/>
    <w:rsid w:val="00EF2E6C"/>
    <w:rsid w:val="00EF2EE3"/>
    <w:rsid w:val="00EF40ED"/>
    <w:rsid w:val="00EF45A4"/>
    <w:rsid w:val="00EF5787"/>
    <w:rsid w:val="00EF60D0"/>
    <w:rsid w:val="00EF669D"/>
    <w:rsid w:val="00EF7136"/>
    <w:rsid w:val="00F0201B"/>
    <w:rsid w:val="00F020A9"/>
    <w:rsid w:val="00F03E8C"/>
    <w:rsid w:val="00F0528D"/>
    <w:rsid w:val="00F05792"/>
    <w:rsid w:val="00F06C67"/>
    <w:rsid w:val="00F06DFD"/>
    <w:rsid w:val="00F071D1"/>
    <w:rsid w:val="00F07533"/>
    <w:rsid w:val="00F100FF"/>
    <w:rsid w:val="00F10629"/>
    <w:rsid w:val="00F11A7A"/>
    <w:rsid w:val="00F15FA5"/>
    <w:rsid w:val="00F1625B"/>
    <w:rsid w:val="00F209B7"/>
    <w:rsid w:val="00F20C4B"/>
    <w:rsid w:val="00F21C47"/>
    <w:rsid w:val="00F2376F"/>
    <w:rsid w:val="00F243D8"/>
    <w:rsid w:val="00F24E55"/>
    <w:rsid w:val="00F30828"/>
    <w:rsid w:val="00F30E66"/>
    <w:rsid w:val="00F313D6"/>
    <w:rsid w:val="00F31E10"/>
    <w:rsid w:val="00F33DF2"/>
    <w:rsid w:val="00F34D6D"/>
    <w:rsid w:val="00F35233"/>
    <w:rsid w:val="00F40806"/>
    <w:rsid w:val="00F40C33"/>
    <w:rsid w:val="00F40F0C"/>
    <w:rsid w:val="00F4350D"/>
    <w:rsid w:val="00F4352A"/>
    <w:rsid w:val="00F4766C"/>
    <w:rsid w:val="00F47D9C"/>
    <w:rsid w:val="00F507D1"/>
    <w:rsid w:val="00F51128"/>
    <w:rsid w:val="00F519CE"/>
    <w:rsid w:val="00F51ADA"/>
    <w:rsid w:val="00F51CB3"/>
    <w:rsid w:val="00F539FE"/>
    <w:rsid w:val="00F54C67"/>
    <w:rsid w:val="00F54F7C"/>
    <w:rsid w:val="00F557B4"/>
    <w:rsid w:val="00F56734"/>
    <w:rsid w:val="00F56AB5"/>
    <w:rsid w:val="00F607C5"/>
    <w:rsid w:val="00F60931"/>
    <w:rsid w:val="00F60DEA"/>
    <w:rsid w:val="00F61B6A"/>
    <w:rsid w:val="00F61E9C"/>
    <w:rsid w:val="00F62119"/>
    <w:rsid w:val="00F6302A"/>
    <w:rsid w:val="00F64295"/>
    <w:rsid w:val="00F64C2B"/>
    <w:rsid w:val="00F64C55"/>
    <w:rsid w:val="00F651BE"/>
    <w:rsid w:val="00F65DAC"/>
    <w:rsid w:val="00F668D2"/>
    <w:rsid w:val="00F66DDF"/>
    <w:rsid w:val="00F67F53"/>
    <w:rsid w:val="00F703BE"/>
    <w:rsid w:val="00F71F69"/>
    <w:rsid w:val="00F72052"/>
    <w:rsid w:val="00F72A1E"/>
    <w:rsid w:val="00F72A83"/>
    <w:rsid w:val="00F72B72"/>
    <w:rsid w:val="00F73C22"/>
    <w:rsid w:val="00F74BB9"/>
    <w:rsid w:val="00F75582"/>
    <w:rsid w:val="00F75A7F"/>
    <w:rsid w:val="00F76EFA"/>
    <w:rsid w:val="00F804BE"/>
    <w:rsid w:val="00F817CE"/>
    <w:rsid w:val="00F8456C"/>
    <w:rsid w:val="00F859D8"/>
    <w:rsid w:val="00F868F5"/>
    <w:rsid w:val="00F9056A"/>
    <w:rsid w:val="00F9083B"/>
    <w:rsid w:val="00F90F8D"/>
    <w:rsid w:val="00F92782"/>
    <w:rsid w:val="00F92798"/>
    <w:rsid w:val="00F93AA9"/>
    <w:rsid w:val="00F968DC"/>
    <w:rsid w:val="00F96985"/>
    <w:rsid w:val="00F96EAE"/>
    <w:rsid w:val="00F96EFF"/>
    <w:rsid w:val="00F97838"/>
    <w:rsid w:val="00F97BE1"/>
    <w:rsid w:val="00FA05D5"/>
    <w:rsid w:val="00FA0C03"/>
    <w:rsid w:val="00FA12B0"/>
    <w:rsid w:val="00FA1A08"/>
    <w:rsid w:val="00FA2BB3"/>
    <w:rsid w:val="00FA5D49"/>
    <w:rsid w:val="00FA7B90"/>
    <w:rsid w:val="00FB005F"/>
    <w:rsid w:val="00FB244D"/>
    <w:rsid w:val="00FB2583"/>
    <w:rsid w:val="00FB3D52"/>
    <w:rsid w:val="00FB4589"/>
    <w:rsid w:val="00FB46E6"/>
    <w:rsid w:val="00FB4C80"/>
    <w:rsid w:val="00FB6A6A"/>
    <w:rsid w:val="00FB6ACF"/>
    <w:rsid w:val="00FC0206"/>
    <w:rsid w:val="00FC076D"/>
    <w:rsid w:val="00FC4767"/>
    <w:rsid w:val="00FC4AD0"/>
    <w:rsid w:val="00FC5AA0"/>
    <w:rsid w:val="00FC7429"/>
    <w:rsid w:val="00FD07F6"/>
    <w:rsid w:val="00FD14F7"/>
    <w:rsid w:val="00FD1D12"/>
    <w:rsid w:val="00FD1EC8"/>
    <w:rsid w:val="00FD20E5"/>
    <w:rsid w:val="00FD21A9"/>
    <w:rsid w:val="00FD3FB3"/>
    <w:rsid w:val="00FD434C"/>
    <w:rsid w:val="00FD47ED"/>
    <w:rsid w:val="00FD74DB"/>
    <w:rsid w:val="00FD7660"/>
    <w:rsid w:val="00FD7F47"/>
    <w:rsid w:val="00FE0655"/>
    <w:rsid w:val="00FE20DB"/>
    <w:rsid w:val="00FE2365"/>
    <w:rsid w:val="00FE2722"/>
    <w:rsid w:val="00FE2927"/>
    <w:rsid w:val="00FE4C7B"/>
    <w:rsid w:val="00FE7336"/>
    <w:rsid w:val="00FE787C"/>
    <w:rsid w:val="00FF05B7"/>
    <w:rsid w:val="00FF1440"/>
    <w:rsid w:val="00FF1E31"/>
    <w:rsid w:val="00FF45A5"/>
    <w:rsid w:val="00FF4D74"/>
    <w:rsid w:val="00FF513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7DB6"/>
    <w:pPr>
      <w:spacing w:after="200" w:line="276" w:lineRule="auto"/>
    </w:pPr>
    <w:rPr>
      <w:rFonts w:asciiTheme="minorHAnsi" w:eastAsiaTheme="minorEastAsia" w:hAnsiTheme="minorHAnsi" w:cstheme="minorBidi"/>
      <w:sz w:val="22"/>
      <w:szCs w:val="22"/>
      <w:lang w:val="en-GB"/>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717D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7DB6"/>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en-GB"/>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en-GB"/>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en-GB" w:eastAsia="en-US"/>
    </w:rPr>
  </w:style>
  <w:style w:type="character" w:customStyle="1" w:styleId="B1Char">
    <w:name w:val="B1 Char"/>
    <w:rsid w:val="00E03DCD"/>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5NUHHDQN7SK2-1-114723</_dlc_DocId>
    <TaxCatchAll xmlns="08b2df90-05d3-4030-90d4-c9feeb4a1cd9">
      <Value>10</Value>
      <Value>9</Value>
      <Value>8</Value>
      <Value>3</Value>
      <Value>1</Value>
    </TaxCatchAll>
    <_dlc_DocIdUrl xmlns="08b2df90-05d3-4030-90d4-c9feeb4a1cd9">
      <Url>https://ericoll.internal.ericsson.com/sites/STAR/_layouts/DocIdRedir.aspx?ID=5NUHHDQN7SK2-1-114723</Url>
      <Description>5NUHHDQN7SK2-1-114723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07BEA266-2426-4FEA-A9E1-7A3F764D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460107DC-5761-40F6-8E1B-3112A03859E6}">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789c8df-cd92-43c1-8a83-195dbc0f0a0a"/>
    <ds:schemaRef ds:uri="08b2df90-05d3-4030-90d4-c9feeb4a1cd9"/>
    <ds:schemaRef ds:uri="http://www.w3.org/XML/1998/namespace"/>
    <ds:schemaRef ds:uri="http://purl.org/dc/dcmitype/"/>
  </ds:schemaRefs>
</ds:datastoreItem>
</file>

<file path=customXml/itemProps6.xml><?xml version="1.0" encoding="utf-8"?>
<ds:datastoreItem xmlns:ds="http://schemas.openxmlformats.org/officeDocument/2006/customXml" ds:itemID="{87DCBD3E-A678-49E0-A56D-3A1E26078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1728</Words>
  <Characters>8649</Characters>
  <Application>Microsoft Office Word</Application>
  <DocSecurity>0</DocSecurity>
  <Lines>72</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10357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Ericsson; TDoc; 3GPP</cp:keywords>
  <dc:description/>
  <cp:lastModifiedBy>Quan Kuang</cp:lastModifiedBy>
  <cp:revision>2</cp:revision>
  <cp:lastPrinted>2008-01-31T06:09:00Z</cp:lastPrinted>
  <dcterms:created xsi:type="dcterms:W3CDTF">2019-03-29T10:02:00Z</dcterms:created>
  <dcterms:modified xsi:type="dcterms:W3CDTF">2019-03-29T10:02:00Z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