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799" w:rsidRPr="00FD2799" w:rsidRDefault="00FD2799" w:rsidP="00FD2799">
      <w:pPr>
        <w:tabs>
          <w:tab w:val="center" w:pos="4536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bookmarkStart w:id="0" w:name="_Hlk485401214"/>
      <w:r w:rsidRPr="00FD2799">
        <w:rPr>
          <w:rFonts w:ascii="Arial" w:eastAsia="Batang" w:hAnsi="Arial" w:cs="Arial"/>
          <w:b/>
          <w:bCs/>
          <w:sz w:val="28"/>
          <w:szCs w:val="24"/>
        </w:rPr>
        <w:t>3GPP TSG RAN WG1 Meeting #95</w:t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 w:rsidRPr="00FD2799">
        <w:rPr>
          <w:rFonts w:ascii="Arial" w:eastAsia="Batang" w:hAnsi="Arial" w:cs="Arial"/>
          <w:b/>
          <w:bCs/>
          <w:sz w:val="28"/>
          <w:szCs w:val="24"/>
        </w:rPr>
        <w:tab/>
        <w:t>R1-181210</w:t>
      </w:r>
      <w:r>
        <w:rPr>
          <w:rFonts w:ascii="Arial" w:eastAsia="Batang" w:hAnsi="Arial" w:cs="Arial"/>
          <w:b/>
          <w:bCs/>
          <w:sz w:val="28"/>
          <w:szCs w:val="24"/>
        </w:rPr>
        <w:t>8</w:t>
      </w:r>
      <w:bookmarkStart w:id="1" w:name="_GoBack"/>
      <w:bookmarkEnd w:id="1"/>
    </w:p>
    <w:p w:rsidR="00FD2799" w:rsidRPr="00FD2799" w:rsidRDefault="00FD2799" w:rsidP="00FD279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</w:pPr>
      <w:r w:rsidRPr="00FD2799">
        <w:rPr>
          <w:rFonts w:ascii="Arial" w:eastAsia="MS Mincho" w:hAnsi="Arial" w:cs="Arial"/>
          <w:b/>
          <w:bCs/>
          <w:sz w:val="28"/>
          <w:szCs w:val="24"/>
          <w:lang w:eastAsia="ja-JP"/>
        </w:rPr>
        <w:t>Spokane, USA, November 12</w:t>
      </w:r>
      <w:r w:rsidRPr="00FD2799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FD2799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16</w:t>
      </w:r>
      <w:r w:rsidRPr="00FD2799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FD2799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:rsidR="00FD2799" w:rsidRDefault="00FD2799" w:rsidP="002557D8">
      <w:pPr>
        <w:widowControl w:val="0"/>
        <w:tabs>
          <w:tab w:val="left" w:pos="6289"/>
        </w:tabs>
        <w:rPr>
          <w:rFonts w:ascii="Arial" w:eastAsia="MS Mincho" w:hAnsi="Arial"/>
          <w:b/>
          <w:noProof/>
          <w:sz w:val="24"/>
        </w:rPr>
      </w:pPr>
    </w:p>
    <w:p w:rsidR="002557D8" w:rsidRPr="0054267F" w:rsidRDefault="002557D8" w:rsidP="002557D8">
      <w:pPr>
        <w:widowControl w:val="0"/>
        <w:tabs>
          <w:tab w:val="left" w:pos="6289"/>
        </w:tabs>
        <w:rPr>
          <w:rFonts w:ascii="Arial" w:eastAsia="MS Mincho" w:hAnsi="Arial"/>
          <w:b/>
          <w:noProof/>
          <w:sz w:val="24"/>
        </w:rPr>
      </w:pPr>
      <w:r w:rsidRPr="0054267F">
        <w:rPr>
          <w:rFonts w:ascii="Arial" w:eastAsia="MS Mincho" w:hAnsi="Arial"/>
          <w:b/>
          <w:noProof/>
          <w:sz w:val="24"/>
        </w:rPr>
        <w:t>3GPP TSG-RAN WG2 Meeting #103bis</w:t>
      </w:r>
      <w:r>
        <w:rPr>
          <w:rFonts w:ascii="Arial" w:eastAsia="MS Mincho" w:hAnsi="Arial"/>
          <w:b/>
          <w:noProof/>
          <w:sz w:val="24"/>
        </w:rPr>
        <w:t xml:space="preserve">         </w:t>
      </w:r>
      <w:r w:rsidRPr="0054267F">
        <w:rPr>
          <w:rFonts w:ascii="Arial" w:eastAsia="MS Mincho" w:hAnsi="Arial"/>
          <w:b/>
          <w:noProof/>
          <w:sz w:val="24"/>
        </w:rPr>
        <w:tab/>
      </w:r>
      <w:r>
        <w:rPr>
          <w:rFonts w:ascii="Arial" w:eastAsia="MS Mincho" w:hAnsi="Arial"/>
          <w:b/>
          <w:noProof/>
          <w:sz w:val="24"/>
        </w:rPr>
        <w:t xml:space="preserve">            </w:t>
      </w:r>
      <w:r w:rsidRPr="0054267F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 xml:space="preserve">                   </w:t>
      </w:r>
      <w:r w:rsidR="006C2B4B">
        <w:rPr>
          <w:rFonts w:ascii="Arial" w:eastAsia="MS Mincho" w:hAnsi="Arial"/>
          <w:b/>
          <w:noProof/>
          <w:sz w:val="24"/>
        </w:rPr>
        <w:t xml:space="preserve"> </w:t>
      </w:r>
      <w:r w:rsidR="006C2B4B" w:rsidRPr="00813A7D">
        <w:rPr>
          <w:rFonts w:ascii="Arial" w:eastAsia="MS Mincho" w:hAnsi="Arial"/>
          <w:b/>
          <w:noProof/>
          <w:sz w:val="24"/>
        </w:rPr>
        <w:t>R2-181</w:t>
      </w:r>
      <w:r w:rsidR="006128E4">
        <w:rPr>
          <w:rFonts w:ascii="Arial" w:eastAsia="MS Mincho" w:hAnsi="Arial"/>
          <w:b/>
          <w:noProof/>
          <w:sz w:val="24"/>
        </w:rPr>
        <w:t>6024</w:t>
      </w:r>
    </w:p>
    <w:p w:rsidR="002557D8" w:rsidRPr="0054267F" w:rsidRDefault="002557D8" w:rsidP="002557D8">
      <w:pPr>
        <w:tabs>
          <w:tab w:val="left" w:pos="1985"/>
        </w:tabs>
        <w:spacing w:after="60" w:line="288" w:lineRule="auto"/>
        <w:rPr>
          <w:rFonts w:ascii="Arial" w:eastAsia="MS Mincho" w:hAnsi="Arial"/>
          <w:b/>
          <w:noProof/>
          <w:sz w:val="24"/>
        </w:rPr>
      </w:pPr>
      <w:r w:rsidRPr="0054267F">
        <w:rPr>
          <w:rFonts w:ascii="Arial" w:eastAsia="MS Mincho" w:hAnsi="Arial"/>
          <w:b/>
          <w:noProof/>
          <w:sz w:val="24"/>
        </w:rPr>
        <w:t>Chengdu, China, October 8th – 12th 2018</w:t>
      </w:r>
    </w:p>
    <w:p w:rsidR="00411D52" w:rsidRDefault="00B807F5" w:rsidP="002557D8">
      <w:pPr>
        <w:pStyle w:val="3GPPHeader"/>
        <w:rPr>
          <w:rFonts w:cs="Arial"/>
          <w:b w:val="0"/>
        </w:rPr>
      </w:pPr>
      <w:r>
        <w:rPr>
          <w:rFonts w:cs="Arial"/>
          <w:lang w:val="en-US"/>
        </w:rPr>
        <w:tab/>
      </w:r>
      <w:bookmarkEnd w:id="0"/>
    </w:p>
    <w:p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_Hlk498658540"/>
      <w:r w:rsidRPr="00DE0A79">
        <w:rPr>
          <w:rFonts w:ascii="Arial" w:hAnsi="Arial" w:cs="Arial"/>
        </w:rPr>
        <w:t xml:space="preserve">LS </w:t>
      </w:r>
      <w:r w:rsidR="00E77002">
        <w:rPr>
          <w:rFonts w:ascii="Arial" w:hAnsi="Arial" w:cs="Arial"/>
        </w:rPr>
        <w:t>on</w:t>
      </w:r>
      <w:bookmarkEnd w:id="3"/>
      <w:r w:rsidR="00647411">
        <w:rPr>
          <w:rFonts w:ascii="Arial" w:hAnsi="Arial" w:cs="Arial"/>
        </w:rPr>
        <w:t xml:space="preserve"> </w:t>
      </w:r>
      <w:r w:rsidR="005E3B4E">
        <w:rPr>
          <w:rFonts w:ascii="Arial" w:hAnsi="Arial" w:cs="Arial"/>
        </w:rPr>
        <w:t>the</w:t>
      </w:r>
      <w:r w:rsidR="002557D8">
        <w:rPr>
          <w:rFonts w:ascii="Arial" w:hAnsi="Arial" w:cs="Arial"/>
        </w:rPr>
        <w:t xml:space="preserve"> total</w:t>
      </w:r>
      <w:r w:rsidR="005E3B4E">
        <w:rPr>
          <w:rFonts w:ascii="Arial" w:hAnsi="Arial" w:cs="Arial"/>
        </w:rPr>
        <w:t xml:space="preserve"> RRC </w:t>
      </w:r>
      <w:r w:rsidR="002557D8">
        <w:rPr>
          <w:rFonts w:ascii="Arial" w:hAnsi="Arial" w:cs="Arial"/>
        </w:rPr>
        <w:t>Configuration size</w:t>
      </w:r>
    </w:p>
    <w:p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2"/>
    </w:p>
    <w:p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7002">
        <w:rPr>
          <w:rFonts w:ascii="Arial" w:hAnsi="Arial" w:cs="Arial"/>
          <w:bCs/>
        </w:rPr>
        <w:t>5</w:t>
      </w:r>
    </w:p>
    <w:p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hAnsi="Arial" w:cs="Arial"/>
          <w:bCs/>
          <w:lang w:eastAsia="zh-CN"/>
        </w:rPr>
        <w:t>NR_newRAT-Core</w:t>
      </w:r>
    </w:p>
    <w:p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:rsidR="00013A0D" w:rsidRPr="00001262" w:rsidRDefault="00013A0D" w:rsidP="00013A0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EF62CC" w:rsidRPr="00813A7D">
        <w:rPr>
          <w:rFonts w:ascii="Arial" w:hAnsi="Arial" w:cs="Arial"/>
        </w:rPr>
        <w:t>RAN2</w:t>
      </w:r>
    </w:p>
    <w:p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647411">
        <w:rPr>
          <w:rFonts w:ascii="Arial" w:hAnsi="Arial" w:cs="Arial"/>
        </w:rPr>
        <w:t>RAN1</w:t>
      </w:r>
    </w:p>
    <w:p w:rsidR="00013A0D" w:rsidRDefault="00013A0D" w:rsidP="00013A0D">
      <w:pPr>
        <w:spacing w:after="60"/>
        <w:ind w:left="1985" w:hanging="1985"/>
        <w:rPr>
          <w:rFonts w:ascii="Arial" w:hAnsi="Arial" w:cs="Arial"/>
        </w:rPr>
      </w:pPr>
    </w:p>
    <w:p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:rsidR="00013A0D" w:rsidRPr="00E77002" w:rsidRDefault="00013A0D" w:rsidP="00013A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 w:rsidR="00647411">
        <w:rPr>
          <w:rFonts w:cs="Arial"/>
          <w:b w:val="0"/>
          <w:bCs/>
          <w:lang w:val="fi-FI"/>
        </w:rPr>
        <w:t>Yuanyuan Zhang</w:t>
      </w:r>
    </w:p>
    <w:p w:rsidR="00013A0D" w:rsidRPr="00373139" w:rsidRDefault="00013A0D" w:rsidP="00013A0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647411">
        <w:rPr>
          <w:rFonts w:cs="Arial"/>
          <w:b w:val="0"/>
          <w:bCs/>
          <w:color w:val="auto"/>
          <w:lang w:val="de-DE"/>
        </w:rPr>
        <w:t>yuany.zhang</w:t>
      </w:r>
      <w:r w:rsidR="001A169F">
        <w:rPr>
          <w:rFonts w:cs="Arial"/>
          <w:b w:val="0"/>
          <w:bCs/>
          <w:color w:val="auto"/>
          <w:lang w:val="de-DE"/>
        </w:rPr>
        <w:t>@media</w:t>
      </w:r>
      <w:r w:rsidR="006A783C">
        <w:rPr>
          <w:rFonts w:cs="Arial"/>
          <w:b w:val="0"/>
          <w:bCs/>
          <w:color w:val="auto"/>
          <w:lang w:val="de-DE"/>
        </w:rPr>
        <w:t>t</w:t>
      </w:r>
      <w:r w:rsidR="001A169F">
        <w:rPr>
          <w:rFonts w:cs="Arial"/>
          <w:b w:val="0"/>
          <w:bCs/>
          <w:color w:val="auto"/>
          <w:lang w:val="de-DE"/>
        </w:rPr>
        <w:t>ek.com</w:t>
      </w:r>
    </w:p>
    <w:p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:rsidR="00EF0CF9" w:rsidRPr="00373139" w:rsidRDefault="00EF0CF9">
      <w:pPr>
        <w:rPr>
          <w:rFonts w:ascii="Arial" w:hAnsi="Arial" w:cs="Arial"/>
          <w:lang w:val="de-DE"/>
        </w:rPr>
      </w:pPr>
    </w:p>
    <w:p w:rsidR="00647411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:rsidR="00E12522" w:rsidRDefault="00561441" w:rsidP="00E125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RAN2 discussed how to restrict the total RRC configuration size and reached the following agreements:</w:t>
      </w:r>
    </w:p>
    <w:p w:rsidR="00E12522" w:rsidRDefault="00E12522" w:rsidP="00E12522">
      <w:pPr>
        <w:jc w:val="both"/>
        <w:rPr>
          <w:rFonts w:ascii="Arial" w:hAnsi="Arial" w:cs="Arial"/>
        </w:rPr>
      </w:pPr>
    </w:p>
    <w:p w:rsidR="00E12522" w:rsidRDefault="00E12522" w:rsidP="00E1252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>Agreement</w:t>
      </w:r>
    </w:p>
    <w:p w:rsidR="00E12522" w:rsidRDefault="00E12522" w:rsidP="00E1252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 xml:space="preserve">1: </w:t>
      </w:r>
      <w:r>
        <w:tab/>
        <w:t xml:space="preserve">The reference for the RRC buffer size (size of the overall configuration in the UE as if the configuration was represented in a single RRC message) is defined in 38.306 as an absolute size in </w:t>
      </w:r>
      <w:r w:rsidRPr="001E3D73">
        <w:t>kbytes</w:t>
      </w:r>
    </w:p>
    <w:p w:rsidR="00E12522" w:rsidRDefault="00E12522" w:rsidP="00E1252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>2</w:t>
      </w:r>
      <w:r>
        <w:tab/>
        <w:t>Starting point is that RRC buffer size is 45 kbytes (implication of this value to be analysed and the number finalised at RAN2#104)</w:t>
      </w:r>
    </w:p>
    <w:p w:rsidR="00E12522" w:rsidRDefault="00E12522" w:rsidP="00E1252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>3</w:t>
      </w:r>
      <w:r>
        <w:tab/>
        <w:t>Support of larger than 9kbyte RRC messages can be considered in a future release.</w:t>
      </w:r>
    </w:p>
    <w:p w:rsidR="00E12522" w:rsidRDefault="00E12522" w:rsidP="00E12522">
      <w:pPr>
        <w:jc w:val="both"/>
        <w:rPr>
          <w:rFonts w:ascii="Arial" w:hAnsi="Arial" w:cs="Arial"/>
        </w:rPr>
      </w:pPr>
    </w:p>
    <w:p w:rsidR="006002EA" w:rsidRDefault="00561441" w:rsidP="00E12522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RAN2 would like to provide the following background information:</w:t>
      </w:r>
      <w:r w:rsidR="00DA7E6F">
        <w:rPr>
          <w:rFonts w:ascii="Arial" w:hAnsi="Arial" w:cs="Arial"/>
        </w:rPr>
        <w:t xml:space="preserve"> c</w:t>
      </w:r>
      <w:r w:rsidR="0067038A">
        <w:rPr>
          <w:rFonts w:ascii="Arial" w:hAnsi="Arial" w:cs="Arial"/>
        </w:rPr>
        <w:t xml:space="preserve">onsidering the huge RRC configuration size in NR and the limited RRC buffer size </w:t>
      </w:r>
      <w:r w:rsidR="001E2045">
        <w:rPr>
          <w:rFonts w:ascii="Arial" w:hAnsi="Arial" w:cs="Arial"/>
        </w:rPr>
        <w:t xml:space="preserve">at </w:t>
      </w:r>
      <w:r w:rsidR="0067038A">
        <w:rPr>
          <w:rFonts w:ascii="Arial" w:hAnsi="Arial" w:cs="Arial"/>
        </w:rPr>
        <w:t xml:space="preserve">the UE </w:t>
      </w:r>
      <w:r w:rsidR="00DA7E6F">
        <w:rPr>
          <w:rFonts w:ascii="Arial" w:hAnsi="Arial" w:cs="Arial"/>
        </w:rPr>
        <w:t>side</w:t>
      </w:r>
      <w:r w:rsidR="0067038A">
        <w:rPr>
          <w:rFonts w:ascii="Arial" w:hAnsi="Arial" w:cs="Arial"/>
        </w:rPr>
        <w:t xml:space="preserve">, </w:t>
      </w:r>
      <w:r w:rsidR="001E2045">
        <w:rPr>
          <w:rFonts w:ascii="Arial" w:hAnsi="Arial" w:cs="Arial"/>
        </w:rPr>
        <w:t>a</w:t>
      </w:r>
      <w:r w:rsidR="0067038A">
        <w:rPr>
          <w:rFonts w:ascii="Arial" w:hAnsi="Arial" w:cs="Arial"/>
        </w:rPr>
        <w:t xml:space="preserve"> </w:t>
      </w:r>
      <w:r w:rsidR="00DA7E6F">
        <w:rPr>
          <w:rFonts w:ascii="Arial" w:hAnsi="Arial" w:cs="Arial"/>
        </w:rPr>
        <w:t>reference</w:t>
      </w:r>
      <w:r>
        <w:rPr>
          <w:rFonts w:ascii="Arial" w:hAnsi="Arial" w:cs="Arial"/>
        </w:rPr>
        <w:t xml:space="preserve"> </w:t>
      </w:r>
      <w:r w:rsidR="00BB016C">
        <w:rPr>
          <w:rFonts w:ascii="Arial" w:hAnsi="Arial" w:cs="Arial"/>
        </w:rPr>
        <w:t xml:space="preserve">for UE implementation </w:t>
      </w:r>
      <w:r>
        <w:rPr>
          <w:rFonts w:ascii="Arial" w:hAnsi="Arial" w:cs="Arial"/>
        </w:rPr>
        <w:t>to store the overall RRC configuration</w:t>
      </w:r>
      <w:r w:rsidR="00DA7E6F">
        <w:rPr>
          <w:rFonts w:ascii="Arial" w:hAnsi="Arial" w:cs="Arial"/>
        </w:rPr>
        <w:t xml:space="preserve"> needs to be provided</w:t>
      </w:r>
      <w:r w:rsidR="00BB016C">
        <w:rPr>
          <w:rFonts w:ascii="Arial" w:hAnsi="Arial" w:cs="Arial"/>
        </w:rPr>
        <w:t xml:space="preserve"> in RAN2 specification</w:t>
      </w:r>
      <w:r w:rsidR="00DA7E6F">
        <w:rPr>
          <w:rFonts w:ascii="Arial" w:hAnsi="Arial" w:cs="Arial"/>
        </w:rPr>
        <w:t>. Therefore,</w:t>
      </w:r>
      <w:r>
        <w:rPr>
          <w:rFonts w:ascii="Arial" w:hAnsi="Arial" w:cs="Arial"/>
        </w:rPr>
        <w:t xml:space="preserve"> RAN2 decide</w:t>
      </w:r>
      <w:r w:rsidR="00DA7E6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define </w:t>
      </w:r>
      <w:r w:rsidR="00DA7E6F">
        <w:rPr>
          <w:rFonts w:ascii="Arial" w:hAnsi="Arial" w:cs="Arial"/>
        </w:rPr>
        <w:t xml:space="preserve">a restriction on the overall configuration size in terms of </w:t>
      </w:r>
      <w:r>
        <w:rPr>
          <w:rFonts w:ascii="Arial" w:hAnsi="Arial" w:cs="Arial"/>
        </w:rPr>
        <w:t>RRC buffer size</w:t>
      </w:r>
      <w:r w:rsidR="00BB016C">
        <w:rPr>
          <w:rFonts w:ascii="Arial" w:hAnsi="Arial" w:cs="Arial"/>
        </w:rPr>
        <w:t xml:space="preserve">. </w:t>
      </w:r>
    </w:p>
    <w:p w:rsidR="006002EA" w:rsidRDefault="006002EA" w:rsidP="00E12522">
      <w:pPr>
        <w:jc w:val="both"/>
        <w:rPr>
          <w:rFonts w:ascii="Arial" w:hAnsi="Arial" w:cs="Arial"/>
          <w:lang w:eastAsia="zh-CN"/>
        </w:rPr>
      </w:pPr>
    </w:p>
    <w:p w:rsidR="00776715" w:rsidRDefault="006002EA" w:rsidP="00D92761">
      <w:pPr>
        <w:jc w:val="both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In addition to</w:t>
      </w:r>
      <w:r w:rsidR="0067038A">
        <w:rPr>
          <w:rFonts w:ascii="Arial" w:hAnsi="Arial" w:cs="Arial"/>
        </w:rPr>
        <w:t xml:space="preserve"> the restriction on the overall configuration, the restriction on</w:t>
      </w:r>
      <w:r w:rsidR="0067038A" w:rsidRPr="0067038A">
        <w:rPr>
          <w:rFonts w:ascii="Arial" w:hAnsi="Arial" w:cs="Arial"/>
        </w:rPr>
        <w:t xml:space="preserve"> a few individual IEs </w:t>
      </w:r>
      <w:r>
        <w:rPr>
          <w:rFonts w:ascii="Arial" w:hAnsi="Arial" w:cs="Arial" w:hint="eastAsia"/>
          <w:lang w:eastAsia="zh-CN"/>
        </w:rPr>
        <w:t>might</w:t>
      </w:r>
      <w:r>
        <w:rPr>
          <w:rFonts w:ascii="Arial" w:hAnsi="Arial" w:cs="Arial"/>
        </w:rPr>
        <w:t xml:space="preserve"> </w:t>
      </w:r>
      <w:r w:rsidR="00DA7E6F">
        <w:rPr>
          <w:rFonts w:ascii="Arial" w:hAnsi="Arial" w:cs="Arial"/>
        </w:rPr>
        <w:t>be considered</w:t>
      </w:r>
      <w:r w:rsidR="0067038A" w:rsidRPr="0067038A">
        <w:rPr>
          <w:rFonts w:ascii="Arial" w:hAnsi="Arial" w:cs="Arial"/>
        </w:rPr>
        <w:t xml:space="preserve"> based on further analysis of message size limitations</w:t>
      </w:r>
      <w:r w:rsidR="0067038A" w:rsidRPr="00D92761">
        <w:rPr>
          <w:rFonts w:ascii="Arial" w:hAnsi="Arial" w:cs="Arial"/>
        </w:rPr>
        <w:t>.</w:t>
      </w:r>
      <w:r w:rsidR="00D92761" w:rsidRPr="00D92761">
        <w:rPr>
          <w:rFonts w:ascii="Arial" w:hAnsi="Arial" w:cs="Arial"/>
        </w:rPr>
        <w:t xml:space="preserve"> </w:t>
      </w:r>
      <w:r w:rsidR="00D92761" w:rsidRPr="00D92761">
        <w:rPr>
          <w:rFonts w:ascii="Arial" w:eastAsiaTheme="minorEastAsia" w:hAnsi="Arial" w:cs="Arial"/>
          <w:lang w:eastAsia="ja-JP"/>
        </w:rPr>
        <w:t xml:space="preserve">Taking UE-specific SFI table i.e. IE </w:t>
      </w:r>
      <w:r w:rsidR="00D92761" w:rsidRPr="00D92761">
        <w:rPr>
          <w:rFonts w:ascii="Arial" w:eastAsiaTheme="minorEastAsia" w:hAnsi="Arial" w:cs="Arial"/>
          <w:i/>
          <w:lang w:eastAsia="ja-JP"/>
        </w:rPr>
        <w:t>SlotFormatCombinationsPerCell</w:t>
      </w:r>
      <w:r w:rsidR="00D92761" w:rsidRPr="00D92761">
        <w:rPr>
          <w:rFonts w:ascii="Arial" w:eastAsiaTheme="minorEastAsia" w:hAnsi="Arial" w:cs="Arial"/>
          <w:lang w:eastAsia="ja-JP"/>
        </w:rPr>
        <w:t xml:space="preserve"> as an example, </w:t>
      </w:r>
      <w:r w:rsidR="00081E2F" w:rsidRPr="00735CB5">
        <w:rPr>
          <w:rFonts w:ascii="Arial" w:eastAsiaTheme="minorEastAsia" w:hAnsi="Arial" w:cs="Arial"/>
          <w:lang w:eastAsia="ja-JP"/>
        </w:rPr>
        <w:t xml:space="preserve">it contains a list with </w:t>
      </w:r>
      <w:r w:rsidR="00081E2F" w:rsidRPr="00735CB5">
        <w:rPr>
          <w:rFonts w:ascii="Arial" w:hAnsi="Arial" w:cs="Arial"/>
          <w:i/>
          <w:lang w:eastAsia="ja-JP"/>
        </w:rPr>
        <w:t>SlotFormatCombinations</w:t>
      </w:r>
      <w:r w:rsidR="00081E2F" w:rsidRPr="00735CB5">
        <w:rPr>
          <w:rFonts w:ascii="Arial" w:eastAsiaTheme="minorEastAsia" w:hAnsi="Arial" w:cs="Arial"/>
          <w:lang w:eastAsia="ja-JP"/>
        </w:rPr>
        <w:t xml:space="preserve"> and </w:t>
      </w:r>
      <w:r w:rsidR="00081E2F" w:rsidRPr="00735CB5">
        <w:rPr>
          <w:rFonts w:ascii="Arial" w:hAnsi="Arial" w:cs="Arial"/>
          <w:lang w:eastAsia="ja-JP"/>
        </w:rPr>
        <w:t xml:space="preserve">each </w:t>
      </w:r>
      <w:r w:rsidR="00081E2F" w:rsidRPr="00735CB5">
        <w:rPr>
          <w:rFonts w:ascii="Arial" w:hAnsi="Arial" w:cs="Arial"/>
          <w:i/>
          <w:lang w:eastAsia="ja-JP"/>
        </w:rPr>
        <w:t>SlotFormatCombination</w:t>
      </w:r>
      <w:r w:rsidR="00081E2F" w:rsidRPr="00735CB5">
        <w:rPr>
          <w:rFonts w:ascii="Arial" w:hAnsi="Arial" w:cs="Arial"/>
          <w:lang w:eastAsia="ja-JP"/>
        </w:rPr>
        <w:t xml:space="preserve"> comprises of one or more </w:t>
      </w:r>
      <w:r w:rsidR="00081E2F" w:rsidRPr="00735CB5">
        <w:rPr>
          <w:rFonts w:ascii="Arial" w:hAnsi="Arial" w:cs="Arial"/>
          <w:i/>
          <w:lang w:eastAsia="ja-JP"/>
        </w:rPr>
        <w:t>SlotFormats</w:t>
      </w:r>
      <w:r w:rsidR="00081E2F" w:rsidRPr="00735CB5">
        <w:rPr>
          <w:rFonts w:ascii="Arial" w:hAnsi="Arial" w:cs="Arial"/>
          <w:lang w:eastAsia="ja-JP"/>
        </w:rPr>
        <w:t>. T</w:t>
      </w:r>
      <w:r w:rsidR="00A877B4" w:rsidRPr="00735CB5">
        <w:rPr>
          <w:rFonts w:ascii="Arial" w:eastAsiaTheme="minorEastAsia" w:hAnsi="Arial" w:cs="Arial"/>
          <w:lang w:eastAsia="ja-JP"/>
        </w:rPr>
        <w:t xml:space="preserve">he </w:t>
      </w:r>
      <w:r w:rsidR="00735CB5" w:rsidRPr="00735CB5">
        <w:rPr>
          <w:rFonts w:ascii="Arial" w:eastAsiaTheme="minorEastAsia" w:hAnsi="Arial" w:cs="Arial"/>
          <w:lang w:eastAsia="ja-JP"/>
        </w:rPr>
        <w:t xml:space="preserve">total </w:t>
      </w:r>
      <w:r w:rsidR="00A877B4" w:rsidRPr="00735CB5">
        <w:rPr>
          <w:rFonts w:ascii="Arial" w:eastAsiaTheme="minorEastAsia" w:hAnsi="Arial" w:cs="Arial"/>
          <w:lang w:eastAsia="ja-JP"/>
        </w:rPr>
        <w:t xml:space="preserve">number of </w:t>
      </w:r>
      <w:r w:rsidR="00735CB5">
        <w:rPr>
          <w:rFonts w:ascii="Arial" w:hAnsi="Arial" w:cs="Arial"/>
          <w:i/>
        </w:rPr>
        <w:t>S</w:t>
      </w:r>
      <w:r w:rsidR="00A877B4" w:rsidRPr="00735CB5">
        <w:rPr>
          <w:rFonts w:ascii="Arial" w:hAnsi="Arial" w:cs="Arial"/>
          <w:i/>
        </w:rPr>
        <w:t>lotFormats</w:t>
      </w:r>
      <w:r w:rsidR="00A877B4" w:rsidRPr="00735CB5">
        <w:rPr>
          <w:rFonts w:ascii="Arial" w:hAnsi="Arial" w:cs="Arial"/>
        </w:rPr>
        <w:t xml:space="preserve"> </w:t>
      </w:r>
      <w:r w:rsidR="00735CB5">
        <w:rPr>
          <w:rFonts w:ascii="Arial" w:hAnsi="Arial" w:cs="Arial"/>
        </w:rPr>
        <w:t>could be</w:t>
      </w:r>
      <w:r w:rsidR="00081E2F" w:rsidRPr="00735CB5">
        <w:rPr>
          <w:rFonts w:ascii="Arial" w:hAnsi="Arial" w:cs="Arial"/>
        </w:rPr>
        <w:t xml:space="preserve"> 512*</w:t>
      </w:r>
      <w:r w:rsidR="00A877B4" w:rsidRPr="00735CB5">
        <w:rPr>
          <w:rFonts w:ascii="Arial" w:hAnsi="Arial" w:cs="Arial"/>
        </w:rPr>
        <w:t xml:space="preserve">256 based on </w:t>
      </w:r>
      <w:r w:rsidR="00085899">
        <w:rPr>
          <w:rFonts w:ascii="Arial" w:hAnsi="Arial" w:cs="Arial"/>
        </w:rPr>
        <w:t>the</w:t>
      </w:r>
      <w:r w:rsidR="00A877B4" w:rsidRPr="00735CB5">
        <w:rPr>
          <w:rFonts w:ascii="Arial" w:hAnsi="Arial" w:cs="Arial"/>
        </w:rPr>
        <w:t xml:space="preserve"> </w:t>
      </w:r>
      <w:r w:rsidR="008C020F" w:rsidRPr="00735CB5">
        <w:rPr>
          <w:rFonts w:ascii="Arial" w:hAnsi="Arial" w:cs="Arial"/>
        </w:rPr>
        <w:t xml:space="preserve">maximum value </w:t>
      </w:r>
      <w:r w:rsidR="008C020F">
        <w:rPr>
          <w:rFonts w:ascii="Arial" w:hAnsi="Arial" w:cs="Arial"/>
        </w:rPr>
        <w:t xml:space="preserve">and current </w:t>
      </w:r>
      <w:r w:rsidR="00A877B4" w:rsidRPr="00735CB5">
        <w:rPr>
          <w:rFonts w:ascii="Arial" w:hAnsi="Arial" w:cs="Arial"/>
        </w:rPr>
        <w:t>signalling structure</w:t>
      </w:r>
      <w:r w:rsidR="00735CB5">
        <w:rPr>
          <w:rFonts w:ascii="Arial" w:hAnsi="Arial" w:cs="Arial"/>
        </w:rPr>
        <w:t xml:space="preserve">, resulting in </w:t>
      </w:r>
      <w:r w:rsidR="00735CB5" w:rsidRPr="00735CB5">
        <w:rPr>
          <w:rFonts w:ascii="Arial" w:hAnsi="Arial" w:cs="Arial"/>
        </w:rPr>
        <w:t xml:space="preserve">the size of </w:t>
      </w:r>
      <w:r w:rsidR="00735CB5" w:rsidRPr="00735CB5">
        <w:rPr>
          <w:rFonts w:ascii="Arial" w:eastAsiaTheme="minorEastAsia" w:hAnsi="Arial" w:cs="Arial"/>
          <w:i/>
          <w:lang w:eastAsia="ja-JP"/>
        </w:rPr>
        <w:t xml:space="preserve">SlotFormatCombinationsPerCell </w:t>
      </w:r>
      <w:r w:rsidR="00735CB5" w:rsidRPr="00735CB5">
        <w:rPr>
          <w:rFonts w:ascii="Arial" w:hAnsi="Arial" w:cs="Arial"/>
        </w:rPr>
        <w:t>as large as 1Mbytes.</w:t>
      </w:r>
      <w:r w:rsidR="00A877B4" w:rsidRPr="00735CB5">
        <w:rPr>
          <w:rFonts w:ascii="Arial" w:hAnsi="Arial" w:cs="Arial"/>
        </w:rPr>
        <w:t xml:space="preserve"> So </w:t>
      </w:r>
      <w:r w:rsidR="00D92761" w:rsidRPr="00D92761">
        <w:rPr>
          <w:rFonts w:ascii="Arial" w:eastAsiaTheme="minorEastAsia" w:hAnsi="Arial" w:cs="Arial"/>
          <w:lang w:eastAsia="ja-JP"/>
        </w:rPr>
        <w:t>t</w:t>
      </w:r>
      <w:r w:rsidR="00D92761" w:rsidRPr="00D92761">
        <w:rPr>
          <w:rFonts w:ascii="Arial" w:hAnsi="Arial" w:cs="Arial"/>
        </w:rPr>
        <w:t xml:space="preserve">he total number of </w:t>
      </w:r>
      <w:r w:rsidR="00D92761" w:rsidRPr="00D92761">
        <w:rPr>
          <w:rFonts w:ascii="Arial" w:hAnsi="Arial" w:cs="Arial"/>
          <w:i/>
        </w:rPr>
        <w:t>slotFormats</w:t>
      </w:r>
      <w:r w:rsidR="00D92761" w:rsidRPr="00D92761">
        <w:rPr>
          <w:rFonts w:ascii="Arial" w:hAnsi="Arial" w:cs="Arial"/>
        </w:rPr>
        <w:t xml:space="preserve"> in the </w:t>
      </w:r>
      <w:r w:rsidR="00D92761" w:rsidRPr="00D92761">
        <w:rPr>
          <w:rFonts w:ascii="Arial" w:hAnsi="Arial" w:cs="Arial"/>
          <w:i/>
        </w:rPr>
        <w:t>slotFormatCombinations</w:t>
      </w:r>
      <w:r w:rsidR="00D92761" w:rsidRPr="00D92761">
        <w:rPr>
          <w:rFonts w:ascii="Arial" w:hAnsi="Arial" w:cs="Arial"/>
        </w:rPr>
        <w:t xml:space="preserve"> list </w:t>
      </w:r>
      <w:r w:rsidR="00735CB5">
        <w:rPr>
          <w:rFonts w:ascii="Arial" w:hAnsi="Arial" w:cs="Arial"/>
        </w:rPr>
        <w:t>is restricted to</w:t>
      </w:r>
      <w:r w:rsidR="00D92761" w:rsidRPr="00D92761">
        <w:rPr>
          <w:rFonts w:ascii="Arial" w:hAnsi="Arial" w:cs="Arial"/>
        </w:rPr>
        <w:t xml:space="preserve"> 512.</w:t>
      </w:r>
      <w:r w:rsidRPr="00D9276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From RAN2 </w:t>
      </w:r>
      <w:r w:rsidR="00EF62CC">
        <w:rPr>
          <w:rFonts w:ascii="Arial" w:hAnsi="Arial" w:cs="Arial"/>
          <w:lang w:eastAsia="zh-CN"/>
        </w:rPr>
        <w:t xml:space="preserve">analysis </w:t>
      </w:r>
      <w:r w:rsidR="00EF62CC">
        <w:rPr>
          <w:rFonts w:ascii="Arial" w:hAnsi="Arial" w:cs="Arial"/>
        </w:rPr>
        <w:t>CSI</w:t>
      </w:r>
      <w:r w:rsidR="003D0211" w:rsidRPr="007C2770">
        <w:rPr>
          <w:rFonts w:ascii="Arial" w:hAnsi="Arial" w:cs="Arial"/>
          <w:i/>
        </w:rPr>
        <w:t>-MeasConfig</w:t>
      </w:r>
      <w:r w:rsidR="003D0211" w:rsidRPr="00E54063">
        <w:rPr>
          <w:rFonts w:ascii="Arial" w:hAnsi="Arial" w:cs="Arial"/>
        </w:rPr>
        <w:t>,</w:t>
      </w:r>
      <w:r w:rsidR="003D0211" w:rsidRPr="003941D2">
        <w:rPr>
          <w:rFonts w:ascii="Arial" w:hAnsi="Arial" w:cs="Arial"/>
          <w:i/>
        </w:rPr>
        <w:t xml:space="preserve"> RACH-ConfigDedicated</w:t>
      </w:r>
      <w:r>
        <w:rPr>
          <w:rFonts w:ascii="Arial" w:hAnsi="Arial" w:cs="Arial" w:hint="eastAsia"/>
          <w:i/>
          <w:lang w:eastAsia="zh-CN"/>
        </w:rPr>
        <w:t>,</w:t>
      </w:r>
      <w:r w:rsidR="003D0211" w:rsidRPr="003941D2">
        <w:rPr>
          <w:rFonts w:ascii="Arial" w:hAnsi="Arial" w:cs="Arial"/>
          <w:i/>
        </w:rPr>
        <w:t xml:space="preserve"> MeasObjectNR</w:t>
      </w:r>
      <w:r w:rsidR="00DA7E6F">
        <w:rPr>
          <w:rFonts w:ascii="Arial" w:hAnsi="Arial" w:cs="Arial"/>
          <w:i/>
        </w:rPr>
        <w:t>,</w:t>
      </w:r>
      <w:r w:rsidR="003941D2" w:rsidRPr="003941D2">
        <w:rPr>
          <w:rFonts w:ascii="Arial" w:hAnsi="Arial" w:cs="Arial"/>
          <w:i/>
        </w:rPr>
        <w:t xml:space="preserve"> </w:t>
      </w:r>
      <w:r w:rsidR="003941D2" w:rsidRPr="003941D2">
        <w:rPr>
          <w:rFonts w:ascii="Arial" w:eastAsiaTheme="minorEastAsia" w:hAnsi="Arial" w:cs="Arial"/>
          <w:i/>
        </w:rPr>
        <w:t>BWP-Uplink</w:t>
      </w:r>
      <w:r w:rsidR="003941D2" w:rsidRPr="003941D2">
        <w:rPr>
          <w:rFonts w:ascii="Arial" w:eastAsiaTheme="minorEastAsia" w:hAnsi="Arial" w:cs="Arial"/>
        </w:rPr>
        <w:t xml:space="preserve"> and </w:t>
      </w:r>
      <w:r w:rsidR="003941D2" w:rsidRPr="003941D2">
        <w:rPr>
          <w:rFonts w:ascii="Arial" w:eastAsiaTheme="minorEastAsia" w:hAnsi="Arial" w:cs="Arial"/>
          <w:i/>
        </w:rPr>
        <w:t>BWP-Downlink</w:t>
      </w:r>
      <w:r w:rsidR="003941D2" w:rsidRPr="003941D2">
        <w:rPr>
          <w:rFonts w:ascii="Arial" w:eastAsiaTheme="minorEastAsia" w:hAnsi="Arial" w:cs="Arial"/>
        </w:rPr>
        <w:t xml:space="preserve"> need to be evaluated</w:t>
      </w:r>
      <w:r>
        <w:rPr>
          <w:rFonts w:ascii="Arial" w:eastAsiaTheme="minorEastAsia" w:hAnsi="Arial" w:cs="Arial" w:hint="eastAsia"/>
          <w:lang w:eastAsia="zh-CN"/>
        </w:rPr>
        <w:t xml:space="preserve"> with typical configurations</w:t>
      </w:r>
      <w:r w:rsidR="003941D2" w:rsidRPr="003941D2">
        <w:rPr>
          <w:rFonts w:ascii="Arial" w:eastAsiaTheme="minorEastAsia" w:hAnsi="Arial" w:cs="Arial"/>
        </w:rPr>
        <w:t xml:space="preserve">. </w:t>
      </w:r>
    </w:p>
    <w:p w:rsidR="003941D2" w:rsidRDefault="003941D2" w:rsidP="00001262">
      <w:pPr>
        <w:spacing w:before="120" w:after="120"/>
        <w:jc w:val="both"/>
        <w:rPr>
          <w:rFonts w:ascii="Arial" w:hAnsi="Arial" w:cs="Arial"/>
        </w:rPr>
      </w:pPr>
      <w:r w:rsidRPr="00041FBD">
        <w:rPr>
          <w:rFonts w:ascii="Arial" w:hAnsi="Arial" w:cs="Arial"/>
        </w:rPr>
        <w:t xml:space="preserve">RAN2 </w:t>
      </w:r>
      <w:r w:rsidR="006002EA">
        <w:rPr>
          <w:rFonts w:ascii="Arial" w:hAnsi="Arial" w:cs="Arial" w:hint="eastAsia"/>
          <w:lang w:eastAsia="zh-CN"/>
        </w:rPr>
        <w:t xml:space="preserve">also </w:t>
      </w:r>
      <w:r w:rsidRPr="00041FBD">
        <w:rPr>
          <w:rFonts w:ascii="Arial" w:hAnsi="Arial" w:cs="Arial"/>
        </w:rPr>
        <w:t xml:space="preserve">understands that </w:t>
      </w:r>
      <w:r w:rsidR="00077317" w:rsidRPr="00041FBD">
        <w:rPr>
          <w:rFonts w:ascii="Arial" w:hAnsi="Arial" w:cs="Arial"/>
        </w:rPr>
        <w:t xml:space="preserve">the </w:t>
      </w:r>
      <w:r w:rsidR="00446C2C" w:rsidRPr="00041FBD">
        <w:rPr>
          <w:rFonts w:ascii="Arial" w:hAnsi="Arial" w:cs="Arial"/>
        </w:rPr>
        <w:t xml:space="preserve">total </w:t>
      </w:r>
      <w:r w:rsidR="00077317" w:rsidRPr="00041FBD">
        <w:rPr>
          <w:rFonts w:ascii="Arial" w:hAnsi="Arial" w:cs="Arial"/>
        </w:rPr>
        <w:t xml:space="preserve">RRC </w:t>
      </w:r>
      <w:r w:rsidR="00446C2C" w:rsidRPr="00041FBD">
        <w:rPr>
          <w:rFonts w:ascii="Arial" w:hAnsi="Arial" w:cs="Arial"/>
        </w:rPr>
        <w:t xml:space="preserve">configuration size </w:t>
      </w:r>
      <w:r w:rsidRPr="00041FBD">
        <w:rPr>
          <w:rFonts w:ascii="Arial" w:hAnsi="Arial" w:cs="Arial"/>
        </w:rPr>
        <w:t>for FR1 and FR2</w:t>
      </w:r>
      <w:r w:rsidR="00077317" w:rsidRPr="00041FBD">
        <w:rPr>
          <w:rFonts w:ascii="Arial" w:hAnsi="Arial" w:cs="Arial"/>
        </w:rPr>
        <w:t xml:space="preserve"> </w:t>
      </w:r>
      <w:r w:rsidRPr="00041FBD">
        <w:rPr>
          <w:rFonts w:ascii="Arial" w:hAnsi="Arial" w:cs="Arial"/>
        </w:rPr>
        <w:t>varies a lot</w:t>
      </w:r>
      <w:r w:rsidR="00041FBD">
        <w:rPr>
          <w:rFonts w:ascii="Arial" w:hAnsi="Arial" w:cs="Arial"/>
        </w:rPr>
        <w:t xml:space="preserve"> and needs to be evaluated </w:t>
      </w:r>
      <w:r w:rsidR="002F4E57">
        <w:rPr>
          <w:rFonts w:ascii="Arial" w:hAnsi="Arial" w:cs="Arial"/>
        </w:rPr>
        <w:t>separately</w:t>
      </w:r>
      <w:r w:rsidR="00041FBD">
        <w:rPr>
          <w:rFonts w:ascii="Arial" w:hAnsi="Arial" w:cs="Arial"/>
        </w:rPr>
        <w:t xml:space="preserve"> for FR1 and FR2, be</w:t>
      </w:r>
      <w:r w:rsidRPr="00041FBD">
        <w:rPr>
          <w:rFonts w:ascii="Arial" w:eastAsiaTheme="minorEastAsia" w:hAnsi="Arial" w:cs="Arial"/>
          <w:lang w:eastAsia="ja-JP"/>
        </w:rPr>
        <w:t xml:space="preserve">cause FR2 allows </w:t>
      </w:r>
      <w:r w:rsidRPr="00041FBD">
        <w:rPr>
          <w:rFonts w:ascii="Arial" w:eastAsiaTheme="minorEastAsia" w:hAnsi="Arial" w:cs="Arial"/>
        </w:rPr>
        <w:t>large flexibility in the number of beams and much more beams will be configured</w:t>
      </w:r>
      <w:r w:rsidRPr="00041FBD">
        <w:rPr>
          <w:rFonts w:ascii="Arial" w:hAnsi="Arial" w:cs="Arial"/>
        </w:rPr>
        <w:t xml:space="preserve"> than FR1. </w:t>
      </w:r>
      <w:r w:rsidR="00041FBD">
        <w:rPr>
          <w:rFonts w:ascii="Arial" w:hAnsi="Arial" w:cs="Arial"/>
        </w:rPr>
        <w:t xml:space="preserve">The general guidance from RAN1 on the number of beams (e.g. CSI-RS resources, RA resources associated to candidate beams) for FR1 and FR2 needs to be provided. </w:t>
      </w:r>
    </w:p>
    <w:p w:rsidR="00A51123" w:rsidRDefault="00A51123" w:rsidP="00001262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Furthermore, RAN2 observes that </w:t>
      </w:r>
      <w:r w:rsidRPr="00DC5A99">
        <w:rPr>
          <w:rFonts w:ascii="Arial" w:hAnsi="Arial" w:cs="Arial"/>
          <w:i/>
        </w:rPr>
        <w:t>non-PMI-PortIndication</w:t>
      </w:r>
      <w:r w:rsidRPr="0075185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</w:t>
      </w:r>
      <w:r w:rsidRPr="00DC5A99">
        <w:rPr>
          <w:rFonts w:ascii="Arial" w:hAnsi="Arial" w:cs="Arial"/>
          <w:i/>
        </w:rPr>
        <w:t>CSI-ReportConfig</w:t>
      </w:r>
      <w:r>
        <w:t xml:space="preserve"> </w:t>
      </w:r>
      <w:r w:rsidRPr="0075185C">
        <w:rPr>
          <w:rFonts w:ascii="Arial" w:hAnsi="Arial" w:cs="Arial"/>
        </w:rPr>
        <w:t xml:space="preserve">increases </w:t>
      </w:r>
      <w:r w:rsidR="00446C2C">
        <w:rPr>
          <w:rFonts w:ascii="Arial" w:hAnsi="Arial" w:cs="Arial"/>
        </w:rPr>
        <w:t>the</w:t>
      </w:r>
      <w:r w:rsidR="00446C2C" w:rsidRPr="0075185C">
        <w:rPr>
          <w:rFonts w:ascii="Arial" w:hAnsi="Arial" w:cs="Arial"/>
        </w:rPr>
        <w:t xml:space="preserve"> </w:t>
      </w:r>
      <w:r w:rsidR="00446C2C">
        <w:rPr>
          <w:rFonts w:ascii="Arial" w:hAnsi="Arial" w:cs="Arial"/>
        </w:rPr>
        <w:t>RRC configuration size</w:t>
      </w:r>
      <w:r w:rsidR="00446C2C" w:rsidRPr="0075185C">
        <w:rPr>
          <w:rFonts w:ascii="Arial" w:hAnsi="Arial" w:cs="Arial"/>
        </w:rPr>
        <w:t xml:space="preserve"> </w:t>
      </w:r>
      <w:r w:rsidRPr="0075185C">
        <w:rPr>
          <w:rFonts w:ascii="Arial" w:hAnsi="Arial" w:cs="Arial"/>
        </w:rPr>
        <w:t>dramatically</w:t>
      </w:r>
      <w:r w:rsidR="00410CAF">
        <w:rPr>
          <w:rFonts w:ascii="Arial" w:hAnsi="Arial" w:cs="Arial"/>
        </w:rPr>
        <w:t xml:space="preserve"> and assumes that it doesn’t typically need to be configured</w:t>
      </w:r>
      <w:r w:rsidR="00D92761">
        <w:rPr>
          <w:rFonts w:ascii="Arial" w:hAnsi="Arial" w:cs="Arial"/>
        </w:rPr>
        <w:t xml:space="preserve"> </w:t>
      </w:r>
      <w:r w:rsidR="00D92761" w:rsidRPr="00D92761">
        <w:rPr>
          <w:rFonts w:ascii="Arial" w:hAnsi="Arial" w:cs="Arial"/>
        </w:rPr>
        <w:t>due to the default configuration defined recently by RAN1</w:t>
      </w:r>
      <w:r w:rsidR="00410CAF">
        <w:rPr>
          <w:rFonts w:ascii="Arial" w:hAnsi="Arial" w:cs="Arial"/>
        </w:rPr>
        <w:t xml:space="preserve">. </w:t>
      </w:r>
    </w:p>
    <w:p w:rsidR="002E15A3" w:rsidRPr="00DE0A79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:rsidR="003535A8" w:rsidRDefault="00EF0CF9" w:rsidP="00866B87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ACTION:</w:t>
      </w:r>
    </w:p>
    <w:p w:rsidR="003535A8" w:rsidRDefault="003535A8" w:rsidP="00866B87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  <w:b/>
        </w:rPr>
      </w:pPr>
    </w:p>
    <w:p w:rsidR="00DC5A99" w:rsidRPr="001A3B89" w:rsidRDefault="003535A8" w:rsidP="00001262">
      <w:pPr>
        <w:pStyle w:val="Header"/>
        <w:tabs>
          <w:tab w:val="clear" w:pos="4153"/>
          <w:tab w:val="left" w:pos="1440"/>
          <w:tab w:val="left" w:pos="2160"/>
        </w:tabs>
        <w:spacing w:before="120" w:after="120"/>
        <w:rPr>
          <w:rFonts w:ascii="Arial" w:hAnsi="Arial" w:cs="Arial"/>
        </w:rPr>
      </w:pPr>
      <w:r w:rsidRPr="001A3B89">
        <w:rPr>
          <w:rFonts w:ascii="Arial" w:hAnsi="Arial" w:cs="Arial"/>
        </w:rPr>
        <w:t>RAN2 respectfully asks RAN1 to</w:t>
      </w:r>
      <w:r>
        <w:rPr>
          <w:rFonts w:ascii="Arial" w:hAnsi="Arial" w:cs="Arial"/>
        </w:rPr>
        <w:t>:</w:t>
      </w:r>
    </w:p>
    <w:p w:rsidR="002F4E57" w:rsidRDefault="002F4E57" w:rsidP="00001262">
      <w:pPr>
        <w:pStyle w:val="Header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Take the RAN2 agreements on the total RRC configuration size into account ;</w:t>
      </w:r>
    </w:p>
    <w:p w:rsidR="00300332" w:rsidRDefault="003535A8" w:rsidP="00001262">
      <w:pPr>
        <w:pStyle w:val="Header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300332">
        <w:rPr>
          <w:rFonts w:ascii="Arial" w:hAnsi="Arial" w:cs="Arial"/>
        </w:rPr>
        <w:t xml:space="preserve">rovide typical configurations with realistic parameter values </w:t>
      </w:r>
      <w:r w:rsidR="00413920">
        <w:rPr>
          <w:rFonts w:ascii="Arial" w:hAnsi="Arial" w:cs="Arial"/>
        </w:rPr>
        <w:t xml:space="preserve">of </w:t>
      </w:r>
      <w:r w:rsidR="00410CAF" w:rsidRPr="003941D2">
        <w:rPr>
          <w:rFonts w:ascii="Arial" w:eastAsiaTheme="minorEastAsia" w:hAnsi="Arial" w:cs="Arial"/>
          <w:i/>
        </w:rPr>
        <w:t>BWP-Uplink</w:t>
      </w:r>
      <w:r w:rsidR="00410CAF" w:rsidRPr="003941D2">
        <w:rPr>
          <w:rFonts w:ascii="Arial" w:eastAsiaTheme="minorEastAsia" w:hAnsi="Arial" w:cs="Arial"/>
        </w:rPr>
        <w:t xml:space="preserve"> and </w:t>
      </w:r>
      <w:r w:rsidR="00410CAF" w:rsidRPr="003941D2">
        <w:rPr>
          <w:rFonts w:ascii="Arial" w:eastAsiaTheme="minorEastAsia" w:hAnsi="Arial" w:cs="Arial"/>
          <w:i/>
        </w:rPr>
        <w:t>BWP-Downlink</w:t>
      </w:r>
      <w:r w:rsidR="00410CAF" w:rsidRPr="003941D2">
        <w:rPr>
          <w:rFonts w:ascii="Arial" w:eastAsiaTheme="minorEastAsia" w:hAnsi="Arial" w:cs="Arial"/>
        </w:rPr>
        <w:t xml:space="preserve"> </w:t>
      </w:r>
      <w:r w:rsidR="00300332">
        <w:rPr>
          <w:rFonts w:ascii="Arial" w:hAnsi="Arial" w:cs="Arial"/>
        </w:rPr>
        <w:t xml:space="preserve">for RRC </w:t>
      </w:r>
      <w:r w:rsidR="00001262">
        <w:rPr>
          <w:rFonts w:ascii="Arial" w:hAnsi="Arial" w:cs="Arial"/>
        </w:rPr>
        <w:t>configuration</w:t>
      </w:r>
      <w:r w:rsidR="00300332">
        <w:rPr>
          <w:rFonts w:ascii="Arial" w:hAnsi="Arial" w:cs="Arial"/>
        </w:rPr>
        <w:t xml:space="preserve"> size evaluation</w:t>
      </w:r>
      <w:r w:rsidR="00873425">
        <w:rPr>
          <w:rFonts w:ascii="Arial" w:hAnsi="Arial" w:cs="Arial"/>
        </w:rPr>
        <w:t xml:space="preserve"> (e.g. the number of</w:t>
      </w:r>
      <w:r w:rsidR="00B32AFF">
        <w:rPr>
          <w:rFonts w:ascii="Arial" w:hAnsi="Arial" w:cs="Arial"/>
        </w:rPr>
        <w:t> SRS</w:t>
      </w:r>
      <w:r w:rsidR="00873425">
        <w:rPr>
          <w:rFonts w:ascii="Arial" w:hAnsi="Arial" w:cs="Arial"/>
        </w:rPr>
        <w:t>, the number of PUCCH, etc.)</w:t>
      </w:r>
      <w:r w:rsidR="00300332">
        <w:rPr>
          <w:rFonts w:ascii="Arial" w:hAnsi="Arial" w:cs="Arial"/>
        </w:rPr>
        <w:t>;</w:t>
      </w:r>
    </w:p>
    <w:p w:rsidR="00410CAF" w:rsidRPr="00410CAF" w:rsidRDefault="00410CAF" w:rsidP="00001262">
      <w:pPr>
        <w:pStyle w:val="Header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spacing w:before="120" w:after="120"/>
        <w:rPr>
          <w:rFonts w:ascii="Arial" w:hAnsi="Arial" w:cs="Arial"/>
        </w:rPr>
      </w:pPr>
      <w:r w:rsidRPr="00410CAF">
        <w:rPr>
          <w:rFonts w:ascii="Arial" w:hAnsi="Arial" w:cs="Arial"/>
        </w:rPr>
        <w:t xml:space="preserve">Confirm </w:t>
      </w:r>
      <w:r w:rsidR="009F607A">
        <w:rPr>
          <w:rFonts w:ascii="Arial" w:hAnsi="Arial" w:cs="Arial"/>
        </w:rPr>
        <w:t>whether it is correct understanding that</w:t>
      </w:r>
      <w:r w:rsidRPr="00410CAF">
        <w:rPr>
          <w:rFonts w:ascii="Arial" w:hAnsi="Arial" w:cs="Arial"/>
        </w:rPr>
        <w:t xml:space="preserve"> FR1 and FR2 configure different number of beams and result in different</w:t>
      </w:r>
      <w:r w:rsidR="009F607A">
        <w:rPr>
          <w:rFonts w:ascii="Arial" w:hAnsi="Arial" w:cs="Arial"/>
        </w:rPr>
        <w:t xml:space="preserve"> RRC configuration size; </w:t>
      </w:r>
      <w:r w:rsidRPr="00410CAF">
        <w:rPr>
          <w:rFonts w:ascii="Arial" w:hAnsi="Arial" w:cs="Arial"/>
        </w:rPr>
        <w:t>provide guidance on the number of beams configured in FR1 and FR2</w:t>
      </w:r>
      <w:r w:rsidR="00501F5D">
        <w:rPr>
          <w:rFonts w:ascii="Arial" w:hAnsi="Arial" w:cs="Arial"/>
        </w:rPr>
        <w:t xml:space="preserve"> (e.g. CSI-RS resources, RA resources associated to candidate beams)</w:t>
      </w:r>
      <w:r>
        <w:rPr>
          <w:rFonts w:ascii="Arial" w:hAnsi="Arial" w:cs="Arial"/>
        </w:rPr>
        <w:t>;</w:t>
      </w:r>
    </w:p>
    <w:p w:rsidR="00730484" w:rsidRDefault="00410CAF" w:rsidP="00001262">
      <w:pPr>
        <w:pStyle w:val="Header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spacing w:before="120" w:after="120"/>
        <w:rPr>
          <w:rFonts w:ascii="Arial" w:hAnsi="Arial" w:cs="Arial"/>
        </w:rPr>
      </w:pPr>
      <w:r w:rsidRPr="00410CAF">
        <w:rPr>
          <w:rFonts w:ascii="Arial" w:hAnsi="Arial" w:cs="Arial"/>
        </w:rPr>
        <w:t>Confirm</w:t>
      </w:r>
      <w:r>
        <w:rPr>
          <w:rFonts w:ascii="Arial" w:hAnsi="Arial" w:cs="Arial"/>
        </w:rPr>
        <w:t xml:space="preserve"> whether</w:t>
      </w:r>
      <w:r w:rsidR="009F607A">
        <w:rPr>
          <w:rFonts w:ascii="Arial" w:hAnsi="Arial" w:cs="Arial"/>
        </w:rPr>
        <w:t xml:space="preserve"> it is correct understanding that</w:t>
      </w:r>
      <w:r>
        <w:rPr>
          <w:rFonts w:ascii="Arial" w:hAnsi="Arial" w:cs="Arial"/>
          <w:i/>
        </w:rPr>
        <w:t xml:space="preserve"> </w:t>
      </w:r>
      <w:r w:rsidRPr="00DC5A99">
        <w:rPr>
          <w:rFonts w:ascii="Arial" w:hAnsi="Arial" w:cs="Arial"/>
          <w:i/>
        </w:rPr>
        <w:t>non-PMI-PortIndication</w:t>
      </w:r>
      <w:r w:rsidRPr="0075185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</w:t>
      </w:r>
      <w:r w:rsidRPr="00DC5A99">
        <w:rPr>
          <w:rFonts w:ascii="Arial" w:hAnsi="Arial" w:cs="Arial"/>
          <w:i/>
        </w:rPr>
        <w:t>CSI-ReportConfig</w:t>
      </w:r>
      <w:r>
        <w:t xml:space="preserve"> </w:t>
      </w:r>
      <w:r>
        <w:rPr>
          <w:rFonts w:ascii="Arial" w:hAnsi="Arial" w:cs="Arial"/>
        </w:rPr>
        <w:t>doesn’t typically need to be configured</w:t>
      </w:r>
      <w:r w:rsidR="00501F5D">
        <w:rPr>
          <w:rFonts w:ascii="Arial" w:hAnsi="Arial" w:cs="Arial"/>
        </w:rPr>
        <w:t xml:space="preserve"> due to the default configuration</w:t>
      </w:r>
      <w:r w:rsidR="00DD5A46">
        <w:rPr>
          <w:rFonts w:ascii="Arial" w:hAnsi="Arial" w:cs="Arial"/>
        </w:rPr>
        <w:t xml:space="preserve">. </w:t>
      </w:r>
    </w:p>
    <w:p w:rsidR="00A51123" w:rsidRPr="00BE6EC6" w:rsidRDefault="00A51123" w:rsidP="00A51123">
      <w:pPr>
        <w:pStyle w:val="Header"/>
        <w:tabs>
          <w:tab w:val="clear" w:pos="4153"/>
          <w:tab w:val="left" w:pos="1440"/>
          <w:tab w:val="left" w:pos="2160"/>
        </w:tabs>
        <w:ind w:left="720"/>
        <w:rPr>
          <w:rFonts w:ascii="Arial" w:hAnsi="Arial" w:cs="Arial"/>
        </w:rPr>
      </w:pPr>
    </w:p>
    <w:p w:rsidR="004F5E63" w:rsidRPr="00BE6EC6" w:rsidRDefault="00077317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:rsidR="00410CAF" w:rsidRDefault="00410CAF" w:rsidP="00410CAF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12-16 November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Spokane, Washington, US</w:t>
      </w:r>
    </w:p>
    <w:p w:rsidR="00410CAF" w:rsidRDefault="00410CAF" w:rsidP="00410CAF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February-1 March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</w:t>
      </w:r>
    </w:p>
    <w:p w:rsidR="00E55A18" w:rsidRDefault="00E55A18" w:rsidP="00BE6EC6">
      <w:pPr>
        <w:spacing w:after="120"/>
        <w:ind w:left="1985" w:hanging="1985"/>
        <w:rPr>
          <w:rFonts w:ascii="Arial" w:hAnsi="Arial" w:cs="Arial"/>
          <w:bCs/>
        </w:rPr>
      </w:pPr>
    </w:p>
    <w:sectPr w:rsidR="00E55A18" w:rsidSect="009D782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4AE" w:rsidRDefault="00E164AE">
      <w:r>
        <w:separator/>
      </w:r>
    </w:p>
  </w:endnote>
  <w:endnote w:type="continuationSeparator" w:id="0">
    <w:p w:rsidR="00E164AE" w:rsidRDefault="00E164AE">
      <w:r>
        <w:continuationSeparator/>
      </w:r>
    </w:p>
  </w:endnote>
  <w:endnote w:type="continuationNotice" w:id="1">
    <w:p w:rsidR="00E164AE" w:rsidRDefault="00E164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4AE" w:rsidRDefault="00E164AE">
      <w:r>
        <w:separator/>
      </w:r>
    </w:p>
  </w:footnote>
  <w:footnote w:type="continuationSeparator" w:id="0">
    <w:p w:rsidR="00E164AE" w:rsidRDefault="00E164AE">
      <w:r>
        <w:continuationSeparator/>
      </w:r>
    </w:p>
  </w:footnote>
  <w:footnote w:type="continuationNotice" w:id="1">
    <w:p w:rsidR="00E164AE" w:rsidRDefault="00E164A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A412D0"/>
    <w:multiLevelType w:val="hybridMultilevel"/>
    <w:tmpl w:val="9208E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1" w15:restartNumberingAfterBreak="0">
    <w:nsid w:val="36A4762E"/>
    <w:multiLevelType w:val="hybridMultilevel"/>
    <w:tmpl w:val="2B9EC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DF0FC0"/>
    <w:multiLevelType w:val="hybridMultilevel"/>
    <w:tmpl w:val="C586477A"/>
    <w:lvl w:ilvl="0" w:tplc="27B0F5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33E0C"/>
    <w:multiLevelType w:val="hybridMultilevel"/>
    <w:tmpl w:val="26EC7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2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ABF38B1"/>
    <w:multiLevelType w:val="hybridMultilevel"/>
    <w:tmpl w:val="763E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2"/>
  </w:num>
  <w:num w:numId="3">
    <w:abstractNumId w:val="16"/>
  </w:num>
  <w:num w:numId="4">
    <w:abstractNumId w:val="4"/>
  </w:num>
  <w:num w:numId="5">
    <w:abstractNumId w:val="20"/>
  </w:num>
  <w:num w:numId="6">
    <w:abstractNumId w:val="1"/>
  </w:num>
  <w:num w:numId="7">
    <w:abstractNumId w:val="2"/>
  </w:num>
  <w:num w:numId="8">
    <w:abstractNumId w:val="8"/>
  </w:num>
  <w:num w:numId="9">
    <w:abstractNumId w:val="6"/>
  </w:num>
  <w:num w:numId="10">
    <w:abstractNumId w:val="34"/>
  </w:num>
  <w:num w:numId="11">
    <w:abstractNumId w:val="15"/>
  </w:num>
  <w:num w:numId="12">
    <w:abstractNumId w:val="19"/>
  </w:num>
  <w:num w:numId="13">
    <w:abstractNumId w:val="14"/>
  </w:num>
  <w:num w:numId="14">
    <w:abstractNumId w:val="29"/>
  </w:num>
  <w:num w:numId="15">
    <w:abstractNumId w:val="18"/>
  </w:num>
  <w:num w:numId="16">
    <w:abstractNumId w:val="0"/>
  </w:num>
  <w:num w:numId="17">
    <w:abstractNumId w:val="17"/>
  </w:num>
  <w:num w:numId="18">
    <w:abstractNumId w:val="25"/>
  </w:num>
  <w:num w:numId="19">
    <w:abstractNumId w:val="23"/>
  </w:num>
  <w:num w:numId="20">
    <w:abstractNumId w:val="26"/>
  </w:num>
  <w:num w:numId="21">
    <w:abstractNumId w:val="31"/>
  </w:num>
  <w:num w:numId="22">
    <w:abstractNumId w:val="9"/>
  </w:num>
  <w:num w:numId="23">
    <w:abstractNumId w:val="5"/>
  </w:num>
  <w:num w:numId="24">
    <w:abstractNumId w:val="28"/>
  </w:num>
  <w:num w:numId="25">
    <w:abstractNumId w:val="32"/>
  </w:num>
  <w:num w:numId="26">
    <w:abstractNumId w:val="3"/>
  </w:num>
  <w:num w:numId="27">
    <w:abstractNumId w:val="10"/>
  </w:num>
  <w:num w:numId="28">
    <w:abstractNumId w:val="33"/>
  </w:num>
  <w:num w:numId="29">
    <w:abstractNumId w:val="12"/>
  </w:num>
  <w:num w:numId="30">
    <w:abstractNumId w:val="30"/>
  </w:num>
  <w:num w:numId="31">
    <w:abstractNumId w:val="24"/>
  </w:num>
  <w:num w:numId="32">
    <w:abstractNumId w:val="13"/>
  </w:num>
  <w:num w:numId="33">
    <w:abstractNumId w:val="35"/>
  </w:num>
  <w:num w:numId="34">
    <w:abstractNumId w:val="11"/>
  </w:num>
  <w:num w:numId="35">
    <w:abstractNumId w:val="7"/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0D72"/>
    <w:rsid w:val="00001262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41BCA"/>
    <w:rsid w:val="00041FBD"/>
    <w:rsid w:val="00043BFC"/>
    <w:rsid w:val="000440F1"/>
    <w:rsid w:val="000451B9"/>
    <w:rsid w:val="00047185"/>
    <w:rsid w:val="00054D4E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762F6"/>
    <w:rsid w:val="00077317"/>
    <w:rsid w:val="00081DB0"/>
    <w:rsid w:val="00081E2F"/>
    <w:rsid w:val="0008338D"/>
    <w:rsid w:val="00083DAC"/>
    <w:rsid w:val="00085899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34E3"/>
    <w:rsid w:val="000B4FF5"/>
    <w:rsid w:val="000B67FB"/>
    <w:rsid w:val="000C4ECE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1953"/>
    <w:rsid w:val="000F28D0"/>
    <w:rsid w:val="00102A88"/>
    <w:rsid w:val="00106AEA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B50"/>
    <w:rsid w:val="00140C63"/>
    <w:rsid w:val="00143C01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3037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3B89"/>
    <w:rsid w:val="001A6CEF"/>
    <w:rsid w:val="001B007E"/>
    <w:rsid w:val="001B1884"/>
    <w:rsid w:val="001B5720"/>
    <w:rsid w:val="001B78F5"/>
    <w:rsid w:val="001B7C3A"/>
    <w:rsid w:val="001C1E4A"/>
    <w:rsid w:val="001C3B35"/>
    <w:rsid w:val="001D76A6"/>
    <w:rsid w:val="001E0674"/>
    <w:rsid w:val="001E2045"/>
    <w:rsid w:val="001E6385"/>
    <w:rsid w:val="001E6975"/>
    <w:rsid w:val="001E7AFB"/>
    <w:rsid w:val="001F0569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3268"/>
    <w:rsid w:val="00226727"/>
    <w:rsid w:val="00230C11"/>
    <w:rsid w:val="00231794"/>
    <w:rsid w:val="00231E9A"/>
    <w:rsid w:val="00235C69"/>
    <w:rsid w:val="00244BB3"/>
    <w:rsid w:val="00244E6D"/>
    <w:rsid w:val="00247DBE"/>
    <w:rsid w:val="0025282A"/>
    <w:rsid w:val="002557D8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4E57"/>
    <w:rsid w:val="002F55C9"/>
    <w:rsid w:val="002F721B"/>
    <w:rsid w:val="002F7E4D"/>
    <w:rsid w:val="00300332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35A8"/>
    <w:rsid w:val="003555C0"/>
    <w:rsid w:val="00355910"/>
    <w:rsid w:val="00355F42"/>
    <w:rsid w:val="0035617C"/>
    <w:rsid w:val="00357CB5"/>
    <w:rsid w:val="00362A15"/>
    <w:rsid w:val="00363E61"/>
    <w:rsid w:val="00366690"/>
    <w:rsid w:val="00367084"/>
    <w:rsid w:val="00367CE5"/>
    <w:rsid w:val="00373139"/>
    <w:rsid w:val="003838D6"/>
    <w:rsid w:val="003847AB"/>
    <w:rsid w:val="0039013E"/>
    <w:rsid w:val="0039347D"/>
    <w:rsid w:val="003941D2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41B8"/>
    <w:rsid w:val="003C5AB3"/>
    <w:rsid w:val="003D0211"/>
    <w:rsid w:val="003D4613"/>
    <w:rsid w:val="003D5258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29A8"/>
    <w:rsid w:val="004055AE"/>
    <w:rsid w:val="00410CAF"/>
    <w:rsid w:val="00411052"/>
    <w:rsid w:val="00411D52"/>
    <w:rsid w:val="00411F2B"/>
    <w:rsid w:val="00413920"/>
    <w:rsid w:val="00414095"/>
    <w:rsid w:val="00420D49"/>
    <w:rsid w:val="00423DA5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46C2C"/>
    <w:rsid w:val="00450B49"/>
    <w:rsid w:val="0045106A"/>
    <w:rsid w:val="00455E0B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2FE9"/>
    <w:rsid w:val="00484924"/>
    <w:rsid w:val="004851D9"/>
    <w:rsid w:val="00485A43"/>
    <w:rsid w:val="00485DD0"/>
    <w:rsid w:val="00485FEA"/>
    <w:rsid w:val="0048695E"/>
    <w:rsid w:val="00491F0C"/>
    <w:rsid w:val="004935E1"/>
    <w:rsid w:val="004946AB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26C3"/>
    <w:rsid w:val="004B42E1"/>
    <w:rsid w:val="004B56D0"/>
    <w:rsid w:val="004C1D8C"/>
    <w:rsid w:val="004C59E2"/>
    <w:rsid w:val="004C6162"/>
    <w:rsid w:val="004C63C4"/>
    <w:rsid w:val="004C7858"/>
    <w:rsid w:val="004C7F85"/>
    <w:rsid w:val="004D5E9B"/>
    <w:rsid w:val="004D67B8"/>
    <w:rsid w:val="004E0400"/>
    <w:rsid w:val="004E195A"/>
    <w:rsid w:val="004E3E56"/>
    <w:rsid w:val="004E425B"/>
    <w:rsid w:val="004E519A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0558"/>
    <w:rsid w:val="00501A7C"/>
    <w:rsid w:val="00501C06"/>
    <w:rsid w:val="00501F5D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44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3B4E"/>
    <w:rsid w:val="005E4D0E"/>
    <w:rsid w:val="005E69EC"/>
    <w:rsid w:val="005F024B"/>
    <w:rsid w:val="005F0949"/>
    <w:rsid w:val="005F3D3B"/>
    <w:rsid w:val="005F5DB6"/>
    <w:rsid w:val="005F70EA"/>
    <w:rsid w:val="005F7423"/>
    <w:rsid w:val="006002EA"/>
    <w:rsid w:val="00602210"/>
    <w:rsid w:val="0060495A"/>
    <w:rsid w:val="00607B2F"/>
    <w:rsid w:val="006128E4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47411"/>
    <w:rsid w:val="00650D42"/>
    <w:rsid w:val="00651375"/>
    <w:rsid w:val="00652E9A"/>
    <w:rsid w:val="00654680"/>
    <w:rsid w:val="0065643E"/>
    <w:rsid w:val="0066353E"/>
    <w:rsid w:val="00664627"/>
    <w:rsid w:val="00667F08"/>
    <w:rsid w:val="0067038A"/>
    <w:rsid w:val="0067116F"/>
    <w:rsid w:val="00671C73"/>
    <w:rsid w:val="00672662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A783C"/>
    <w:rsid w:val="006B036C"/>
    <w:rsid w:val="006B050A"/>
    <w:rsid w:val="006B06BB"/>
    <w:rsid w:val="006B0C5F"/>
    <w:rsid w:val="006B1181"/>
    <w:rsid w:val="006B206A"/>
    <w:rsid w:val="006B26D8"/>
    <w:rsid w:val="006B56AD"/>
    <w:rsid w:val="006B6870"/>
    <w:rsid w:val="006C2B4B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5306"/>
    <w:rsid w:val="006E636D"/>
    <w:rsid w:val="006E741C"/>
    <w:rsid w:val="006F6E2C"/>
    <w:rsid w:val="006F7D44"/>
    <w:rsid w:val="006F7ED2"/>
    <w:rsid w:val="0070170F"/>
    <w:rsid w:val="0070244A"/>
    <w:rsid w:val="007033E7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0484"/>
    <w:rsid w:val="0073482B"/>
    <w:rsid w:val="00735CB5"/>
    <w:rsid w:val="00741A30"/>
    <w:rsid w:val="00741D38"/>
    <w:rsid w:val="00745EEB"/>
    <w:rsid w:val="0075185C"/>
    <w:rsid w:val="00751C89"/>
    <w:rsid w:val="00756B1E"/>
    <w:rsid w:val="0076033E"/>
    <w:rsid w:val="0076433F"/>
    <w:rsid w:val="00765258"/>
    <w:rsid w:val="00765E3F"/>
    <w:rsid w:val="00774D42"/>
    <w:rsid w:val="0077524A"/>
    <w:rsid w:val="00775E39"/>
    <w:rsid w:val="00776715"/>
    <w:rsid w:val="007768AC"/>
    <w:rsid w:val="007801BB"/>
    <w:rsid w:val="007839E9"/>
    <w:rsid w:val="00783D75"/>
    <w:rsid w:val="007931D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5F03"/>
    <w:rsid w:val="007B7ADA"/>
    <w:rsid w:val="007C09F0"/>
    <w:rsid w:val="007C0E86"/>
    <w:rsid w:val="007C2770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369"/>
    <w:rsid w:val="00810CB2"/>
    <w:rsid w:val="008127D9"/>
    <w:rsid w:val="00813A7D"/>
    <w:rsid w:val="00813B5D"/>
    <w:rsid w:val="00814AF5"/>
    <w:rsid w:val="00815D9B"/>
    <w:rsid w:val="0081655A"/>
    <w:rsid w:val="00821EF6"/>
    <w:rsid w:val="008271BA"/>
    <w:rsid w:val="00830E6C"/>
    <w:rsid w:val="0083155F"/>
    <w:rsid w:val="008328AA"/>
    <w:rsid w:val="008330E4"/>
    <w:rsid w:val="00834270"/>
    <w:rsid w:val="00835E0A"/>
    <w:rsid w:val="00836D49"/>
    <w:rsid w:val="00837089"/>
    <w:rsid w:val="00840E3D"/>
    <w:rsid w:val="00841E51"/>
    <w:rsid w:val="00843ADF"/>
    <w:rsid w:val="00852342"/>
    <w:rsid w:val="00856CC0"/>
    <w:rsid w:val="0086691E"/>
    <w:rsid w:val="00866B87"/>
    <w:rsid w:val="008716C8"/>
    <w:rsid w:val="00872B8A"/>
    <w:rsid w:val="00873425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0311"/>
    <w:rsid w:val="00891820"/>
    <w:rsid w:val="008928D8"/>
    <w:rsid w:val="008969B5"/>
    <w:rsid w:val="008A196A"/>
    <w:rsid w:val="008A34F4"/>
    <w:rsid w:val="008A6E0D"/>
    <w:rsid w:val="008B44EA"/>
    <w:rsid w:val="008B6DD4"/>
    <w:rsid w:val="008C020F"/>
    <w:rsid w:val="008C4324"/>
    <w:rsid w:val="008C683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5906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42D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7C04"/>
    <w:rsid w:val="00961074"/>
    <w:rsid w:val="00973C69"/>
    <w:rsid w:val="009741F7"/>
    <w:rsid w:val="00977095"/>
    <w:rsid w:val="00980C70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4AE8"/>
    <w:rsid w:val="009C76C5"/>
    <w:rsid w:val="009D0193"/>
    <w:rsid w:val="009D1105"/>
    <w:rsid w:val="009D161F"/>
    <w:rsid w:val="009D597C"/>
    <w:rsid w:val="009D6DBB"/>
    <w:rsid w:val="009D782B"/>
    <w:rsid w:val="009E06F5"/>
    <w:rsid w:val="009E29F9"/>
    <w:rsid w:val="009E4502"/>
    <w:rsid w:val="009E5C2D"/>
    <w:rsid w:val="009E738E"/>
    <w:rsid w:val="009F13CD"/>
    <w:rsid w:val="009F607A"/>
    <w:rsid w:val="009F726C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123"/>
    <w:rsid w:val="00A517A0"/>
    <w:rsid w:val="00A60087"/>
    <w:rsid w:val="00A60C20"/>
    <w:rsid w:val="00A617E6"/>
    <w:rsid w:val="00A646B1"/>
    <w:rsid w:val="00A6509F"/>
    <w:rsid w:val="00A65989"/>
    <w:rsid w:val="00A66DEC"/>
    <w:rsid w:val="00A67972"/>
    <w:rsid w:val="00A72F81"/>
    <w:rsid w:val="00A74FE8"/>
    <w:rsid w:val="00A75A1E"/>
    <w:rsid w:val="00A75FB8"/>
    <w:rsid w:val="00A82572"/>
    <w:rsid w:val="00A83D54"/>
    <w:rsid w:val="00A84676"/>
    <w:rsid w:val="00A877B4"/>
    <w:rsid w:val="00A879B6"/>
    <w:rsid w:val="00A87D80"/>
    <w:rsid w:val="00A923FF"/>
    <w:rsid w:val="00A975C2"/>
    <w:rsid w:val="00AA12C4"/>
    <w:rsid w:val="00AA36DD"/>
    <w:rsid w:val="00AB509E"/>
    <w:rsid w:val="00AB51EF"/>
    <w:rsid w:val="00AB587B"/>
    <w:rsid w:val="00AC15BF"/>
    <w:rsid w:val="00AC1D62"/>
    <w:rsid w:val="00AC47F9"/>
    <w:rsid w:val="00AC51CC"/>
    <w:rsid w:val="00AD052A"/>
    <w:rsid w:val="00AD2751"/>
    <w:rsid w:val="00AD606E"/>
    <w:rsid w:val="00AD7801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15534"/>
    <w:rsid w:val="00B17D48"/>
    <w:rsid w:val="00B2250C"/>
    <w:rsid w:val="00B23F1F"/>
    <w:rsid w:val="00B25CFB"/>
    <w:rsid w:val="00B26523"/>
    <w:rsid w:val="00B279E4"/>
    <w:rsid w:val="00B31D09"/>
    <w:rsid w:val="00B32AFF"/>
    <w:rsid w:val="00B361BD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0ED3"/>
    <w:rsid w:val="00B542B4"/>
    <w:rsid w:val="00B57585"/>
    <w:rsid w:val="00B60AB7"/>
    <w:rsid w:val="00B612DE"/>
    <w:rsid w:val="00B62556"/>
    <w:rsid w:val="00B64F2F"/>
    <w:rsid w:val="00B73D78"/>
    <w:rsid w:val="00B759F8"/>
    <w:rsid w:val="00B76B95"/>
    <w:rsid w:val="00B77769"/>
    <w:rsid w:val="00B803D5"/>
    <w:rsid w:val="00B807F5"/>
    <w:rsid w:val="00B81771"/>
    <w:rsid w:val="00B84F3E"/>
    <w:rsid w:val="00B85C5C"/>
    <w:rsid w:val="00B90ABE"/>
    <w:rsid w:val="00B93A7B"/>
    <w:rsid w:val="00B9538D"/>
    <w:rsid w:val="00B95966"/>
    <w:rsid w:val="00BA2CF0"/>
    <w:rsid w:val="00BA5546"/>
    <w:rsid w:val="00BB016C"/>
    <w:rsid w:val="00BB093F"/>
    <w:rsid w:val="00BB1702"/>
    <w:rsid w:val="00BB3CCD"/>
    <w:rsid w:val="00BB4B3A"/>
    <w:rsid w:val="00BC1113"/>
    <w:rsid w:val="00BC3247"/>
    <w:rsid w:val="00BC399D"/>
    <w:rsid w:val="00BC3D84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2DD4"/>
    <w:rsid w:val="00C23BA6"/>
    <w:rsid w:val="00C262A7"/>
    <w:rsid w:val="00C311C6"/>
    <w:rsid w:val="00C327C0"/>
    <w:rsid w:val="00C32EA3"/>
    <w:rsid w:val="00C3518E"/>
    <w:rsid w:val="00C3598C"/>
    <w:rsid w:val="00C35D06"/>
    <w:rsid w:val="00C40A53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67A8"/>
    <w:rsid w:val="00C577F5"/>
    <w:rsid w:val="00C625A2"/>
    <w:rsid w:val="00C630DE"/>
    <w:rsid w:val="00C64740"/>
    <w:rsid w:val="00C64C7B"/>
    <w:rsid w:val="00C65B08"/>
    <w:rsid w:val="00C67A28"/>
    <w:rsid w:val="00C70380"/>
    <w:rsid w:val="00C75C40"/>
    <w:rsid w:val="00C75E53"/>
    <w:rsid w:val="00C77718"/>
    <w:rsid w:val="00C846E6"/>
    <w:rsid w:val="00C84BE3"/>
    <w:rsid w:val="00C93E54"/>
    <w:rsid w:val="00C9524D"/>
    <w:rsid w:val="00C96B7E"/>
    <w:rsid w:val="00C97758"/>
    <w:rsid w:val="00CA1D0F"/>
    <w:rsid w:val="00CA3B4D"/>
    <w:rsid w:val="00CA3C8C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31F7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45E3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57DC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2761"/>
    <w:rsid w:val="00D92AB0"/>
    <w:rsid w:val="00DA1C64"/>
    <w:rsid w:val="00DA2525"/>
    <w:rsid w:val="00DA2C1E"/>
    <w:rsid w:val="00DA4369"/>
    <w:rsid w:val="00DA46E7"/>
    <w:rsid w:val="00DA7E6F"/>
    <w:rsid w:val="00DC2499"/>
    <w:rsid w:val="00DC5A99"/>
    <w:rsid w:val="00DC6040"/>
    <w:rsid w:val="00DC6342"/>
    <w:rsid w:val="00DC6FCD"/>
    <w:rsid w:val="00DD1951"/>
    <w:rsid w:val="00DD5A46"/>
    <w:rsid w:val="00DE0A79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2522"/>
    <w:rsid w:val="00E138CA"/>
    <w:rsid w:val="00E156C9"/>
    <w:rsid w:val="00E164AE"/>
    <w:rsid w:val="00E220A2"/>
    <w:rsid w:val="00E24B48"/>
    <w:rsid w:val="00E258F8"/>
    <w:rsid w:val="00E260E8"/>
    <w:rsid w:val="00E261C1"/>
    <w:rsid w:val="00E33DCB"/>
    <w:rsid w:val="00E36720"/>
    <w:rsid w:val="00E425BE"/>
    <w:rsid w:val="00E47059"/>
    <w:rsid w:val="00E477C1"/>
    <w:rsid w:val="00E479C4"/>
    <w:rsid w:val="00E51B49"/>
    <w:rsid w:val="00E54063"/>
    <w:rsid w:val="00E54098"/>
    <w:rsid w:val="00E55A1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0A75"/>
    <w:rsid w:val="00E9251C"/>
    <w:rsid w:val="00E93A5C"/>
    <w:rsid w:val="00E9715D"/>
    <w:rsid w:val="00EA014A"/>
    <w:rsid w:val="00EA59E0"/>
    <w:rsid w:val="00EB0E8A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EF62CC"/>
    <w:rsid w:val="00F01D36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59EA"/>
    <w:rsid w:val="00F6377A"/>
    <w:rsid w:val="00F647CC"/>
    <w:rsid w:val="00F658A6"/>
    <w:rsid w:val="00F714F9"/>
    <w:rsid w:val="00F721CE"/>
    <w:rsid w:val="00F73B54"/>
    <w:rsid w:val="00F744C4"/>
    <w:rsid w:val="00F76F31"/>
    <w:rsid w:val="00F81D93"/>
    <w:rsid w:val="00F8347F"/>
    <w:rsid w:val="00F85C2C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0FC4"/>
    <w:rsid w:val="00FB1932"/>
    <w:rsid w:val="00FB3E0C"/>
    <w:rsid w:val="00FB6218"/>
    <w:rsid w:val="00FB7C21"/>
    <w:rsid w:val="00FC01CE"/>
    <w:rsid w:val="00FC3C45"/>
    <w:rsid w:val="00FC6EC1"/>
    <w:rsid w:val="00FD1724"/>
    <w:rsid w:val="00FD2267"/>
    <w:rsid w:val="00FD2799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2FA5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82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9D782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D782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D782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D782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D782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D782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D782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D782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D782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9D782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D782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D782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9D782B"/>
  </w:style>
  <w:style w:type="paragraph" w:customStyle="1" w:styleId="B1">
    <w:name w:val="B1"/>
    <w:basedOn w:val="Normal"/>
    <w:link w:val="B1Char"/>
    <w:rsid w:val="009D782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D782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D782B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9D782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D782B"/>
    <w:rPr>
      <w:sz w:val="16"/>
    </w:rPr>
  </w:style>
  <w:style w:type="paragraph" w:customStyle="1" w:styleId="DECISION">
    <w:name w:val="DECISION"/>
    <w:basedOn w:val="Normal"/>
    <w:rsid w:val="009D782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D782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D782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D782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9D782B"/>
    <w:rPr>
      <w:rFonts w:ascii="Arial" w:hAnsi="Arial" w:cs="Arial"/>
      <w:color w:val="FF0000"/>
    </w:rPr>
  </w:style>
  <w:style w:type="paragraph" w:styleId="TOC8">
    <w:name w:val="toc 8"/>
    <w:basedOn w:val="TOC1"/>
    <w:semiHidden/>
    <w:rsid w:val="009D782B"/>
    <w:pPr>
      <w:spacing w:before="180"/>
      <w:ind w:left="2693" w:hanging="2693"/>
    </w:pPr>
    <w:rPr>
      <w:b/>
    </w:rPr>
  </w:style>
  <w:style w:type="paragraph" w:styleId="TOC1">
    <w:name w:val="toc 1"/>
    <w:semiHidden/>
    <w:rsid w:val="009D782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9D782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D782B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rsid w:val="009D782B"/>
    <w:pPr>
      <w:ind w:left="600"/>
    </w:pPr>
  </w:style>
  <w:style w:type="paragraph" w:customStyle="1" w:styleId="CRCoverPage">
    <w:name w:val="CR Cover Page"/>
    <w:link w:val="CRCoverPageZchn"/>
    <w:rsid w:val="009D782B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9D782B"/>
    <w:rPr>
      <w:color w:val="0000FF"/>
      <w:u w:val="single"/>
    </w:rPr>
  </w:style>
  <w:style w:type="paragraph" w:styleId="BalloonText">
    <w:name w:val="Balloon Text"/>
    <w:basedOn w:val="Normal"/>
    <w:semiHidden/>
    <w:rsid w:val="009D782B"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rsid w:val="007767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qFormat/>
    <w:locked/>
    <w:rsid w:val="0075185C"/>
    <w:rPr>
      <w:lang w:val="en-GB" w:eastAsia="en-US"/>
    </w:rPr>
  </w:style>
  <w:style w:type="paragraph" w:customStyle="1" w:styleId="PL">
    <w:name w:val="PL"/>
    <w:link w:val="PLChar"/>
    <w:qFormat/>
    <w:rsid w:val="00D031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D031F7"/>
    <w:rPr>
      <w:rFonts w:ascii="Courier New" w:hAnsi="Courier New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6002EA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002EA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2018-10-15T01:18:00Z</dcterms:created>
  <dcterms:modified xsi:type="dcterms:W3CDTF">2018-10-22T12:14:00Z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2015_ms_pID_725343">
    <vt:lpwstr>(2)S2oOg+ToqaqyYb/taZ+AZ0gop4D5GSf4QOLR6a1ZB3R2qYZFzGx/HN4jegxD9Ix1QYf1uyEo
lsTGdttcH1Nmm6hEdEfentY6c7b3cQpxuRRyT/D3w/U322A2+OleJi01GgPEKtxGtdy7pDnX
kD5ACLAjmC3IktsD36F1dv9LiAPKT8BBR15jGG9TUZquy6hrXUy4RPztjC1EzdFxS7LgNxgI
T2O+pYRm1XuppF9JlY</vt:lpwstr>
  </property>
  <property fmtid="{D5CDD505-2E9C-101B-9397-08002B2CF9AE}" pid="14" name="_2015_ms_pID_7253431">
    <vt:lpwstr>pFe0OAep847eE6VxilMmoAV1fkk3/eVe3X6ra1C8kSbm4/2jUx4jKW
G0ZMIqXq1nP9FHlw+Yedo66jsOWWswfI5wbeAihcpRlbIsg9woYeZotDkOkf+CCnP0Dy5ADl
0L2YkZHRxl7UnYvFIpCEceMCsJ7cWhJ99AKVDhcS1FVDipQpnhhqrIKMC6sYcfE8/siIgKAt
42I+6oJ4bUYcErHK</vt:lpwstr>
  </property>
</Properties>
</file>