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53D3E" w14:textId="0FB6C2FE" w:rsidR="00B45A9B" w:rsidRDefault="00B45A9B" w:rsidP="009D2EA9">
      <w:pPr>
        <w:rPr>
          <w:rFonts w:eastAsia="Times New Roman"/>
        </w:rPr>
      </w:pPr>
      <w:r>
        <w:rPr>
          <w:rFonts w:eastAsia="Times New Roman"/>
        </w:rPr>
        <w:t>[High level]</w:t>
      </w:r>
    </w:p>
    <w:p w14:paraId="09FF1BCF" w14:textId="67E13BE8" w:rsidR="004E4BD6" w:rsidRDefault="009D2EA9" w:rsidP="009D2EA9">
      <w:pPr>
        <w:rPr>
          <w:rFonts w:eastAsia="Times New Roman"/>
        </w:rPr>
      </w:pPr>
      <w:r>
        <w:rPr>
          <w:rFonts w:eastAsia="Times New Roman"/>
        </w:rPr>
        <w:t xml:space="preserve">This technical report presents the results of a study on the operation of NR in unlicensed spectrum. </w:t>
      </w:r>
      <w:r w:rsidR="004E4BD6">
        <w:rPr>
          <w:rFonts w:eastAsia="Times New Roman"/>
        </w:rPr>
        <w:t xml:space="preserve">Multiple deployment scenarios for NR-U have been identified, including </w:t>
      </w:r>
      <w:r w:rsidR="00477CE8">
        <w:rPr>
          <w:rFonts w:eastAsia="Times New Roman"/>
        </w:rPr>
        <w:t>carrier aggregation (</w:t>
      </w:r>
      <w:r w:rsidR="004E4BD6">
        <w:rPr>
          <w:rFonts w:eastAsia="Times New Roman"/>
        </w:rPr>
        <w:t>CA</w:t>
      </w:r>
      <w:r w:rsidR="00477CE8">
        <w:rPr>
          <w:rFonts w:eastAsia="Times New Roman"/>
        </w:rPr>
        <w:t>)</w:t>
      </w:r>
      <w:r w:rsidR="004E4BD6">
        <w:rPr>
          <w:rFonts w:eastAsia="Times New Roman"/>
        </w:rPr>
        <w:t xml:space="preserve"> with NR, </w:t>
      </w:r>
      <w:r w:rsidR="00477CE8">
        <w:rPr>
          <w:rFonts w:eastAsia="Times New Roman"/>
        </w:rPr>
        <w:t>dual connectivity (</w:t>
      </w:r>
      <w:r w:rsidR="004E4BD6">
        <w:rPr>
          <w:rFonts w:eastAsia="Times New Roman"/>
        </w:rPr>
        <w:t>DC</w:t>
      </w:r>
      <w:r w:rsidR="00477CE8">
        <w:rPr>
          <w:rFonts w:eastAsia="Times New Roman"/>
        </w:rPr>
        <w:t>)</w:t>
      </w:r>
      <w:r w:rsidR="004E4BD6">
        <w:rPr>
          <w:rFonts w:eastAsia="Times New Roman"/>
        </w:rPr>
        <w:t xml:space="preserve"> with LTE or NR, </w:t>
      </w:r>
      <w:r w:rsidR="00477CE8">
        <w:rPr>
          <w:rFonts w:eastAsia="Times New Roman"/>
        </w:rPr>
        <w:t>stand-alone (</w:t>
      </w:r>
      <w:r w:rsidR="004E4BD6">
        <w:rPr>
          <w:rFonts w:eastAsia="Times New Roman"/>
        </w:rPr>
        <w:t>SA</w:t>
      </w:r>
      <w:r w:rsidR="00477CE8">
        <w:rPr>
          <w:rFonts w:eastAsia="Times New Roman"/>
        </w:rPr>
        <w:t>)</w:t>
      </w:r>
      <w:r w:rsidR="004E4BD6">
        <w:rPr>
          <w:rFonts w:eastAsia="Times New Roman"/>
        </w:rPr>
        <w:t xml:space="preserve">, </w:t>
      </w:r>
      <w:r w:rsidR="00583219">
        <w:rPr>
          <w:rFonts w:eastAsia="Times New Roman"/>
        </w:rPr>
        <w:t>and SA with DL in unlicensed band and UL in licensed band.</w:t>
      </w:r>
    </w:p>
    <w:p w14:paraId="1003FE82" w14:textId="5463CE77" w:rsidR="009D2EA9" w:rsidRDefault="009D2EA9" w:rsidP="009D2EA9">
      <w:pPr>
        <w:rPr>
          <w:rFonts w:eastAsia="Times New Roman"/>
        </w:rPr>
      </w:pPr>
      <w:r>
        <w:rPr>
          <w:rFonts w:eastAsia="Times New Roman"/>
        </w:rPr>
        <w:t xml:space="preserve">The modifications to </w:t>
      </w:r>
      <w:r w:rsidR="00E237D1">
        <w:rPr>
          <w:rFonts w:eastAsia="Times New Roman"/>
        </w:rPr>
        <w:t>NR</w:t>
      </w:r>
      <w:r>
        <w:rPr>
          <w:rFonts w:eastAsia="Times New Roman"/>
        </w:rPr>
        <w:t xml:space="preserve"> needed to allow it to operate in unlicensed spectrum as a Secondary cell through carrier aggregation</w:t>
      </w:r>
      <w:r w:rsidR="00132CD7">
        <w:rPr>
          <w:rFonts w:eastAsia="Times New Roman"/>
        </w:rPr>
        <w:t xml:space="preserve">, as a </w:t>
      </w:r>
      <w:proofErr w:type="spellStart"/>
      <w:r w:rsidR="00132CD7">
        <w:rPr>
          <w:rFonts w:eastAsia="Times New Roman"/>
        </w:rPr>
        <w:t>PS</w:t>
      </w:r>
      <w:r w:rsidR="00E237D1">
        <w:rPr>
          <w:rFonts w:eastAsia="Times New Roman"/>
        </w:rPr>
        <w:t>Cell</w:t>
      </w:r>
      <w:proofErr w:type="spellEnd"/>
      <w:r w:rsidR="00E237D1">
        <w:rPr>
          <w:rFonts w:eastAsia="Times New Roman"/>
        </w:rPr>
        <w:t xml:space="preserve"> through DC</w:t>
      </w:r>
      <w:r w:rsidR="004043D8">
        <w:rPr>
          <w:rFonts w:asciiTheme="minorEastAsia" w:eastAsiaTheme="minorEastAsia" w:hAnsiTheme="minorEastAsia" w:hint="eastAsia"/>
          <w:lang w:eastAsia="zh-CN"/>
        </w:rPr>
        <w:t>,</w:t>
      </w:r>
      <w:r w:rsidR="004043D8">
        <w:rPr>
          <w:rFonts w:eastAsia="Times New Roman"/>
        </w:rPr>
        <w:t xml:space="preserve"> and as a stand-</w:t>
      </w:r>
      <w:r w:rsidR="00E237D1">
        <w:rPr>
          <w:rFonts w:eastAsia="Times New Roman"/>
        </w:rPr>
        <w:t>alone carrier</w:t>
      </w:r>
      <w:r>
        <w:rPr>
          <w:rFonts w:eastAsia="Times New Roman"/>
        </w:rPr>
        <w:t xml:space="preserve"> are </w:t>
      </w:r>
      <w:r w:rsidR="00CD60A3">
        <w:rPr>
          <w:rFonts w:eastAsia="Times New Roman"/>
        </w:rPr>
        <w:t xml:space="preserve">studied and </w:t>
      </w:r>
      <w:r>
        <w:rPr>
          <w:rFonts w:eastAsia="Times New Roman"/>
        </w:rPr>
        <w:t xml:space="preserve">documented. The relevant regulatory requirements have been summarized in section 4. It has further been identified that </w:t>
      </w:r>
      <w:r w:rsidRPr="0040784A">
        <w:rPr>
          <w:rFonts w:eastAsia="Times New Roman"/>
        </w:rPr>
        <w:t xml:space="preserve">the use of </w:t>
      </w:r>
      <w:r w:rsidR="00E237D1">
        <w:rPr>
          <w:rFonts w:eastAsia="Times New Roman"/>
        </w:rPr>
        <w:t>NR</w:t>
      </w:r>
      <w:r w:rsidRPr="0040784A">
        <w:rPr>
          <w:rFonts w:eastAsia="Times New Roman"/>
        </w:rPr>
        <w:t xml:space="preserve"> in unlicensed spectrum can serve as a useful additional tool by operators </w:t>
      </w:r>
      <w:r w:rsidR="00E237D1">
        <w:rPr>
          <w:rFonts w:eastAsia="Times New Roman"/>
        </w:rPr>
        <w:t xml:space="preserve">with licensed spectrum </w:t>
      </w:r>
      <w:r w:rsidRPr="0040784A">
        <w:rPr>
          <w:rFonts w:eastAsia="Times New Roman"/>
        </w:rPr>
        <w:t>to maximize the value they can provide to users, while the core of the activity of the operators remains anchored to the licensed spectrum.</w:t>
      </w:r>
      <w:r w:rsidR="00E237D1">
        <w:rPr>
          <w:rFonts w:eastAsia="Times New Roman"/>
        </w:rPr>
        <w:t xml:space="preserve"> </w:t>
      </w:r>
      <w:r w:rsidR="00751B1D">
        <w:rPr>
          <w:rFonts w:eastAsia="Times New Roman"/>
        </w:rPr>
        <w:t xml:space="preserve">In addition, it </w:t>
      </w:r>
      <w:r w:rsidR="00E237D1">
        <w:rPr>
          <w:rFonts w:eastAsia="Times New Roman"/>
        </w:rPr>
        <w:t xml:space="preserve">has been identified that the use of NR in unlicensed spectrum as a stand-alone carrier is beneficial </w:t>
      </w:r>
      <w:r w:rsidR="00132CD7">
        <w:rPr>
          <w:rFonts w:eastAsia="Times New Roman"/>
        </w:rPr>
        <w:t>as</w:t>
      </w:r>
      <w:r w:rsidR="004043D8">
        <w:rPr>
          <w:rFonts w:eastAsia="Times New Roman"/>
        </w:rPr>
        <w:t xml:space="preserve"> an </w:t>
      </w:r>
      <w:r w:rsidR="00132CD7">
        <w:rPr>
          <w:rFonts w:eastAsia="Times New Roman"/>
        </w:rPr>
        <w:t xml:space="preserve">additional </w:t>
      </w:r>
      <w:r w:rsidR="004043D8">
        <w:rPr>
          <w:rFonts w:eastAsia="Times New Roman"/>
        </w:rPr>
        <w:t>way</w:t>
      </w:r>
      <w:r w:rsidR="00E237D1">
        <w:rPr>
          <w:rFonts w:eastAsia="Times New Roman"/>
        </w:rPr>
        <w:t xml:space="preserve"> to</w:t>
      </w:r>
      <w:r w:rsidR="004043D8">
        <w:rPr>
          <w:rFonts w:eastAsia="Times New Roman"/>
        </w:rPr>
        <w:t xml:space="preserve"> provide 5G service</w:t>
      </w:r>
      <w:r w:rsidR="00E237D1">
        <w:rPr>
          <w:rFonts w:eastAsia="Times New Roman"/>
        </w:rPr>
        <w:t>.</w:t>
      </w:r>
      <w:r w:rsidR="005924A1">
        <w:rPr>
          <w:rFonts w:eastAsia="Times New Roman"/>
        </w:rPr>
        <w:t xml:space="preserve"> The study concludes modifying NR to operate in unlicensed spectrum in licensed assisted access, dual connectivity, and </w:t>
      </w:r>
      <w:proofErr w:type="spellStart"/>
      <w:proofErr w:type="gramStart"/>
      <w:r w:rsidR="005924A1">
        <w:rPr>
          <w:rFonts w:eastAsia="Times New Roman"/>
        </w:rPr>
        <w:t>stand alone</w:t>
      </w:r>
      <w:proofErr w:type="spellEnd"/>
      <w:proofErr w:type="gramEnd"/>
      <w:r w:rsidR="005924A1">
        <w:rPr>
          <w:rFonts w:eastAsia="Times New Roman"/>
        </w:rPr>
        <w:t xml:space="preserve"> scenarios are feasible.</w:t>
      </w:r>
    </w:p>
    <w:p w14:paraId="05A5964D" w14:textId="549493EE" w:rsidR="00B45A9B" w:rsidRPr="00FE7E30" w:rsidRDefault="00B45A9B" w:rsidP="009D2EA9">
      <w:pPr>
        <w:rPr>
          <w:rFonts w:eastAsia="Times New Roman"/>
        </w:rPr>
      </w:pPr>
      <w:r>
        <w:rPr>
          <w:rFonts w:eastAsia="Times New Roman"/>
        </w:rPr>
        <w:t>[Coexistence evaluation]</w:t>
      </w:r>
    </w:p>
    <w:p w14:paraId="775D3D25" w14:textId="148DF6CF" w:rsidR="005C2C3B" w:rsidRPr="00CA0A48" w:rsidRDefault="004043D8" w:rsidP="009D2EA9">
      <w:pPr>
        <w:rPr>
          <w:rFonts w:eastAsia="Times New Roman"/>
        </w:rPr>
      </w:pPr>
      <w:r>
        <w:rPr>
          <w:rFonts w:eastAsia="Times New Roman"/>
        </w:rPr>
        <w:t xml:space="preserve">When deployed in unlicensed bands, NR-U needs to coexist with other deployments with same or other RATs, and coexistence performance has been evaluated. </w:t>
      </w:r>
      <w:r w:rsidR="005C2C3B">
        <w:rPr>
          <w:rFonts w:eastAsia="Times New Roman"/>
        </w:rPr>
        <w:t xml:space="preserve">For the coexistence evaluation, three scenarios (indoor, outdoor scenario 1, and outdoor scenario 2) have been defined, as documented in </w:t>
      </w:r>
      <w:r w:rsidR="005C2C3B" w:rsidRPr="00CA0A48">
        <w:rPr>
          <w:rFonts w:eastAsia="Times New Roman"/>
        </w:rPr>
        <w:t xml:space="preserve">section </w:t>
      </w:r>
      <w:r w:rsidR="00132CD7" w:rsidRPr="00CA0A48">
        <w:rPr>
          <w:rFonts w:eastAsia="Times New Roman"/>
        </w:rPr>
        <w:t>8</w:t>
      </w:r>
      <w:r w:rsidR="005C2C3B" w:rsidRPr="00CA0A48">
        <w:rPr>
          <w:rFonts w:eastAsia="Times New Roman"/>
        </w:rPr>
        <w:t xml:space="preserve">. </w:t>
      </w:r>
      <w:r w:rsidRPr="00CA0A48">
        <w:rPr>
          <w:rFonts w:eastAsia="Times New Roman"/>
        </w:rPr>
        <w:t xml:space="preserve">For 5GHz band, where </w:t>
      </w:r>
      <w:r w:rsidR="005C2C3B" w:rsidRPr="00CA0A48">
        <w:rPr>
          <w:rFonts w:eastAsia="Times New Roman"/>
        </w:rPr>
        <w:t>Wi</w:t>
      </w:r>
      <w:r w:rsidR="00BF5398" w:rsidRPr="00CA0A48">
        <w:rPr>
          <w:rFonts w:eastAsia="Times New Roman"/>
        </w:rPr>
        <w:t>-</w:t>
      </w:r>
      <w:r w:rsidR="005C2C3B" w:rsidRPr="00CA0A48">
        <w:rPr>
          <w:rFonts w:eastAsia="Times New Roman"/>
        </w:rPr>
        <w:t xml:space="preserve">Fi </w:t>
      </w:r>
      <w:r w:rsidRPr="00CA0A48">
        <w:rPr>
          <w:rFonts w:eastAsia="Times New Roman"/>
        </w:rPr>
        <w:t xml:space="preserve">802.11ac has been widely deployed, the coexistence evaluation </w:t>
      </w:r>
      <w:r w:rsidR="005C2C3B" w:rsidRPr="00CA0A48">
        <w:rPr>
          <w:rFonts w:eastAsia="Times New Roman"/>
        </w:rPr>
        <w:t xml:space="preserve">assumes </w:t>
      </w:r>
      <w:r w:rsidR="00BF5398" w:rsidRPr="00CA0A48">
        <w:rPr>
          <w:rFonts w:eastAsia="Times New Roman"/>
        </w:rPr>
        <w:t xml:space="preserve">two independent </w:t>
      </w:r>
      <w:r w:rsidR="005C2C3B" w:rsidRPr="00CA0A48">
        <w:rPr>
          <w:rFonts w:eastAsia="Times New Roman"/>
        </w:rPr>
        <w:t>network</w:t>
      </w:r>
      <w:r w:rsidR="00BF5398" w:rsidRPr="00CA0A48">
        <w:rPr>
          <w:rFonts w:eastAsia="Times New Roman"/>
        </w:rPr>
        <w:t>s (</w:t>
      </w:r>
      <w:r w:rsidR="00D028D7">
        <w:rPr>
          <w:rFonts w:eastAsia="Times New Roman"/>
        </w:rPr>
        <w:t xml:space="preserve">e.g., </w:t>
      </w:r>
      <w:proofErr w:type="spellStart"/>
      <w:r w:rsidR="00BF5398" w:rsidRPr="00CA0A48">
        <w:rPr>
          <w:rFonts w:eastAsia="Times New Roman"/>
        </w:rPr>
        <w:t>NR-U+Wi-Fi</w:t>
      </w:r>
      <w:proofErr w:type="spellEnd"/>
      <w:r w:rsidR="00D028D7">
        <w:rPr>
          <w:rFonts w:eastAsia="Times New Roman"/>
        </w:rPr>
        <w:t xml:space="preserve"> or</w:t>
      </w:r>
      <w:r w:rsidR="00BF5398" w:rsidRPr="00CA0A48">
        <w:rPr>
          <w:rFonts w:eastAsia="Times New Roman"/>
        </w:rPr>
        <w:t xml:space="preserve"> </w:t>
      </w:r>
      <w:proofErr w:type="spellStart"/>
      <w:r w:rsidR="00BF5398" w:rsidRPr="00CA0A48">
        <w:rPr>
          <w:rFonts w:eastAsia="Times New Roman"/>
        </w:rPr>
        <w:t>Wi-Fi+Wi-Fi</w:t>
      </w:r>
      <w:proofErr w:type="spellEnd"/>
      <w:r w:rsidR="00BF5398" w:rsidRPr="00CA0A48">
        <w:rPr>
          <w:rFonts w:eastAsia="Times New Roman"/>
        </w:rPr>
        <w:t>)</w:t>
      </w:r>
      <w:r w:rsidR="005C2C3B" w:rsidRPr="00CA0A48">
        <w:rPr>
          <w:rFonts w:eastAsia="Times New Roman"/>
        </w:rPr>
        <w:t xml:space="preserve"> are deployed in the same area</w:t>
      </w:r>
      <w:r w:rsidRPr="00CA0A48">
        <w:rPr>
          <w:rFonts w:eastAsia="Times New Roman"/>
        </w:rPr>
        <w:t>, and the fairnes</w:t>
      </w:r>
      <w:r w:rsidR="005C2C3B" w:rsidRPr="00CA0A48">
        <w:rPr>
          <w:rFonts w:eastAsia="Times New Roman"/>
        </w:rPr>
        <w:t xml:space="preserve">s criterion is defined as </w:t>
      </w:r>
      <w:r w:rsidR="003267C1">
        <w:rPr>
          <w:rFonts w:eastAsia="Times New Roman"/>
        </w:rPr>
        <w:t xml:space="preserve">the </w:t>
      </w:r>
      <w:r w:rsidR="005C2C3B" w:rsidRPr="00CA0A48">
        <w:rPr>
          <w:rFonts w:eastAsia="Times New Roman"/>
        </w:rPr>
        <w:t xml:space="preserve">NR-U </w:t>
      </w:r>
      <w:r w:rsidR="00132CD7" w:rsidRPr="00CA0A48">
        <w:rPr>
          <w:rFonts w:eastAsia="Times New Roman"/>
        </w:rPr>
        <w:t>network</w:t>
      </w:r>
      <w:r w:rsidR="005C2C3B" w:rsidRPr="00CA0A48">
        <w:rPr>
          <w:rFonts w:eastAsia="Times New Roman"/>
        </w:rPr>
        <w:t xml:space="preserve"> not degrad</w:t>
      </w:r>
      <w:r w:rsidR="003267C1">
        <w:rPr>
          <w:rFonts w:eastAsia="Times New Roman"/>
        </w:rPr>
        <w:t>ing</w:t>
      </w:r>
      <w:r w:rsidR="005C2C3B" w:rsidRPr="00CA0A48">
        <w:rPr>
          <w:rFonts w:eastAsia="Times New Roman"/>
        </w:rPr>
        <w:t xml:space="preserve"> Wi</w:t>
      </w:r>
      <w:r w:rsidR="00BF5398" w:rsidRPr="00CA0A48">
        <w:rPr>
          <w:rFonts w:eastAsia="Times New Roman"/>
        </w:rPr>
        <w:t>-</w:t>
      </w:r>
      <w:r w:rsidR="005C2C3B" w:rsidRPr="00CA0A48">
        <w:rPr>
          <w:rFonts w:eastAsia="Times New Roman"/>
        </w:rPr>
        <w:t xml:space="preserve">Fi </w:t>
      </w:r>
      <w:r w:rsidR="00CD60A3">
        <w:rPr>
          <w:rFonts w:eastAsia="Times New Roman"/>
        </w:rPr>
        <w:t>802.11</w:t>
      </w:r>
      <w:r w:rsidR="00BF5398" w:rsidRPr="00CA0A48">
        <w:rPr>
          <w:rFonts w:eastAsia="Times New Roman"/>
        </w:rPr>
        <w:t xml:space="preserve">ac </w:t>
      </w:r>
      <w:r w:rsidR="00132CD7" w:rsidRPr="00CA0A48">
        <w:rPr>
          <w:rFonts w:eastAsia="Times New Roman"/>
        </w:rPr>
        <w:t xml:space="preserve">network </w:t>
      </w:r>
      <w:r w:rsidR="005C2C3B" w:rsidRPr="00CA0A48">
        <w:rPr>
          <w:rFonts w:eastAsia="Times New Roman"/>
        </w:rPr>
        <w:t>performance</w:t>
      </w:r>
      <w:r w:rsidR="00FE0340" w:rsidRPr="00CA0A48">
        <w:rPr>
          <w:rFonts w:eastAsia="Times New Roman"/>
        </w:rPr>
        <w:t xml:space="preserve"> when NR-U and Wi-Fi 802.11ac are deployed in the area</w:t>
      </w:r>
      <w:r w:rsidR="005C2C3B" w:rsidRPr="00CA0A48">
        <w:rPr>
          <w:rFonts w:eastAsia="Times New Roman"/>
        </w:rPr>
        <w:t xml:space="preserve"> compared to the case </w:t>
      </w:r>
      <w:r w:rsidR="00BF5398" w:rsidRPr="00CA0A48">
        <w:rPr>
          <w:rFonts w:eastAsia="Times New Roman"/>
        </w:rPr>
        <w:t xml:space="preserve">where </w:t>
      </w:r>
      <w:r w:rsidR="005C2C3B" w:rsidRPr="00CA0A48">
        <w:rPr>
          <w:rFonts w:eastAsia="Times New Roman"/>
        </w:rPr>
        <w:t>two Wi</w:t>
      </w:r>
      <w:r w:rsidR="00BF5398" w:rsidRPr="00CA0A48">
        <w:rPr>
          <w:rFonts w:eastAsia="Times New Roman"/>
        </w:rPr>
        <w:t>-</w:t>
      </w:r>
      <w:r w:rsidR="005C2C3B" w:rsidRPr="00CA0A48">
        <w:rPr>
          <w:rFonts w:eastAsia="Times New Roman"/>
        </w:rPr>
        <w:t>Fi 802.11ac networks are deployed in the area. For 6GHz band, since both NR-U and Wi</w:t>
      </w:r>
      <w:r w:rsidR="00BF5398" w:rsidRPr="00CA0A48">
        <w:rPr>
          <w:rFonts w:eastAsia="Times New Roman"/>
        </w:rPr>
        <w:t>-</w:t>
      </w:r>
      <w:r w:rsidR="005C2C3B" w:rsidRPr="00CA0A48">
        <w:rPr>
          <w:rFonts w:eastAsia="Times New Roman"/>
        </w:rPr>
        <w:t xml:space="preserve">Fi are new systems to be deployed in the band, a technology neutral fairness criterion </w:t>
      </w:r>
      <w:r w:rsidR="00EE0D4B" w:rsidRPr="00CA0A48">
        <w:rPr>
          <w:rFonts w:eastAsia="Times New Roman"/>
        </w:rPr>
        <w:t>is</w:t>
      </w:r>
      <w:r w:rsidR="005C2C3B" w:rsidRPr="00CA0A48">
        <w:rPr>
          <w:rFonts w:eastAsia="Times New Roman"/>
        </w:rPr>
        <w:t xml:space="preserve"> applied for the coexistence evaluation. </w:t>
      </w:r>
    </w:p>
    <w:p w14:paraId="6C1B275B" w14:textId="3A848E36" w:rsidR="00E66B75" w:rsidRDefault="009D2EA9" w:rsidP="009D2EA9">
      <w:pPr>
        <w:rPr>
          <w:rFonts w:eastAsia="Times New Roman"/>
        </w:rPr>
      </w:pPr>
      <w:r w:rsidRPr="00CA0A48">
        <w:rPr>
          <w:rFonts w:eastAsia="Times New Roman"/>
        </w:rPr>
        <w:t>The coexistence evaluations performed during the study item are documented</w:t>
      </w:r>
      <w:r w:rsidR="005C2C3B" w:rsidRPr="00CA0A48">
        <w:rPr>
          <w:rFonts w:eastAsia="Times New Roman"/>
        </w:rPr>
        <w:t xml:space="preserve"> in section </w:t>
      </w:r>
      <w:r w:rsidR="005924A1">
        <w:rPr>
          <w:rFonts w:eastAsia="Times New Roman"/>
        </w:rPr>
        <w:t>8.3</w:t>
      </w:r>
      <w:r w:rsidRPr="00CA0A48">
        <w:rPr>
          <w:rFonts w:eastAsia="Times New Roman"/>
        </w:rPr>
        <w:t xml:space="preserve">. </w:t>
      </w:r>
      <w:r w:rsidR="005C2C3B" w:rsidRPr="00CA0A48">
        <w:rPr>
          <w:rFonts w:eastAsia="Times New Roman"/>
        </w:rPr>
        <w:t>The 5GHz band coexistence evaluation results are</w:t>
      </w:r>
      <w:r w:rsidRPr="00CA0A48">
        <w:rPr>
          <w:rFonts w:eastAsia="Times New Roman"/>
        </w:rPr>
        <w:t xml:space="preserve"> listed in Section </w:t>
      </w:r>
      <w:r w:rsidR="005924A1">
        <w:rPr>
          <w:rFonts w:eastAsia="Times New Roman"/>
        </w:rPr>
        <w:t>8.3.1</w:t>
      </w:r>
      <w:r w:rsidRPr="00CA0A48">
        <w:rPr>
          <w:rFonts w:eastAsia="Times New Roman"/>
        </w:rPr>
        <w:t xml:space="preserve">. </w:t>
      </w:r>
      <w:proofErr w:type="gramStart"/>
      <w:r w:rsidRPr="00CA0A48">
        <w:rPr>
          <w:rFonts w:eastAsia="Times New Roman"/>
        </w:rPr>
        <w:t>A majority of</w:t>
      </w:r>
      <w:proofErr w:type="gramEnd"/>
      <w:r w:rsidRPr="00CA0A48">
        <w:rPr>
          <w:rFonts w:eastAsia="Times New Roman"/>
        </w:rPr>
        <w:t xml:space="preserve"> sources providing</w:t>
      </w:r>
      <w:r>
        <w:rPr>
          <w:rFonts w:eastAsia="Times New Roman"/>
        </w:rPr>
        <w:t xml:space="preserve"> evaluation results </w:t>
      </w:r>
      <w:r w:rsidRPr="006161DF">
        <w:rPr>
          <w:rFonts w:eastAsia="Times New Roman"/>
        </w:rPr>
        <w:t xml:space="preserve">showed </w:t>
      </w:r>
      <w:r w:rsidR="00EE0D4B">
        <w:rPr>
          <w:rFonts w:eastAsia="Times New Roman"/>
        </w:rPr>
        <w:t xml:space="preserve">that </w:t>
      </w:r>
      <w:r w:rsidR="004043D8">
        <w:rPr>
          <w:rFonts w:eastAsia="Times New Roman"/>
        </w:rPr>
        <w:t>NR-U</w:t>
      </w:r>
      <w:r w:rsidRPr="006161DF">
        <w:rPr>
          <w:rFonts w:eastAsia="Times New Roman"/>
        </w:rPr>
        <w:t xml:space="preserve"> does not impact Wi-Fi more than another Wi-Fi network</w:t>
      </w:r>
      <w:r w:rsidR="005924A1">
        <w:rPr>
          <w:rFonts w:eastAsia="Times New Roman"/>
        </w:rPr>
        <w:t xml:space="preserve">, and </w:t>
      </w:r>
      <w:r w:rsidR="005924A1">
        <w:t>the performance of the Wi-Fi network improves when coexisting with the NR-U network compared to when coexisting with another Wi-Fi network</w:t>
      </w:r>
      <w:r>
        <w:rPr>
          <w:rFonts w:eastAsia="Times New Roman"/>
        </w:rPr>
        <w:t>. T</w:t>
      </w:r>
      <w:r w:rsidRPr="00792D0D">
        <w:rPr>
          <w:rFonts w:eastAsia="Times New Roman"/>
        </w:rPr>
        <w:t xml:space="preserve">he </w:t>
      </w:r>
      <w:r w:rsidR="00CD60A3">
        <w:rPr>
          <w:rFonts w:eastAsia="Times New Roman"/>
        </w:rPr>
        <w:t>channel access</w:t>
      </w:r>
      <w:r w:rsidRPr="00792D0D">
        <w:rPr>
          <w:rFonts w:eastAsia="Times New Roman"/>
        </w:rPr>
        <w:t xml:space="preserve"> scheme and/or parameters shown by different sources to not impact Wi-Fi more than another Wi-Fi network may be different.</w:t>
      </w:r>
      <w:r w:rsidRPr="00643C26">
        <w:rPr>
          <w:rFonts w:eastAsia="Times New Roman"/>
        </w:rPr>
        <w:t xml:space="preserve"> </w:t>
      </w:r>
      <w:r w:rsidRPr="005B040C">
        <w:rPr>
          <w:rFonts w:eastAsia="Times New Roman"/>
        </w:rPr>
        <w:t>The</w:t>
      </w:r>
      <w:r w:rsidR="00CD60A3">
        <w:rPr>
          <w:rFonts w:eastAsia="Times New Roman"/>
        </w:rPr>
        <w:t xml:space="preserve"> studies show that when the</w:t>
      </w:r>
      <w:r>
        <w:rPr>
          <w:rFonts w:eastAsia="Times New Roman"/>
        </w:rPr>
        <w:t xml:space="preserve"> appropriate channel access scheme</w:t>
      </w:r>
      <w:r w:rsidR="00CD60A3">
        <w:rPr>
          <w:rFonts w:eastAsia="Times New Roman"/>
        </w:rPr>
        <w:t>s, as defined in Section 8.2, are</w:t>
      </w:r>
      <w:r>
        <w:rPr>
          <w:rFonts w:eastAsia="Times New Roman"/>
        </w:rPr>
        <w:t xml:space="preserve"> used, it is feasible for </w:t>
      </w:r>
      <w:r w:rsidR="00E66B75">
        <w:rPr>
          <w:rFonts w:eastAsia="Times New Roman"/>
        </w:rPr>
        <w:t>NR-U</w:t>
      </w:r>
      <w:r>
        <w:rPr>
          <w:rFonts w:eastAsia="Times New Roman"/>
        </w:rPr>
        <w:t xml:space="preserve"> to achieve fair coexistence with Wi-Fi</w:t>
      </w:r>
      <w:r w:rsidR="00EE0D4B">
        <w:rPr>
          <w:rFonts w:eastAsia="Times New Roman"/>
        </w:rPr>
        <w:t xml:space="preserve">, and for NR-U to coexist </w:t>
      </w:r>
      <w:r w:rsidR="00EE0D4B" w:rsidRPr="00CA0A48">
        <w:rPr>
          <w:rFonts w:eastAsia="Times New Roman"/>
        </w:rPr>
        <w:t>with itself</w:t>
      </w:r>
      <w:r w:rsidRPr="00CA0A48">
        <w:rPr>
          <w:rFonts w:eastAsia="Times New Roman"/>
        </w:rPr>
        <w:t xml:space="preserve">. </w:t>
      </w:r>
      <w:r w:rsidR="00CD60A3">
        <w:rPr>
          <w:rFonts w:eastAsia="Times New Roman"/>
        </w:rPr>
        <w:t>The 6GHz band coexistence evaluation results are listed in Section 8.3.2.</w:t>
      </w:r>
    </w:p>
    <w:p w14:paraId="6C247BC1" w14:textId="77777777" w:rsidR="00A47E5E" w:rsidRDefault="00A47E5E" w:rsidP="00A47E5E">
      <w:pPr>
        <w:rPr>
          <w:rFonts w:eastAsia="Times New Roman"/>
        </w:rPr>
      </w:pPr>
      <w:r>
        <w:rPr>
          <w:rFonts w:eastAsia="Times New Roman"/>
        </w:rPr>
        <w:t xml:space="preserve">[Frame structure, channel access, </w:t>
      </w:r>
      <w:proofErr w:type="spellStart"/>
      <w:r>
        <w:rPr>
          <w:rFonts w:eastAsia="Times New Roman"/>
        </w:rPr>
        <w:t>init</w:t>
      </w:r>
      <w:proofErr w:type="spellEnd"/>
      <w:r>
        <w:rPr>
          <w:rFonts w:eastAsia="Times New Roman"/>
        </w:rPr>
        <w:t xml:space="preserve"> access, </w:t>
      </w:r>
      <w:proofErr w:type="spellStart"/>
      <w:r>
        <w:rPr>
          <w:rFonts w:eastAsia="Times New Roman"/>
        </w:rPr>
        <w:t>harq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aul</w:t>
      </w:r>
      <w:proofErr w:type="spellEnd"/>
      <w:r>
        <w:rPr>
          <w:rFonts w:eastAsia="Times New Roman"/>
        </w:rPr>
        <w:t>]</w:t>
      </w:r>
    </w:p>
    <w:p w14:paraId="28F7127C" w14:textId="44F037A1" w:rsidR="00055891" w:rsidRDefault="009D2EA9" w:rsidP="00B15E40">
      <w:pPr>
        <w:jc w:val="both"/>
        <w:rPr>
          <w:rFonts w:eastAsia="Times New Roman"/>
        </w:rPr>
      </w:pPr>
      <w:r w:rsidRPr="006D1B0D">
        <w:rPr>
          <w:rFonts w:eastAsia="Times New Roman"/>
        </w:rPr>
        <w:t xml:space="preserve">Based on the </w:t>
      </w:r>
      <w:r>
        <w:rPr>
          <w:rFonts w:eastAsia="Times New Roman"/>
        </w:rPr>
        <w:t xml:space="preserve">evaluations and </w:t>
      </w:r>
      <w:r w:rsidRPr="006D1B0D">
        <w:rPr>
          <w:rFonts w:eastAsia="Times New Roman"/>
        </w:rPr>
        <w:t>findings in Section 8, it is recommended that</w:t>
      </w:r>
      <w:r>
        <w:rPr>
          <w:rFonts w:eastAsia="Times New Roman"/>
        </w:rPr>
        <w:t xml:space="preserve"> the channel access </w:t>
      </w:r>
      <w:r w:rsidR="00981548">
        <w:rPr>
          <w:rFonts w:eastAsia="Times New Roman"/>
        </w:rPr>
        <w:t xml:space="preserve">schemes </w:t>
      </w:r>
      <w:r>
        <w:rPr>
          <w:rFonts w:eastAsia="Times New Roman"/>
        </w:rPr>
        <w:t xml:space="preserve">defined in section </w:t>
      </w:r>
      <w:r w:rsidR="005B170D">
        <w:rPr>
          <w:rFonts w:eastAsia="Times New Roman"/>
        </w:rPr>
        <w:t>8.2</w:t>
      </w:r>
      <w:r w:rsidR="00E66B75">
        <w:rPr>
          <w:rFonts w:eastAsia="Times New Roman"/>
        </w:rPr>
        <w:t xml:space="preserve"> with proper setting of parameters</w:t>
      </w:r>
      <w:r>
        <w:rPr>
          <w:rFonts w:eastAsia="Times New Roman"/>
        </w:rPr>
        <w:t xml:space="preserve"> be adopted for </w:t>
      </w:r>
      <w:r w:rsidR="00E66B75">
        <w:rPr>
          <w:rFonts w:eastAsia="Times New Roman"/>
        </w:rPr>
        <w:t>NR-U</w:t>
      </w:r>
      <w:r>
        <w:rPr>
          <w:rFonts w:eastAsia="Times New Roman"/>
        </w:rPr>
        <w:t xml:space="preserve">. </w:t>
      </w:r>
    </w:p>
    <w:p w14:paraId="6259C816" w14:textId="05F9F0C7" w:rsidR="005B5564" w:rsidRDefault="005B5564" w:rsidP="00E90487">
      <w:pPr>
        <w:jc w:val="both"/>
        <w:rPr>
          <w:rFonts w:eastAsia="Times New Roman"/>
        </w:rPr>
      </w:pPr>
      <w:r>
        <w:rPr>
          <w:rFonts w:eastAsia="Times New Roman"/>
        </w:rPr>
        <w:t xml:space="preserve">For LBE mode </w:t>
      </w:r>
      <w:r w:rsidR="00303A5C">
        <w:rPr>
          <w:rFonts w:eastAsia="Times New Roman"/>
        </w:rPr>
        <w:t xml:space="preserve">of </w:t>
      </w:r>
      <w:r w:rsidR="00CD60A3">
        <w:rPr>
          <w:rFonts w:eastAsia="Times New Roman"/>
        </w:rPr>
        <w:t xml:space="preserve">operation, it is recommended that NR-U supports single DL/UL switching point operation within a </w:t>
      </w:r>
      <w:proofErr w:type="spellStart"/>
      <w:r w:rsidR="00CD60A3">
        <w:rPr>
          <w:rFonts w:eastAsia="Times New Roman"/>
        </w:rPr>
        <w:t>gNB</w:t>
      </w:r>
      <w:proofErr w:type="spellEnd"/>
      <w:r w:rsidR="00CD60A3">
        <w:rPr>
          <w:rFonts w:eastAsia="Times New Roman"/>
        </w:rPr>
        <w:t xml:space="preserve"> initiated COT, as in LTE-LAA. I</w:t>
      </w:r>
      <w:r w:rsidR="00B45A9B">
        <w:rPr>
          <w:rFonts w:eastAsia="Times New Roman"/>
        </w:rPr>
        <w:t>t is</w:t>
      </w:r>
      <w:r w:rsidR="00CD60A3">
        <w:rPr>
          <w:rFonts w:eastAsia="Times New Roman"/>
        </w:rPr>
        <w:t xml:space="preserve"> also</w:t>
      </w:r>
      <w:r w:rsidR="00B45A9B">
        <w:rPr>
          <w:rFonts w:eastAsia="Times New Roman"/>
        </w:rPr>
        <w:t xml:space="preserve"> recommended that NR-U supports multiple DL/UL switching points within a </w:t>
      </w:r>
      <w:proofErr w:type="spellStart"/>
      <w:r w:rsidR="00E336CE">
        <w:rPr>
          <w:rFonts w:eastAsia="Times New Roman"/>
        </w:rPr>
        <w:t>gNB</w:t>
      </w:r>
      <w:proofErr w:type="spellEnd"/>
      <w:r w:rsidR="00E336CE">
        <w:rPr>
          <w:rFonts w:eastAsia="Times New Roman"/>
        </w:rPr>
        <w:t xml:space="preserve"> initiated </w:t>
      </w:r>
      <w:r w:rsidR="00327BFB">
        <w:rPr>
          <w:rFonts w:eastAsia="Times New Roman"/>
        </w:rPr>
        <w:t>COT</w:t>
      </w:r>
      <w:r w:rsidR="00B45A9B">
        <w:rPr>
          <w:rFonts w:eastAsia="Times New Roman"/>
        </w:rPr>
        <w:t xml:space="preserve">. </w:t>
      </w:r>
      <w:bookmarkStart w:id="0" w:name="_Hlk529558929"/>
      <w:r w:rsidR="00CD60A3">
        <w:rPr>
          <w:rFonts w:eastAsia="Times New Roman"/>
        </w:rPr>
        <w:t xml:space="preserve">It is recommended that Cat 4 channel access is used for </w:t>
      </w:r>
      <w:proofErr w:type="spellStart"/>
      <w:r w:rsidR="00CD60A3">
        <w:rPr>
          <w:rFonts w:eastAsia="Times New Roman"/>
        </w:rPr>
        <w:t>gNB</w:t>
      </w:r>
      <w:proofErr w:type="spellEnd"/>
      <w:r w:rsidR="00CD60A3">
        <w:rPr>
          <w:rFonts w:eastAsia="Times New Roman"/>
        </w:rPr>
        <w:t xml:space="preserve"> or UE to initiate a COT for normal data transmissions, while </w:t>
      </w:r>
      <w:proofErr w:type="spellStart"/>
      <w:r w:rsidR="00CD60A3">
        <w:rPr>
          <w:rFonts w:eastAsia="Times New Roman"/>
        </w:rPr>
        <w:t>gNB</w:t>
      </w:r>
      <w:proofErr w:type="spellEnd"/>
      <w:r w:rsidR="00CD60A3">
        <w:rPr>
          <w:rFonts w:eastAsia="Times New Roman"/>
        </w:rPr>
        <w:t xml:space="preserve"> can use Cat 2 channel access for DRS transmission when DRS satisfies some conditions. </w:t>
      </w:r>
      <w:r w:rsidR="009D2EA9">
        <w:rPr>
          <w:rFonts w:eastAsia="Times New Roman"/>
        </w:rPr>
        <w:t xml:space="preserve">It is recommended that </w:t>
      </w:r>
      <w:r w:rsidR="00843F8E">
        <w:rPr>
          <w:rFonts w:eastAsia="Times New Roman"/>
        </w:rPr>
        <w:t xml:space="preserve">for a </w:t>
      </w:r>
      <w:r w:rsidR="00327BFB">
        <w:rPr>
          <w:rFonts w:eastAsia="Times New Roman"/>
        </w:rPr>
        <w:t xml:space="preserve">switching point </w:t>
      </w:r>
      <w:r w:rsidR="00843F8E">
        <w:rPr>
          <w:rFonts w:eastAsia="Times New Roman"/>
        </w:rPr>
        <w:t xml:space="preserve">gap of </w:t>
      </w:r>
      <w:r w:rsidR="00CA2F81">
        <w:rPr>
          <w:rFonts w:eastAsia="Times New Roman"/>
        </w:rPr>
        <w:t>up to</w:t>
      </w:r>
      <w:r w:rsidR="00E66B75">
        <w:rPr>
          <w:rFonts w:eastAsia="Times New Roman"/>
        </w:rPr>
        <w:t xml:space="preserve"> 16 µs</w:t>
      </w:r>
      <w:r w:rsidR="00843F8E">
        <w:rPr>
          <w:rFonts w:eastAsia="Times New Roman"/>
        </w:rPr>
        <w:t xml:space="preserve">, where the gap accommodates for the </w:t>
      </w:r>
      <w:r w:rsidR="00327BFB">
        <w:rPr>
          <w:rFonts w:eastAsia="Times New Roman"/>
        </w:rPr>
        <w:t>transceiver</w:t>
      </w:r>
      <w:r w:rsidR="00843F8E">
        <w:rPr>
          <w:rFonts w:eastAsia="Times New Roman"/>
        </w:rPr>
        <w:t xml:space="preserve"> turn</w:t>
      </w:r>
      <w:r w:rsidR="00327BFB">
        <w:rPr>
          <w:rFonts w:eastAsia="Times New Roman"/>
        </w:rPr>
        <w:t>around time, immediate transmission can take place</w:t>
      </w:r>
      <w:r w:rsidR="00E66B75">
        <w:rPr>
          <w:rFonts w:eastAsia="Times New Roman"/>
        </w:rPr>
        <w:t xml:space="preserve"> </w:t>
      </w:r>
      <w:r w:rsidR="00327BFB">
        <w:rPr>
          <w:rFonts w:eastAsia="Times New Roman"/>
        </w:rPr>
        <w:t>with</w:t>
      </w:r>
      <w:r w:rsidR="00EE0D4B">
        <w:rPr>
          <w:rFonts w:eastAsia="Times New Roman"/>
        </w:rPr>
        <w:t>in the same COT</w:t>
      </w:r>
      <w:bookmarkEnd w:id="0"/>
      <w:r w:rsidR="00E66B75">
        <w:rPr>
          <w:rFonts w:eastAsia="Times New Roman"/>
        </w:rPr>
        <w:t xml:space="preserve">. It is recommended that </w:t>
      </w:r>
      <w:r w:rsidR="00327BFB">
        <w:rPr>
          <w:rFonts w:eastAsia="Times New Roman"/>
        </w:rPr>
        <w:t>for a gap</w:t>
      </w:r>
      <w:r w:rsidR="00E66B75">
        <w:rPr>
          <w:rFonts w:eastAsia="Times New Roman"/>
        </w:rPr>
        <w:t xml:space="preserve"> </w:t>
      </w:r>
      <w:r w:rsidR="001B0591">
        <w:rPr>
          <w:rFonts w:eastAsia="Times New Roman"/>
        </w:rPr>
        <w:t xml:space="preserve">of </w:t>
      </w:r>
      <w:r w:rsidR="00327BFB">
        <w:rPr>
          <w:rFonts w:eastAsia="Times New Roman"/>
        </w:rPr>
        <w:t>more than</w:t>
      </w:r>
      <w:r w:rsidR="00E66B75">
        <w:rPr>
          <w:rFonts w:eastAsia="Times New Roman"/>
        </w:rPr>
        <w:t xml:space="preserve"> </w:t>
      </w:r>
      <w:bookmarkStart w:id="1" w:name="_Hlk529527873"/>
      <w:r w:rsidR="00E66B75">
        <w:rPr>
          <w:rFonts w:eastAsia="Times New Roman"/>
        </w:rPr>
        <w:t xml:space="preserve">16 µs but </w:t>
      </w:r>
      <w:r w:rsidR="00327BFB">
        <w:rPr>
          <w:rFonts w:eastAsia="Times New Roman"/>
        </w:rPr>
        <w:t xml:space="preserve">less than </w:t>
      </w:r>
      <w:r w:rsidR="00E66B75">
        <w:rPr>
          <w:rFonts w:eastAsia="Times New Roman"/>
        </w:rPr>
        <w:t>25 µs</w:t>
      </w:r>
      <w:bookmarkEnd w:id="1"/>
      <w:r w:rsidR="00327BFB">
        <w:rPr>
          <w:rFonts w:eastAsia="Times New Roman"/>
        </w:rPr>
        <w:t>,</w:t>
      </w:r>
      <w:r w:rsidR="00E66B75">
        <w:rPr>
          <w:rFonts w:eastAsia="Times New Roman"/>
        </w:rPr>
        <w:t xml:space="preserve"> </w:t>
      </w:r>
      <w:r w:rsidR="00E336CE">
        <w:rPr>
          <w:rFonts w:eastAsia="Times New Roman"/>
        </w:rPr>
        <w:t xml:space="preserve">Cat 2 </w:t>
      </w:r>
      <w:r w:rsidR="00327BFB">
        <w:rPr>
          <w:rFonts w:eastAsia="Times New Roman"/>
        </w:rPr>
        <w:t>LBT</w:t>
      </w:r>
      <w:r w:rsidR="001B0591">
        <w:rPr>
          <w:rFonts w:eastAsia="Times New Roman"/>
        </w:rPr>
        <w:t xml:space="preserve"> </w:t>
      </w:r>
      <w:r w:rsidR="00327BFB">
        <w:rPr>
          <w:rFonts w:eastAsia="Times New Roman"/>
        </w:rPr>
        <w:t>can be used</w:t>
      </w:r>
      <w:r w:rsidR="00EE0D4B">
        <w:rPr>
          <w:rFonts w:eastAsia="Times New Roman"/>
        </w:rPr>
        <w:t xml:space="preserve"> </w:t>
      </w:r>
      <w:r w:rsidR="00327BFB">
        <w:rPr>
          <w:rFonts w:eastAsia="Times New Roman"/>
        </w:rPr>
        <w:t>with</w:t>
      </w:r>
      <w:r w:rsidR="00EE0D4B">
        <w:rPr>
          <w:rFonts w:eastAsia="Times New Roman"/>
        </w:rPr>
        <w:t>in the same COT</w:t>
      </w:r>
      <w:r w:rsidR="009D2EA9">
        <w:rPr>
          <w:rFonts w:eastAsia="Times New Roman"/>
        </w:rPr>
        <w:t>.</w:t>
      </w:r>
      <w:r w:rsidR="00B45A9B">
        <w:rPr>
          <w:rFonts w:eastAsia="Times New Roman"/>
        </w:rPr>
        <w:t xml:space="preserve"> It is also recommended that </w:t>
      </w:r>
      <w:r w:rsidR="00327BFB">
        <w:rPr>
          <w:rFonts w:eastAsia="Times New Roman"/>
        </w:rPr>
        <w:t xml:space="preserve">for a single switch point </w:t>
      </w:r>
      <w:r w:rsidR="009D1E29">
        <w:rPr>
          <w:rFonts w:eastAsia="Times New Roman"/>
        </w:rPr>
        <w:t xml:space="preserve">within a </w:t>
      </w:r>
      <w:r w:rsidR="00E336CE">
        <w:rPr>
          <w:rFonts w:eastAsia="Times New Roman"/>
        </w:rPr>
        <w:t>COT</w:t>
      </w:r>
      <w:r w:rsidR="009D1E29">
        <w:rPr>
          <w:rFonts w:eastAsia="Times New Roman"/>
        </w:rPr>
        <w:t xml:space="preserve"> case, </w:t>
      </w:r>
      <w:r w:rsidR="00327BFB">
        <w:rPr>
          <w:rFonts w:eastAsia="Times New Roman"/>
        </w:rPr>
        <w:t xml:space="preserve">where the </w:t>
      </w:r>
      <w:r w:rsidR="00B95C86">
        <w:rPr>
          <w:rFonts w:eastAsia="Times New Roman"/>
        </w:rPr>
        <w:t xml:space="preserve">switching </w:t>
      </w:r>
      <w:r w:rsidR="00327BFB">
        <w:rPr>
          <w:rFonts w:eastAsia="Times New Roman"/>
        </w:rPr>
        <w:t xml:space="preserve">gap exceeds </w:t>
      </w:r>
      <w:r w:rsidR="00B45A9B">
        <w:rPr>
          <w:rFonts w:eastAsia="Times New Roman"/>
        </w:rPr>
        <w:t>25 µs</w:t>
      </w:r>
      <w:r w:rsidR="00327BFB">
        <w:rPr>
          <w:rFonts w:eastAsia="Times New Roman"/>
        </w:rPr>
        <w:t xml:space="preserve">, </w:t>
      </w:r>
      <w:r w:rsidR="00E336CE">
        <w:rPr>
          <w:rFonts w:eastAsia="Times New Roman"/>
        </w:rPr>
        <w:t xml:space="preserve">Cat 2 </w:t>
      </w:r>
      <w:r w:rsidR="00327BFB">
        <w:rPr>
          <w:rFonts w:eastAsia="Times New Roman"/>
        </w:rPr>
        <w:t>LBT</w:t>
      </w:r>
      <w:r w:rsidR="001B0591">
        <w:rPr>
          <w:rFonts w:eastAsia="Times New Roman"/>
        </w:rPr>
        <w:t xml:space="preserve"> </w:t>
      </w:r>
      <w:r w:rsidR="00327BFB">
        <w:rPr>
          <w:rFonts w:eastAsia="Times New Roman"/>
        </w:rPr>
        <w:t>can be used</w:t>
      </w:r>
      <w:r w:rsidR="00B45A9B">
        <w:rPr>
          <w:rFonts w:eastAsia="Times New Roman"/>
        </w:rPr>
        <w:t xml:space="preserve"> </w:t>
      </w:r>
      <w:r w:rsidR="00327BFB">
        <w:rPr>
          <w:rFonts w:eastAsia="Times New Roman"/>
        </w:rPr>
        <w:t>within</w:t>
      </w:r>
      <w:r w:rsidR="00B45A9B">
        <w:rPr>
          <w:rFonts w:eastAsia="Times New Roman"/>
        </w:rPr>
        <w:t xml:space="preserve"> the </w:t>
      </w:r>
      <w:r w:rsidR="00327BFB">
        <w:rPr>
          <w:rFonts w:eastAsia="Times New Roman"/>
        </w:rPr>
        <w:t xml:space="preserve">same </w:t>
      </w:r>
      <w:r w:rsidR="00B45A9B">
        <w:rPr>
          <w:rFonts w:eastAsia="Times New Roman"/>
        </w:rPr>
        <w:t>COT.</w:t>
      </w:r>
      <w:r w:rsidR="00337614">
        <w:rPr>
          <w:rFonts w:eastAsia="Times New Roman"/>
        </w:rPr>
        <w:t xml:space="preserve"> </w:t>
      </w:r>
      <w:r w:rsidR="004E4BD6">
        <w:rPr>
          <w:rFonts w:eastAsia="Times New Roman"/>
        </w:rPr>
        <w:t xml:space="preserve">Partial slot transmission at the beginning of the </w:t>
      </w:r>
      <w:proofErr w:type="spellStart"/>
      <w:r w:rsidR="004E4BD6">
        <w:rPr>
          <w:rFonts w:eastAsia="Times New Roman"/>
        </w:rPr>
        <w:t>gNB</w:t>
      </w:r>
      <w:proofErr w:type="spellEnd"/>
      <w:r w:rsidR="004E4BD6">
        <w:rPr>
          <w:rFonts w:eastAsia="Times New Roman"/>
        </w:rPr>
        <w:t xml:space="preserve"> </w:t>
      </w:r>
      <w:r w:rsidR="003253CD">
        <w:rPr>
          <w:rFonts w:eastAsia="Times New Roman"/>
        </w:rPr>
        <w:t xml:space="preserve">initiated </w:t>
      </w:r>
      <w:r w:rsidR="004E4BD6">
        <w:rPr>
          <w:rFonts w:eastAsia="Times New Roman"/>
        </w:rPr>
        <w:t xml:space="preserve">COT is identified as beneficial with multiple techniques </w:t>
      </w:r>
      <w:r w:rsidR="00337614">
        <w:rPr>
          <w:rFonts w:eastAsia="Times New Roman"/>
        </w:rPr>
        <w:t xml:space="preserve">to support partial slot transmissions </w:t>
      </w:r>
      <w:r w:rsidR="004E4BD6">
        <w:rPr>
          <w:rFonts w:eastAsia="Times New Roman"/>
        </w:rPr>
        <w:t xml:space="preserve">identified. </w:t>
      </w:r>
    </w:p>
    <w:p w14:paraId="4F33660F" w14:textId="12DBE051" w:rsidR="00D50299" w:rsidRDefault="00E336CE" w:rsidP="009D2EA9">
      <w:pPr>
        <w:rPr>
          <w:rFonts w:eastAsia="Times New Roman"/>
        </w:rPr>
      </w:pPr>
      <w:r>
        <w:rPr>
          <w:rFonts w:eastAsia="Times New Roman"/>
        </w:rPr>
        <w:t>[</w:t>
      </w:r>
      <w:r w:rsidR="004E4BD6">
        <w:rPr>
          <w:rFonts w:eastAsia="Times New Roman"/>
        </w:rPr>
        <w:t xml:space="preserve">Benefits of FBE operation has been identified when LBE nodes are absent on a </w:t>
      </w:r>
      <w:proofErr w:type="gramStart"/>
      <w:r w:rsidR="004E4BD6">
        <w:rPr>
          <w:rFonts w:eastAsia="Times New Roman"/>
        </w:rPr>
        <w:t>long term</w:t>
      </w:r>
      <w:proofErr w:type="gramEnd"/>
      <w:r w:rsidR="004E4BD6">
        <w:rPr>
          <w:rFonts w:eastAsia="Times New Roman"/>
        </w:rPr>
        <w:t xml:space="preserve"> basis</w:t>
      </w:r>
      <w:r w:rsidR="00303A5C">
        <w:rPr>
          <w:rFonts w:eastAsia="Times New Roman"/>
        </w:rPr>
        <w:t xml:space="preserve"> and synchronized deployment is possible</w:t>
      </w:r>
      <w:r w:rsidR="004E4BD6">
        <w:rPr>
          <w:rFonts w:eastAsia="Times New Roman"/>
        </w:rPr>
        <w:t>.</w:t>
      </w:r>
      <w:r w:rsidR="005B5564">
        <w:rPr>
          <w:rFonts w:eastAsia="Times New Roman"/>
        </w:rPr>
        <w:t xml:space="preserve"> </w:t>
      </w:r>
      <w:r w:rsidR="00337614">
        <w:rPr>
          <w:rFonts w:eastAsia="Times New Roman"/>
        </w:rPr>
        <w:t xml:space="preserve">According to regulation, the channel access of FBE is in unit of fixed frame periods. </w:t>
      </w:r>
      <w:r>
        <w:rPr>
          <w:rFonts w:eastAsia="Times New Roman"/>
        </w:rPr>
        <w:t xml:space="preserve">A Cat 2 </w:t>
      </w:r>
      <w:r w:rsidR="00337614">
        <w:rPr>
          <w:rFonts w:eastAsia="Times New Roman"/>
        </w:rPr>
        <w:t xml:space="preserve">LBT is used before each fixed frame period to </w:t>
      </w:r>
      <w:r w:rsidR="00B04724">
        <w:rPr>
          <w:rFonts w:eastAsia="Times New Roman"/>
        </w:rPr>
        <w:t>determine if the fixed frame period can be occupied. Within an occupied fixed frame period, for a switching point gap of up to 16 µs, where the gap accommodates for the transceiver turnaroun</w:t>
      </w:r>
      <w:r>
        <w:rPr>
          <w:rFonts w:eastAsia="Times New Roman"/>
        </w:rPr>
        <w:t xml:space="preserve">d time, immediate transmission </w:t>
      </w:r>
      <w:r w:rsidR="00B04724">
        <w:rPr>
          <w:rFonts w:eastAsia="Times New Roman"/>
        </w:rPr>
        <w:t xml:space="preserve">can take place. For a gap of more than 16 µs in an occupied fixed frame period, </w:t>
      </w:r>
      <w:r>
        <w:rPr>
          <w:rFonts w:eastAsia="Times New Roman"/>
        </w:rPr>
        <w:t xml:space="preserve">Cat 2 </w:t>
      </w:r>
      <w:r w:rsidR="00B04724">
        <w:rPr>
          <w:rFonts w:eastAsia="Times New Roman"/>
        </w:rPr>
        <w:t>LBT can be use</w:t>
      </w:r>
      <w:r w:rsidR="00CD60A3">
        <w:rPr>
          <w:rFonts w:eastAsia="Times New Roman"/>
        </w:rPr>
        <w:t>d.</w:t>
      </w:r>
      <w:r>
        <w:rPr>
          <w:rFonts w:eastAsia="Times New Roman"/>
        </w:rPr>
        <w:t>]</w:t>
      </w:r>
    </w:p>
    <w:p w14:paraId="66260F36" w14:textId="1FE7B408" w:rsidR="00D50299" w:rsidRDefault="007000D0" w:rsidP="009D2EA9">
      <w:pPr>
        <w:rPr>
          <w:rFonts w:eastAsia="Times New Roman"/>
        </w:rPr>
      </w:pPr>
      <w:r>
        <w:rPr>
          <w:rFonts w:eastAsia="Times New Roman"/>
        </w:rPr>
        <w:lastRenderedPageBreak/>
        <w:t xml:space="preserve">The enhancement needed for initial access procedures are captured in section 7.2.1.3.2. </w:t>
      </w:r>
      <w:r w:rsidR="00D50299">
        <w:rPr>
          <w:rFonts w:eastAsia="Times New Roman"/>
        </w:rPr>
        <w:t xml:space="preserve">The issue of </w:t>
      </w:r>
      <w:r w:rsidR="00A47E5E">
        <w:rPr>
          <w:rFonts w:eastAsia="Times New Roman"/>
        </w:rPr>
        <w:t>reduced transmission opportunities</w:t>
      </w:r>
      <w:r w:rsidR="00D50299">
        <w:rPr>
          <w:rFonts w:eastAsia="Times New Roman"/>
        </w:rPr>
        <w:t xml:space="preserve"> due to LBT failure for SS/PBCH block transmission, </w:t>
      </w:r>
      <w:proofErr w:type="spellStart"/>
      <w:r w:rsidR="00D50299">
        <w:rPr>
          <w:rFonts w:eastAsia="Times New Roman"/>
        </w:rPr>
        <w:t>msg</w:t>
      </w:r>
      <w:proofErr w:type="spellEnd"/>
      <w:r w:rsidR="00D50299">
        <w:rPr>
          <w:rFonts w:eastAsia="Times New Roman"/>
        </w:rPr>
        <w:t xml:space="preserve"> 1/2/3/4 transmission in 4-step RACH process, RLM/RRM, and paging has been identified and </w:t>
      </w:r>
      <w:r>
        <w:rPr>
          <w:rFonts w:eastAsia="Times New Roman"/>
        </w:rPr>
        <w:t xml:space="preserve">some </w:t>
      </w:r>
      <w:r w:rsidR="00D50299">
        <w:rPr>
          <w:rFonts w:eastAsia="Times New Roman"/>
        </w:rPr>
        <w:t>enhancement</w:t>
      </w:r>
      <w:r>
        <w:rPr>
          <w:rFonts w:eastAsia="Times New Roman"/>
        </w:rPr>
        <w:t>s</w:t>
      </w:r>
      <w:r w:rsidR="00D50299">
        <w:rPr>
          <w:rFonts w:eastAsia="Times New Roman"/>
        </w:rPr>
        <w:t xml:space="preserve"> </w:t>
      </w:r>
      <w:r>
        <w:rPr>
          <w:rFonts w:eastAsia="Times New Roman"/>
        </w:rPr>
        <w:t>are identified</w:t>
      </w:r>
      <w:r w:rsidR="00D50299">
        <w:rPr>
          <w:rFonts w:eastAsia="Times New Roman"/>
        </w:rPr>
        <w:t>. For RLM/RRM,</w:t>
      </w:r>
      <w:r>
        <w:rPr>
          <w:rFonts w:eastAsia="Times New Roman"/>
        </w:rPr>
        <w:t xml:space="preserve"> DMTC </w:t>
      </w:r>
      <w:r w:rsidR="008D5EBF">
        <w:rPr>
          <w:rFonts w:eastAsia="Times New Roman"/>
        </w:rPr>
        <w:t>can be introduced.</w:t>
      </w:r>
    </w:p>
    <w:p w14:paraId="0B1F0F45" w14:textId="6FB4CFA4" w:rsidR="00D50299" w:rsidRDefault="00D50299" w:rsidP="009D2EA9">
      <w:pPr>
        <w:rPr>
          <w:rFonts w:eastAsia="Times New Roman"/>
        </w:rPr>
      </w:pPr>
      <w:r>
        <w:rPr>
          <w:rFonts w:eastAsia="Times New Roman"/>
        </w:rPr>
        <w:t>For HARQ, the benefit of supporting all HARQ A/N within the same shared COT, if possible, has been identified</w:t>
      </w:r>
      <w:r w:rsidR="008D5EBF">
        <w:rPr>
          <w:rFonts w:eastAsia="Times New Roman"/>
        </w:rPr>
        <w:t xml:space="preserve">. </w:t>
      </w:r>
      <w:r>
        <w:rPr>
          <w:rFonts w:eastAsia="Times New Roman"/>
        </w:rPr>
        <w:t xml:space="preserve">Multiple techniques to </w:t>
      </w:r>
      <w:r w:rsidR="008D5EBF">
        <w:rPr>
          <w:rFonts w:eastAsia="Times New Roman"/>
        </w:rPr>
        <w:t>handle reduced HARQ A/N transmission opportunities due to LBT failure have been identified (section 7.2.1.3.3).</w:t>
      </w:r>
      <w:r w:rsidR="00B05A73">
        <w:rPr>
          <w:rFonts w:eastAsia="Times New Roman"/>
        </w:rPr>
        <w:t xml:space="preserve"> Furthermore, enhancements to UL scheduling, such as </w:t>
      </w:r>
      <w:r w:rsidR="00B05A73">
        <w:t>s</w:t>
      </w:r>
      <w:r w:rsidR="00B05A73" w:rsidRPr="00ED02EE">
        <w:t>cheduling multiple TTIs for PUSCH</w:t>
      </w:r>
      <w:r w:rsidR="003253CD">
        <w:t>(s)</w:t>
      </w:r>
      <w:r w:rsidR="00B05A73" w:rsidRPr="00ED02EE">
        <w:t xml:space="preserve"> using a single UL grant</w:t>
      </w:r>
      <w:r w:rsidR="00D63C0D">
        <w:t>, as is possible for LAA,</w:t>
      </w:r>
      <w:r w:rsidR="00B04724">
        <w:t xml:space="preserve"> </w:t>
      </w:r>
      <w:r w:rsidR="00B05A73">
        <w:t>were identified as beneficial.</w:t>
      </w:r>
    </w:p>
    <w:p w14:paraId="701F5231" w14:textId="0406909E" w:rsidR="008D5EBF" w:rsidRDefault="008D5EBF" w:rsidP="00DB70F5">
      <w:pPr>
        <w:rPr>
          <w:rFonts w:eastAsia="Times New Roman"/>
        </w:rPr>
      </w:pPr>
      <w:r>
        <w:rPr>
          <w:rFonts w:eastAsia="Times New Roman"/>
        </w:rPr>
        <w:t>For configured grant, the benefit of enhancing the NR design for NR-U has been identified</w:t>
      </w:r>
      <w:r w:rsidR="007000D0">
        <w:rPr>
          <w:rFonts w:eastAsia="Times New Roman"/>
        </w:rPr>
        <w:t xml:space="preserve"> (section 7.2.1.3.4).</w:t>
      </w:r>
      <w:r w:rsidR="00A47E5E">
        <w:rPr>
          <w:rFonts w:eastAsia="Times New Roman"/>
        </w:rPr>
        <w:t xml:space="preserve"> </w:t>
      </w:r>
      <w:r w:rsidR="00DB70F5" w:rsidRPr="00DB70F5">
        <w:rPr>
          <w:rFonts w:eastAsia="Times New Roman"/>
        </w:rPr>
        <w:t xml:space="preserve">Introducing UCI on PUSCH to carry HARQ process ID, NDI, RVID </w:t>
      </w:r>
      <w:r w:rsidR="00DB70F5">
        <w:rPr>
          <w:rFonts w:eastAsia="Times New Roman"/>
        </w:rPr>
        <w:t>has been identified as beneficial in r</w:t>
      </w:r>
      <w:r w:rsidR="00DB70F5" w:rsidRPr="00DB70F5">
        <w:rPr>
          <w:rFonts w:eastAsia="Times New Roman"/>
        </w:rPr>
        <w:t>emoving dependencies of HARQ process information to the timing</w:t>
      </w:r>
      <w:r w:rsidR="00DB70F5">
        <w:rPr>
          <w:rFonts w:eastAsia="Times New Roman"/>
        </w:rPr>
        <w:t xml:space="preserve">. The identified enhancements </w:t>
      </w:r>
      <w:r w:rsidR="00287F16">
        <w:rPr>
          <w:rFonts w:eastAsia="Times New Roman"/>
        </w:rPr>
        <w:t xml:space="preserve">also </w:t>
      </w:r>
      <w:r w:rsidR="00DB70F5">
        <w:rPr>
          <w:rFonts w:eastAsia="Times New Roman"/>
        </w:rPr>
        <w:t>include i</w:t>
      </w:r>
      <w:r w:rsidR="00DB70F5" w:rsidRPr="00DB70F5">
        <w:rPr>
          <w:rFonts w:eastAsia="Times New Roman"/>
        </w:rPr>
        <w:t>ntroducing Downlink Feedback Information (DFI) including HARQ feedback for configured grant transmission</w:t>
      </w:r>
      <w:r w:rsidR="00DB70F5">
        <w:rPr>
          <w:rFonts w:eastAsia="Times New Roman"/>
        </w:rPr>
        <w:t>, i</w:t>
      </w:r>
      <w:r w:rsidR="00DB70F5" w:rsidRPr="00DB70F5">
        <w:rPr>
          <w:rFonts w:eastAsia="Times New Roman"/>
        </w:rPr>
        <w:t>ncreased flexibility on time domain resource allocation for the configured grant transmissions</w:t>
      </w:r>
      <w:r w:rsidR="00DB70F5">
        <w:rPr>
          <w:rFonts w:eastAsia="Times New Roman"/>
        </w:rPr>
        <w:t xml:space="preserve"> and s</w:t>
      </w:r>
      <w:r w:rsidR="00DB70F5" w:rsidRPr="00DB70F5">
        <w:rPr>
          <w:rFonts w:eastAsia="Times New Roman"/>
        </w:rPr>
        <w:t>upporting retransmissions without explicit UL grant</w:t>
      </w:r>
      <w:r w:rsidR="00DB70F5">
        <w:rPr>
          <w:rFonts w:eastAsia="Times New Roman"/>
        </w:rPr>
        <w:t xml:space="preserve">. </w:t>
      </w:r>
    </w:p>
    <w:p w14:paraId="4CDE1373" w14:textId="1F56C81E" w:rsidR="00B45A9B" w:rsidRDefault="00B45A9B" w:rsidP="009D2EA9">
      <w:pPr>
        <w:rPr>
          <w:rFonts w:eastAsia="Times New Roman"/>
        </w:rPr>
      </w:pPr>
      <w:r>
        <w:rPr>
          <w:rFonts w:eastAsia="Times New Roman"/>
        </w:rPr>
        <w:t>[</w:t>
      </w:r>
      <w:r w:rsidR="00E336CE">
        <w:rPr>
          <w:rFonts w:eastAsia="Times New Roman"/>
        </w:rPr>
        <w:t>Signals and channels</w:t>
      </w:r>
      <w:r>
        <w:rPr>
          <w:rFonts w:eastAsia="Times New Roman"/>
        </w:rPr>
        <w:t>]</w:t>
      </w:r>
    </w:p>
    <w:p w14:paraId="73C49897" w14:textId="77777777" w:rsidR="00DB592A" w:rsidRDefault="007000D0" w:rsidP="004E4BD6">
      <w:pPr>
        <w:rPr>
          <w:rFonts w:eastAsia="Times New Roman"/>
        </w:rPr>
      </w:pPr>
      <w:r>
        <w:rPr>
          <w:rFonts w:eastAsia="Times New Roman"/>
        </w:rPr>
        <w:t>The enhancements identified for physical layer signa</w:t>
      </w:r>
      <w:r w:rsidR="00DB592A">
        <w:rPr>
          <w:rFonts w:eastAsia="Times New Roman"/>
        </w:rPr>
        <w:t>l and channels are captured in S</w:t>
      </w:r>
      <w:r>
        <w:rPr>
          <w:rFonts w:eastAsia="Times New Roman"/>
        </w:rPr>
        <w:t xml:space="preserve">ection 7.2.1.2. </w:t>
      </w:r>
    </w:p>
    <w:p w14:paraId="44FAB63F" w14:textId="0041B4E0" w:rsidR="004E4BD6" w:rsidRDefault="004E4BD6" w:rsidP="004E4BD6">
      <w:pPr>
        <w:rPr>
          <w:rFonts w:eastAsia="Times New Roman"/>
        </w:rPr>
      </w:pPr>
      <w:r>
        <w:rPr>
          <w:rFonts w:eastAsia="Times New Roman"/>
        </w:rPr>
        <w:t xml:space="preserve">For SS/PBCH block transmission in NR-U DRS, it has been identified as beneficial to include CSI-RS and RMSI-CORESET(s) and RMSI-PDSCH(s) in the same contiguous burst. </w:t>
      </w:r>
      <w:r w:rsidR="00DD0904">
        <w:rPr>
          <w:rFonts w:eastAsia="Times New Roman"/>
        </w:rPr>
        <w:t xml:space="preserve">Optionally </w:t>
      </w:r>
      <w:r>
        <w:rPr>
          <w:rFonts w:eastAsia="Times New Roman"/>
        </w:rPr>
        <w:t>OSI and paging can be transmitted in the same DRS</w:t>
      </w:r>
      <w:r w:rsidR="00DD0904">
        <w:rPr>
          <w:rFonts w:eastAsia="Times New Roman"/>
        </w:rPr>
        <w:t xml:space="preserve"> </w:t>
      </w:r>
      <w:r w:rsidR="00DD0904">
        <w:t>if there are available resources</w:t>
      </w:r>
      <w:r>
        <w:rPr>
          <w:rFonts w:eastAsia="Times New Roman"/>
        </w:rPr>
        <w:t>.</w:t>
      </w:r>
      <w:r w:rsidR="00D37D14">
        <w:rPr>
          <w:rFonts w:eastAsia="Times New Roman"/>
        </w:rPr>
        <w:t xml:space="preserve"> </w:t>
      </w:r>
    </w:p>
    <w:p w14:paraId="26F9E6D9" w14:textId="6131F2BA" w:rsidR="00B45A9B" w:rsidRDefault="004E4BD6" w:rsidP="009D2EA9">
      <w:pPr>
        <w:rPr>
          <w:rFonts w:eastAsia="Times New Roman"/>
        </w:rPr>
      </w:pPr>
      <w:r>
        <w:rPr>
          <w:rFonts w:eastAsia="Times New Roman"/>
        </w:rPr>
        <w:t>For UL signals/channels, a</w:t>
      </w:r>
      <w:r w:rsidR="00E9511C">
        <w:rPr>
          <w:rFonts w:eastAsia="Times New Roman"/>
        </w:rPr>
        <w:t xml:space="preserve"> study on the waveform design to satisfy the Occupied Channel Bandwidth requirement and Power Spectrum Density requirements of unlicensed bands was conducted, </w:t>
      </w:r>
      <w:r w:rsidR="0099549F">
        <w:rPr>
          <w:rFonts w:eastAsia="Times New Roman"/>
        </w:rPr>
        <w:t>and it was determined that it is feasible to introduce a</w:t>
      </w:r>
      <w:r w:rsidR="00E9511C">
        <w:rPr>
          <w:rFonts w:eastAsia="Times New Roman"/>
        </w:rPr>
        <w:t xml:space="preserve"> block-interlaced waveform for PUCCH and PUSCH </w:t>
      </w:r>
      <w:r w:rsidR="0099549F">
        <w:rPr>
          <w:rFonts w:eastAsia="Times New Roman"/>
        </w:rPr>
        <w:t>for UL as enhancements to existing NR UL waveforms to satisfy the requirements</w:t>
      </w:r>
      <w:r w:rsidR="008B4670">
        <w:rPr>
          <w:rFonts w:eastAsia="Times New Roman"/>
        </w:rPr>
        <w:t>, similar to the block-interlaced PUSCH introduced for LTE-LAA</w:t>
      </w:r>
      <w:r w:rsidR="0099549F">
        <w:rPr>
          <w:rFonts w:eastAsia="Times New Roman"/>
        </w:rPr>
        <w:t>.</w:t>
      </w:r>
      <w:r w:rsidR="00A43CF3">
        <w:rPr>
          <w:rFonts w:eastAsia="Times New Roman"/>
        </w:rPr>
        <w:t xml:space="preserve"> </w:t>
      </w:r>
    </w:p>
    <w:p w14:paraId="65C3007F" w14:textId="5354BA64" w:rsidR="003D56F2" w:rsidRDefault="007000D0" w:rsidP="003D56F2">
      <w:pPr>
        <w:rPr>
          <w:rFonts w:eastAsia="Times New Roman"/>
        </w:rPr>
      </w:pPr>
      <w:r>
        <w:rPr>
          <w:rFonts w:eastAsia="Times New Roman"/>
        </w:rPr>
        <w:t>[</w:t>
      </w:r>
      <w:r w:rsidR="003D56F2">
        <w:rPr>
          <w:rFonts w:eastAsia="Times New Roman"/>
        </w:rPr>
        <w:t>RAN2 procedures]</w:t>
      </w:r>
    </w:p>
    <w:p w14:paraId="04F6E5A7" w14:textId="205AC54E" w:rsidR="003D56F2" w:rsidRDefault="003D56F2" w:rsidP="003D56F2">
      <w:pPr>
        <w:rPr>
          <w:rFonts w:eastAsia="Times New Roman"/>
        </w:rPr>
      </w:pPr>
      <w:r>
        <w:rPr>
          <w:rFonts w:eastAsia="Times New Roman"/>
        </w:rPr>
        <w:t>A study of</w:t>
      </w:r>
      <w:r w:rsidRPr="009E0D1B">
        <w:rPr>
          <w:rFonts w:eastAsia="Times New Roman"/>
        </w:rPr>
        <w:t xml:space="preserve"> the major aspects of </w:t>
      </w:r>
      <w:r>
        <w:rPr>
          <w:rFonts w:eastAsia="Times New Roman"/>
        </w:rPr>
        <w:t>NR</w:t>
      </w:r>
      <w:r w:rsidRPr="009E0D1B">
        <w:rPr>
          <w:rFonts w:eastAsia="Times New Roman"/>
        </w:rPr>
        <w:t xml:space="preserve"> </w:t>
      </w:r>
      <w:r>
        <w:rPr>
          <w:rFonts w:eastAsia="Times New Roman"/>
        </w:rPr>
        <w:t xml:space="preserve">radio interface architecture, protocol termination, radio interface protocols between UEs and RAN </w:t>
      </w:r>
      <w:r w:rsidRPr="009E0D1B">
        <w:rPr>
          <w:rFonts w:eastAsia="Times New Roman"/>
        </w:rPr>
        <w:t xml:space="preserve">to support </w:t>
      </w:r>
      <w:r>
        <w:rPr>
          <w:rFonts w:eastAsia="Times New Roman"/>
        </w:rPr>
        <w:t>operation in unlicensed s</w:t>
      </w:r>
      <w:r w:rsidRPr="009E0D1B">
        <w:rPr>
          <w:rFonts w:eastAsia="Times New Roman"/>
        </w:rPr>
        <w:t>pectrum</w:t>
      </w:r>
      <w:r>
        <w:rPr>
          <w:rFonts w:eastAsia="Times New Roman"/>
        </w:rPr>
        <w:t xml:space="preserve"> was conducted and it was determined that it is </w:t>
      </w:r>
      <w:r w:rsidRPr="009E0D1B">
        <w:rPr>
          <w:rFonts w:eastAsia="Times New Roman"/>
        </w:rPr>
        <w:t xml:space="preserve">feasible to support </w:t>
      </w:r>
      <w:r w:rsidRPr="00792D0D">
        <w:rPr>
          <w:rFonts w:eastAsia="Times New Roman"/>
        </w:rPr>
        <w:t>these aspects for</w:t>
      </w:r>
      <w:r>
        <w:rPr>
          <w:rFonts w:eastAsia="Times New Roman"/>
        </w:rPr>
        <w:t xml:space="preserve"> NR-U based on CA, DC (with LTE or NR) or SA operation</w:t>
      </w:r>
      <w:r w:rsidRPr="009E0D1B">
        <w:rPr>
          <w:rFonts w:eastAsia="Times New Roman"/>
        </w:rPr>
        <w:t>.</w:t>
      </w:r>
    </w:p>
    <w:p w14:paraId="555013E8" w14:textId="7BF5D762" w:rsidR="002F0666" w:rsidRDefault="00DB592A" w:rsidP="003D56F2">
      <w:pPr>
        <w:rPr>
          <w:rFonts w:eastAsia="Times New Roman"/>
        </w:rPr>
      </w:pPr>
      <w:r>
        <w:rPr>
          <w:rFonts w:eastAsia="Times New Roman"/>
        </w:rPr>
        <w:t>[RAN4 part]</w:t>
      </w:r>
      <w:bookmarkStart w:id="2" w:name="_GoBack"/>
      <w:bookmarkEnd w:id="2"/>
    </w:p>
    <w:sectPr w:rsidR="002F0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92EEF"/>
    <w:multiLevelType w:val="hybridMultilevel"/>
    <w:tmpl w:val="61B288E2"/>
    <w:lvl w:ilvl="0" w:tplc="A73A10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A1"/>
    <w:rsid w:val="00013AD7"/>
    <w:rsid w:val="000319D8"/>
    <w:rsid w:val="00055891"/>
    <w:rsid w:val="00132CD7"/>
    <w:rsid w:val="00160F31"/>
    <w:rsid w:val="001A0934"/>
    <w:rsid w:val="001B0591"/>
    <w:rsid w:val="001D762F"/>
    <w:rsid w:val="002270E8"/>
    <w:rsid w:val="00287F16"/>
    <w:rsid w:val="002F0666"/>
    <w:rsid w:val="00303A5C"/>
    <w:rsid w:val="003253CD"/>
    <w:rsid w:val="003267C1"/>
    <w:rsid w:val="00327BFB"/>
    <w:rsid w:val="00337614"/>
    <w:rsid w:val="00390A67"/>
    <w:rsid w:val="003D56F2"/>
    <w:rsid w:val="004043D8"/>
    <w:rsid w:val="004240B0"/>
    <w:rsid w:val="00445783"/>
    <w:rsid w:val="00455C39"/>
    <w:rsid w:val="00477CE8"/>
    <w:rsid w:val="004A606A"/>
    <w:rsid w:val="004C5688"/>
    <w:rsid w:val="004E4BD6"/>
    <w:rsid w:val="00512627"/>
    <w:rsid w:val="0054743C"/>
    <w:rsid w:val="00582FE8"/>
    <w:rsid w:val="00583219"/>
    <w:rsid w:val="005924A1"/>
    <w:rsid w:val="005B170D"/>
    <w:rsid w:val="005B5564"/>
    <w:rsid w:val="005C2C3B"/>
    <w:rsid w:val="005E30C5"/>
    <w:rsid w:val="00626E60"/>
    <w:rsid w:val="0064054C"/>
    <w:rsid w:val="006A5176"/>
    <w:rsid w:val="006D226F"/>
    <w:rsid w:val="007000D0"/>
    <w:rsid w:val="007225D2"/>
    <w:rsid w:val="00751B1D"/>
    <w:rsid w:val="007A0279"/>
    <w:rsid w:val="008118A1"/>
    <w:rsid w:val="00814282"/>
    <w:rsid w:val="00843F8E"/>
    <w:rsid w:val="008B4670"/>
    <w:rsid w:val="008D5EBF"/>
    <w:rsid w:val="00981548"/>
    <w:rsid w:val="0099549F"/>
    <w:rsid w:val="009D1E29"/>
    <w:rsid w:val="009D2EA9"/>
    <w:rsid w:val="009D4EA1"/>
    <w:rsid w:val="009D55FF"/>
    <w:rsid w:val="00A43CF3"/>
    <w:rsid w:val="00A47E5E"/>
    <w:rsid w:val="00B04724"/>
    <w:rsid w:val="00B05A73"/>
    <w:rsid w:val="00B15E40"/>
    <w:rsid w:val="00B45A9B"/>
    <w:rsid w:val="00B74C46"/>
    <w:rsid w:val="00B95C86"/>
    <w:rsid w:val="00BA52A2"/>
    <w:rsid w:val="00BB4CAE"/>
    <w:rsid w:val="00BF5398"/>
    <w:rsid w:val="00C25CA1"/>
    <w:rsid w:val="00C74B09"/>
    <w:rsid w:val="00CA0A48"/>
    <w:rsid w:val="00CA2F81"/>
    <w:rsid w:val="00CD60A3"/>
    <w:rsid w:val="00D028D7"/>
    <w:rsid w:val="00D37D14"/>
    <w:rsid w:val="00D50299"/>
    <w:rsid w:val="00D63C0D"/>
    <w:rsid w:val="00DA32B5"/>
    <w:rsid w:val="00DB592A"/>
    <w:rsid w:val="00DB70F5"/>
    <w:rsid w:val="00DC3802"/>
    <w:rsid w:val="00DD0904"/>
    <w:rsid w:val="00E237D1"/>
    <w:rsid w:val="00E309CD"/>
    <w:rsid w:val="00E336CE"/>
    <w:rsid w:val="00E66B75"/>
    <w:rsid w:val="00E90487"/>
    <w:rsid w:val="00E9511C"/>
    <w:rsid w:val="00EE0D4B"/>
    <w:rsid w:val="00EE4BB8"/>
    <w:rsid w:val="00FE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68CC3"/>
  <w15:chartTrackingRefBased/>
  <w15:docId w15:val="{251EB2C4-5420-49C7-AEE3-339E45B1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EA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9D2EA9"/>
    <w:rPr>
      <w:b/>
      <w:bCs/>
      <w:smallCaps/>
      <w:color w:val="4472C4" w:themeColor="accent1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E0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0D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0D4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D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D4B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D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D4B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3EQ6UJ4K66FU-4-33471</_dlc_DocId>
    <_dlc_DocIdUrl xmlns="df4eea7b-52db-4162-980b-b352f1b580a3">
      <Url>https://projects.qualcomm.com/sites/meridian/_layouts/15/DocIdRedir.aspx?ID=3EQ6UJ4K66FU-4-33471</Url>
      <Description>3EQ6UJ4K66FU-4-33471</Description>
    </_dlc_DocIdUrl>
    <_dlc_DocIdPersistId xmlns="df4eea7b-52db-4162-980b-b352f1b580a3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E9713-5B01-48B2-8D4A-7289E9AC7414}">
  <ds:schemaRefs>
    <ds:schemaRef ds:uri="http://schemas.microsoft.com/office/2006/metadata/properties"/>
    <ds:schemaRef ds:uri="http://schemas.microsoft.com/office/infopath/2007/PartnerControls"/>
    <ds:schemaRef ds:uri="df4eea7b-52db-4162-980b-b352f1b580a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1B72059-4348-4EDC-802E-3FBD281E2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F235-7BD3-426A-8A1D-590520F1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B8750E-D517-4ABF-A233-3B615E4954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C48D50-9CF2-44B7-A028-FE7C2C54C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JS</cp:lastModifiedBy>
  <cp:revision>9</cp:revision>
  <dcterms:created xsi:type="dcterms:W3CDTF">2018-11-07T08:07:00Z</dcterms:created>
  <dcterms:modified xsi:type="dcterms:W3CDTF">2018-11-15T06:32:00Z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159e9ec3-5b11-4b71-abe3-7d3255a99ebf</vt:lpwstr>
  </property>
  <property fmtid="{D5CDD505-2E9C-101B-9397-08002B2CF9AE}" pid="3" name="ContentTypeId">
    <vt:lpwstr>0x010100B64640988C4649488F02E0537EA64775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jectsTaxHTField0">
    <vt:lpwstr/>
  </property>
  <property fmtid="{D5CDD505-2E9C-101B-9397-08002B2CF9AE}" pid="14" name="EriCOLLCategoryTaxHTField0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CustomerTaxHTField0">
    <vt:lpwstr/>
  </property>
  <property fmtid="{D5CDD505-2E9C-101B-9397-08002B2CF9AE}" pid="18" name="EriCOLLCountryTaxHTField0">
    <vt:lpwstr/>
  </property>
  <property fmtid="{D5CDD505-2E9C-101B-9397-08002B2CF9AE}" pid="19" name="EriCOLLProcessTaxHTField0">
    <vt:lpwstr/>
  </property>
  <property fmtid="{D5CDD505-2E9C-101B-9397-08002B2CF9AE}" pid="20" name="EriCOLLProductsTaxHTField0">
    <vt:lpwstr/>
  </property>
</Properties>
</file>