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D766E" w14:textId="0CD501EE" w:rsidR="003B3942" w:rsidRPr="003B3942" w:rsidRDefault="0045740A" w:rsidP="00103302">
      <w:pPr>
        <w:pStyle w:val="a3"/>
        <w:tabs>
          <w:tab w:val="right" w:pos="8280"/>
          <w:tab w:val="right" w:pos="9781"/>
        </w:tabs>
        <w:ind w:right="-58"/>
        <w:rPr>
          <w:rFonts w:eastAsia="SimSun"/>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p>
    <w:p w14:paraId="303C82FA" w14:textId="26714451" w:rsidR="00FB0D1B" w:rsidRDefault="00FB0D1B" w:rsidP="00FB0D1B">
      <w:pPr>
        <w:pStyle w:val="a3"/>
        <w:tabs>
          <w:tab w:val="right" w:pos="8280"/>
          <w:tab w:val="right" w:pos="9781"/>
        </w:tabs>
        <w:ind w:right="-58"/>
        <w:rPr>
          <w:rFonts w:eastAsia="SimSun"/>
          <w:lang w:val="en-US" w:eastAsia="zh-CN"/>
        </w:rPr>
      </w:pPr>
      <w:r>
        <w:rPr>
          <w:rFonts w:cs="Arial"/>
          <w:bCs/>
          <w:sz w:val="20"/>
          <w:lang w:eastAsia="ja-JP"/>
        </w:rPr>
        <w:t>3GPP TSG RAN WG1 Meeting #95</w:t>
      </w:r>
      <w:r>
        <w:rPr>
          <w:rFonts w:cs="Arial"/>
          <w:bCs/>
          <w:sz w:val="20"/>
          <w:lang w:eastAsia="ja-JP"/>
        </w:rPr>
        <w:tab/>
      </w:r>
      <w:r>
        <w:rPr>
          <w:rFonts w:cs="Arial"/>
          <w:bCs/>
          <w:sz w:val="20"/>
          <w:lang w:eastAsia="ja-JP"/>
        </w:rPr>
        <w:tab/>
      </w:r>
      <w:r w:rsidR="006B4887" w:rsidRPr="006B4887">
        <w:rPr>
          <w:rFonts w:cs="Arial"/>
          <w:bCs/>
          <w:sz w:val="20"/>
          <w:lang w:eastAsia="ja-JP"/>
        </w:rPr>
        <w:t>R1-1813483</w:t>
      </w:r>
    </w:p>
    <w:p w14:paraId="1C7973A9" w14:textId="77777777" w:rsidR="00FB0D1B" w:rsidRDefault="00FB0D1B" w:rsidP="00FB0D1B">
      <w:pPr>
        <w:pStyle w:val="a3"/>
        <w:tabs>
          <w:tab w:val="right" w:pos="8280"/>
          <w:tab w:val="right" w:pos="9781"/>
        </w:tabs>
        <w:ind w:right="-58"/>
        <w:rPr>
          <w:rFonts w:cs="Arial"/>
          <w:bCs/>
          <w:sz w:val="20"/>
          <w:lang w:eastAsia="ja-JP"/>
        </w:rPr>
      </w:pPr>
      <w:r>
        <w:rPr>
          <w:rFonts w:cs="Arial"/>
          <w:bCs/>
          <w:sz w:val="20"/>
          <w:lang w:eastAsia="ja-JP"/>
        </w:rPr>
        <w:t>Spokane, USA, November 12th – 16th, 2018</w:t>
      </w:r>
    </w:p>
    <w:p w14:paraId="3735256A" w14:textId="0BA0093D" w:rsidR="0045740A" w:rsidRDefault="0045740A" w:rsidP="001D6395">
      <w:pPr>
        <w:pStyle w:val="a3"/>
        <w:tabs>
          <w:tab w:val="right" w:pos="8280"/>
          <w:tab w:val="right" w:pos="9781"/>
        </w:tabs>
        <w:ind w:right="-58"/>
        <w:rPr>
          <w:lang w:val="en-US" w:eastAsia="ja-JP"/>
        </w:rPr>
      </w:pPr>
    </w:p>
    <w:p w14:paraId="158F1166" w14:textId="77777777" w:rsidR="00A3732F" w:rsidRPr="00D67E1F" w:rsidRDefault="00A3732F"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600C766"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B2D68">
        <w:rPr>
          <w:rFonts w:eastAsiaTheme="minorEastAsia"/>
          <w:b w:val="0"/>
          <w:sz w:val="20"/>
          <w:lang w:eastAsia="ja-JP"/>
        </w:rPr>
        <w:t>BD/CCE/Search space limit for search space sharing</w:t>
      </w:r>
    </w:p>
    <w:p w14:paraId="7E572B5C" w14:textId="70EF5B9C" w:rsidR="00B46D0E" w:rsidRPr="00B46D0E" w:rsidRDefault="0045740A" w:rsidP="0045740A">
      <w:pPr>
        <w:rPr>
          <w:rFonts w:ascii="Arial" w:eastAsia="SimSun" w:hAnsi="Arial"/>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B46D0E">
        <w:rPr>
          <w:rFonts w:ascii="Arial" w:eastAsia="SimSun" w:hAnsi="Arial"/>
          <w:lang w:eastAsia="zh-CN"/>
        </w:rPr>
        <w:t>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631832AF" w14:textId="25C4BCFB" w:rsidR="00B928C6" w:rsidRDefault="009B2D68" w:rsidP="00F653F7">
      <w:pPr>
        <w:rPr>
          <w:rFonts w:eastAsiaTheme="minorEastAsia" w:cs="Arial"/>
          <w:lang w:eastAsia="ja-JP"/>
        </w:rPr>
      </w:pPr>
      <w:r>
        <w:rPr>
          <w:rFonts w:eastAsiaTheme="minorEastAsia" w:cs="Arial" w:hint="eastAsia"/>
          <w:lang w:eastAsia="ja-JP"/>
        </w:rPr>
        <w:t xml:space="preserve">This document discuss </w:t>
      </w:r>
      <w:r w:rsidR="006A2067">
        <w:rPr>
          <w:rFonts w:eastAsiaTheme="minorEastAsia" w:cs="Arial"/>
          <w:lang w:eastAsia="ja-JP"/>
        </w:rPr>
        <w:t>the limi</w:t>
      </w:r>
      <w:r w:rsidR="00AA253B">
        <w:rPr>
          <w:rFonts w:eastAsiaTheme="minorEastAsia" w:cs="Arial"/>
          <w:lang w:eastAsia="ja-JP"/>
        </w:rPr>
        <w:t>tation of BD/CCE/Search space for</w:t>
      </w:r>
      <w:r w:rsidR="006A2067">
        <w:rPr>
          <w:rFonts w:eastAsiaTheme="minorEastAsia" w:cs="Arial"/>
          <w:lang w:eastAsia="ja-JP"/>
        </w:rPr>
        <w:t xml:space="preserve"> search space sharing</w:t>
      </w:r>
      <w:r w:rsidR="00AA253B">
        <w:rPr>
          <w:rFonts w:eastAsiaTheme="minorEastAsia" w:cs="Arial"/>
          <w:lang w:eastAsia="ja-JP"/>
        </w:rPr>
        <w:t>.</w:t>
      </w:r>
    </w:p>
    <w:p w14:paraId="7C9F67C9" w14:textId="77777777" w:rsidR="009B2D68" w:rsidRPr="009034C9" w:rsidRDefault="009B2D68" w:rsidP="00F653F7">
      <w:pPr>
        <w:rPr>
          <w:rFonts w:eastAsiaTheme="minorEastAsia" w:cs="Arial"/>
          <w:lang w:eastAsia="ja-JP"/>
        </w:rPr>
      </w:pPr>
    </w:p>
    <w:p w14:paraId="400C899C" w14:textId="6A037302" w:rsidR="00ED4A22" w:rsidRDefault="0024783E" w:rsidP="00E23953">
      <w:pPr>
        <w:pStyle w:val="1"/>
        <w:tabs>
          <w:tab w:val="num" w:pos="426"/>
        </w:tabs>
        <w:ind w:left="426" w:hanging="426"/>
        <w:rPr>
          <w:szCs w:val="36"/>
          <w:lang w:eastAsia="ja-JP"/>
        </w:rPr>
      </w:pPr>
      <w:r>
        <w:rPr>
          <w:szCs w:val="36"/>
          <w:lang w:eastAsia="ja-JP"/>
        </w:rPr>
        <w:t>Discussion</w:t>
      </w:r>
    </w:p>
    <w:p w14:paraId="5A6150D2" w14:textId="77777777" w:rsidR="00DE31F5" w:rsidRDefault="00DE31F5" w:rsidP="00DE31F5">
      <w:pPr>
        <w:rPr>
          <w:b/>
          <w:u w:val="single"/>
          <w:lang w:eastAsia="ja-JP"/>
        </w:rPr>
      </w:pPr>
      <w:r>
        <w:rPr>
          <w:b/>
          <w:u w:val="single"/>
          <w:lang w:eastAsia="ja-JP"/>
        </w:rPr>
        <w:t>Background</w:t>
      </w:r>
    </w:p>
    <w:p w14:paraId="2DF3A673" w14:textId="77AE70C1" w:rsidR="00FB0D1B" w:rsidRDefault="00FB0D1B" w:rsidP="00FB0D1B">
      <w:pPr>
        <w:rPr>
          <w:lang w:eastAsia="ja-JP"/>
        </w:rPr>
      </w:pPr>
      <w:r>
        <w:rPr>
          <w:lang w:eastAsia="ja-JP"/>
        </w:rPr>
        <w:t xml:space="preserve">In </w:t>
      </w:r>
      <w:r w:rsidR="00C006AF">
        <w:rPr>
          <w:lang w:eastAsia="ja-JP"/>
        </w:rPr>
        <w:t xml:space="preserve">the </w:t>
      </w:r>
      <w:r>
        <w:rPr>
          <w:lang w:eastAsia="ja-JP"/>
        </w:rPr>
        <w:t>RAN1#94bis, the following was agree</w:t>
      </w:r>
      <w:r w:rsidR="00DB2406">
        <w:rPr>
          <w:lang w:eastAsia="ja-JP"/>
        </w:rPr>
        <w:t>d</w:t>
      </w:r>
      <w:r>
        <w:rPr>
          <w:lang w:eastAsia="ja-JP"/>
        </w:rPr>
        <w:t xml:space="preserve"> on PDCCH BD/CCE limit. </w:t>
      </w:r>
      <w:r w:rsidR="00510145">
        <w:rPr>
          <w:lang w:eastAsia="ja-JP"/>
        </w:rPr>
        <w:t>"</w:t>
      </w:r>
      <w:r>
        <w:rPr>
          <w:lang w:eastAsia="ja-JP"/>
        </w:rPr>
        <w:t>Per CC limit</w:t>
      </w:r>
      <w:r w:rsidR="00510145">
        <w:rPr>
          <w:lang w:eastAsia="ja-JP"/>
        </w:rPr>
        <w:t>"</w:t>
      </w:r>
      <w:r>
        <w:rPr>
          <w:lang w:eastAsia="ja-JP"/>
        </w:rPr>
        <w:t xml:space="preserve"> </w:t>
      </w:r>
      <w:r>
        <w:rPr>
          <w:rFonts w:hint="eastAsia"/>
          <w:lang w:eastAsia="ja-JP"/>
        </w:rPr>
        <w:t>is remaining issue.</w:t>
      </w:r>
    </w:p>
    <w:tbl>
      <w:tblPr>
        <w:tblStyle w:val="afb"/>
        <w:tblW w:w="0" w:type="auto"/>
        <w:tblLook w:val="04A0" w:firstRow="1" w:lastRow="0" w:firstColumn="1" w:lastColumn="0" w:noHBand="0" w:noVBand="1"/>
      </w:tblPr>
      <w:tblGrid>
        <w:gridCol w:w="9630"/>
      </w:tblGrid>
      <w:tr w:rsidR="00FB0D1B" w14:paraId="1A3A9DEC" w14:textId="77777777" w:rsidTr="00FB0D1B">
        <w:tc>
          <w:tcPr>
            <w:tcW w:w="9838" w:type="dxa"/>
            <w:tcBorders>
              <w:top w:val="single" w:sz="4" w:space="0" w:color="auto"/>
              <w:left w:val="single" w:sz="4" w:space="0" w:color="auto"/>
              <w:bottom w:val="single" w:sz="4" w:space="0" w:color="auto"/>
              <w:right w:val="single" w:sz="4" w:space="0" w:color="auto"/>
            </w:tcBorders>
            <w:hideMark/>
          </w:tcPr>
          <w:p w14:paraId="77455F58" w14:textId="77777777" w:rsidR="00FB0D1B" w:rsidRDefault="00FB0D1B">
            <w:pPr>
              <w:spacing w:after="0"/>
              <w:ind w:left="720" w:hanging="720"/>
              <w:rPr>
                <w:rFonts w:ascii="Times" w:eastAsia="Batang" w:hAnsi="Times"/>
                <w:lang w:eastAsia="x-none"/>
              </w:rPr>
            </w:pPr>
            <w:r>
              <w:rPr>
                <w:rFonts w:ascii="Times" w:eastAsia="Batang" w:hAnsi="Times"/>
                <w:highlight w:val="green"/>
                <w:lang w:eastAsia="x-none"/>
              </w:rPr>
              <w:t>Agreements</w:t>
            </w:r>
            <w:r>
              <w:rPr>
                <w:rFonts w:ascii="Times" w:eastAsia="Batang" w:hAnsi="Times"/>
                <w:lang w:eastAsia="x-none"/>
              </w:rPr>
              <w:t>:</w:t>
            </w:r>
          </w:p>
          <w:p w14:paraId="3B679D71" w14:textId="77777777" w:rsidR="00FB0D1B" w:rsidRDefault="00FB0D1B" w:rsidP="00FB0D1B">
            <w:pPr>
              <w:numPr>
                <w:ilvl w:val="0"/>
                <w:numId w:val="43"/>
              </w:numPr>
              <w:spacing w:after="0" w:line="276" w:lineRule="auto"/>
              <w:jc w:val="both"/>
              <w:rPr>
                <w:rFonts w:ascii="Times" w:eastAsia="Batang" w:hAnsi="Times"/>
                <w:lang w:eastAsia="ja-JP"/>
              </w:rPr>
            </w:pPr>
            <w:r>
              <w:rPr>
                <w:rFonts w:ascii="Times" w:eastAsia="Batang" w:hAnsi="Times"/>
                <w:lang w:eastAsia="ja-JP"/>
              </w:rPr>
              <w:t xml:space="preserve">For cross-carrier scheduling with the same numerology between scheduling cell and scheduled cell(s) but different numerologies between scheduling cell(s), and the number of DL-CCs is up to 4 or with up to T DL-CCs where the UE reports BD capability of y &gt;= T, the limit of BDs/CCEs per </w:t>
            </w:r>
            <w:r>
              <w:rPr>
                <w:rFonts w:ascii="Times" w:eastAsia="Batang" w:hAnsi="Times"/>
                <w:color w:val="FF0000"/>
                <w:u w:val="single"/>
                <w:lang w:eastAsia="ja-JP"/>
              </w:rPr>
              <w:t>scheduling</w:t>
            </w:r>
            <w:r>
              <w:rPr>
                <w:rFonts w:ascii="Times" w:eastAsia="Batang" w:hAnsi="Times"/>
                <w:lang w:eastAsia="ja-JP"/>
              </w:rPr>
              <w:t xml:space="preserve"> CC per slot is (the number of CCs schedulable by the scheduling CC) x (the limit of BDs/CCEs for non-CA case)</w:t>
            </w:r>
          </w:p>
          <w:p w14:paraId="110FD63D" w14:textId="77777777" w:rsidR="00FB0D1B" w:rsidRDefault="00FB0D1B" w:rsidP="00FB0D1B">
            <w:pPr>
              <w:numPr>
                <w:ilvl w:val="0"/>
                <w:numId w:val="43"/>
              </w:numPr>
              <w:spacing w:after="0" w:line="276" w:lineRule="auto"/>
              <w:jc w:val="both"/>
              <w:rPr>
                <w:rFonts w:ascii="Times" w:eastAsia="Batang" w:hAnsi="Times"/>
                <w:lang w:eastAsia="ja-JP"/>
              </w:rPr>
            </w:pPr>
            <w:r>
              <w:rPr>
                <w:rFonts w:ascii="Times" w:eastAsia="Batang" w:hAnsi="Times"/>
                <w:lang w:eastAsia="ja-JP"/>
              </w:rPr>
              <w:t xml:space="preserve">For cross-carrier scheduling with the same numerology between scheduling cell and scheduled cell(s) but different numerologies between scheduling cell(s), and the number of DL-CCs is more than 4 and with up to T DL-CCs where the UE reports BD capability of y &lt; T, the limit of BDs/CCEs </w:t>
            </w:r>
            <w:r>
              <w:rPr>
                <w:rFonts w:ascii="Times" w:eastAsia="Batang" w:hAnsi="Times"/>
                <w:color w:val="FF0000"/>
                <w:u w:val="single"/>
                <w:lang w:eastAsia="ja-JP"/>
              </w:rPr>
              <w:t>per numerology</w:t>
            </w:r>
            <w:r>
              <w:rPr>
                <w:rFonts w:ascii="Times" w:eastAsia="Batang" w:hAnsi="Times"/>
                <w:lang w:eastAsia="ja-JP"/>
              </w:rPr>
              <w:t xml:space="preserve"> per slot is Floor{Xi / (X0 + X1 + X2 + X3) * (Mi or Ni) * y)}, where;</w:t>
            </w:r>
          </w:p>
          <w:p w14:paraId="279AA200" w14:textId="77777777" w:rsidR="00FB0D1B" w:rsidRDefault="00FB0D1B" w:rsidP="00FB0D1B">
            <w:pPr>
              <w:numPr>
                <w:ilvl w:val="1"/>
                <w:numId w:val="43"/>
              </w:numPr>
              <w:spacing w:after="0" w:line="276" w:lineRule="auto"/>
              <w:jc w:val="both"/>
              <w:rPr>
                <w:rFonts w:ascii="Times" w:eastAsia="Batang" w:hAnsi="Times"/>
                <w:lang w:eastAsia="ja-JP"/>
              </w:rPr>
            </w:pPr>
            <w:r>
              <w:rPr>
                <w:rFonts w:ascii="Times" w:eastAsia="Batang" w:hAnsi="Times"/>
                <w:lang w:eastAsia="ja-JP"/>
              </w:rPr>
              <w:t>Xi (i=0, 1, 2, 3) denotes the number of DL-CCs per numerology i</w:t>
            </w:r>
          </w:p>
          <w:p w14:paraId="7245AA8C" w14:textId="77777777" w:rsidR="00FB0D1B" w:rsidRDefault="00FB0D1B" w:rsidP="00FB0D1B">
            <w:pPr>
              <w:numPr>
                <w:ilvl w:val="1"/>
                <w:numId w:val="43"/>
              </w:numPr>
              <w:spacing w:after="0" w:line="276" w:lineRule="auto"/>
              <w:jc w:val="both"/>
              <w:rPr>
                <w:rFonts w:ascii="Times" w:eastAsia="Batang" w:hAnsi="Times"/>
                <w:lang w:eastAsia="ja-JP"/>
              </w:rPr>
            </w:pPr>
            <w:r>
              <w:rPr>
                <w:rFonts w:ascii="Times" w:eastAsia="Batang" w:hAnsi="Times"/>
                <w:lang w:eastAsia="ja-JP"/>
              </w:rPr>
              <w:t>Mi and Ni denote the number of BDs and CCEs per slot specified for non-CA case for numerology i, respectively</w:t>
            </w:r>
          </w:p>
          <w:p w14:paraId="75ACA0D0" w14:textId="77777777" w:rsidR="00FB0D1B" w:rsidRDefault="00FB0D1B" w:rsidP="00FB0D1B">
            <w:pPr>
              <w:numPr>
                <w:ilvl w:val="0"/>
                <w:numId w:val="43"/>
              </w:numPr>
              <w:spacing w:after="0" w:line="276" w:lineRule="auto"/>
              <w:jc w:val="both"/>
              <w:rPr>
                <w:rFonts w:ascii="Times" w:eastAsia="Batang" w:hAnsi="Times"/>
                <w:lang w:eastAsia="ja-JP"/>
              </w:rPr>
            </w:pPr>
            <w:r>
              <w:rPr>
                <w:rFonts w:ascii="Times" w:eastAsia="Batang" w:hAnsi="Times"/>
                <w:lang w:eastAsia="ja-JP"/>
              </w:rPr>
              <w:t>Discuss further offline per CC limit for the above two cases</w:t>
            </w:r>
          </w:p>
          <w:p w14:paraId="7AA23163" w14:textId="77777777" w:rsidR="00FB0D1B" w:rsidRDefault="00FB0D1B">
            <w:pPr>
              <w:spacing w:after="0" w:line="276" w:lineRule="auto"/>
              <w:jc w:val="both"/>
              <w:rPr>
                <w:rFonts w:ascii="Times" w:eastAsia="Batang" w:hAnsi="Times"/>
                <w:b/>
                <w:lang w:eastAsia="ja-JP"/>
              </w:rPr>
            </w:pPr>
            <w:r>
              <w:rPr>
                <w:rFonts w:ascii="Times" w:eastAsia="Batang" w:hAnsi="Times"/>
                <w:b/>
                <w:lang w:eastAsia="ja-JP"/>
              </w:rPr>
              <w:t>Friday</w:t>
            </w:r>
          </w:p>
          <w:p w14:paraId="3B4D9D79" w14:textId="77777777" w:rsidR="00FB0D1B" w:rsidRDefault="00FB0D1B" w:rsidP="00FB0D1B">
            <w:pPr>
              <w:numPr>
                <w:ilvl w:val="0"/>
                <w:numId w:val="43"/>
              </w:numPr>
              <w:spacing w:after="0" w:line="276" w:lineRule="auto"/>
              <w:ind w:hanging="357"/>
              <w:jc w:val="both"/>
              <w:rPr>
                <w:rFonts w:ascii="Times" w:eastAsia="Batang" w:hAnsi="Times"/>
                <w:lang w:eastAsia="ja-JP"/>
              </w:rPr>
            </w:pPr>
            <w:r>
              <w:rPr>
                <w:rFonts w:ascii="Times" w:eastAsia="Batang" w:hAnsi="Times"/>
                <w:lang w:eastAsia="ja-JP"/>
              </w:rPr>
              <w:t>per CC limit for the above two cases should be revisited in RAN1#95</w:t>
            </w:r>
          </w:p>
          <w:p w14:paraId="2B9F0433" w14:textId="77777777" w:rsidR="00FB0D1B" w:rsidRDefault="00FB0D1B" w:rsidP="00FB0D1B">
            <w:pPr>
              <w:numPr>
                <w:ilvl w:val="1"/>
                <w:numId w:val="43"/>
              </w:numPr>
              <w:spacing w:after="0" w:line="276" w:lineRule="auto"/>
              <w:ind w:hanging="357"/>
              <w:jc w:val="both"/>
              <w:rPr>
                <w:rFonts w:ascii="Times" w:eastAsia="Batang" w:hAnsi="Times"/>
                <w:lang w:eastAsia="ja-JP"/>
              </w:rPr>
            </w:pPr>
            <w:r>
              <w:rPr>
                <w:rFonts w:ascii="Times" w:eastAsia="Batang" w:hAnsi="Times"/>
                <w:lang w:eastAsia="ja-JP"/>
              </w:rPr>
              <w:t>Take into account the number of search spaces (i.e., up to 10 per BWP in RAN1 spec)</w:t>
            </w:r>
          </w:p>
          <w:p w14:paraId="0E70D8D2" w14:textId="77777777" w:rsidR="00FB0D1B" w:rsidRDefault="00FB0D1B" w:rsidP="00FB0D1B">
            <w:pPr>
              <w:numPr>
                <w:ilvl w:val="2"/>
                <w:numId w:val="43"/>
              </w:numPr>
              <w:spacing w:after="120" w:line="276" w:lineRule="auto"/>
              <w:jc w:val="both"/>
              <w:rPr>
                <w:lang w:eastAsia="ja-JP"/>
              </w:rPr>
            </w:pPr>
            <w:r>
              <w:rPr>
                <w:rFonts w:ascii="Times" w:eastAsia="Batang" w:hAnsi="Times"/>
                <w:lang w:eastAsia="ja-JP"/>
              </w:rPr>
              <w:t>Especially for cross-carrier scheduling.</w:t>
            </w:r>
          </w:p>
        </w:tc>
      </w:tr>
    </w:tbl>
    <w:p w14:paraId="2C4B9C08" w14:textId="77777777" w:rsidR="00C006AF" w:rsidRDefault="00C006AF" w:rsidP="00FB0D1B">
      <w:pPr>
        <w:rPr>
          <w:lang w:eastAsia="ja-JP"/>
        </w:rPr>
      </w:pPr>
    </w:p>
    <w:p w14:paraId="7CCA54EB" w14:textId="0E35D8F3" w:rsidR="00FB0D1B" w:rsidRDefault="00FB0D1B" w:rsidP="00FB0D1B">
      <w:pPr>
        <w:rPr>
          <w:lang w:eastAsia="ja-JP"/>
        </w:rPr>
      </w:pPr>
      <w:r>
        <w:rPr>
          <w:lang w:eastAsia="ja-JP"/>
        </w:rPr>
        <w:t xml:space="preserve">In the </w:t>
      </w:r>
      <w:r w:rsidR="00AA253B">
        <w:rPr>
          <w:lang w:eastAsia="ja-JP"/>
        </w:rPr>
        <w:t xml:space="preserve">same </w:t>
      </w:r>
      <w:r>
        <w:rPr>
          <w:lang w:eastAsia="ja-JP"/>
        </w:rPr>
        <w:t xml:space="preserve">RAN1#94bis, the limitation of the number of </w:t>
      </w:r>
      <w:r>
        <w:rPr>
          <w:rFonts w:eastAsia="SimSun" w:cs="Arial"/>
          <w:lang w:eastAsia="zh-CN"/>
        </w:rPr>
        <w:t xml:space="preserve">PDCCH search spaces was discussed as follows </w:t>
      </w:r>
      <w:r>
        <w:rPr>
          <w:rFonts w:eastAsia="SimSun" w:cs="Arial"/>
          <w:lang w:eastAsia="zh-CN"/>
        </w:rPr>
        <w:fldChar w:fldCharType="begin"/>
      </w:r>
      <w:r>
        <w:rPr>
          <w:rFonts w:eastAsia="SimSun" w:cs="Arial"/>
          <w:lang w:eastAsia="zh-CN"/>
        </w:rPr>
        <w:instrText xml:space="preserve"> REF _Ref521404885 \n \h </w:instrText>
      </w:r>
      <w:r>
        <w:rPr>
          <w:rFonts w:eastAsia="SimSun" w:cs="Arial"/>
          <w:lang w:eastAsia="zh-CN"/>
        </w:rPr>
      </w:r>
      <w:r>
        <w:rPr>
          <w:rFonts w:eastAsia="SimSun" w:cs="Arial"/>
          <w:lang w:eastAsia="zh-CN"/>
        </w:rPr>
        <w:fldChar w:fldCharType="separate"/>
      </w:r>
      <w:r>
        <w:rPr>
          <w:rFonts w:eastAsia="SimSun" w:cs="Arial"/>
          <w:lang w:eastAsia="zh-CN"/>
        </w:rPr>
        <w:t>[1]</w:t>
      </w:r>
      <w:r>
        <w:rPr>
          <w:rFonts w:eastAsia="SimSun" w:cs="Arial"/>
          <w:lang w:eastAsia="zh-CN"/>
        </w:rPr>
        <w:fldChar w:fldCharType="end"/>
      </w:r>
      <w:r>
        <w:rPr>
          <w:rFonts w:eastAsia="SimSun" w:cs="Arial"/>
          <w:lang w:eastAsia="zh-CN"/>
        </w:rPr>
        <w: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0"/>
        <w:gridCol w:w="379"/>
        <w:gridCol w:w="636"/>
        <w:gridCol w:w="3484"/>
        <w:gridCol w:w="235"/>
        <w:gridCol w:w="405"/>
        <w:gridCol w:w="272"/>
        <w:gridCol w:w="457"/>
        <w:gridCol w:w="432"/>
        <w:gridCol w:w="399"/>
        <w:gridCol w:w="261"/>
        <w:gridCol w:w="257"/>
        <w:gridCol w:w="239"/>
        <w:gridCol w:w="765"/>
        <w:gridCol w:w="765"/>
      </w:tblGrid>
      <w:tr w:rsidR="00FB0D1B" w14:paraId="58C22450" w14:textId="77777777" w:rsidTr="00FB0D1B">
        <w:trPr>
          <w:trHeight w:val="615"/>
        </w:trPr>
        <w:tc>
          <w:tcPr>
            <w:tcW w:w="380" w:type="pct"/>
            <w:tcBorders>
              <w:top w:val="single" w:sz="4" w:space="0" w:color="auto"/>
              <w:left w:val="single" w:sz="4" w:space="0" w:color="auto"/>
              <w:bottom w:val="single" w:sz="4" w:space="0" w:color="auto"/>
              <w:right w:val="single" w:sz="4" w:space="0" w:color="auto"/>
            </w:tcBorders>
            <w:hideMark/>
          </w:tcPr>
          <w:p w14:paraId="4713D32E" w14:textId="77777777" w:rsidR="00C006AF" w:rsidRDefault="00C006AF">
            <w:pPr>
              <w:snapToGrid w:val="0"/>
              <w:spacing w:after="0"/>
              <w:rPr>
                <w:rFonts w:ascii="Arial" w:eastAsia="ＭＳ Ｐゴシック" w:hAnsi="Arial" w:cs="Arial"/>
                <w:sz w:val="12"/>
                <w:szCs w:val="18"/>
              </w:rPr>
            </w:pPr>
          </w:p>
          <w:p w14:paraId="7928B26E" w14:textId="743241D1" w:rsidR="00FB0D1B" w:rsidRDefault="00FB0D1B">
            <w:pPr>
              <w:snapToGrid w:val="0"/>
              <w:spacing w:after="0"/>
              <w:rPr>
                <w:rFonts w:ascii="Arial" w:eastAsia="ＭＳ Ｐゴシック" w:hAnsi="Arial" w:cs="Arial"/>
                <w:sz w:val="12"/>
                <w:szCs w:val="18"/>
                <w:lang w:val="en-US" w:eastAsia="ja-JP"/>
              </w:rPr>
            </w:pPr>
            <w:r>
              <w:rPr>
                <w:rFonts w:ascii="Arial" w:eastAsia="ＭＳ Ｐゴシック" w:hAnsi="Arial" w:cs="Arial"/>
                <w:sz w:val="12"/>
                <w:szCs w:val="18"/>
              </w:rPr>
              <w:t>3.DL control channel and procedure</w:t>
            </w:r>
          </w:p>
        </w:tc>
        <w:tc>
          <w:tcPr>
            <w:tcW w:w="195" w:type="pct"/>
            <w:tcBorders>
              <w:top w:val="single" w:sz="4" w:space="0" w:color="auto"/>
              <w:left w:val="single" w:sz="4" w:space="0" w:color="auto"/>
              <w:bottom w:val="single" w:sz="4" w:space="0" w:color="auto"/>
              <w:right w:val="single" w:sz="4" w:space="0" w:color="auto"/>
            </w:tcBorders>
            <w:vAlign w:val="center"/>
            <w:hideMark/>
          </w:tcPr>
          <w:p w14:paraId="295217EE" w14:textId="77777777" w:rsidR="00FB0D1B" w:rsidRDefault="00FB0D1B">
            <w:pPr>
              <w:snapToGrid w:val="0"/>
              <w:spacing w:after="0"/>
              <w:rPr>
                <w:rFonts w:ascii="Arial" w:eastAsia="ＭＳ Ｐゴシック" w:hAnsi="Arial" w:cs="Arial"/>
                <w:sz w:val="12"/>
                <w:szCs w:val="18"/>
              </w:rPr>
            </w:pPr>
            <w:r>
              <w:rPr>
                <w:rFonts w:ascii="Arial" w:eastAsia="ＭＳ Ｐゴシック" w:hAnsi="Arial" w:cs="Arial"/>
                <w:sz w:val="12"/>
                <w:szCs w:val="18"/>
              </w:rPr>
              <w:t>3-1</w:t>
            </w:r>
          </w:p>
        </w:tc>
        <w:tc>
          <w:tcPr>
            <w:tcW w:w="327" w:type="pct"/>
            <w:tcBorders>
              <w:top w:val="single" w:sz="4" w:space="0" w:color="auto"/>
              <w:left w:val="single" w:sz="4" w:space="0" w:color="auto"/>
              <w:bottom w:val="single" w:sz="4" w:space="0" w:color="auto"/>
              <w:right w:val="single" w:sz="4" w:space="0" w:color="auto"/>
            </w:tcBorders>
            <w:vAlign w:val="center"/>
            <w:hideMark/>
          </w:tcPr>
          <w:p w14:paraId="4D6CC393" w14:textId="77777777" w:rsidR="00FB0D1B" w:rsidRDefault="00FB0D1B">
            <w:pPr>
              <w:snapToGrid w:val="0"/>
              <w:spacing w:after="0"/>
              <w:rPr>
                <w:rFonts w:ascii="Arial" w:eastAsia="ＭＳ Ｐゴシック" w:hAnsi="Arial" w:cs="Arial"/>
                <w:sz w:val="12"/>
                <w:szCs w:val="18"/>
              </w:rPr>
            </w:pPr>
            <w:r>
              <w:rPr>
                <w:rFonts w:ascii="Arial" w:eastAsia="ＭＳ Ｐゴシック" w:hAnsi="Arial" w:cs="Arial"/>
                <w:sz w:val="12"/>
                <w:szCs w:val="18"/>
              </w:rPr>
              <w:t>Basic DL control channel</w:t>
            </w:r>
          </w:p>
        </w:tc>
        <w:tc>
          <w:tcPr>
            <w:tcW w:w="1791" w:type="pct"/>
            <w:tcBorders>
              <w:top w:val="single" w:sz="4" w:space="0" w:color="auto"/>
              <w:left w:val="single" w:sz="4" w:space="0" w:color="auto"/>
              <w:bottom w:val="single" w:sz="4" w:space="0" w:color="auto"/>
              <w:right w:val="single" w:sz="4" w:space="0" w:color="auto"/>
            </w:tcBorders>
            <w:vAlign w:val="center"/>
          </w:tcPr>
          <w:p w14:paraId="6097CE7E" w14:textId="77777777" w:rsidR="00FB0D1B" w:rsidRDefault="00FB0D1B">
            <w:pPr>
              <w:snapToGrid w:val="0"/>
              <w:spacing w:after="0"/>
              <w:rPr>
                <w:rFonts w:ascii="Arial" w:eastAsia="ＭＳ Ｐゴシック" w:hAnsi="Arial" w:cs="Arial"/>
                <w:sz w:val="12"/>
                <w:szCs w:val="18"/>
              </w:rPr>
            </w:pPr>
            <w:r>
              <w:rPr>
                <w:rFonts w:ascii="Arial" w:eastAsia="ＭＳ Ｐゴシック" w:hAnsi="Arial" w:cs="Arial"/>
                <w:sz w:val="12"/>
                <w:szCs w:val="18"/>
              </w:rPr>
              <w:t>1) One configured CORESET per BWP per cell in addition to CORESET0</w:t>
            </w:r>
          </w:p>
          <w:p w14:paraId="3AD9ADC9" w14:textId="77777777" w:rsidR="00FB0D1B" w:rsidRDefault="00FB0D1B">
            <w:pPr>
              <w:snapToGrid w:val="0"/>
              <w:spacing w:after="0"/>
              <w:ind w:firstLineChars="50" w:firstLine="60"/>
              <w:rPr>
                <w:rFonts w:ascii="Arial" w:eastAsia="ＭＳ Ｐゴシック" w:hAnsi="Arial" w:cs="Arial"/>
                <w:sz w:val="12"/>
                <w:szCs w:val="18"/>
              </w:rPr>
            </w:pPr>
            <w:r>
              <w:rPr>
                <w:rFonts w:ascii="Arial" w:eastAsia="ＭＳ Ｐゴシック" w:hAnsi="Arial" w:cs="Arial"/>
                <w:sz w:val="12"/>
                <w:szCs w:val="18"/>
              </w:rPr>
              <w:t>- CORESET resource allocation of 6RB bit-map and duration of 1 – 3 OFDM symbols for FR1</w:t>
            </w:r>
          </w:p>
          <w:p w14:paraId="4BECD514" w14:textId="77777777" w:rsidR="00FB0D1B" w:rsidRDefault="00FB0D1B">
            <w:pPr>
              <w:snapToGrid w:val="0"/>
              <w:spacing w:after="0"/>
              <w:ind w:firstLineChars="50" w:firstLine="60"/>
              <w:rPr>
                <w:rFonts w:ascii="Arial" w:eastAsia="ＭＳ Ｐゴシック" w:hAnsi="Arial" w:cs="Arial"/>
                <w:sz w:val="12"/>
                <w:szCs w:val="18"/>
              </w:rPr>
            </w:pPr>
            <w:r>
              <w:rPr>
                <w:rFonts w:ascii="Arial" w:eastAsia="ＭＳ Ｐゴシック" w:hAnsi="Arial" w:cs="Arial"/>
                <w:sz w:val="12"/>
                <w:szCs w:val="18"/>
              </w:rPr>
              <w:t>- For type 1 CSS without dedicated RRC configuration and for type 0, 0A, and 2 CSSs, CORESET resource allocation of 6RB bit-map and duration 1-3 OFDM symbols for FR2</w:t>
            </w:r>
          </w:p>
          <w:p w14:paraId="57B75108" w14:textId="77777777" w:rsidR="00FB0D1B" w:rsidRDefault="00FB0D1B">
            <w:pPr>
              <w:snapToGrid w:val="0"/>
              <w:spacing w:after="0"/>
              <w:ind w:firstLineChars="50" w:firstLine="60"/>
              <w:rPr>
                <w:rFonts w:ascii="Arial" w:eastAsia="ＭＳ Ｐゴシック" w:hAnsi="Arial" w:cs="Arial"/>
                <w:sz w:val="12"/>
                <w:szCs w:val="18"/>
              </w:rPr>
            </w:pPr>
            <w:r>
              <w:rPr>
                <w:rFonts w:ascii="Arial" w:eastAsia="ＭＳ Ｐゴシック" w:hAnsi="Arial" w:cs="Arial"/>
                <w:sz w:val="12"/>
                <w:szCs w:val="18"/>
              </w:rPr>
              <w:t>- For type 1 CSS with dedicated RRC configuration and for type 3 CSS, UE specific SS, CORESET resource allocation of 6RB bit-map and duration 1-2 OFDM symbols for FR2</w:t>
            </w:r>
          </w:p>
          <w:p w14:paraId="2EAC87E8" w14:textId="77777777" w:rsidR="00FB0D1B" w:rsidRDefault="00FB0D1B">
            <w:pPr>
              <w:snapToGrid w:val="0"/>
              <w:spacing w:after="0"/>
              <w:ind w:firstLineChars="50" w:firstLine="60"/>
              <w:rPr>
                <w:rFonts w:ascii="Arial" w:eastAsia="ＭＳ Ｐゴシック" w:hAnsi="Arial" w:cs="Arial"/>
                <w:sz w:val="12"/>
                <w:szCs w:val="18"/>
              </w:rPr>
            </w:pPr>
          </w:p>
          <w:p w14:paraId="2BE6AD9E" w14:textId="77777777" w:rsidR="00FB0D1B" w:rsidRDefault="00FB0D1B">
            <w:pPr>
              <w:snapToGrid w:val="0"/>
              <w:spacing w:after="0"/>
              <w:ind w:firstLineChars="50" w:firstLine="60"/>
              <w:rPr>
                <w:rFonts w:ascii="Arial" w:eastAsia="ＭＳ Ｐゴシック" w:hAnsi="Arial" w:cs="Arial"/>
                <w:sz w:val="12"/>
                <w:szCs w:val="18"/>
              </w:rPr>
            </w:pPr>
            <w:r>
              <w:rPr>
                <w:rFonts w:ascii="Arial" w:eastAsia="ＭＳ Ｐゴシック" w:hAnsi="Arial" w:cs="Arial"/>
                <w:sz w:val="12"/>
                <w:szCs w:val="18"/>
              </w:rPr>
              <w:t>- REG-bundle sizes of 2/3 RBs or 6 RBs</w:t>
            </w:r>
          </w:p>
          <w:p w14:paraId="4B9F542C" w14:textId="77777777" w:rsidR="00FB0D1B" w:rsidRDefault="00FB0D1B">
            <w:pPr>
              <w:snapToGrid w:val="0"/>
              <w:spacing w:after="0"/>
              <w:ind w:firstLineChars="50" w:firstLine="60"/>
              <w:rPr>
                <w:rFonts w:ascii="Arial" w:eastAsia="ＭＳ Ｐゴシック" w:hAnsi="Arial" w:cs="Arial"/>
                <w:sz w:val="12"/>
                <w:szCs w:val="18"/>
              </w:rPr>
            </w:pPr>
            <w:r>
              <w:rPr>
                <w:rFonts w:ascii="Arial" w:eastAsia="ＭＳ Ｐゴシック" w:hAnsi="Arial" w:cs="Arial"/>
                <w:sz w:val="12"/>
                <w:szCs w:val="18"/>
              </w:rPr>
              <w:t>- Interleaved and non-interleaved CCE-to-REG mapping</w:t>
            </w:r>
          </w:p>
          <w:p w14:paraId="3A6D0AA7" w14:textId="77777777" w:rsidR="00FB0D1B" w:rsidRDefault="00FB0D1B">
            <w:pPr>
              <w:snapToGrid w:val="0"/>
              <w:spacing w:after="0"/>
              <w:ind w:firstLineChars="50" w:firstLine="60"/>
              <w:rPr>
                <w:rFonts w:ascii="Arial" w:eastAsia="ＭＳ Ｐゴシック" w:hAnsi="Arial" w:cs="Arial"/>
                <w:sz w:val="12"/>
                <w:szCs w:val="18"/>
              </w:rPr>
            </w:pPr>
            <w:r>
              <w:rPr>
                <w:rFonts w:ascii="Arial" w:eastAsia="ＭＳ Ｐゴシック" w:hAnsi="Arial" w:cs="Arial"/>
                <w:sz w:val="12"/>
                <w:szCs w:val="18"/>
              </w:rPr>
              <w:t xml:space="preserve">- Precoder-granularity of REG-bundle size </w:t>
            </w:r>
          </w:p>
          <w:p w14:paraId="043E8D60" w14:textId="77777777" w:rsidR="00FB0D1B" w:rsidRDefault="00FB0D1B">
            <w:pPr>
              <w:snapToGrid w:val="0"/>
              <w:spacing w:after="0"/>
              <w:ind w:firstLineChars="50" w:firstLine="60"/>
              <w:rPr>
                <w:rFonts w:ascii="Arial" w:eastAsia="ＭＳ Ｐゴシック" w:hAnsi="Arial" w:cs="Arial"/>
                <w:sz w:val="12"/>
                <w:szCs w:val="18"/>
              </w:rPr>
            </w:pPr>
            <w:r>
              <w:rPr>
                <w:rFonts w:ascii="Arial" w:eastAsia="ＭＳ Ｐゴシック" w:hAnsi="Arial" w:cs="Arial"/>
                <w:sz w:val="12"/>
                <w:szCs w:val="18"/>
              </w:rPr>
              <w:t>- PDCCH DMRS scrambling determination</w:t>
            </w:r>
          </w:p>
          <w:p w14:paraId="6EC25425" w14:textId="77777777" w:rsidR="00FB0D1B" w:rsidRDefault="00FB0D1B">
            <w:pPr>
              <w:snapToGrid w:val="0"/>
              <w:spacing w:after="0"/>
              <w:ind w:firstLineChars="50" w:firstLine="60"/>
              <w:rPr>
                <w:rFonts w:ascii="Arial" w:eastAsia="ＭＳ Ｐゴシック" w:hAnsi="Arial" w:cs="Arial"/>
                <w:sz w:val="12"/>
                <w:szCs w:val="18"/>
              </w:rPr>
            </w:pPr>
            <w:r>
              <w:rPr>
                <w:rFonts w:ascii="Arial" w:eastAsia="ＭＳ Ｐゴシック" w:hAnsi="Arial" w:cs="Arial"/>
                <w:sz w:val="12"/>
                <w:szCs w:val="18"/>
              </w:rPr>
              <w:t>- TCI state(s) for a CORESET configuration</w:t>
            </w:r>
          </w:p>
          <w:p w14:paraId="3022F917" w14:textId="77777777" w:rsidR="00FB0D1B" w:rsidRDefault="00FB0D1B">
            <w:pPr>
              <w:snapToGrid w:val="0"/>
              <w:spacing w:after="0"/>
              <w:rPr>
                <w:rFonts w:ascii="Arial" w:eastAsia="ＭＳ Ｐゴシック" w:hAnsi="Arial" w:cs="Arial"/>
                <w:sz w:val="12"/>
                <w:szCs w:val="18"/>
              </w:rPr>
            </w:pPr>
          </w:p>
          <w:p w14:paraId="48BAC5B1" w14:textId="77777777" w:rsidR="00FB0D1B" w:rsidRDefault="00FB0D1B">
            <w:pPr>
              <w:snapToGrid w:val="0"/>
              <w:spacing w:after="0"/>
              <w:rPr>
                <w:rFonts w:ascii="Arial" w:eastAsia="ＭＳ Ｐゴシック" w:hAnsi="Arial" w:cs="Arial"/>
                <w:sz w:val="12"/>
                <w:szCs w:val="18"/>
              </w:rPr>
            </w:pPr>
            <w:r>
              <w:rPr>
                <w:rFonts w:ascii="Arial" w:eastAsia="ＭＳ Ｐゴシック" w:hAnsi="Arial" w:cs="Arial"/>
                <w:sz w:val="12"/>
                <w:szCs w:val="18"/>
              </w:rPr>
              <w:t>2) CSS and USS configurations for unicast PDCCH transmission per BWP per cell</w:t>
            </w:r>
          </w:p>
          <w:p w14:paraId="403EE514" w14:textId="77777777" w:rsidR="00FB0D1B" w:rsidRDefault="00FB0D1B">
            <w:pPr>
              <w:snapToGrid w:val="0"/>
              <w:spacing w:after="0"/>
              <w:ind w:firstLineChars="50" w:firstLine="60"/>
              <w:rPr>
                <w:rFonts w:ascii="Arial" w:eastAsia="ＭＳ Ｐゴシック" w:hAnsi="Arial" w:cs="Arial"/>
                <w:sz w:val="12"/>
                <w:szCs w:val="18"/>
              </w:rPr>
            </w:pPr>
            <w:r>
              <w:rPr>
                <w:rFonts w:ascii="Arial" w:eastAsia="ＭＳ Ｐゴシック" w:hAnsi="Arial" w:cs="Arial"/>
                <w:sz w:val="12"/>
                <w:szCs w:val="18"/>
              </w:rPr>
              <w:t>- PDCCH aggregation levels 1, 2, 4, 8, 16</w:t>
            </w:r>
          </w:p>
          <w:p w14:paraId="47E6F892" w14:textId="77777777" w:rsidR="00FB0D1B" w:rsidRDefault="00FB0D1B">
            <w:pPr>
              <w:snapToGrid w:val="0"/>
              <w:spacing w:after="0"/>
              <w:rPr>
                <w:rFonts w:ascii="Arial" w:eastAsia="ＭＳ Ｐゴシック" w:hAnsi="Arial" w:cs="Arial"/>
                <w:sz w:val="12"/>
                <w:szCs w:val="18"/>
              </w:rPr>
            </w:pPr>
          </w:p>
          <w:p w14:paraId="02DADDBF" w14:textId="77777777" w:rsidR="00FB0D1B" w:rsidRDefault="00FB0D1B">
            <w:pPr>
              <w:snapToGrid w:val="0"/>
              <w:spacing w:after="0"/>
              <w:rPr>
                <w:rFonts w:asciiTheme="majorHAnsi" w:eastAsia="ＭＳ Ｐゴシック" w:hAnsiTheme="majorHAnsi" w:cs="Arial"/>
                <w:kern w:val="2"/>
                <w:sz w:val="12"/>
                <w:szCs w:val="16"/>
                <w:highlight w:val="yellow"/>
              </w:rPr>
            </w:pPr>
            <w:r>
              <w:rPr>
                <w:rFonts w:asciiTheme="majorHAnsi" w:eastAsia="ＭＳ Ｐゴシック" w:hAnsiTheme="majorHAnsi" w:cs="Arial"/>
                <w:sz w:val="12"/>
                <w:szCs w:val="16"/>
                <w:highlight w:val="yellow"/>
              </w:rPr>
              <w:lastRenderedPageBreak/>
              <w:t>- Up to [7], [8] search spaces in a slot in a PCell or PSCell per BWP</w:t>
            </w:r>
          </w:p>
          <w:p w14:paraId="2179A0A9" w14:textId="77777777" w:rsidR="00FB0D1B" w:rsidRDefault="00FB0D1B">
            <w:pPr>
              <w:snapToGrid w:val="0"/>
              <w:spacing w:after="0"/>
              <w:rPr>
                <w:rFonts w:asciiTheme="majorHAnsi" w:eastAsia="ＭＳ Ｐゴシック" w:hAnsiTheme="majorHAnsi" w:cs="Arial"/>
                <w:sz w:val="12"/>
                <w:szCs w:val="16"/>
                <w:highlight w:val="yellow"/>
              </w:rPr>
            </w:pPr>
            <w:r>
              <w:rPr>
                <w:rFonts w:asciiTheme="majorHAnsi" w:eastAsia="ＭＳ Ｐゴシック" w:hAnsiTheme="majorHAnsi" w:cs="Arial"/>
                <w:sz w:val="12"/>
                <w:szCs w:val="16"/>
                <w:highlight w:val="yellow"/>
              </w:rPr>
              <w:t>This search space limits are before applying dropping rules.</w:t>
            </w:r>
          </w:p>
          <w:p w14:paraId="521536AF" w14:textId="77777777" w:rsidR="00FB0D1B" w:rsidRDefault="00FB0D1B">
            <w:pPr>
              <w:snapToGrid w:val="0"/>
              <w:spacing w:after="0"/>
              <w:rPr>
                <w:rFonts w:asciiTheme="majorHAnsi" w:eastAsia="ＭＳ Ｐゴシック" w:hAnsiTheme="majorHAnsi" w:cs="Arial"/>
                <w:sz w:val="12"/>
                <w:szCs w:val="16"/>
                <w:highlight w:val="yellow"/>
              </w:rPr>
            </w:pPr>
          </w:p>
          <w:p w14:paraId="12DFA667" w14:textId="77777777" w:rsidR="00FB0D1B" w:rsidRDefault="00FB0D1B">
            <w:pPr>
              <w:snapToGrid w:val="0"/>
              <w:spacing w:after="0"/>
              <w:rPr>
                <w:rFonts w:asciiTheme="majorHAnsi" w:eastAsia="ＭＳ Ｐゴシック" w:hAnsiTheme="majorHAnsi" w:cs="Arial"/>
                <w:sz w:val="12"/>
                <w:szCs w:val="16"/>
                <w:highlight w:val="yellow"/>
              </w:rPr>
            </w:pPr>
            <w:r>
              <w:rPr>
                <w:rFonts w:asciiTheme="majorHAnsi" w:eastAsia="ＭＳ Ｐゴシック" w:hAnsiTheme="majorHAnsi" w:cs="Arial"/>
                <w:sz w:val="12"/>
                <w:szCs w:val="16"/>
                <w:highlight w:val="yellow"/>
              </w:rPr>
              <w:t>- UP to 3 search spaces in a slot for a scheduled SCell per BWP</w:t>
            </w:r>
          </w:p>
          <w:p w14:paraId="28FF7431" w14:textId="77777777" w:rsidR="00FB0D1B" w:rsidRDefault="00FB0D1B">
            <w:pPr>
              <w:snapToGrid w:val="0"/>
              <w:spacing w:after="0"/>
              <w:rPr>
                <w:rFonts w:asciiTheme="majorHAnsi" w:eastAsia="ＭＳ Ｐゴシック" w:hAnsiTheme="majorHAnsi" w:cs="Arial"/>
                <w:sz w:val="12"/>
                <w:szCs w:val="16"/>
              </w:rPr>
            </w:pPr>
            <w:r>
              <w:rPr>
                <w:rFonts w:asciiTheme="majorHAnsi" w:eastAsia="ＭＳ Ｐゴシック" w:hAnsiTheme="majorHAnsi" w:cs="Arial"/>
                <w:sz w:val="12"/>
                <w:szCs w:val="16"/>
                <w:highlight w:val="yellow"/>
              </w:rPr>
              <w:t>This search space limit is before applying all dropping rules.</w:t>
            </w:r>
            <w:r>
              <w:rPr>
                <w:rFonts w:asciiTheme="majorHAnsi" w:eastAsia="ＭＳ Ｐゴシック" w:hAnsiTheme="majorHAnsi" w:cs="Arial"/>
                <w:sz w:val="12"/>
                <w:szCs w:val="16"/>
              </w:rPr>
              <w:t xml:space="preserve"> </w:t>
            </w:r>
          </w:p>
          <w:p w14:paraId="6B194D2C" w14:textId="77777777" w:rsidR="00FB0D1B" w:rsidRDefault="00FB0D1B">
            <w:pPr>
              <w:snapToGrid w:val="0"/>
              <w:spacing w:after="0"/>
              <w:rPr>
                <w:rFonts w:ascii="Arial" w:eastAsia="ＭＳ Ｐゴシック" w:hAnsi="Arial" w:cs="Arial"/>
                <w:sz w:val="12"/>
                <w:szCs w:val="18"/>
              </w:rPr>
            </w:pPr>
          </w:p>
          <w:p w14:paraId="44B274DD" w14:textId="77777777" w:rsidR="00FB0D1B" w:rsidRDefault="00FB0D1B">
            <w:pPr>
              <w:snapToGrid w:val="0"/>
              <w:spacing w:after="0"/>
              <w:ind w:firstLineChars="50" w:firstLine="60"/>
              <w:rPr>
                <w:rFonts w:ascii="Arial" w:eastAsia="ＭＳ Ｐゴシック" w:hAnsi="Arial" w:cs="Arial"/>
                <w:sz w:val="12"/>
                <w:szCs w:val="18"/>
              </w:rPr>
            </w:pPr>
            <w:r>
              <w:rPr>
                <w:rFonts w:ascii="Arial" w:eastAsia="ＭＳ Ｐゴシック" w:hAnsi="Arial" w:cs="Arial"/>
                <w:sz w:val="12"/>
                <w:szCs w:val="18"/>
              </w:rPr>
              <w:t>- For type 1 with dedicated RRC configuration, type 3, and UE-SS, the monitoring occasion is within the first 3 OFDM symbols of a slot</w:t>
            </w:r>
          </w:p>
          <w:p w14:paraId="0D3A2113" w14:textId="77777777" w:rsidR="00FB0D1B" w:rsidRDefault="00FB0D1B">
            <w:pPr>
              <w:snapToGrid w:val="0"/>
              <w:spacing w:after="0"/>
              <w:ind w:firstLineChars="50" w:firstLine="60"/>
              <w:rPr>
                <w:rFonts w:ascii="Arial" w:eastAsia="ＭＳ Ｐゴシック" w:hAnsi="Arial" w:cs="Arial"/>
                <w:sz w:val="12"/>
                <w:szCs w:val="18"/>
              </w:rPr>
            </w:pPr>
            <w:r>
              <w:rPr>
                <w:rFonts w:ascii="Arial" w:eastAsia="ＭＳ Ｐゴシック" w:hAnsi="Arial" w:cs="Arial"/>
                <w:sz w:val="12"/>
                <w:szCs w:val="18"/>
              </w:rPr>
              <w:t>- 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14:paraId="0A1380C4" w14:textId="77777777" w:rsidR="00FB0D1B" w:rsidRDefault="00FB0D1B">
            <w:pPr>
              <w:snapToGrid w:val="0"/>
              <w:spacing w:after="0"/>
              <w:ind w:firstLineChars="50" w:firstLine="60"/>
              <w:rPr>
                <w:rFonts w:ascii="Arial" w:eastAsia="ＭＳ Ｐゴシック" w:hAnsi="Arial" w:cs="Arial"/>
                <w:sz w:val="12"/>
                <w:szCs w:val="18"/>
              </w:rPr>
            </w:pPr>
          </w:p>
          <w:p w14:paraId="293F8EC9" w14:textId="77777777" w:rsidR="00FB0D1B" w:rsidRDefault="00FB0D1B">
            <w:pPr>
              <w:snapToGrid w:val="0"/>
              <w:spacing w:after="0"/>
              <w:rPr>
                <w:rFonts w:ascii="Arial" w:eastAsia="ＭＳ Ｐゴシック" w:hAnsi="Arial" w:cs="Arial"/>
                <w:sz w:val="12"/>
                <w:szCs w:val="18"/>
              </w:rPr>
            </w:pPr>
            <w:r>
              <w:rPr>
                <w:rFonts w:ascii="Arial" w:eastAsia="ＭＳ Ｐゴシック" w:hAnsi="Arial" w:cs="Arial"/>
                <w:sz w:val="12"/>
                <w:szCs w:val="18"/>
              </w:rPr>
              <w:t>3) Monitoring DCI formats 0_0, 1_0, 0_1, 1_1</w:t>
            </w:r>
          </w:p>
          <w:p w14:paraId="0655759D" w14:textId="77777777" w:rsidR="00FB0D1B" w:rsidRDefault="00FB0D1B">
            <w:pPr>
              <w:snapToGrid w:val="0"/>
              <w:spacing w:after="0"/>
              <w:rPr>
                <w:rFonts w:ascii="Arial" w:eastAsia="ＭＳ Ｐゴシック" w:hAnsi="Arial" w:cs="Arial"/>
                <w:sz w:val="12"/>
                <w:szCs w:val="18"/>
              </w:rPr>
            </w:pPr>
            <w:r>
              <w:rPr>
                <w:rFonts w:ascii="Arial" w:eastAsia="ＭＳ Ｐゴシック" w:hAnsi="Arial" w:cs="Arial"/>
                <w:sz w:val="12"/>
                <w:szCs w:val="18"/>
              </w:rPr>
              <w:t>4) Number of PDCCH blind decodes per slot with a given SCS follows Case 1-1 table</w:t>
            </w:r>
          </w:p>
          <w:p w14:paraId="178DAB2E" w14:textId="77777777" w:rsidR="00FB0D1B" w:rsidRDefault="00FB0D1B">
            <w:pPr>
              <w:snapToGrid w:val="0"/>
              <w:spacing w:after="0"/>
              <w:rPr>
                <w:rFonts w:ascii="Arial" w:eastAsia="ＭＳ Ｐゴシック" w:hAnsi="Arial" w:cs="Arial"/>
                <w:sz w:val="12"/>
                <w:szCs w:val="18"/>
              </w:rPr>
            </w:pPr>
          </w:p>
          <w:p w14:paraId="30ECBE75" w14:textId="77777777" w:rsidR="00FB0D1B" w:rsidRDefault="00FB0D1B">
            <w:pPr>
              <w:snapToGrid w:val="0"/>
              <w:spacing w:after="0"/>
              <w:rPr>
                <w:rFonts w:asciiTheme="majorHAnsi" w:eastAsia="ＭＳ Ｐゴシック" w:hAnsiTheme="majorHAnsi" w:cstheme="majorHAnsi"/>
                <w:sz w:val="12"/>
                <w:szCs w:val="18"/>
              </w:rPr>
            </w:pPr>
            <w:r>
              <w:rPr>
                <w:rFonts w:asciiTheme="majorHAnsi" w:eastAsia="ＭＳ Ｐゴシック" w:hAnsiTheme="majorHAnsi" w:cstheme="majorHAnsi"/>
                <w:sz w:val="12"/>
                <w:szCs w:val="18"/>
              </w:rPr>
              <w:t>5) Processing one unicast DCI scheduling DL and one unicast DCI scheduling UL per slot per scheduled CC for FDD</w:t>
            </w:r>
          </w:p>
          <w:p w14:paraId="05535192" w14:textId="77777777" w:rsidR="00FB0D1B" w:rsidRDefault="00FB0D1B">
            <w:pPr>
              <w:snapToGrid w:val="0"/>
              <w:spacing w:after="0"/>
              <w:rPr>
                <w:rFonts w:ascii="Arial" w:eastAsia="ＭＳ Ｐゴシック" w:hAnsi="Arial" w:cs="Arial"/>
                <w:sz w:val="12"/>
                <w:szCs w:val="18"/>
              </w:rPr>
            </w:pPr>
            <w:r>
              <w:rPr>
                <w:rFonts w:asciiTheme="majorHAnsi" w:eastAsia="ＭＳ Ｐゴシック" w:hAnsiTheme="majorHAnsi" w:cstheme="majorHAnsi"/>
                <w:sz w:val="12"/>
                <w:szCs w:val="18"/>
              </w:rPr>
              <w:t>6) Processing one unicast DCI scheduling DL and 2 unicast DCI scheduling UL per slot per scheduled CC for TDD</w:t>
            </w:r>
          </w:p>
        </w:tc>
        <w:tc>
          <w:tcPr>
            <w:tcW w:w="121" w:type="pct"/>
            <w:tcBorders>
              <w:top w:val="single" w:sz="4" w:space="0" w:color="auto"/>
              <w:left w:val="single" w:sz="4" w:space="0" w:color="auto"/>
              <w:bottom w:val="single" w:sz="4" w:space="0" w:color="auto"/>
              <w:right w:val="single" w:sz="4" w:space="0" w:color="auto"/>
            </w:tcBorders>
          </w:tcPr>
          <w:p w14:paraId="686CF0F4" w14:textId="77777777" w:rsidR="00FB0D1B" w:rsidRDefault="00FB0D1B">
            <w:pPr>
              <w:snapToGrid w:val="0"/>
              <w:spacing w:after="0"/>
              <w:rPr>
                <w:rFonts w:ascii="Arial" w:eastAsia="ＭＳ Ｐゴシック" w:hAnsi="Arial" w:cs="Arial"/>
                <w:sz w:val="12"/>
                <w:szCs w:val="18"/>
              </w:rPr>
            </w:pPr>
          </w:p>
        </w:tc>
        <w:tc>
          <w:tcPr>
            <w:tcW w:w="208" w:type="pct"/>
            <w:tcBorders>
              <w:top w:val="single" w:sz="4" w:space="0" w:color="auto"/>
              <w:left w:val="single" w:sz="4" w:space="0" w:color="auto"/>
              <w:bottom w:val="single" w:sz="4" w:space="0" w:color="auto"/>
              <w:right w:val="single" w:sz="4" w:space="0" w:color="auto"/>
            </w:tcBorders>
            <w:vAlign w:val="center"/>
            <w:hideMark/>
          </w:tcPr>
          <w:p w14:paraId="3664B335" w14:textId="77777777" w:rsidR="00FB0D1B" w:rsidRDefault="00FB0D1B">
            <w:pPr>
              <w:snapToGrid w:val="0"/>
              <w:spacing w:after="0"/>
              <w:rPr>
                <w:rFonts w:ascii="Arial" w:eastAsia="ＭＳ Ｐゴシック" w:hAnsi="Arial" w:cs="Arial"/>
                <w:sz w:val="12"/>
                <w:szCs w:val="18"/>
              </w:rPr>
            </w:pPr>
            <w:r>
              <w:rPr>
                <w:rFonts w:ascii="Arial" w:eastAsia="ＭＳ Ｐゴシック" w:hAnsi="Arial" w:cs="Arial"/>
                <w:sz w:val="12"/>
                <w:szCs w:val="18"/>
              </w:rPr>
              <w:t>Yes</w:t>
            </w:r>
          </w:p>
        </w:tc>
        <w:tc>
          <w:tcPr>
            <w:tcW w:w="140" w:type="pct"/>
            <w:tcBorders>
              <w:top w:val="single" w:sz="4" w:space="0" w:color="auto"/>
              <w:left w:val="single" w:sz="4" w:space="0" w:color="auto"/>
              <w:bottom w:val="single" w:sz="4" w:space="0" w:color="auto"/>
              <w:right w:val="single" w:sz="4" w:space="0" w:color="auto"/>
            </w:tcBorders>
            <w:vAlign w:val="center"/>
          </w:tcPr>
          <w:p w14:paraId="503BC7AD" w14:textId="77777777" w:rsidR="00FB0D1B" w:rsidRDefault="00FB0D1B">
            <w:pPr>
              <w:snapToGrid w:val="0"/>
              <w:spacing w:after="0"/>
              <w:rPr>
                <w:rFonts w:ascii="Arial" w:eastAsia="ＭＳ Ｐゴシック" w:hAnsi="Arial" w:cs="Arial"/>
                <w:sz w:val="12"/>
                <w:szCs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2068265E" w14:textId="77777777" w:rsidR="00FB0D1B" w:rsidRDefault="00FB0D1B">
            <w:pPr>
              <w:snapToGrid w:val="0"/>
              <w:spacing w:after="0"/>
              <w:rPr>
                <w:rFonts w:ascii="Arial" w:eastAsia="ＭＳ Ｐゴシック" w:hAnsi="Arial" w:cs="Arial"/>
                <w:sz w:val="12"/>
                <w:szCs w:val="18"/>
              </w:rPr>
            </w:pPr>
            <w:r>
              <w:rPr>
                <w:rFonts w:ascii="Arial" w:eastAsia="ＭＳ Ｐゴシック" w:hAnsi="Arial" w:cs="Arial"/>
                <w:sz w:val="12"/>
                <w:szCs w:val="18"/>
              </w:rPr>
              <w:t>N.A.</w:t>
            </w:r>
          </w:p>
        </w:tc>
        <w:tc>
          <w:tcPr>
            <w:tcW w:w="222" w:type="pct"/>
            <w:tcBorders>
              <w:top w:val="single" w:sz="4" w:space="0" w:color="auto"/>
              <w:left w:val="single" w:sz="4" w:space="0" w:color="auto"/>
              <w:bottom w:val="single" w:sz="4" w:space="0" w:color="auto"/>
              <w:right w:val="single" w:sz="4" w:space="0" w:color="auto"/>
            </w:tcBorders>
            <w:vAlign w:val="center"/>
            <w:hideMark/>
          </w:tcPr>
          <w:p w14:paraId="5694BAEA" w14:textId="77777777" w:rsidR="00FB0D1B" w:rsidRDefault="00FB0D1B">
            <w:pPr>
              <w:snapToGrid w:val="0"/>
              <w:spacing w:after="0"/>
              <w:rPr>
                <w:rFonts w:ascii="Arial" w:eastAsia="ＭＳ Ｐゴシック" w:hAnsi="Arial" w:cs="Arial"/>
                <w:sz w:val="12"/>
                <w:szCs w:val="18"/>
              </w:rPr>
            </w:pPr>
            <w:r>
              <w:rPr>
                <w:rFonts w:ascii="Arial" w:eastAsia="ＭＳ Ｐゴシック" w:hAnsi="Arial" w:cs="Arial"/>
                <w:sz w:val="12"/>
                <w:szCs w:val="18"/>
              </w:rPr>
              <w:t>N.A.</w:t>
            </w:r>
          </w:p>
        </w:tc>
        <w:tc>
          <w:tcPr>
            <w:tcW w:w="205" w:type="pct"/>
            <w:tcBorders>
              <w:top w:val="single" w:sz="4" w:space="0" w:color="auto"/>
              <w:left w:val="single" w:sz="4" w:space="0" w:color="auto"/>
              <w:bottom w:val="single" w:sz="4" w:space="0" w:color="auto"/>
              <w:right w:val="single" w:sz="4" w:space="0" w:color="auto"/>
            </w:tcBorders>
            <w:vAlign w:val="center"/>
            <w:hideMark/>
          </w:tcPr>
          <w:p w14:paraId="22D389E3" w14:textId="77777777" w:rsidR="00FB0D1B" w:rsidRDefault="00FB0D1B">
            <w:pPr>
              <w:snapToGrid w:val="0"/>
              <w:spacing w:after="0"/>
              <w:rPr>
                <w:rFonts w:ascii="Malgun Gothic" w:eastAsiaTheme="minorEastAsia" w:hAnsi="Malgun Gothic" w:cs="ＭＳ Ｐゴシック"/>
                <w:sz w:val="12"/>
                <w:szCs w:val="18"/>
              </w:rPr>
            </w:pPr>
            <w:r>
              <w:rPr>
                <w:rFonts w:ascii="Malgun Gothic" w:hAnsi="Malgun Gothic" w:cs="ＭＳ Ｐゴシック" w:hint="eastAsia"/>
                <w:sz w:val="12"/>
                <w:szCs w:val="18"/>
              </w:rPr>
              <w:t>N.A</w:t>
            </w:r>
          </w:p>
        </w:tc>
        <w:tc>
          <w:tcPr>
            <w:tcW w:w="134" w:type="pct"/>
            <w:tcBorders>
              <w:top w:val="single" w:sz="4" w:space="0" w:color="auto"/>
              <w:left w:val="single" w:sz="4" w:space="0" w:color="auto"/>
              <w:bottom w:val="single" w:sz="4" w:space="0" w:color="auto"/>
              <w:right w:val="single" w:sz="4" w:space="0" w:color="auto"/>
            </w:tcBorders>
            <w:vAlign w:val="center"/>
          </w:tcPr>
          <w:p w14:paraId="285D8C01" w14:textId="77777777" w:rsidR="00FB0D1B" w:rsidRDefault="00FB0D1B">
            <w:pPr>
              <w:snapToGrid w:val="0"/>
              <w:spacing w:after="0"/>
              <w:rPr>
                <w:rFonts w:ascii="Malgun Gothic" w:eastAsia="Malgun Gothic" w:hAnsi="Malgun Gothic" w:cs="ＭＳ Ｐゴシック"/>
                <w:sz w:val="12"/>
                <w:szCs w:val="18"/>
              </w:rPr>
            </w:pPr>
          </w:p>
        </w:tc>
        <w:tc>
          <w:tcPr>
            <w:tcW w:w="132" w:type="pct"/>
            <w:tcBorders>
              <w:top w:val="single" w:sz="4" w:space="0" w:color="auto"/>
              <w:left w:val="single" w:sz="4" w:space="0" w:color="auto"/>
              <w:bottom w:val="single" w:sz="4" w:space="0" w:color="auto"/>
              <w:right w:val="single" w:sz="4" w:space="0" w:color="auto"/>
            </w:tcBorders>
            <w:vAlign w:val="center"/>
          </w:tcPr>
          <w:p w14:paraId="27D0C13B" w14:textId="77777777" w:rsidR="00FB0D1B" w:rsidRDefault="00FB0D1B">
            <w:pPr>
              <w:snapToGrid w:val="0"/>
              <w:spacing w:after="0"/>
              <w:rPr>
                <w:rFonts w:ascii="Malgun Gothic" w:eastAsia="Malgun Gothic" w:hAnsi="Malgun Gothic" w:cs="ＭＳ Ｐゴシック"/>
                <w:sz w:val="12"/>
                <w:szCs w:val="18"/>
              </w:rPr>
            </w:pPr>
          </w:p>
        </w:tc>
        <w:tc>
          <w:tcPr>
            <w:tcW w:w="123" w:type="pct"/>
            <w:tcBorders>
              <w:top w:val="single" w:sz="4" w:space="0" w:color="auto"/>
              <w:left w:val="single" w:sz="4" w:space="0" w:color="auto"/>
              <w:bottom w:val="single" w:sz="4" w:space="0" w:color="auto"/>
              <w:right w:val="single" w:sz="4" w:space="0" w:color="auto"/>
            </w:tcBorders>
            <w:vAlign w:val="center"/>
          </w:tcPr>
          <w:p w14:paraId="0E91B720" w14:textId="77777777" w:rsidR="00FB0D1B" w:rsidRDefault="00FB0D1B">
            <w:pPr>
              <w:snapToGrid w:val="0"/>
              <w:spacing w:after="0"/>
              <w:rPr>
                <w:rFonts w:ascii="Arial" w:eastAsia="ＭＳ Ｐゴシック" w:hAnsi="Arial" w:cs="Arial"/>
                <w:sz w:val="12"/>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2AED11" w14:textId="77777777" w:rsidR="00FB0D1B" w:rsidRDefault="00FB0D1B">
            <w:pPr>
              <w:snapToGrid w:val="0"/>
              <w:spacing w:after="0"/>
              <w:rPr>
                <w:rFonts w:ascii="Arial" w:eastAsia="ＭＳ Ｐゴシック" w:hAnsi="Arial" w:cs="Arial"/>
                <w:sz w:val="12"/>
                <w:szCs w:val="18"/>
              </w:rPr>
            </w:pPr>
            <w:r>
              <w:rPr>
                <w:rFonts w:ascii="Arial" w:eastAsia="ＭＳ Ｐゴシック" w:hAnsi="Arial" w:cs="Arial"/>
                <w:sz w:val="12"/>
                <w:szCs w:val="18"/>
              </w:rPr>
              <w:t>Mandatory without capability signaling</w:t>
            </w:r>
          </w:p>
        </w:tc>
        <w:tc>
          <w:tcPr>
            <w:tcW w:w="393" w:type="pct"/>
            <w:tcBorders>
              <w:top w:val="single" w:sz="4" w:space="0" w:color="auto"/>
              <w:left w:val="single" w:sz="4" w:space="0" w:color="auto"/>
              <w:bottom w:val="single" w:sz="4" w:space="0" w:color="auto"/>
              <w:right w:val="single" w:sz="4" w:space="0" w:color="auto"/>
            </w:tcBorders>
            <w:hideMark/>
          </w:tcPr>
          <w:p w14:paraId="14D55F9F" w14:textId="77777777" w:rsidR="00FB0D1B" w:rsidRDefault="00FB0D1B">
            <w:pPr>
              <w:snapToGrid w:val="0"/>
              <w:spacing w:after="0"/>
              <w:rPr>
                <w:rFonts w:ascii="Arial" w:eastAsia="ＭＳ Ｐゴシック" w:hAnsi="Arial" w:cs="Arial"/>
                <w:sz w:val="12"/>
                <w:szCs w:val="18"/>
              </w:rPr>
            </w:pPr>
            <w:r>
              <w:rPr>
                <w:rFonts w:ascii="Arial" w:eastAsia="ＭＳ Ｐゴシック" w:hAnsi="Arial" w:cs="Arial"/>
                <w:sz w:val="12"/>
                <w:szCs w:val="18"/>
              </w:rPr>
              <w:t>Mandatory without capability signaling</w:t>
            </w:r>
          </w:p>
        </w:tc>
      </w:tr>
    </w:tbl>
    <w:p w14:paraId="2AF7EAD4" w14:textId="77777777" w:rsidR="00FB0D1B" w:rsidRDefault="00FB0D1B" w:rsidP="00FB0D1B">
      <w:pPr>
        <w:rPr>
          <w:b/>
          <w:lang w:eastAsia="ja-JP"/>
        </w:rPr>
      </w:pPr>
    </w:p>
    <w:p w14:paraId="3C965085" w14:textId="33938A42" w:rsidR="00DE31F5" w:rsidRDefault="00FF5EEB" w:rsidP="00DE31F5">
      <w:pPr>
        <w:rPr>
          <w:b/>
          <w:u w:val="single"/>
          <w:lang w:eastAsia="ja-JP"/>
        </w:rPr>
      </w:pPr>
      <w:r>
        <w:rPr>
          <w:b/>
          <w:u w:val="single"/>
          <w:lang w:eastAsia="ja-JP"/>
        </w:rPr>
        <w:t>S</w:t>
      </w:r>
      <w:r w:rsidR="00572AAD">
        <w:rPr>
          <w:b/>
          <w:u w:val="single"/>
          <w:lang w:eastAsia="ja-JP"/>
        </w:rPr>
        <w:t>earch space</w:t>
      </w:r>
      <w:r>
        <w:rPr>
          <w:b/>
          <w:u w:val="single"/>
          <w:lang w:eastAsia="ja-JP"/>
        </w:rPr>
        <w:t xml:space="preserve"> limit</w:t>
      </w:r>
    </w:p>
    <w:p w14:paraId="155871FD" w14:textId="4C633A9A" w:rsidR="00DB2406" w:rsidRDefault="00E150E5" w:rsidP="00DB2406">
      <w:pPr>
        <w:rPr>
          <w:lang w:eastAsia="ja-JP"/>
        </w:rPr>
      </w:pPr>
      <w:r>
        <w:rPr>
          <w:rFonts w:hint="eastAsia"/>
          <w:lang w:eastAsia="ja-JP"/>
        </w:rPr>
        <w:t>For the number of search space</w:t>
      </w:r>
      <w:r w:rsidR="00510145">
        <w:rPr>
          <w:lang w:eastAsia="ja-JP"/>
        </w:rPr>
        <w:t>s</w:t>
      </w:r>
      <w:r>
        <w:rPr>
          <w:lang w:eastAsia="ja-JP"/>
        </w:rPr>
        <w:t xml:space="preserve">, search space sharing needs to be considered. </w:t>
      </w:r>
      <w:r w:rsidR="006A28FE">
        <w:rPr>
          <w:lang w:eastAsia="ja-JP"/>
        </w:rPr>
        <w:t xml:space="preserve">The following is </w:t>
      </w:r>
      <w:r w:rsidR="00510145">
        <w:rPr>
          <w:lang w:eastAsia="ja-JP"/>
        </w:rPr>
        <w:t>the description</w:t>
      </w:r>
      <w:r w:rsidR="006A28FE">
        <w:rPr>
          <w:lang w:eastAsia="ja-JP"/>
        </w:rPr>
        <w:t xml:space="preserve"> </w:t>
      </w:r>
      <w:r w:rsidR="0000022E">
        <w:rPr>
          <w:lang w:eastAsia="ja-JP"/>
        </w:rPr>
        <w:t>of</w:t>
      </w:r>
      <w:r w:rsidR="006A28FE">
        <w:rPr>
          <w:lang w:eastAsia="ja-JP"/>
        </w:rPr>
        <w:t xml:space="preserve"> search space sharing </w:t>
      </w:r>
      <w:r w:rsidR="0000022E">
        <w:rPr>
          <w:lang w:eastAsia="ja-JP"/>
        </w:rPr>
        <w:t xml:space="preserve">in 38.213 </w:t>
      </w:r>
      <w:r w:rsidR="006A28FE">
        <w:rPr>
          <w:lang w:eastAsia="ja-JP"/>
        </w:rPr>
        <w:fldChar w:fldCharType="begin"/>
      </w:r>
      <w:r w:rsidR="006A28FE">
        <w:rPr>
          <w:lang w:eastAsia="ja-JP"/>
        </w:rPr>
        <w:instrText xml:space="preserve"> REF _Ref528919784 \n \h </w:instrText>
      </w:r>
      <w:r w:rsidR="006A28FE">
        <w:rPr>
          <w:lang w:eastAsia="ja-JP"/>
        </w:rPr>
      </w:r>
      <w:r w:rsidR="006A28FE">
        <w:rPr>
          <w:lang w:eastAsia="ja-JP"/>
        </w:rPr>
        <w:fldChar w:fldCharType="separate"/>
      </w:r>
      <w:r w:rsidR="006A28FE">
        <w:rPr>
          <w:lang w:eastAsia="ja-JP"/>
        </w:rPr>
        <w:t>[2]</w:t>
      </w:r>
      <w:r w:rsidR="006A28FE">
        <w:rPr>
          <w:lang w:eastAsia="ja-JP"/>
        </w:rPr>
        <w:fldChar w:fldCharType="end"/>
      </w:r>
      <w:r w:rsidR="006A28FE">
        <w:rPr>
          <w:lang w:eastAsia="ja-JP"/>
        </w:rPr>
        <w:t>.</w:t>
      </w:r>
    </w:p>
    <w:tbl>
      <w:tblPr>
        <w:tblStyle w:val="afb"/>
        <w:tblW w:w="0" w:type="auto"/>
        <w:tblLook w:val="04A0" w:firstRow="1" w:lastRow="0" w:firstColumn="1" w:lastColumn="0" w:noHBand="0" w:noVBand="1"/>
      </w:tblPr>
      <w:tblGrid>
        <w:gridCol w:w="9630"/>
      </w:tblGrid>
      <w:tr w:rsidR="006A28FE" w14:paraId="63C94C2A" w14:textId="77777777" w:rsidTr="006A28FE">
        <w:tc>
          <w:tcPr>
            <w:tcW w:w="9630" w:type="dxa"/>
          </w:tcPr>
          <w:p w14:paraId="55851EE9" w14:textId="77777777" w:rsidR="006A28FE" w:rsidRDefault="006A28FE" w:rsidP="006A28FE">
            <w:r>
              <w:t xml:space="preserve">A UE that </w:t>
            </w:r>
          </w:p>
          <w:p w14:paraId="6EFFC648" w14:textId="77777777" w:rsidR="006A28FE" w:rsidRDefault="006A28FE" w:rsidP="006A28FE">
            <w:pPr>
              <w:pStyle w:val="B1"/>
            </w:pPr>
            <w:r>
              <w:t>-</w:t>
            </w:r>
            <w:r>
              <w:tab/>
              <w:t xml:space="preserve">is configured for operation with carrier aggregation, and </w:t>
            </w:r>
          </w:p>
          <w:p w14:paraId="656698BD" w14:textId="77777777" w:rsidR="006A28FE" w:rsidRDefault="006A28FE" w:rsidP="006A28FE">
            <w:pPr>
              <w:pStyle w:val="B1"/>
            </w:pPr>
            <w:r>
              <w:t>-</w:t>
            </w:r>
            <w:r>
              <w:tab/>
              <w:t xml:space="preserve">indicates support of search space sharing through </w:t>
            </w:r>
            <w:r>
              <w:rPr>
                <w:i/>
                <w:lang w:eastAsia="ja-JP"/>
              </w:rPr>
              <w:t>searchSpaceSharingCA-UL</w:t>
            </w:r>
            <w:r>
              <w:rPr>
                <w:lang w:val="en-US" w:eastAsia="ja-JP"/>
              </w:rPr>
              <w:t xml:space="preserve"> or </w:t>
            </w:r>
            <w:r>
              <w:t xml:space="preserve">through </w:t>
            </w:r>
            <w:r>
              <w:rPr>
                <w:i/>
                <w:lang w:eastAsia="ja-JP"/>
              </w:rPr>
              <w:t>searchSpaceSharingCA-DL</w:t>
            </w:r>
            <w:r>
              <w:t xml:space="preserve">, and </w:t>
            </w:r>
          </w:p>
          <w:p w14:paraId="2BFE69BF" w14:textId="77777777" w:rsidR="006A28FE" w:rsidRDefault="006A28FE" w:rsidP="006A28FE">
            <w:pPr>
              <w:pStyle w:val="B1"/>
            </w:pPr>
            <w:r>
              <w:t>-</w:t>
            </w:r>
            <w:r>
              <w:tab/>
              <w:t xml:space="preserve">has a PDCCH candidate with CCE aggregation level </w:t>
            </w:r>
            <w:r>
              <w:rPr>
                <w:rFonts w:eastAsiaTheme="minorEastAsia"/>
                <w:position w:val="-4"/>
                <w:lang w:val="x-none"/>
              </w:rPr>
              <w:object w:dxaOrig="225" w:dyaOrig="225" w14:anchorId="486FB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5pt;height:10.55pt" o:ole="">
                  <v:imagedata r:id="rId9" o:title=""/>
                </v:shape>
                <o:OLEObject Type="Embed" ProgID="Equation.3" ShapeID="_x0000_i1025" DrawAspect="Content" ObjectID="_1602687964" r:id="rId10"/>
              </w:object>
            </w:r>
            <w:r>
              <w:t xml:space="preserve"> in CORESET </w:t>
            </w:r>
            <w:r>
              <w:rPr>
                <w:rFonts w:eastAsiaTheme="minorEastAsia"/>
                <w:position w:val="-10"/>
                <w:lang w:val="x-none"/>
              </w:rPr>
              <w:object w:dxaOrig="195" w:dyaOrig="240" w14:anchorId="00DAEDDB">
                <v:shape id="_x0000_i1026" type="#_x0000_t75" style="width:9.6pt;height:12.5pt" o:ole="">
                  <v:imagedata r:id="rId11" o:title=""/>
                </v:shape>
                <o:OLEObject Type="Embed" ProgID="Equation.3" ShapeID="_x0000_i1026" DrawAspect="Content" ObjectID="_1602687965" r:id="rId12"/>
              </w:object>
            </w:r>
            <w:r>
              <w:t xml:space="preserve"> for a DCI format 0_1 having a first size and associated with serving cell </w:t>
            </w:r>
            <w:r>
              <w:rPr>
                <w:rFonts w:eastAsiaTheme="minorEastAsia"/>
                <w:position w:val="-12"/>
                <w:lang w:val="x-none"/>
              </w:rPr>
              <w:object w:dxaOrig="435" w:dyaOrig="330" w14:anchorId="69E38BAD">
                <v:shape id="_x0000_i1027" type="#_x0000_t75" style="width:21.6pt;height:16.8pt" o:ole="">
                  <v:imagedata r:id="rId13" o:title=""/>
                </v:shape>
                <o:OLEObject Type="Embed" ProgID="Equation.3" ShapeID="_x0000_i1027" DrawAspect="Content" ObjectID="_1602687966" r:id="rId14"/>
              </w:object>
            </w:r>
            <w:r>
              <w:t xml:space="preserve"> </w:t>
            </w:r>
          </w:p>
          <w:p w14:paraId="45518788" w14:textId="6384C09E" w:rsidR="006A28FE" w:rsidRDefault="006A28FE" w:rsidP="006A28FE">
            <w:pPr>
              <w:pStyle w:val="B1"/>
              <w:ind w:left="0" w:firstLine="0"/>
            </w:pPr>
            <w:r>
              <w:t xml:space="preserve">can receive a corresponding PDCCH through a PDCCH candidate with CCE aggregation level </w:t>
            </w:r>
            <w:r>
              <w:rPr>
                <w:rFonts w:eastAsiaTheme="minorEastAsia"/>
                <w:position w:val="-4"/>
                <w:lang w:val="x-none"/>
              </w:rPr>
              <w:object w:dxaOrig="225" w:dyaOrig="225" w14:anchorId="597250A0">
                <v:shape id="_x0000_i1028" type="#_x0000_t75" style="width:10.55pt;height:10.55pt" o:ole="">
                  <v:imagedata r:id="rId9" o:title=""/>
                </v:shape>
                <o:OLEObject Type="Embed" ProgID="Equation.3" ShapeID="_x0000_i1028" DrawAspect="Content" ObjectID="_1602687967" r:id="rId15"/>
              </w:object>
            </w:r>
            <w:r>
              <w:t xml:space="preserve"> in CORESET </w:t>
            </w:r>
            <w:r>
              <w:rPr>
                <w:rFonts w:eastAsiaTheme="minorEastAsia"/>
                <w:position w:val="-10"/>
                <w:lang w:val="x-none"/>
              </w:rPr>
              <w:object w:dxaOrig="195" w:dyaOrig="240" w14:anchorId="118BFB32">
                <v:shape id="_x0000_i1029" type="#_x0000_t75" style="width:9.6pt;height:12.5pt" o:ole="">
                  <v:imagedata r:id="rId11" o:title=""/>
                </v:shape>
                <o:OLEObject Type="Embed" ProgID="Equation.3" ShapeID="_x0000_i1029" DrawAspect="Content" ObjectID="_1602687968" r:id="rId16"/>
              </w:object>
            </w:r>
            <w:r>
              <w:t xml:space="preserve"> for a DCI format 0_1 </w:t>
            </w:r>
            <w:r>
              <w:rPr>
                <w:lang w:val="en-US"/>
              </w:rPr>
              <w:t xml:space="preserve">or </w:t>
            </w:r>
            <w:r>
              <w:t>a DCI format 1_1</w:t>
            </w:r>
            <w:r>
              <w:rPr>
                <w:lang w:val="en-US"/>
              </w:rPr>
              <w:t xml:space="preserve">, respectively, </w:t>
            </w:r>
            <w:r>
              <w:t xml:space="preserve">having a second size and associated with serving cell </w:t>
            </w:r>
            <w:r>
              <w:rPr>
                <w:rFonts w:eastAsiaTheme="minorEastAsia"/>
                <w:position w:val="-12"/>
                <w:lang w:val="x-none"/>
              </w:rPr>
              <w:object w:dxaOrig="405" w:dyaOrig="330" w14:anchorId="42306450">
                <v:shape id="_x0000_i1030" type="#_x0000_t75" style="width:21.1pt;height:16.8pt" o:ole="">
                  <v:imagedata r:id="rId17" o:title=""/>
                </v:shape>
                <o:OLEObject Type="Embed" ProgID="Equation.3" ShapeID="_x0000_i1030" DrawAspect="Content" ObjectID="_1602687969" r:id="rId18"/>
              </w:object>
            </w:r>
            <w:r>
              <w:t xml:space="preserve"> if the first size and the second size are same. </w:t>
            </w:r>
          </w:p>
        </w:tc>
      </w:tr>
    </w:tbl>
    <w:p w14:paraId="37DED084" w14:textId="14D206AF" w:rsidR="00762890" w:rsidRDefault="006A28FE" w:rsidP="00A95B2E">
      <w:pPr>
        <w:rPr>
          <w:lang w:eastAsia="ja-JP"/>
        </w:rPr>
      </w:pPr>
      <w:r>
        <w:rPr>
          <w:rFonts w:hint="eastAsia"/>
          <w:lang w:eastAsia="ja-JP"/>
        </w:rPr>
        <w:t xml:space="preserve">According to the above, </w:t>
      </w:r>
      <w:r w:rsidR="00A95B2E">
        <w:rPr>
          <w:lang w:eastAsia="ja-JP"/>
        </w:rPr>
        <w:t xml:space="preserve">search space </w:t>
      </w:r>
      <w:r w:rsidR="00745B1A">
        <w:rPr>
          <w:lang w:eastAsia="ja-JP"/>
        </w:rPr>
        <w:t xml:space="preserve">can be shared </w:t>
      </w:r>
      <w:r>
        <w:rPr>
          <w:lang w:eastAsia="ja-JP"/>
        </w:rPr>
        <w:t xml:space="preserve">when </w:t>
      </w:r>
      <w:r w:rsidRPr="006A28FE">
        <w:rPr>
          <w:lang w:eastAsia="ja-JP"/>
        </w:rPr>
        <w:t>the above conditions are satisfied</w:t>
      </w:r>
      <w:r>
        <w:rPr>
          <w:rFonts w:hint="eastAsia"/>
          <w:lang w:eastAsia="ja-JP"/>
        </w:rPr>
        <w:t>.</w:t>
      </w:r>
      <w:r>
        <w:rPr>
          <w:lang w:eastAsia="ja-JP"/>
        </w:rPr>
        <w:t xml:space="preserve"> </w:t>
      </w:r>
      <w:r w:rsidR="00A34DC8" w:rsidRPr="00A34DC8">
        <w:rPr>
          <w:lang w:eastAsia="ja-JP"/>
        </w:rPr>
        <w:t xml:space="preserve">Our understanding is the feature list </w:t>
      </w:r>
      <w:r w:rsidR="00A34DC8">
        <w:rPr>
          <w:lang w:eastAsia="ja-JP"/>
        </w:rPr>
        <w:t xml:space="preserve">agreement of  up to </w:t>
      </w:r>
      <w:r w:rsidR="005A2FCC">
        <w:rPr>
          <w:lang w:eastAsia="ja-JP"/>
        </w:rPr>
        <w:t xml:space="preserve">[7] or [8] search spaces </w:t>
      </w:r>
      <w:r w:rsidR="00A34DC8">
        <w:rPr>
          <w:lang w:eastAsia="ja-JP"/>
        </w:rPr>
        <w:t>in PCell or PSCell</w:t>
      </w:r>
      <w:r w:rsidR="005A2FCC">
        <w:rPr>
          <w:lang w:eastAsia="ja-JP"/>
        </w:rPr>
        <w:t xml:space="preserve"> </w:t>
      </w:r>
      <w:r w:rsidR="00A34DC8">
        <w:rPr>
          <w:lang w:eastAsia="ja-JP"/>
        </w:rPr>
        <w:t xml:space="preserve">and </w:t>
      </w:r>
      <w:r w:rsidR="00867B9F">
        <w:rPr>
          <w:lang w:eastAsia="ja-JP"/>
        </w:rPr>
        <w:t xml:space="preserve">up to </w:t>
      </w:r>
      <w:r w:rsidR="005A2FCC">
        <w:rPr>
          <w:lang w:eastAsia="ja-JP"/>
        </w:rPr>
        <w:t>3 search spaces for a scheduled SCell</w:t>
      </w:r>
      <w:r w:rsidR="00A34DC8">
        <w:rPr>
          <w:lang w:eastAsia="ja-JP"/>
        </w:rPr>
        <w:t xml:space="preserve"> is the case where search space sharing is not enabled.</w:t>
      </w:r>
      <w:r w:rsidR="005A2FCC">
        <w:rPr>
          <w:lang w:eastAsia="ja-JP"/>
        </w:rPr>
        <w:t xml:space="preserve"> </w:t>
      </w:r>
      <w:r w:rsidR="00A34DC8">
        <w:rPr>
          <w:lang w:eastAsia="ja-JP"/>
        </w:rPr>
        <w:t xml:space="preserve">If these numbers are applied regardless of search space sharing or not, the merit of search space sharing is not able to obtain. Therefore, when search space sharing is enabled, our view is the number of search space should be increased. On the other hand, if search space sharing means all search spaces can be possible to be used for the scheduling, this can be too demanding for UE complexity. Therefore, certain number of search spaces should be limited for PSCell, PSCell, scheduled </w:t>
      </w:r>
      <w:r w:rsidR="00CB28C0">
        <w:rPr>
          <w:lang w:eastAsia="ja-JP"/>
        </w:rPr>
        <w:t>SC</w:t>
      </w:r>
      <w:r w:rsidR="00A34DC8">
        <w:rPr>
          <w:lang w:eastAsia="ja-JP"/>
        </w:rPr>
        <w:t xml:space="preserve">ell respectively. </w:t>
      </w:r>
      <w:r w:rsidR="003C5C42">
        <w:rPr>
          <w:lang w:eastAsia="ja-JP"/>
        </w:rPr>
        <w:t>One possible number may be to add 3 search spaces. i.e.</w:t>
      </w:r>
      <w:r w:rsidR="00FA4287">
        <w:rPr>
          <w:lang w:eastAsia="ja-JP"/>
        </w:rPr>
        <w:t>,</w:t>
      </w:r>
      <w:r w:rsidR="003C5C42">
        <w:rPr>
          <w:lang w:eastAsia="ja-JP"/>
        </w:rPr>
        <w:t xml:space="preserve"> 10 search spaces for PCell or PSCell and 6 search spaces for a scheduled SCell. We are open to </w:t>
      </w:r>
      <w:r w:rsidR="00DA70BF">
        <w:rPr>
          <w:lang w:eastAsia="ja-JP"/>
        </w:rPr>
        <w:t xml:space="preserve">the </w:t>
      </w:r>
      <w:r w:rsidR="003C5C42">
        <w:rPr>
          <w:lang w:eastAsia="ja-JP"/>
        </w:rPr>
        <w:t>exact number.</w:t>
      </w:r>
      <w:r w:rsidR="00A34DC8">
        <w:rPr>
          <w:lang w:eastAsia="ja-JP"/>
        </w:rPr>
        <w:t xml:space="preserve"> </w:t>
      </w:r>
    </w:p>
    <w:p w14:paraId="5ED1A9A8" w14:textId="510F1FD6" w:rsidR="009A13FC" w:rsidRDefault="009A13FC" w:rsidP="009A13FC">
      <w:pPr>
        <w:rPr>
          <w:b/>
          <w:lang w:eastAsia="ja-JP"/>
        </w:rPr>
      </w:pPr>
      <w:r>
        <w:rPr>
          <w:b/>
          <w:lang w:eastAsia="ja-JP"/>
        </w:rPr>
        <w:t xml:space="preserve">Proposal 1: </w:t>
      </w:r>
      <w:r w:rsidR="00CB28C0">
        <w:rPr>
          <w:b/>
          <w:lang w:eastAsia="ja-JP"/>
        </w:rPr>
        <w:t>To clarify that the current number</w:t>
      </w:r>
      <w:r w:rsidR="00FA4287">
        <w:rPr>
          <w:b/>
          <w:lang w:eastAsia="ja-JP"/>
        </w:rPr>
        <w:t>s</w:t>
      </w:r>
      <w:r w:rsidR="00CB28C0">
        <w:rPr>
          <w:b/>
          <w:lang w:eastAsia="ja-JP"/>
        </w:rPr>
        <w:t xml:space="preserve"> of search spaces for</w:t>
      </w:r>
      <w:r w:rsidR="00CB28C0" w:rsidRPr="00CB28C0">
        <w:t xml:space="preserve"> </w:t>
      </w:r>
      <w:r w:rsidR="00CB28C0" w:rsidRPr="00CB28C0">
        <w:rPr>
          <w:b/>
          <w:lang w:eastAsia="ja-JP"/>
        </w:rPr>
        <w:t>PSCell, PSCell, scheduled SCell</w:t>
      </w:r>
      <w:r w:rsidR="00CB28C0">
        <w:rPr>
          <w:b/>
          <w:lang w:eastAsia="ja-JP"/>
        </w:rPr>
        <w:t xml:space="preserve"> are </w:t>
      </w:r>
      <w:r w:rsidR="006D6080">
        <w:rPr>
          <w:rFonts w:hint="eastAsia"/>
          <w:b/>
          <w:lang w:eastAsia="ja-JP"/>
        </w:rPr>
        <w:t xml:space="preserve">for </w:t>
      </w:r>
      <w:r w:rsidR="00CB28C0">
        <w:rPr>
          <w:b/>
          <w:lang w:eastAsia="ja-JP"/>
        </w:rPr>
        <w:t xml:space="preserve">the case </w:t>
      </w:r>
      <w:r w:rsidR="00FA4287">
        <w:rPr>
          <w:b/>
          <w:lang w:eastAsia="ja-JP"/>
        </w:rPr>
        <w:t xml:space="preserve">where </w:t>
      </w:r>
      <w:r w:rsidR="00CB28C0">
        <w:rPr>
          <w:b/>
          <w:lang w:eastAsia="ja-JP"/>
        </w:rPr>
        <w:t xml:space="preserve">search space sharing is not enabled. </w:t>
      </w:r>
      <w:r>
        <w:rPr>
          <w:b/>
          <w:lang w:eastAsia="ja-JP"/>
        </w:rPr>
        <w:t xml:space="preserve">Discuss </w:t>
      </w:r>
      <w:r w:rsidR="00762890">
        <w:rPr>
          <w:b/>
          <w:lang w:eastAsia="ja-JP"/>
        </w:rPr>
        <w:t>the number of search space in case of search space sharing.</w:t>
      </w:r>
    </w:p>
    <w:p w14:paraId="09C5CF81" w14:textId="77777777" w:rsidR="00BB0D87" w:rsidRDefault="00BB0D87" w:rsidP="00762890">
      <w:pPr>
        <w:rPr>
          <w:b/>
          <w:lang w:eastAsia="ja-JP"/>
        </w:rPr>
      </w:pPr>
    </w:p>
    <w:p w14:paraId="4EE24487" w14:textId="4FA68FE3" w:rsidR="00572AAD" w:rsidRDefault="00572AAD" w:rsidP="00572AAD">
      <w:pPr>
        <w:rPr>
          <w:b/>
          <w:u w:val="single"/>
          <w:lang w:eastAsia="ja-JP"/>
        </w:rPr>
      </w:pPr>
      <w:r>
        <w:rPr>
          <w:b/>
          <w:u w:val="single"/>
          <w:lang w:eastAsia="ja-JP"/>
        </w:rPr>
        <w:t xml:space="preserve">Per </w:t>
      </w:r>
      <w:r w:rsidR="008C72F4">
        <w:rPr>
          <w:b/>
          <w:u w:val="single"/>
          <w:lang w:eastAsia="ja-JP"/>
        </w:rPr>
        <w:t>cell</w:t>
      </w:r>
      <w:r>
        <w:rPr>
          <w:b/>
          <w:u w:val="single"/>
          <w:lang w:eastAsia="ja-JP"/>
        </w:rPr>
        <w:t xml:space="preserve"> limit</w:t>
      </w:r>
    </w:p>
    <w:p w14:paraId="56F114B1" w14:textId="73C41BFB" w:rsidR="003A2FF0" w:rsidRDefault="003A2FF0" w:rsidP="00762890">
      <w:pPr>
        <w:rPr>
          <w:lang w:eastAsia="ja-JP"/>
        </w:rPr>
      </w:pPr>
      <w:r>
        <w:rPr>
          <w:lang w:eastAsia="ja-JP"/>
        </w:rPr>
        <w:t>In the RAN1#94, the following was agreed.</w:t>
      </w:r>
    </w:p>
    <w:tbl>
      <w:tblPr>
        <w:tblStyle w:val="afb"/>
        <w:tblW w:w="0" w:type="auto"/>
        <w:tblLook w:val="04A0" w:firstRow="1" w:lastRow="0" w:firstColumn="1" w:lastColumn="0" w:noHBand="0" w:noVBand="1"/>
      </w:tblPr>
      <w:tblGrid>
        <w:gridCol w:w="9630"/>
      </w:tblGrid>
      <w:tr w:rsidR="003A2FF0" w14:paraId="2B3B591F" w14:textId="77777777" w:rsidTr="003A2FF0">
        <w:tc>
          <w:tcPr>
            <w:tcW w:w="9630" w:type="dxa"/>
          </w:tcPr>
          <w:p w14:paraId="57240965" w14:textId="77777777" w:rsidR="003A2FF0" w:rsidRPr="003A2FF0" w:rsidRDefault="003A2FF0" w:rsidP="003A2FF0">
            <w:pPr>
              <w:spacing w:after="0"/>
              <w:rPr>
                <w:rFonts w:eastAsia="Batang"/>
                <w:szCs w:val="24"/>
                <w:lang w:eastAsia="ja-JP"/>
              </w:rPr>
            </w:pPr>
            <w:r w:rsidRPr="003A2FF0">
              <w:rPr>
                <w:rFonts w:eastAsia="Batang"/>
                <w:szCs w:val="24"/>
                <w:highlight w:val="green"/>
              </w:rPr>
              <w:t>Agreements</w:t>
            </w:r>
            <w:r w:rsidRPr="003A2FF0">
              <w:rPr>
                <w:rFonts w:eastAsia="Batang"/>
                <w:szCs w:val="24"/>
              </w:rPr>
              <w:t xml:space="preserve">: </w:t>
            </w:r>
            <w:r w:rsidRPr="003A2FF0">
              <w:rPr>
                <w:rFonts w:eastAsia="Batang"/>
                <w:szCs w:val="24"/>
                <w:lang w:eastAsia="ja-JP"/>
              </w:rPr>
              <w:t>RAN1#93 agreements are updated as follows (to cover Case 5):</w:t>
            </w:r>
          </w:p>
          <w:p w14:paraId="1C895A09" w14:textId="77777777" w:rsidR="003A2FF0" w:rsidRPr="003A2FF0" w:rsidRDefault="003A2FF0" w:rsidP="003A2FF0">
            <w:pPr>
              <w:numPr>
                <w:ilvl w:val="0"/>
                <w:numId w:val="44"/>
              </w:numPr>
              <w:overflowPunct w:val="0"/>
              <w:autoSpaceDE w:val="0"/>
              <w:autoSpaceDN w:val="0"/>
              <w:adjustRightInd w:val="0"/>
              <w:spacing w:after="0"/>
              <w:contextualSpacing/>
              <w:rPr>
                <w:rFonts w:eastAsia="SimSun"/>
                <w:lang w:val="en-US" w:eastAsia="ja-JP"/>
              </w:rPr>
            </w:pPr>
            <w:r w:rsidRPr="003A2FF0">
              <w:rPr>
                <w:rFonts w:eastAsia="SimSun"/>
                <w:lang w:val="en-US" w:eastAsia="ja-JP"/>
              </w:rPr>
              <w:t xml:space="preserve">For self-scheduling with same numerology </w:t>
            </w:r>
            <w:r w:rsidRPr="003A2FF0">
              <w:rPr>
                <w:rFonts w:eastAsia="SimSun"/>
                <w:color w:val="FF0000"/>
                <w:u w:val="single"/>
                <w:lang w:val="en-US" w:eastAsia="ja-JP"/>
              </w:rPr>
              <w:t>or for cross-carrier scheduling with the same numerology for all the DL serving cells</w:t>
            </w:r>
            <w:r w:rsidRPr="003A2FF0">
              <w:rPr>
                <w:rFonts w:eastAsia="SimSun"/>
                <w:lang w:val="en-US" w:eastAsia="ja-JP"/>
              </w:rPr>
              <w:t>, and the number of DL-CCs is more than 4 and with up to T DL-CCs where the UE reports BD capability of y &lt; T, the limit of BDs/CCEs per CC per slot is</w:t>
            </w:r>
          </w:p>
          <w:p w14:paraId="5C4FC5CA" w14:textId="77777777" w:rsidR="003A2FF0" w:rsidRPr="003A2FF0" w:rsidRDefault="003A2FF0" w:rsidP="003A2FF0">
            <w:pPr>
              <w:numPr>
                <w:ilvl w:val="1"/>
                <w:numId w:val="44"/>
              </w:numPr>
              <w:overflowPunct w:val="0"/>
              <w:autoSpaceDE w:val="0"/>
              <w:autoSpaceDN w:val="0"/>
              <w:adjustRightInd w:val="0"/>
              <w:spacing w:after="0"/>
              <w:contextualSpacing/>
              <w:rPr>
                <w:rFonts w:eastAsia="SimSun"/>
                <w:lang w:val="en-US" w:eastAsia="ja-JP"/>
              </w:rPr>
            </w:pPr>
            <w:r w:rsidRPr="003A2FF0">
              <w:rPr>
                <w:rFonts w:eastAsia="SimSun"/>
                <w:lang w:val="en-US" w:eastAsia="ja-JP"/>
              </w:rPr>
              <w:lastRenderedPageBreak/>
              <w:t>The total number of BDs/CCEs across CCs is based on UE BD capability. It can be split across CCs, subject to the non-CA limit on each CC.</w:t>
            </w:r>
          </w:p>
          <w:p w14:paraId="7B8B54A6" w14:textId="5EF64CEE" w:rsidR="003A2FF0" w:rsidRDefault="003A2FF0" w:rsidP="003A2FF0">
            <w:pPr>
              <w:pStyle w:val="aff3"/>
              <w:numPr>
                <w:ilvl w:val="1"/>
                <w:numId w:val="43"/>
              </w:numPr>
              <w:ind w:leftChars="0"/>
              <w:rPr>
                <w:lang w:eastAsia="ja-JP"/>
              </w:rPr>
            </w:pPr>
            <w:r w:rsidRPr="003A2FF0">
              <w:rPr>
                <w:rFonts w:eastAsia="SimSun"/>
                <w:color w:val="FF0000"/>
                <w:u w:val="single"/>
                <w:lang w:val="en-US" w:eastAsia="ja-JP"/>
              </w:rPr>
              <w:t>For SCell, NW ensures no overbooking based on non-CA case occurs. For cross-carrier scheduling, BDs/CCEs overlapped across DL serving cells are independently counted (i.e., counted per serving cell).</w:t>
            </w:r>
          </w:p>
        </w:tc>
      </w:tr>
    </w:tbl>
    <w:p w14:paraId="5C45E1B5" w14:textId="1AA0AE72" w:rsidR="00D374F8" w:rsidRDefault="00D374F8" w:rsidP="00762890">
      <w:pPr>
        <w:rPr>
          <w:lang w:eastAsia="ja-JP"/>
        </w:rPr>
      </w:pPr>
      <w:r>
        <w:rPr>
          <w:lang w:eastAsia="ja-JP"/>
        </w:rPr>
        <w:lastRenderedPageBreak/>
        <w:t xml:space="preserve">Although not described explicitly, our understanding of cross-carrier scheduling of per cell limit is per scheduled cell limit and not scheduling cell limit as </w:t>
      </w:r>
      <w:r w:rsidR="00352955">
        <w:rPr>
          <w:lang w:eastAsia="ja-JP"/>
        </w:rPr>
        <w:t>how many BDs/CCEs are possibility for the scheduled cell would determine the processing time. This aspect should be clarified.</w:t>
      </w:r>
      <w:r>
        <w:rPr>
          <w:lang w:eastAsia="ja-JP"/>
        </w:rPr>
        <w:t xml:space="preserve"> </w:t>
      </w:r>
    </w:p>
    <w:p w14:paraId="381756DA" w14:textId="6E43A312" w:rsidR="00297EDD" w:rsidRDefault="004F594F" w:rsidP="00762890">
      <w:pPr>
        <w:rPr>
          <w:lang w:eastAsia="ja-JP"/>
        </w:rPr>
      </w:pPr>
      <w:r>
        <w:rPr>
          <w:rFonts w:hint="eastAsia"/>
          <w:lang w:eastAsia="ja-JP"/>
        </w:rPr>
        <w:t>Accor</w:t>
      </w:r>
      <w:r>
        <w:rPr>
          <w:lang w:eastAsia="ja-JP"/>
        </w:rPr>
        <w:t>ding to the above</w:t>
      </w:r>
      <w:r w:rsidR="00D374F8">
        <w:rPr>
          <w:lang w:eastAsia="ja-JP"/>
        </w:rPr>
        <w:t xml:space="preserve"> agreement</w:t>
      </w:r>
      <w:r>
        <w:rPr>
          <w:lang w:eastAsia="ja-JP"/>
        </w:rPr>
        <w:t xml:space="preserve">, at least </w:t>
      </w:r>
      <w:r w:rsidRPr="00303DAF">
        <w:rPr>
          <w:lang w:eastAsia="ja-JP"/>
        </w:rPr>
        <w:t>for cross-carrier scheduling with the same numerology</w:t>
      </w:r>
      <w:r>
        <w:rPr>
          <w:lang w:eastAsia="ja-JP"/>
        </w:rPr>
        <w:t xml:space="preserve">, per scheduled </w:t>
      </w:r>
      <w:r w:rsidR="008C72F4">
        <w:rPr>
          <w:lang w:eastAsia="ja-JP"/>
        </w:rPr>
        <w:t>cell</w:t>
      </w:r>
      <w:r>
        <w:rPr>
          <w:lang w:eastAsia="ja-JP"/>
        </w:rPr>
        <w:t xml:space="preserve"> limit is non-CA limit</w:t>
      </w:r>
      <w:r w:rsidR="00634FF7">
        <w:rPr>
          <w:lang w:eastAsia="ja-JP"/>
        </w:rPr>
        <w:t>, and t</w:t>
      </w:r>
      <w:r w:rsidR="00A704D2">
        <w:rPr>
          <w:lang w:eastAsia="ja-JP"/>
        </w:rPr>
        <w:t xml:space="preserve">he number of </w:t>
      </w:r>
      <w:r w:rsidR="0080158C" w:rsidRPr="0080158C">
        <w:rPr>
          <w:lang w:eastAsia="ja-JP"/>
        </w:rPr>
        <w:t>BDs/CCEs are independently counted</w:t>
      </w:r>
      <w:r w:rsidR="0080158C">
        <w:rPr>
          <w:lang w:eastAsia="ja-JP"/>
        </w:rPr>
        <w:t xml:space="preserve"> </w:t>
      </w:r>
      <w:r w:rsidR="00A704D2">
        <w:rPr>
          <w:lang w:eastAsia="ja-JP"/>
        </w:rPr>
        <w:t xml:space="preserve">per serving cell </w:t>
      </w:r>
      <w:r w:rsidR="0080158C">
        <w:rPr>
          <w:lang w:eastAsia="ja-JP"/>
        </w:rPr>
        <w:t>for cross-carrier scheduling.</w:t>
      </w:r>
      <w:r w:rsidR="00A43362">
        <w:rPr>
          <w:lang w:eastAsia="ja-JP"/>
        </w:rPr>
        <w:t xml:space="preserve"> </w:t>
      </w:r>
      <w:r w:rsidR="007F3C49">
        <w:rPr>
          <w:lang w:eastAsia="ja-JP"/>
        </w:rPr>
        <w:t xml:space="preserve">Our understanding is </w:t>
      </w:r>
      <w:r w:rsidR="00A43362">
        <w:rPr>
          <w:lang w:eastAsia="ja-JP"/>
        </w:rPr>
        <w:t>the above was not taken into account search space sharing, because if the number of BD</w:t>
      </w:r>
      <w:r w:rsidR="00FA1542">
        <w:rPr>
          <w:lang w:eastAsia="ja-JP"/>
        </w:rPr>
        <w:t>s</w:t>
      </w:r>
      <w:r w:rsidR="00A43362">
        <w:rPr>
          <w:lang w:eastAsia="ja-JP"/>
        </w:rPr>
        <w:t>/CCE</w:t>
      </w:r>
      <w:r w:rsidR="00FA1542">
        <w:rPr>
          <w:lang w:eastAsia="ja-JP"/>
        </w:rPr>
        <w:t>s</w:t>
      </w:r>
      <w:r w:rsidR="00A43362">
        <w:rPr>
          <w:lang w:eastAsia="ja-JP"/>
        </w:rPr>
        <w:t xml:space="preserve"> are </w:t>
      </w:r>
      <w:r w:rsidR="00A43362" w:rsidRPr="00A43362">
        <w:rPr>
          <w:lang w:eastAsia="ja-JP"/>
        </w:rPr>
        <w:t>independently counted</w:t>
      </w:r>
      <w:r w:rsidR="00A43362">
        <w:rPr>
          <w:lang w:eastAsia="ja-JP"/>
        </w:rPr>
        <w:t xml:space="preserve"> </w:t>
      </w:r>
      <w:r w:rsidR="00E85277">
        <w:rPr>
          <w:lang w:eastAsia="ja-JP"/>
        </w:rPr>
        <w:t xml:space="preserve">and the same BD/CCE limit is applied </w:t>
      </w:r>
      <w:r w:rsidR="00A43362">
        <w:rPr>
          <w:lang w:eastAsia="ja-JP"/>
        </w:rPr>
        <w:t>r</w:t>
      </w:r>
      <w:r w:rsidR="00A43362" w:rsidRPr="00A95B2E">
        <w:rPr>
          <w:lang w:eastAsia="ja-JP"/>
        </w:rPr>
        <w:t>egardless</w:t>
      </w:r>
      <w:r w:rsidR="00A43362">
        <w:rPr>
          <w:lang w:eastAsia="ja-JP"/>
        </w:rPr>
        <w:t xml:space="preserve"> </w:t>
      </w:r>
      <w:r w:rsidR="00FA1542">
        <w:rPr>
          <w:rStyle w:val="shorttext"/>
          <w:lang w:val="en"/>
        </w:rPr>
        <w:t xml:space="preserve">of </w:t>
      </w:r>
      <w:r w:rsidR="00352955">
        <w:rPr>
          <w:rStyle w:val="shorttext"/>
          <w:lang w:val="en"/>
        </w:rPr>
        <w:t xml:space="preserve">the enabling the </w:t>
      </w:r>
      <w:r w:rsidR="00A43362">
        <w:rPr>
          <w:lang w:eastAsia="ja-JP"/>
        </w:rPr>
        <w:t xml:space="preserve">search space sharing , </w:t>
      </w:r>
      <w:r w:rsidR="002A215D">
        <w:rPr>
          <w:lang w:eastAsia="ja-JP"/>
        </w:rPr>
        <w:t xml:space="preserve">the </w:t>
      </w:r>
      <w:r w:rsidR="002A215D" w:rsidRPr="002A215D">
        <w:rPr>
          <w:lang w:eastAsia="ja-JP"/>
        </w:rPr>
        <w:t xml:space="preserve">merit </w:t>
      </w:r>
      <w:r w:rsidR="002A215D">
        <w:rPr>
          <w:lang w:eastAsia="ja-JP"/>
        </w:rPr>
        <w:t>of</w:t>
      </w:r>
      <w:r w:rsidR="007635F2">
        <w:rPr>
          <w:lang w:eastAsia="ja-JP"/>
        </w:rPr>
        <w:t xml:space="preserve"> search space sharing</w:t>
      </w:r>
      <w:r w:rsidR="002A215D">
        <w:rPr>
          <w:lang w:eastAsia="ja-JP"/>
        </w:rPr>
        <w:t xml:space="preserve"> is </w:t>
      </w:r>
      <w:r w:rsidR="005259CE">
        <w:rPr>
          <w:lang w:eastAsia="ja-JP"/>
        </w:rPr>
        <w:t>not obtained</w:t>
      </w:r>
      <w:r w:rsidR="00A43362">
        <w:rPr>
          <w:lang w:eastAsia="ja-JP"/>
        </w:rPr>
        <w:t>.</w:t>
      </w:r>
      <w:r w:rsidR="007635F2">
        <w:rPr>
          <w:lang w:eastAsia="ja-JP"/>
        </w:rPr>
        <w:t xml:space="preserve"> The </w:t>
      </w:r>
      <w:r w:rsidR="002A215D" w:rsidRPr="002A215D">
        <w:rPr>
          <w:lang w:eastAsia="ja-JP"/>
        </w:rPr>
        <w:t xml:space="preserve">merit </w:t>
      </w:r>
      <w:r w:rsidR="007635F2">
        <w:rPr>
          <w:lang w:eastAsia="ja-JP"/>
        </w:rPr>
        <w:t xml:space="preserve">of search space sharing is to increase </w:t>
      </w:r>
      <w:r w:rsidR="00BF1670">
        <w:rPr>
          <w:lang w:eastAsia="ja-JP"/>
        </w:rPr>
        <w:t xml:space="preserve">the </w:t>
      </w:r>
      <w:r w:rsidR="001D3C5F">
        <w:rPr>
          <w:lang w:eastAsia="ja-JP"/>
        </w:rPr>
        <w:t>reception</w:t>
      </w:r>
      <w:r w:rsidR="001D3C5F" w:rsidRPr="001D3C5F">
        <w:rPr>
          <w:lang w:eastAsia="ja-JP"/>
        </w:rPr>
        <w:t xml:space="preserve"> opportunity</w:t>
      </w:r>
      <w:r w:rsidR="001D3C5F">
        <w:rPr>
          <w:lang w:eastAsia="ja-JP"/>
        </w:rPr>
        <w:t xml:space="preserve"> of </w:t>
      </w:r>
      <w:r w:rsidR="007635F2">
        <w:rPr>
          <w:lang w:eastAsia="ja-JP"/>
        </w:rPr>
        <w:t xml:space="preserve">PDCCH without </w:t>
      </w:r>
      <w:r w:rsidR="007635F2">
        <w:rPr>
          <w:rStyle w:val="shorttext"/>
          <w:lang w:val="en"/>
        </w:rPr>
        <w:t xml:space="preserve">increasing </w:t>
      </w:r>
      <w:r w:rsidR="007635F2">
        <w:rPr>
          <w:lang w:eastAsia="ja-JP"/>
        </w:rPr>
        <w:t>of the number of BDs/CCEs</w:t>
      </w:r>
      <w:r w:rsidR="00C220BD">
        <w:rPr>
          <w:lang w:eastAsia="ja-JP"/>
        </w:rPr>
        <w:t xml:space="preserve"> </w:t>
      </w:r>
      <w:r w:rsidR="00DB49FD" w:rsidRPr="00DB49FD">
        <w:rPr>
          <w:lang w:eastAsia="ja-JP"/>
        </w:rPr>
        <w:t>by reusing</w:t>
      </w:r>
      <w:r w:rsidR="008174A6">
        <w:rPr>
          <w:lang w:eastAsia="ja-JP"/>
        </w:rPr>
        <w:t xml:space="preserve"> </w:t>
      </w:r>
      <w:r w:rsidR="00C220BD">
        <w:rPr>
          <w:lang w:eastAsia="ja-JP"/>
        </w:rPr>
        <w:t>PDCCH candidate</w:t>
      </w:r>
      <w:r w:rsidR="0045343D">
        <w:rPr>
          <w:lang w:eastAsia="ja-JP"/>
        </w:rPr>
        <w:t>s</w:t>
      </w:r>
      <w:r w:rsidR="00C220BD">
        <w:rPr>
          <w:lang w:eastAsia="ja-JP"/>
        </w:rPr>
        <w:t xml:space="preserve"> with the same DCI size</w:t>
      </w:r>
      <w:r w:rsidR="00234712">
        <w:rPr>
          <w:lang w:eastAsia="ja-JP"/>
        </w:rPr>
        <w:t xml:space="preserve"> between cells</w:t>
      </w:r>
      <w:r w:rsidR="007635F2">
        <w:rPr>
          <w:lang w:eastAsia="ja-JP"/>
        </w:rPr>
        <w:t>.</w:t>
      </w:r>
      <w:r w:rsidR="00BF1670">
        <w:rPr>
          <w:lang w:eastAsia="ja-JP"/>
        </w:rPr>
        <w:t xml:space="preserve"> </w:t>
      </w:r>
      <w:r w:rsidR="00297EDD">
        <w:rPr>
          <w:lang w:eastAsia="ja-JP"/>
        </w:rPr>
        <w:t xml:space="preserve">On the other hand, all BD/CCEs effort supported by UE can be used would be too demanding similar to above discussion on the number of search spaces. Therefore, BD/CCE limit should be limited to certain lower number than the total </w:t>
      </w:r>
      <w:r w:rsidR="00352955">
        <w:rPr>
          <w:lang w:eastAsia="ja-JP"/>
        </w:rPr>
        <w:t xml:space="preserve">UE </w:t>
      </w:r>
      <w:r w:rsidR="00297EDD">
        <w:rPr>
          <w:lang w:eastAsia="ja-JP"/>
        </w:rPr>
        <w:t>sum of BD/CCE limit when search space sharing is enabled but still higher than the BD/CCE limit of non-CA limit.</w:t>
      </w:r>
      <w:r w:rsidR="00352955">
        <w:rPr>
          <w:lang w:eastAsia="ja-JP"/>
        </w:rPr>
        <w:t xml:space="preserve"> We propose to adjust the number of BD/CCE limit dimensioned to the number of supported search spaces in case of search space sharing. </w:t>
      </w:r>
    </w:p>
    <w:p w14:paraId="2BC13AF6" w14:textId="22499DC7" w:rsidR="00297EDD" w:rsidRDefault="00352955" w:rsidP="00762890">
      <w:pPr>
        <w:rPr>
          <w:lang w:eastAsia="ja-JP"/>
        </w:rPr>
      </w:pPr>
      <w:r>
        <w:rPr>
          <w:rFonts w:hint="eastAsia"/>
          <w:lang w:eastAsia="ja-JP"/>
        </w:rPr>
        <w:t>For the case of not enabling search space sharing, we think non-CA limit would be natural.</w:t>
      </w:r>
    </w:p>
    <w:p w14:paraId="37C6D1DE" w14:textId="34F36567" w:rsidR="00505C55" w:rsidRDefault="00505C55" w:rsidP="00505C55">
      <w:pPr>
        <w:rPr>
          <w:rFonts w:ascii="Times" w:eastAsia="Batang" w:hAnsi="Times"/>
          <w:lang w:eastAsia="ja-JP"/>
        </w:rPr>
      </w:pPr>
      <w:r>
        <w:rPr>
          <w:rFonts w:ascii="Times" w:eastAsia="Batang" w:hAnsi="Times"/>
          <w:lang w:eastAsia="ja-JP"/>
        </w:rPr>
        <w:t>For cross-carrier scheduling with the same numerology between scheduling cell and scheduled cell(s) but different numerologies between scheduling cell(s), the same</w:t>
      </w:r>
      <w:r w:rsidR="002C6451">
        <w:rPr>
          <w:rFonts w:ascii="Times" w:eastAsia="Batang" w:hAnsi="Times"/>
          <w:lang w:eastAsia="ja-JP"/>
        </w:rPr>
        <w:t xml:space="preserve"> rule </w:t>
      </w:r>
      <w:r>
        <w:rPr>
          <w:rFonts w:ascii="Times" w:eastAsia="Batang" w:hAnsi="Times"/>
          <w:lang w:eastAsia="ja-JP"/>
        </w:rPr>
        <w:t>should be appl</w:t>
      </w:r>
      <w:r w:rsidR="002C6451">
        <w:rPr>
          <w:rFonts w:ascii="Times" w:eastAsia="Batang" w:hAnsi="Times"/>
          <w:lang w:eastAsia="ja-JP"/>
        </w:rPr>
        <w:t xml:space="preserve">ied for </w:t>
      </w:r>
      <w:r w:rsidR="00297EDD">
        <w:rPr>
          <w:rFonts w:ascii="Times" w:eastAsia="Batang" w:hAnsi="Times"/>
          <w:lang w:eastAsia="ja-JP"/>
        </w:rPr>
        <w:t xml:space="preserve">the </w:t>
      </w:r>
      <w:r w:rsidR="002C6451">
        <w:rPr>
          <w:rFonts w:ascii="Times" w:eastAsia="Batang" w:hAnsi="Times"/>
          <w:lang w:eastAsia="ja-JP"/>
        </w:rPr>
        <w:t>unified design.</w:t>
      </w:r>
    </w:p>
    <w:p w14:paraId="22455175" w14:textId="77777777" w:rsidR="00352955" w:rsidRDefault="00762890" w:rsidP="00762890">
      <w:pPr>
        <w:rPr>
          <w:b/>
          <w:lang w:eastAsia="ja-JP"/>
        </w:rPr>
      </w:pPr>
      <w:r>
        <w:rPr>
          <w:b/>
          <w:lang w:eastAsia="ja-JP"/>
        </w:rPr>
        <w:t xml:space="preserve">Proposal 2: </w:t>
      </w:r>
      <w:r w:rsidR="00352955">
        <w:rPr>
          <w:b/>
          <w:lang w:eastAsia="ja-JP"/>
        </w:rPr>
        <w:t>To clarify per cell limit means per scheduled cell limit.</w:t>
      </w:r>
    </w:p>
    <w:p w14:paraId="0DC78AA8" w14:textId="2C1D2263" w:rsidR="00762890" w:rsidRDefault="00352955" w:rsidP="00762890">
      <w:pPr>
        <w:rPr>
          <w:b/>
          <w:lang w:eastAsia="ja-JP"/>
        </w:rPr>
      </w:pPr>
      <w:r>
        <w:rPr>
          <w:b/>
          <w:lang w:eastAsia="ja-JP"/>
        </w:rPr>
        <w:t>Proposal 3: To clarify current agreement on the number of BD/CCE limit is applied when search space sharing is not enabled.</w:t>
      </w:r>
    </w:p>
    <w:p w14:paraId="0739DBEE" w14:textId="33D3EC71" w:rsidR="00352955" w:rsidRDefault="00352955" w:rsidP="00762890">
      <w:pPr>
        <w:rPr>
          <w:b/>
          <w:lang w:eastAsia="ja-JP"/>
        </w:rPr>
      </w:pPr>
      <w:r>
        <w:rPr>
          <w:b/>
          <w:lang w:eastAsia="ja-JP"/>
        </w:rPr>
        <w:t xml:space="preserve">Proposal </w:t>
      </w:r>
      <w:r w:rsidR="008C413A">
        <w:rPr>
          <w:b/>
          <w:lang w:eastAsia="ja-JP"/>
        </w:rPr>
        <w:t>4</w:t>
      </w:r>
      <w:r>
        <w:rPr>
          <w:b/>
          <w:lang w:eastAsia="ja-JP"/>
        </w:rPr>
        <w:t>: To discuss the number of BD/CCE limit per scheduled cell according to the number of search spaces for scheduled cell.</w:t>
      </w:r>
    </w:p>
    <w:p w14:paraId="1D8D48BA" w14:textId="77777777" w:rsidR="009A13FC" w:rsidRPr="00DB2406" w:rsidRDefault="009A13FC" w:rsidP="00DB2406"/>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08820FEF" w:rsidR="00303FA7" w:rsidRDefault="00DE4942" w:rsidP="00F01F94">
      <w:pPr>
        <w:rPr>
          <w:rFonts w:eastAsia="SimSun" w:cs="Arial"/>
          <w:lang w:eastAsia="zh-CN"/>
        </w:rPr>
      </w:pPr>
      <w:r>
        <w:rPr>
          <w:rFonts w:eastAsia="SimSun" w:cs="Arial"/>
          <w:lang w:eastAsia="zh-CN"/>
        </w:rPr>
        <w:t xml:space="preserve">We discussed </w:t>
      </w:r>
      <w:r w:rsidR="008579A0">
        <w:rPr>
          <w:rFonts w:eastAsiaTheme="minorEastAsia" w:cs="Arial"/>
          <w:lang w:eastAsia="ja-JP"/>
        </w:rPr>
        <w:t>the limitation of BD/CCE/Search space for search space sharing</w:t>
      </w:r>
      <w:bookmarkStart w:id="0" w:name="_GoBack"/>
      <w:bookmarkEnd w:id="0"/>
      <w:r w:rsidR="002E55C3" w:rsidRPr="002E55C3">
        <w:rPr>
          <w:rFonts w:eastAsia="SimSun" w:cs="Arial"/>
          <w:lang w:eastAsia="zh-CN"/>
        </w:rPr>
        <w:t xml:space="preserve">. </w:t>
      </w:r>
      <w:r w:rsidR="002E55C3">
        <w:rPr>
          <w:rFonts w:eastAsiaTheme="minorEastAsia" w:cs="Arial" w:hint="eastAsia"/>
          <w:lang w:eastAsia="ja-JP"/>
        </w:rPr>
        <w:t>W</w:t>
      </w:r>
      <w:r w:rsidR="002557BC">
        <w:rPr>
          <w:rFonts w:eastAsia="SimSun" w:cs="Arial"/>
          <w:lang w:eastAsia="zh-CN"/>
        </w:rPr>
        <w:t>e propose following.</w:t>
      </w:r>
    </w:p>
    <w:p w14:paraId="4B3F4E3E" w14:textId="77777777" w:rsidR="006B4887" w:rsidRDefault="006B4887" w:rsidP="006B4887">
      <w:pPr>
        <w:rPr>
          <w:b/>
          <w:lang w:eastAsia="ja-JP"/>
        </w:rPr>
      </w:pPr>
      <w:r>
        <w:rPr>
          <w:b/>
          <w:lang w:eastAsia="ja-JP"/>
        </w:rPr>
        <w:t>Proposal 1: To clarify that the current numbers of search spaces for</w:t>
      </w:r>
      <w:r w:rsidRPr="00CB28C0">
        <w:t xml:space="preserve"> </w:t>
      </w:r>
      <w:r w:rsidRPr="00CB28C0">
        <w:rPr>
          <w:b/>
          <w:lang w:eastAsia="ja-JP"/>
        </w:rPr>
        <w:t>PSCell, PSCell, scheduled SCell</w:t>
      </w:r>
      <w:r>
        <w:rPr>
          <w:b/>
          <w:lang w:eastAsia="ja-JP"/>
        </w:rPr>
        <w:t xml:space="preserve"> are </w:t>
      </w:r>
      <w:r>
        <w:rPr>
          <w:rFonts w:hint="eastAsia"/>
          <w:b/>
          <w:lang w:eastAsia="ja-JP"/>
        </w:rPr>
        <w:t xml:space="preserve">for </w:t>
      </w:r>
      <w:r>
        <w:rPr>
          <w:b/>
          <w:lang w:eastAsia="ja-JP"/>
        </w:rPr>
        <w:t>the case where search space sharing is not enabled. Discuss the number of search space in case of search space sharing.</w:t>
      </w:r>
    </w:p>
    <w:p w14:paraId="10FA795A" w14:textId="77777777" w:rsidR="006B4887" w:rsidRDefault="006B4887" w:rsidP="006B4887">
      <w:pPr>
        <w:rPr>
          <w:b/>
          <w:lang w:eastAsia="ja-JP"/>
        </w:rPr>
      </w:pPr>
      <w:r>
        <w:rPr>
          <w:b/>
          <w:lang w:eastAsia="ja-JP"/>
        </w:rPr>
        <w:t>Proposal 2: To clarify per cell limit means per scheduled cell limit.</w:t>
      </w:r>
    </w:p>
    <w:p w14:paraId="740E21CC" w14:textId="77777777" w:rsidR="006B4887" w:rsidRDefault="006B4887" w:rsidP="006B4887">
      <w:pPr>
        <w:rPr>
          <w:b/>
          <w:lang w:eastAsia="ja-JP"/>
        </w:rPr>
      </w:pPr>
      <w:r>
        <w:rPr>
          <w:b/>
          <w:lang w:eastAsia="ja-JP"/>
        </w:rPr>
        <w:t>Proposal 3: To clarify current agreement on the number of BD/CCE limit is applied when search space sharing is not enabled.</w:t>
      </w:r>
    </w:p>
    <w:p w14:paraId="2DA7C502" w14:textId="64B802AF" w:rsidR="00195CDD" w:rsidRDefault="006B4887" w:rsidP="003F2751">
      <w:pPr>
        <w:rPr>
          <w:b/>
          <w:lang w:eastAsia="ja-JP"/>
        </w:rPr>
      </w:pPr>
      <w:r>
        <w:rPr>
          <w:b/>
          <w:lang w:eastAsia="ja-JP"/>
        </w:rPr>
        <w:t>Proposal 4: To discuss the number of BD/CCE limit per scheduled cell according to the number of search spaces for scheduled cell.</w:t>
      </w:r>
    </w:p>
    <w:p w14:paraId="24E09FD1" w14:textId="77777777" w:rsidR="00DB2406" w:rsidRPr="005F01CA" w:rsidRDefault="00DB2406"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14644A0F" w14:textId="46318D3E" w:rsidR="00DE31F5" w:rsidRPr="00C433E0" w:rsidRDefault="00DB2406" w:rsidP="00DE31F5">
      <w:pPr>
        <w:pStyle w:val="af2"/>
        <w:numPr>
          <w:ilvl w:val="0"/>
          <w:numId w:val="31"/>
        </w:numPr>
        <w:spacing w:after="120"/>
        <w:jc w:val="both"/>
        <w:rPr>
          <w:lang w:eastAsia="ja-JP"/>
        </w:rPr>
      </w:pPr>
      <w:bookmarkStart w:id="1" w:name="_Ref525721961"/>
      <w:bookmarkStart w:id="2" w:name="_Ref521404885"/>
      <w:r>
        <w:rPr>
          <w:bCs/>
          <w:lang w:eastAsia="ja-JP"/>
        </w:rPr>
        <w:t>R1-1812064, “</w:t>
      </w:r>
      <w:bookmarkEnd w:id="1"/>
      <w:r>
        <w:rPr>
          <w:bCs/>
          <w:lang w:eastAsia="ja-JP"/>
        </w:rPr>
        <w:t>RAN1 NR UE features list”, NTT DOCOMO, AT&amp;T</w:t>
      </w:r>
    </w:p>
    <w:p w14:paraId="7604696C" w14:textId="1AD00B11" w:rsidR="00C433E0" w:rsidRDefault="00C433E0" w:rsidP="00C433E0">
      <w:pPr>
        <w:pStyle w:val="af2"/>
        <w:numPr>
          <w:ilvl w:val="0"/>
          <w:numId w:val="31"/>
        </w:numPr>
        <w:spacing w:after="120"/>
        <w:jc w:val="both"/>
        <w:rPr>
          <w:lang w:eastAsia="ja-JP"/>
        </w:rPr>
      </w:pPr>
      <w:bookmarkStart w:id="3" w:name="_Ref528919784"/>
      <w:r w:rsidRPr="00C433E0">
        <w:rPr>
          <w:lang w:eastAsia="ja-JP"/>
        </w:rPr>
        <w:t>R1-1812092</w:t>
      </w:r>
      <w:r>
        <w:rPr>
          <w:lang w:eastAsia="ja-JP"/>
        </w:rPr>
        <w:t>, “</w:t>
      </w:r>
      <w:r w:rsidRPr="00C433E0">
        <w:rPr>
          <w:lang w:eastAsia="ja-JP"/>
        </w:rPr>
        <w:t>CR to 38.213 capturing the RAN1#94bis meeting agreements</w:t>
      </w:r>
      <w:r>
        <w:rPr>
          <w:lang w:eastAsia="ja-JP"/>
        </w:rPr>
        <w:t xml:space="preserve">”, </w:t>
      </w:r>
      <w:r w:rsidRPr="00C433E0">
        <w:rPr>
          <w:lang w:eastAsia="ja-JP"/>
        </w:rPr>
        <w:t>Samsung</w:t>
      </w:r>
      <w:bookmarkEnd w:id="3"/>
      <w:r>
        <w:rPr>
          <w:lang w:eastAsia="ja-JP"/>
        </w:rPr>
        <w:t xml:space="preserve"> </w:t>
      </w:r>
      <w:bookmarkEnd w:id="2"/>
    </w:p>
    <w:sectPr w:rsidR="00C433E0">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905055" w16cid:durableId="1F86F78F"/>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6F6AE" w14:textId="77777777" w:rsidR="00340641" w:rsidRDefault="00340641">
      <w:r>
        <w:separator/>
      </w:r>
    </w:p>
  </w:endnote>
  <w:endnote w:type="continuationSeparator" w:id="0">
    <w:p w14:paraId="7FEFA1E9" w14:textId="77777777" w:rsidR="00340641" w:rsidRDefault="00340641">
      <w:r>
        <w:continuationSeparator/>
      </w:r>
    </w:p>
  </w:endnote>
  <w:endnote w:type="continuationNotice" w:id="1">
    <w:p w14:paraId="1647EB14" w14:textId="77777777" w:rsidR="00340641" w:rsidRDefault="00340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63DD839"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579A0">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3FC9C" w14:textId="77777777" w:rsidR="00340641" w:rsidRDefault="00340641">
      <w:r>
        <w:separator/>
      </w:r>
    </w:p>
  </w:footnote>
  <w:footnote w:type="continuationSeparator" w:id="0">
    <w:p w14:paraId="42CFBD74" w14:textId="77777777" w:rsidR="00340641" w:rsidRDefault="00340641">
      <w:r>
        <w:continuationSeparator/>
      </w:r>
    </w:p>
  </w:footnote>
  <w:footnote w:type="continuationNotice" w:id="1">
    <w:p w14:paraId="4AEA27F5" w14:textId="77777777" w:rsidR="00340641" w:rsidRDefault="003406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067E5"/>
    <w:multiLevelType w:val="hybridMultilevel"/>
    <w:tmpl w:val="2CA659B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A42402"/>
    <w:multiLevelType w:val="hybridMultilevel"/>
    <w:tmpl w:val="F21A5A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45051"/>
    <w:multiLevelType w:val="multilevel"/>
    <w:tmpl w:val="EC4A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D15B7F"/>
    <w:multiLevelType w:val="hybridMultilevel"/>
    <w:tmpl w:val="2FC64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2B59381F"/>
    <w:multiLevelType w:val="hybridMultilevel"/>
    <w:tmpl w:val="7C0AE766"/>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2B8126C7"/>
    <w:multiLevelType w:val="hybridMultilevel"/>
    <w:tmpl w:val="4BCC68DC"/>
    <w:lvl w:ilvl="0" w:tplc="AB160C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FDA700E"/>
    <w:multiLevelType w:val="hybridMultilevel"/>
    <w:tmpl w:val="D69A568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6D67010"/>
    <w:multiLevelType w:val="hybridMultilevel"/>
    <w:tmpl w:val="E91A3AFE"/>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9A0761D"/>
    <w:multiLevelType w:val="hybridMultilevel"/>
    <w:tmpl w:val="F6A243AA"/>
    <w:lvl w:ilvl="0" w:tplc="238E4E7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E0120B"/>
    <w:multiLevelType w:val="hybridMultilevel"/>
    <w:tmpl w:val="A30EE59C"/>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B2A1AA5"/>
    <w:multiLevelType w:val="hybridMultilevel"/>
    <w:tmpl w:val="E9C4B5CE"/>
    <w:lvl w:ilvl="0" w:tplc="04090001">
      <w:start w:val="1"/>
      <w:numFmt w:val="bullet"/>
      <w:lvlText w:val=""/>
      <w:lvlJc w:val="left"/>
      <w:pPr>
        <w:ind w:left="420" w:hanging="420"/>
      </w:pPr>
      <w:rPr>
        <w:rFonts w:ascii="Wingdings" w:hAnsi="Wingdings" w:hint="default"/>
      </w:rPr>
    </w:lvl>
    <w:lvl w:ilvl="1" w:tplc="5C5A6AC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7A6035"/>
    <w:multiLevelType w:val="multilevel"/>
    <w:tmpl w:val="2C0C53A2"/>
    <w:lvl w:ilvl="0">
      <w:start w:val="1"/>
      <w:numFmt w:val="bullet"/>
      <w:lvlText w:val=""/>
      <w:lvlJc w:val="left"/>
      <w:pPr>
        <w:tabs>
          <w:tab w:val="num" w:pos="824"/>
        </w:tabs>
        <w:ind w:left="824" w:hanging="360"/>
      </w:pPr>
      <w:rPr>
        <w:rFonts w:ascii="Symbol" w:hAnsi="Symbol" w:hint="default"/>
        <w:sz w:val="20"/>
      </w:rPr>
    </w:lvl>
    <w:lvl w:ilvl="1">
      <w:start w:val="1"/>
      <w:numFmt w:val="bullet"/>
      <w:lvlText w:val=""/>
      <w:lvlJc w:val="left"/>
      <w:pPr>
        <w:tabs>
          <w:tab w:val="num" w:pos="1544"/>
        </w:tabs>
        <w:ind w:left="1544" w:hanging="360"/>
      </w:pPr>
      <w:rPr>
        <w:rFonts w:ascii="Symbol" w:hAnsi="Symbol" w:hint="default"/>
        <w:sz w:val="20"/>
      </w:rPr>
    </w:lvl>
    <w:lvl w:ilvl="2">
      <w:start w:val="1"/>
      <w:numFmt w:val="bullet"/>
      <w:lvlText w:val=""/>
      <w:lvlJc w:val="left"/>
      <w:pPr>
        <w:tabs>
          <w:tab w:val="num" w:pos="2264"/>
        </w:tabs>
        <w:ind w:left="2264" w:hanging="360"/>
      </w:pPr>
      <w:rPr>
        <w:rFonts w:ascii="Symbol" w:hAnsi="Symbol" w:hint="default"/>
        <w:sz w:val="20"/>
      </w:rPr>
    </w:lvl>
    <w:lvl w:ilvl="3">
      <w:start w:val="1"/>
      <w:numFmt w:val="bullet"/>
      <w:lvlText w:val=""/>
      <w:lvlJc w:val="left"/>
      <w:pPr>
        <w:tabs>
          <w:tab w:val="num" w:pos="2984"/>
        </w:tabs>
        <w:ind w:left="2984" w:hanging="360"/>
      </w:pPr>
      <w:rPr>
        <w:rFonts w:ascii="Symbol" w:hAnsi="Symbol" w:hint="default"/>
        <w:sz w:val="20"/>
      </w:rPr>
    </w:lvl>
    <w:lvl w:ilvl="4">
      <w:start w:val="1"/>
      <w:numFmt w:val="bullet"/>
      <w:lvlText w:val=""/>
      <w:lvlJc w:val="left"/>
      <w:pPr>
        <w:tabs>
          <w:tab w:val="num" w:pos="3704"/>
        </w:tabs>
        <w:ind w:left="3704" w:hanging="360"/>
      </w:pPr>
      <w:rPr>
        <w:rFonts w:ascii="Symbol" w:hAnsi="Symbol" w:hint="default"/>
        <w:sz w:val="20"/>
      </w:rPr>
    </w:lvl>
    <w:lvl w:ilvl="5">
      <w:start w:val="1"/>
      <w:numFmt w:val="bullet"/>
      <w:lvlText w:val=""/>
      <w:lvlJc w:val="left"/>
      <w:pPr>
        <w:tabs>
          <w:tab w:val="num" w:pos="4424"/>
        </w:tabs>
        <w:ind w:left="4424" w:hanging="360"/>
      </w:pPr>
      <w:rPr>
        <w:rFonts w:ascii="Symbol" w:hAnsi="Symbol" w:hint="default"/>
        <w:sz w:val="20"/>
      </w:rPr>
    </w:lvl>
    <w:lvl w:ilvl="6">
      <w:start w:val="1"/>
      <w:numFmt w:val="bullet"/>
      <w:lvlText w:val=""/>
      <w:lvlJc w:val="left"/>
      <w:pPr>
        <w:tabs>
          <w:tab w:val="num" w:pos="5144"/>
        </w:tabs>
        <w:ind w:left="5144" w:hanging="360"/>
      </w:pPr>
      <w:rPr>
        <w:rFonts w:ascii="Symbol" w:hAnsi="Symbol" w:hint="default"/>
        <w:sz w:val="20"/>
      </w:rPr>
    </w:lvl>
    <w:lvl w:ilvl="7">
      <w:start w:val="1"/>
      <w:numFmt w:val="bullet"/>
      <w:lvlText w:val=""/>
      <w:lvlJc w:val="left"/>
      <w:pPr>
        <w:tabs>
          <w:tab w:val="num" w:pos="5864"/>
        </w:tabs>
        <w:ind w:left="5864" w:hanging="360"/>
      </w:pPr>
      <w:rPr>
        <w:rFonts w:ascii="Symbol" w:hAnsi="Symbol" w:hint="default"/>
        <w:sz w:val="20"/>
      </w:rPr>
    </w:lvl>
    <w:lvl w:ilvl="8">
      <w:start w:val="1"/>
      <w:numFmt w:val="bullet"/>
      <w:lvlText w:val=""/>
      <w:lvlJc w:val="left"/>
      <w:pPr>
        <w:tabs>
          <w:tab w:val="num" w:pos="6584"/>
        </w:tabs>
        <w:ind w:left="6584" w:hanging="360"/>
      </w:pPr>
      <w:rPr>
        <w:rFonts w:ascii="Symbol" w:hAnsi="Symbol" w:hint="default"/>
        <w:sz w:val="20"/>
      </w:rPr>
    </w:lvl>
  </w:abstractNum>
  <w:abstractNum w:abstractNumId="33" w15:restartNumberingAfterBreak="0">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1383FC9"/>
    <w:multiLevelType w:val="hybridMultilevel"/>
    <w:tmpl w:val="6F92AABC"/>
    <w:lvl w:ilvl="0" w:tplc="04090001">
      <w:start w:val="1"/>
      <w:numFmt w:val="bullet"/>
      <w:lvlText w:val=""/>
      <w:lvlJc w:val="left"/>
      <w:pPr>
        <w:ind w:left="420" w:hanging="420"/>
      </w:pPr>
      <w:rPr>
        <w:rFonts w:ascii="Wingdings" w:hAnsi="Wingdings" w:hint="default"/>
      </w:rPr>
    </w:lvl>
    <w:lvl w:ilvl="1" w:tplc="5C5A6AC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38B6ECB"/>
    <w:multiLevelType w:val="hybridMultilevel"/>
    <w:tmpl w:val="AECA16FA"/>
    <w:lvl w:ilvl="0" w:tplc="84481C86">
      <w:start w:val="4"/>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60E3CD9"/>
    <w:multiLevelType w:val="hybridMultilevel"/>
    <w:tmpl w:val="475046B6"/>
    <w:lvl w:ilvl="0" w:tplc="238E4E76">
      <w:start w:val="1"/>
      <w:numFmt w:val="bullet"/>
      <w:lvlText w:val=""/>
      <w:lvlJc w:val="left"/>
      <w:pPr>
        <w:ind w:left="360" w:hanging="36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8"/>
  </w:num>
  <w:num w:numId="2">
    <w:abstractNumId w:val="40"/>
  </w:num>
  <w:num w:numId="3">
    <w:abstractNumId w:val="25"/>
  </w:num>
  <w:num w:numId="4">
    <w:abstractNumId w:val="34"/>
  </w:num>
  <w:num w:numId="5">
    <w:abstractNumId w:val="27"/>
  </w:num>
  <w:num w:numId="6">
    <w:abstractNumId w:val="28"/>
  </w:num>
  <w:num w:numId="7">
    <w:abstractNumId w:val="26"/>
  </w:num>
  <w:num w:numId="8">
    <w:abstractNumId w:val="39"/>
  </w:num>
  <w:num w:numId="9">
    <w:abstractNumId w:val="31"/>
  </w:num>
  <w:num w:numId="10">
    <w:abstractNumId w:val="13"/>
  </w:num>
  <w:num w:numId="11">
    <w:abstractNumId w:val="24"/>
  </w:num>
  <w:num w:numId="12">
    <w:abstractNumId w:val="7"/>
  </w:num>
  <w:num w:numId="13">
    <w:abstractNumId w:val="10"/>
  </w:num>
  <w:num w:numId="14">
    <w:abstractNumId w:val="11"/>
  </w:num>
  <w:num w:numId="15">
    <w:abstractNumId w:val="14"/>
  </w:num>
  <w:num w:numId="16">
    <w:abstractNumId w:val="23"/>
  </w:num>
  <w:num w:numId="17">
    <w:abstractNumId w:val="5"/>
  </w:num>
  <w:num w:numId="18">
    <w:abstractNumId w:val="9"/>
  </w:num>
  <w:num w:numId="19">
    <w:abstractNumId w:val="30"/>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1"/>
  </w:num>
  <w:num w:numId="22">
    <w:abstractNumId w:val="4"/>
  </w:num>
  <w:num w:numId="23">
    <w:abstractNumId w:val="12"/>
  </w:num>
  <w:num w:numId="24">
    <w:abstractNumId w:val="21"/>
  </w:num>
  <w:num w:numId="25">
    <w:abstractNumId w:val="17"/>
  </w:num>
  <w:num w:numId="26">
    <w:abstractNumId w:val="36"/>
  </w:num>
  <w:num w:numId="27">
    <w:abstractNumId w:val="15"/>
  </w:num>
  <w:num w:numId="28">
    <w:abstractNumId w:val="32"/>
  </w:num>
  <w:num w:numId="29">
    <w:abstractNumId w:val="36"/>
  </w:num>
  <w:num w:numId="30">
    <w:abstractNumId w:val="1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5"/>
  </w:num>
  <w:num w:numId="34">
    <w:abstractNumId w:val="29"/>
  </w:num>
  <w:num w:numId="35">
    <w:abstractNumId w:val="22"/>
  </w:num>
  <w:num w:numId="36">
    <w:abstractNumId w:val="19"/>
  </w:num>
  <w:num w:numId="37">
    <w:abstractNumId w:val="16"/>
  </w:num>
  <w:num w:numId="38">
    <w:abstractNumId w:val="37"/>
  </w:num>
  <w:num w:numId="39">
    <w:abstractNumId w:val="18"/>
  </w:num>
  <w:num w:numId="40">
    <w:abstractNumId w:val="20"/>
  </w:num>
  <w:num w:numId="41">
    <w:abstractNumId w:val="3"/>
  </w:num>
  <w:num w:numId="42">
    <w:abstractNumId w:val="2"/>
  </w:num>
  <w:num w:numId="43">
    <w:abstractNumId w:val="6"/>
  </w:num>
  <w:num w:numId="44">
    <w:abstractNumId w:val="33"/>
  </w:num>
  <w:num w:numId="4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5CE4"/>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AAC"/>
    <w:rsid w:val="00065C71"/>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30E"/>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1D0B"/>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5DC"/>
    <w:rsid w:val="000D6E27"/>
    <w:rsid w:val="000D7A9E"/>
    <w:rsid w:val="000D7B5E"/>
    <w:rsid w:val="000E00E0"/>
    <w:rsid w:val="000E06B2"/>
    <w:rsid w:val="000E0F9C"/>
    <w:rsid w:val="000E18D6"/>
    <w:rsid w:val="000E2401"/>
    <w:rsid w:val="000E27E4"/>
    <w:rsid w:val="000E2A29"/>
    <w:rsid w:val="000E3220"/>
    <w:rsid w:val="000E33DF"/>
    <w:rsid w:val="000E4C04"/>
    <w:rsid w:val="000E51E3"/>
    <w:rsid w:val="000E58AD"/>
    <w:rsid w:val="000E5A9A"/>
    <w:rsid w:val="000E5D88"/>
    <w:rsid w:val="000E6138"/>
    <w:rsid w:val="000E6C1F"/>
    <w:rsid w:val="000E7A54"/>
    <w:rsid w:val="000E7C2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753"/>
    <w:rsid w:val="00110D5F"/>
    <w:rsid w:val="00111ECE"/>
    <w:rsid w:val="00112442"/>
    <w:rsid w:val="00113736"/>
    <w:rsid w:val="00113D82"/>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81"/>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0FC"/>
    <w:rsid w:val="00135362"/>
    <w:rsid w:val="00135BC5"/>
    <w:rsid w:val="00135BF0"/>
    <w:rsid w:val="00135BF6"/>
    <w:rsid w:val="00135EBE"/>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753D"/>
    <w:rsid w:val="0019773E"/>
    <w:rsid w:val="00197E18"/>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789"/>
    <w:rsid w:val="001C5A08"/>
    <w:rsid w:val="001C5CA7"/>
    <w:rsid w:val="001D03A0"/>
    <w:rsid w:val="001D0C92"/>
    <w:rsid w:val="001D0EC7"/>
    <w:rsid w:val="001D0F86"/>
    <w:rsid w:val="001D1CBC"/>
    <w:rsid w:val="001D1FE4"/>
    <w:rsid w:val="001D2E8A"/>
    <w:rsid w:val="001D2F73"/>
    <w:rsid w:val="001D324D"/>
    <w:rsid w:val="001D324F"/>
    <w:rsid w:val="001D3366"/>
    <w:rsid w:val="001D3C5F"/>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3B20"/>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242"/>
    <w:rsid w:val="00210E5F"/>
    <w:rsid w:val="00210FF7"/>
    <w:rsid w:val="00212D25"/>
    <w:rsid w:val="00213CA5"/>
    <w:rsid w:val="002146DA"/>
    <w:rsid w:val="00214A85"/>
    <w:rsid w:val="00214EAF"/>
    <w:rsid w:val="00215A3B"/>
    <w:rsid w:val="00215A70"/>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4929"/>
    <w:rsid w:val="002252B4"/>
    <w:rsid w:val="0022667B"/>
    <w:rsid w:val="00226787"/>
    <w:rsid w:val="00226D0C"/>
    <w:rsid w:val="00227035"/>
    <w:rsid w:val="00230070"/>
    <w:rsid w:val="0023094B"/>
    <w:rsid w:val="00230F0D"/>
    <w:rsid w:val="00231AF0"/>
    <w:rsid w:val="00233541"/>
    <w:rsid w:val="00234680"/>
    <w:rsid w:val="00234712"/>
    <w:rsid w:val="0023482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7531"/>
    <w:rsid w:val="002676D3"/>
    <w:rsid w:val="00267727"/>
    <w:rsid w:val="00271379"/>
    <w:rsid w:val="00271426"/>
    <w:rsid w:val="00271702"/>
    <w:rsid w:val="00271739"/>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361"/>
    <w:rsid w:val="00284A27"/>
    <w:rsid w:val="00284E44"/>
    <w:rsid w:val="0028530E"/>
    <w:rsid w:val="002873DF"/>
    <w:rsid w:val="002877FB"/>
    <w:rsid w:val="00287A5A"/>
    <w:rsid w:val="00287B8D"/>
    <w:rsid w:val="00290836"/>
    <w:rsid w:val="00290AB9"/>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5D0"/>
    <w:rsid w:val="002A26CD"/>
    <w:rsid w:val="002A2815"/>
    <w:rsid w:val="002A464B"/>
    <w:rsid w:val="002A4839"/>
    <w:rsid w:val="002A4AB2"/>
    <w:rsid w:val="002A4EEB"/>
    <w:rsid w:val="002A512D"/>
    <w:rsid w:val="002A5188"/>
    <w:rsid w:val="002A5D13"/>
    <w:rsid w:val="002A5E54"/>
    <w:rsid w:val="002A7058"/>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6451"/>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3DAF"/>
    <w:rsid w:val="00303FA7"/>
    <w:rsid w:val="003045FC"/>
    <w:rsid w:val="003046F4"/>
    <w:rsid w:val="00304C1C"/>
    <w:rsid w:val="00304E10"/>
    <w:rsid w:val="0030520F"/>
    <w:rsid w:val="0030530B"/>
    <w:rsid w:val="0030540E"/>
    <w:rsid w:val="0030632C"/>
    <w:rsid w:val="00306E56"/>
    <w:rsid w:val="00306EFD"/>
    <w:rsid w:val="00307589"/>
    <w:rsid w:val="00310B73"/>
    <w:rsid w:val="003111FF"/>
    <w:rsid w:val="003113FD"/>
    <w:rsid w:val="00311DB9"/>
    <w:rsid w:val="00312700"/>
    <w:rsid w:val="00312AAE"/>
    <w:rsid w:val="00312FB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75D4"/>
    <w:rsid w:val="003275E4"/>
    <w:rsid w:val="00327AF9"/>
    <w:rsid w:val="00327C7C"/>
    <w:rsid w:val="00327D75"/>
    <w:rsid w:val="00327FA7"/>
    <w:rsid w:val="003301CE"/>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2DE"/>
    <w:rsid w:val="00335411"/>
    <w:rsid w:val="003355AE"/>
    <w:rsid w:val="003360CF"/>
    <w:rsid w:val="00336266"/>
    <w:rsid w:val="00336B9A"/>
    <w:rsid w:val="00336C59"/>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FC4"/>
    <w:rsid w:val="00346B73"/>
    <w:rsid w:val="003472E6"/>
    <w:rsid w:val="00347B0D"/>
    <w:rsid w:val="00347F6B"/>
    <w:rsid w:val="00347FC8"/>
    <w:rsid w:val="00350411"/>
    <w:rsid w:val="00350CD1"/>
    <w:rsid w:val="00351943"/>
    <w:rsid w:val="00351FCB"/>
    <w:rsid w:val="00352260"/>
    <w:rsid w:val="00352955"/>
    <w:rsid w:val="00353594"/>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03A4"/>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711"/>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1DF"/>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3F67"/>
    <w:rsid w:val="0052403A"/>
    <w:rsid w:val="0052420A"/>
    <w:rsid w:val="00524C8B"/>
    <w:rsid w:val="00525047"/>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2AAD"/>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B10"/>
    <w:rsid w:val="005A4D68"/>
    <w:rsid w:val="005A5298"/>
    <w:rsid w:val="005A5447"/>
    <w:rsid w:val="005A5538"/>
    <w:rsid w:val="005A55B0"/>
    <w:rsid w:val="005A66D2"/>
    <w:rsid w:val="005B00F3"/>
    <w:rsid w:val="005B0309"/>
    <w:rsid w:val="005B0661"/>
    <w:rsid w:val="005B0784"/>
    <w:rsid w:val="005B11FB"/>
    <w:rsid w:val="005B15A7"/>
    <w:rsid w:val="005B185F"/>
    <w:rsid w:val="005B1BE5"/>
    <w:rsid w:val="005B2B21"/>
    <w:rsid w:val="005B3426"/>
    <w:rsid w:val="005B419F"/>
    <w:rsid w:val="005B43F8"/>
    <w:rsid w:val="005B52B7"/>
    <w:rsid w:val="005B6FF8"/>
    <w:rsid w:val="005B7553"/>
    <w:rsid w:val="005C001B"/>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4FF7"/>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D5C"/>
    <w:rsid w:val="00660FC1"/>
    <w:rsid w:val="006614AA"/>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64F"/>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1788"/>
    <w:rsid w:val="006A2067"/>
    <w:rsid w:val="006A28CF"/>
    <w:rsid w:val="006A28FE"/>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6080"/>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3DFE"/>
    <w:rsid w:val="00704A28"/>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791"/>
    <w:rsid w:val="00747F73"/>
    <w:rsid w:val="00750027"/>
    <w:rsid w:val="0075071B"/>
    <w:rsid w:val="00750A88"/>
    <w:rsid w:val="00751A4A"/>
    <w:rsid w:val="00751DF9"/>
    <w:rsid w:val="00751E9C"/>
    <w:rsid w:val="00752036"/>
    <w:rsid w:val="007522C3"/>
    <w:rsid w:val="00752E17"/>
    <w:rsid w:val="0075337B"/>
    <w:rsid w:val="00753384"/>
    <w:rsid w:val="007534C0"/>
    <w:rsid w:val="0075379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101"/>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BCE"/>
    <w:rsid w:val="00783DAC"/>
    <w:rsid w:val="00784194"/>
    <w:rsid w:val="00785B41"/>
    <w:rsid w:val="00785DCA"/>
    <w:rsid w:val="00785E93"/>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1FD8"/>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D7"/>
    <w:rsid w:val="00880BF6"/>
    <w:rsid w:val="00880D71"/>
    <w:rsid w:val="00880DA5"/>
    <w:rsid w:val="00880F2F"/>
    <w:rsid w:val="008810C0"/>
    <w:rsid w:val="0088135B"/>
    <w:rsid w:val="00881460"/>
    <w:rsid w:val="00881683"/>
    <w:rsid w:val="0088199F"/>
    <w:rsid w:val="00881DC2"/>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1EA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709"/>
    <w:rsid w:val="008C2D34"/>
    <w:rsid w:val="008C310B"/>
    <w:rsid w:val="008C413A"/>
    <w:rsid w:val="008C42F0"/>
    <w:rsid w:val="008C42F7"/>
    <w:rsid w:val="008C434D"/>
    <w:rsid w:val="008C5CB4"/>
    <w:rsid w:val="008C649F"/>
    <w:rsid w:val="008C6BA3"/>
    <w:rsid w:val="008C72F4"/>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4E50"/>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5816"/>
    <w:rsid w:val="009859E1"/>
    <w:rsid w:val="00986285"/>
    <w:rsid w:val="009866D7"/>
    <w:rsid w:val="009866EC"/>
    <w:rsid w:val="00986FDD"/>
    <w:rsid w:val="00987418"/>
    <w:rsid w:val="00987460"/>
    <w:rsid w:val="0098757B"/>
    <w:rsid w:val="009875CE"/>
    <w:rsid w:val="00987604"/>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2D68"/>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4E3F"/>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40E9"/>
    <w:rsid w:val="00A24445"/>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A9C"/>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D3C"/>
    <w:rsid w:val="00A53F59"/>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4D2"/>
    <w:rsid w:val="00A7061F"/>
    <w:rsid w:val="00A70794"/>
    <w:rsid w:val="00A70DF9"/>
    <w:rsid w:val="00A71144"/>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4C0"/>
    <w:rsid w:val="00A815AC"/>
    <w:rsid w:val="00A81773"/>
    <w:rsid w:val="00A81C3B"/>
    <w:rsid w:val="00A82395"/>
    <w:rsid w:val="00A82816"/>
    <w:rsid w:val="00A82DDA"/>
    <w:rsid w:val="00A8341D"/>
    <w:rsid w:val="00A83CCC"/>
    <w:rsid w:val="00A83D34"/>
    <w:rsid w:val="00A83F0F"/>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4C17"/>
    <w:rsid w:val="00A94C50"/>
    <w:rsid w:val="00A94F14"/>
    <w:rsid w:val="00A94FAA"/>
    <w:rsid w:val="00A9500C"/>
    <w:rsid w:val="00A952B3"/>
    <w:rsid w:val="00A95B2E"/>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22E"/>
    <w:rsid w:val="00B25489"/>
    <w:rsid w:val="00B25910"/>
    <w:rsid w:val="00B2629F"/>
    <w:rsid w:val="00B26A3F"/>
    <w:rsid w:val="00B26EA5"/>
    <w:rsid w:val="00B2738A"/>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6F2"/>
    <w:rsid w:val="00B439D4"/>
    <w:rsid w:val="00B45822"/>
    <w:rsid w:val="00B4589A"/>
    <w:rsid w:val="00B460A7"/>
    <w:rsid w:val="00B462B3"/>
    <w:rsid w:val="00B4671A"/>
    <w:rsid w:val="00B46D0E"/>
    <w:rsid w:val="00B47369"/>
    <w:rsid w:val="00B47380"/>
    <w:rsid w:val="00B474A0"/>
    <w:rsid w:val="00B47B30"/>
    <w:rsid w:val="00B47D4A"/>
    <w:rsid w:val="00B47FF3"/>
    <w:rsid w:val="00B50311"/>
    <w:rsid w:val="00B504D5"/>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6BA"/>
    <w:rsid w:val="00B76D2A"/>
    <w:rsid w:val="00B77214"/>
    <w:rsid w:val="00B77324"/>
    <w:rsid w:val="00B77775"/>
    <w:rsid w:val="00B800F0"/>
    <w:rsid w:val="00B8017B"/>
    <w:rsid w:val="00B80994"/>
    <w:rsid w:val="00B81254"/>
    <w:rsid w:val="00B8129C"/>
    <w:rsid w:val="00B82E76"/>
    <w:rsid w:val="00B8383B"/>
    <w:rsid w:val="00B84582"/>
    <w:rsid w:val="00B8485A"/>
    <w:rsid w:val="00B85077"/>
    <w:rsid w:val="00B851B5"/>
    <w:rsid w:val="00B8525D"/>
    <w:rsid w:val="00B85330"/>
    <w:rsid w:val="00B86C88"/>
    <w:rsid w:val="00B909F5"/>
    <w:rsid w:val="00B90E94"/>
    <w:rsid w:val="00B91176"/>
    <w:rsid w:val="00B91C1B"/>
    <w:rsid w:val="00B92176"/>
    <w:rsid w:val="00B928C6"/>
    <w:rsid w:val="00B93632"/>
    <w:rsid w:val="00B9390B"/>
    <w:rsid w:val="00B94009"/>
    <w:rsid w:val="00B940F0"/>
    <w:rsid w:val="00B94E42"/>
    <w:rsid w:val="00B95112"/>
    <w:rsid w:val="00B95E30"/>
    <w:rsid w:val="00B95EC7"/>
    <w:rsid w:val="00B96099"/>
    <w:rsid w:val="00B964E1"/>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8CC"/>
    <w:rsid w:val="00BF0C6D"/>
    <w:rsid w:val="00BF1670"/>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3E0"/>
    <w:rsid w:val="00C43982"/>
    <w:rsid w:val="00C4416F"/>
    <w:rsid w:val="00C46E37"/>
    <w:rsid w:val="00C474DE"/>
    <w:rsid w:val="00C477BC"/>
    <w:rsid w:val="00C47DAE"/>
    <w:rsid w:val="00C50630"/>
    <w:rsid w:val="00C5074D"/>
    <w:rsid w:val="00C515DE"/>
    <w:rsid w:val="00C5194F"/>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702F"/>
    <w:rsid w:val="00C57492"/>
    <w:rsid w:val="00C57939"/>
    <w:rsid w:val="00C57D30"/>
    <w:rsid w:val="00C6067F"/>
    <w:rsid w:val="00C606C4"/>
    <w:rsid w:val="00C61087"/>
    <w:rsid w:val="00C62346"/>
    <w:rsid w:val="00C627FE"/>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5E00"/>
    <w:rsid w:val="00C866A6"/>
    <w:rsid w:val="00C86901"/>
    <w:rsid w:val="00C86C0C"/>
    <w:rsid w:val="00C87276"/>
    <w:rsid w:val="00C872E9"/>
    <w:rsid w:val="00C87775"/>
    <w:rsid w:val="00C87AB3"/>
    <w:rsid w:val="00C87B36"/>
    <w:rsid w:val="00C907E8"/>
    <w:rsid w:val="00C90D4F"/>
    <w:rsid w:val="00C911FA"/>
    <w:rsid w:val="00C91A9A"/>
    <w:rsid w:val="00C92595"/>
    <w:rsid w:val="00C92728"/>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F79"/>
    <w:rsid w:val="00CD535C"/>
    <w:rsid w:val="00CD5EDC"/>
    <w:rsid w:val="00CD6191"/>
    <w:rsid w:val="00CD7FFC"/>
    <w:rsid w:val="00CE00C9"/>
    <w:rsid w:val="00CE08D4"/>
    <w:rsid w:val="00CE1541"/>
    <w:rsid w:val="00CE166E"/>
    <w:rsid w:val="00CE1685"/>
    <w:rsid w:val="00CE1752"/>
    <w:rsid w:val="00CE197D"/>
    <w:rsid w:val="00CE19EE"/>
    <w:rsid w:val="00CE1AC5"/>
    <w:rsid w:val="00CE26D4"/>
    <w:rsid w:val="00CE28A6"/>
    <w:rsid w:val="00CE3025"/>
    <w:rsid w:val="00CE312A"/>
    <w:rsid w:val="00CE3932"/>
    <w:rsid w:val="00CE39B8"/>
    <w:rsid w:val="00CE3C28"/>
    <w:rsid w:val="00CE3F87"/>
    <w:rsid w:val="00CE4A3C"/>
    <w:rsid w:val="00CE5354"/>
    <w:rsid w:val="00CE5A0D"/>
    <w:rsid w:val="00CE5A2F"/>
    <w:rsid w:val="00CE608E"/>
    <w:rsid w:val="00CE6EAD"/>
    <w:rsid w:val="00CE734F"/>
    <w:rsid w:val="00CE7778"/>
    <w:rsid w:val="00CE7BDC"/>
    <w:rsid w:val="00CE7F3D"/>
    <w:rsid w:val="00CF0266"/>
    <w:rsid w:val="00CF1EC5"/>
    <w:rsid w:val="00CF2D93"/>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10A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2FA1"/>
    <w:rsid w:val="00D4304B"/>
    <w:rsid w:val="00D43E74"/>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59C"/>
    <w:rsid w:val="00D56D27"/>
    <w:rsid w:val="00D5725B"/>
    <w:rsid w:val="00D5785C"/>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A83"/>
    <w:rsid w:val="00D72C82"/>
    <w:rsid w:val="00D7300D"/>
    <w:rsid w:val="00D73F82"/>
    <w:rsid w:val="00D75C5E"/>
    <w:rsid w:val="00D760A3"/>
    <w:rsid w:val="00D7630A"/>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63F0"/>
    <w:rsid w:val="00D864F8"/>
    <w:rsid w:val="00D86888"/>
    <w:rsid w:val="00D87E29"/>
    <w:rsid w:val="00D9094B"/>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0BF"/>
    <w:rsid w:val="00DA7193"/>
    <w:rsid w:val="00DA7DC6"/>
    <w:rsid w:val="00DB02BA"/>
    <w:rsid w:val="00DB1C8E"/>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5363"/>
    <w:rsid w:val="00DD536E"/>
    <w:rsid w:val="00DD6510"/>
    <w:rsid w:val="00DD6CFA"/>
    <w:rsid w:val="00DD74A3"/>
    <w:rsid w:val="00DD7D8B"/>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4A8"/>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662"/>
    <w:rsid w:val="00E719E3"/>
    <w:rsid w:val="00E72C2B"/>
    <w:rsid w:val="00E7317A"/>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0D8"/>
    <w:rsid w:val="00E84758"/>
    <w:rsid w:val="00E8488A"/>
    <w:rsid w:val="00E84906"/>
    <w:rsid w:val="00E85277"/>
    <w:rsid w:val="00E85BCD"/>
    <w:rsid w:val="00E860A1"/>
    <w:rsid w:val="00E86DD2"/>
    <w:rsid w:val="00E8703B"/>
    <w:rsid w:val="00E87352"/>
    <w:rsid w:val="00E87850"/>
    <w:rsid w:val="00E8799F"/>
    <w:rsid w:val="00E90B36"/>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AD6"/>
    <w:rsid w:val="00ED6D9E"/>
    <w:rsid w:val="00ED7646"/>
    <w:rsid w:val="00ED7953"/>
    <w:rsid w:val="00ED7F11"/>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37"/>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7E6"/>
    <w:rsid w:val="00F54A35"/>
    <w:rsid w:val="00F54C22"/>
    <w:rsid w:val="00F55808"/>
    <w:rsid w:val="00F55A45"/>
    <w:rsid w:val="00F564B0"/>
    <w:rsid w:val="00F567FE"/>
    <w:rsid w:val="00F568CD"/>
    <w:rsid w:val="00F56A7B"/>
    <w:rsid w:val="00F571F4"/>
    <w:rsid w:val="00F57580"/>
    <w:rsid w:val="00F57B23"/>
    <w:rsid w:val="00F602A8"/>
    <w:rsid w:val="00F6037C"/>
    <w:rsid w:val="00F60A89"/>
    <w:rsid w:val="00F60B8D"/>
    <w:rsid w:val="00F6113D"/>
    <w:rsid w:val="00F620A0"/>
    <w:rsid w:val="00F621F7"/>
    <w:rsid w:val="00F626CF"/>
    <w:rsid w:val="00F63014"/>
    <w:rsid w:val="00F631DC"/>
    <w:rsid w:val="00F63256"/>
    <w:rsid w:val="00F632D0"/>
    <w:rsid w:val="00F6421B"/>
    <w:rsid w:val="00F64548"/>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4F0"/>
    <w:rsid w:val="00F73533"/>
    <w:rsid w:val="00F73AF4"/>
    <w:rsid w:val="00F748CE"/>
    <w:rsid w:val="00F74C1E"/>
    <w:rsid w:val="00F75C00"/>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26"/>
    <w:rsid w:val="00F97530"/>
    <w:rsid w:val="00F97D83"/>
    <w:rsid w:val="00FA1251"/>
    <w:rsid w:val="00FA1539"/>
    <w:rsid w:val="00FA1542"/>
    <w:rsid w:val="00FA206C"/>
    <w:rsid w:val="00FA24FD"/>
    <w:rsid w:val="00FA2559"/>
    <w:rsid w:val="00FA2620"/>
    <w:rsid w:val="00FA2B38"/>
    <w:rsid w:val="00FA327B"/>
    <w:rsid w:val="00FA328F"/>
    <w:rsid w:val="00FA4000"/>
    <w:rsid w:val="00FA4287"/>
    <w:rsid w:val="00FA43EA"/>
    <w:rsid w:val="00FA44E6"/>
    <w:rsid w:val="00FA64B2"/>
    <w:rsid w:val="00FA64CB"/>
    <w:rsid w:val="00FA698A"/>
    <w:rsid w:val="00FA6F10"/>
    <w:rsid w:val="00FA7AC8"/>
    <w:rsid w:val="00FA7F1D"/>
    <w:rsid w:val="00FB0620"/>
    <w:rsid w:val="00FB073B"/>
    <w:rsid w:val="00FB0D1B"/>
    <w:rsid w:val="00FB1A23"/>
    <w:rsid w:val="00FB1FF8"/>
    <w:rsid w:val="00FB238D"/>
    <w:rsid w:val="00FB351A"/>
    <w:rsid w:val="00FB372D"/>
    <w:rsid w:val="00FB3DC0"/>
    <w:rsid w:val="00FB4077"/>
    <w:rsid w:val="00FB4311"/>
    <w:rsid w:val="00FB4D69"/>
    <w:rsid w:val="00FB52DF"/>
    <w:rsid w:val="00FB624F"/>
    <w:rsid w:val="00FB69F5"/>
    <w:rsid w:val="00FB6CA6"/>
    <w:rsid w:val="00FB757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B41C3-D130-4D45-B8B8-694C93CAE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1615</Words>
  <Characters>8260</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 06</cp:lastModifiedBy>
  <cp:revision>3</cp:revision>
  <cp:lastPrinted>2010-04-02T09:58:00Z</cp:lastPrinted>
  <dcterms:created xsi:type="dcterms:W3CDTF">2018-11-02T09:04:00Z</dcterms:created>
  <dcterms:modified xsi:type="dcterms:W3CDTF">2018-11-02T09:20:00Z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