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2121A08" w14:textId="3198276F"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A21AD4">
        <w:rPr>
          <w:rFonts w:cs="Arial"/>
          <w:bCs/>
          <w:sz w:val="20"/>
          <w:lang w:eastAsia="ja-JP"/>
        </w:rPr>
        <w:t>5</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1D4229" w:rsidRPr="001D4229">
        <w:rPr>
          <w:rFonts w:cs="Arial"/>
          <w:bCs/>
          <w:sz w:val="20"/>
          <w:lang w:eastAsia="ja-JP"/>
        </w:rPr>
        <w:t>R1-1813286</w:t>
      </w:r>
    </w:p>
    <w:p w14:paraId="1B7D766E" w14:textId="2C9796EA" w:rsidR="003B3942" w:rsidRPr="003B3942" w:rsidRDefault="00A21AD4" w:rsidP="003B3942">
      <w:pPr>
        <w:pStyle w:val="TdocHeader2"/>
        <w:jc w:val="left"/>
        <w:rPr>
          <w:rFonts w:eastAsia="SimSun"/>
          <w:lang w:val="en-US" w:eastAsia="zh-CN"/>
        </w:rPr>
      </w:pPr>
      <w:r w:rsidRPr="00A21AD4">
        <w:rPr>
          <w:rFonts w:eastAsia="ＭＳ 明朝" w:cs="Arial"/>
          <w:bCs/>
          <w:sz w:val="20"/>
          <w:lang w:val="en-US" w:eastAsia="ja-JP"/>
        </w:rPr>
        <w:t>Spokane, USA, November 12th – 16th,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0EE39A5"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51194">
        <w:rPr>
          <w:rFonts w:eastAsiaTheme="minorEastAsia"/>
          <w:b w:val="0"/>
          <w:sz w:val="20"/>
          <w:lang w:eastAsia="ja-JP"/>
        </w:rPr>
        <w:t>T</w:t>
      </w:r>
      <w:r w:rsidR="00951194" w:rsidRPr="00951194">
        <w:rPr>
          <w:rFonts w:eastAsiaTheme="minorEastAsia"/>
          <w:b w:val="0"/>
          <w:sz w:val="20"/>
          <w:lang w:eastAsia="ja-JP"/>
        </w:rPr>
        <w:t>he handling of TA in Synchronous MR-DC</w:t>
      </w:r>
    </w:p>
    <w:p w14:paraId="4F6A3FAC" w14:textId="58113522"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9E2871">
        <w:rPr>
          <w:rFonts w:ascii="Arial" w:eastAsia="SimSun" w:hAnsi="Arial"/>
          <w:lang w:eastAsia="zh-CN"/>
        </w:rPr>
        <w:t>4</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1D8DB723" w14:textId="4389F792" w:rsidR="00A21AD4" w:rsidRDefault="003659B5" w:rsidP="00F653F7">
      <w:pPr>
        <w:rPr>
          <w:rFonts w:eastAsia="SimSun" w:cs="Arial"/>
          <w:lang w:eastAsia="zh-CN"/>
        </w:rPr>
      </w:pPr>
      <w:r>
        <w:rPr>
          <w:rFonts w:eastAsia="SimSun" w:cs="Arial"/>
          <w:lang w:eastAsia="zh-CN"/>
        </w:rPr>
        <w:t xml:space="preserve">In </w:t>
      </w:r>
      <w:r w:rsidR="00A21AD4">
        <w:rPr>
          <w:rFonts w:eastAsia="SimSun" w:cs="Arial"/>
          <w:lang w:eastAsia="zh-CN"/>
        </w:rPr>
        <w:t xml:space="preserve">RAN1#94bis, RAN1 received the LS on </w:t>
      </w:r>
      <w:r w:rsidR="00A21AD4" w:rsidRPr="00A21AD4">
        <w:rPr>
          <w:rFonts w:eastAsia="SimSun" w:cs="Arial"/>
          <w:lang w:eastAsia="zh-CN"/>
        </w:rPr>
        <w:t>intra-band combination for NR CA and MR-DC</w:t>
      </w:r>
      <w:r w:rsidR="00A21AD4">
        <w:rPr>
          <w:rFonts w:eastAsia="SimSun" w:cs="Arial"/>
          <w:lang w:eastAsia="zh-CN"/>
        </w:rPr>
        <w:t xml:space="preserve"> [1]. Reply LS was agreed in RAN1 as [2]. In the reply LS, </w:t>
      </w:r>
      <w:r w:rsidR="002B6EE6">
        <w:rPr>
          <w:rFonts w:eastAsia="SimSun" w:cs="Arial"/>
          <w:lang w:eastAsia="zh-CN"/>
        </w:rPr>
        <w:t xml:space="preserve">following was concluded on the </w:t>
      </w:r>
      <w:r w:rsidR="00217380">
        <w:rPr>
          <w:rFonts w:eastAsia="SimSun" w:cs="Arial"/>
          <w:lang w:eastAsia="zh-CN"/>
        </w:rPr>
        <w:t>h</w:t>
      </w:r>
      <w:r w:rsidR="00A21AD4" w:rsidRPr="00A21AD4">
        <w:rPr>
          <w:rFonts w:eastAsia="SimSun" w:cs="Arial"/>
          <w:lang w:eastAsia="zh-CN"/>
        </w:rPr>
        <w:t>andling of TA in Synchronous MR-DC</w:t>
      </w:r>
      <w:r w:rsidR="00F41378">
        <w:rPr>
          <w:rFonts w:eastAsia="SimSun" w:cs="Arial"/>
          <w:lang w:eastAsia="zh-CN"/>
        </w:rPr>
        <w:t>.</w:t>
      </w:r>
    </w:p>
    <w:p w14:paraId="7974507E" w14:textId="3694D35A" w:rsidR="00A21AD4" w:rsidRDefault="00A21AD4" w:rsidP="00A21AD4">
      <w:pPr>
        <w:ind w:leftChars="200" w:left="400"/>
        <w:rPr>
          <w:rFonts w:eastAsia="SimSun" w:cs="Arial"/>
          <w:lang w:eastAsia="zh-CN"/>
        </w:rPr>
      </w:pPr>
      <w:r w:rsidRPr="00A21AD4">
        <w:rPr>
          <w:rFonts w:eastAsia="SimSun" w:cs="Arial"/>
          <w:lang w:eastAsia="zh-CN"/>
        </w:rPr>
        <w:t>For the second question, from a UE transmission perspective, the same timing (considering allowed tolerances) is necessary for both LTE and NR (except for RACH) for some RF architectures in synchronous intra-band MR-DC scenarios. RAN1 is currently discussing solutions that will achieve this functionality, including the aspect of “single UL timing adjustment across the two RATs or parallel UL timing adjustments in the two RATs”. RAN1 plans to provide further information once it is concluded.</w:t>
      </w:r>
    </w:p>
    <w:p w14:paraId="5E7E3DBA" w14:textId="1EEB87B7" w:rsidR="00253199" w:rsidRDefault="00217380" w:rsidP="00F653F7">
      <w:pPr>
        <w:rPr>
          <w:rFonts w:eastAsiaTheme="minorEastAsia" w:cs="Arial"/>
          <w:lang w:eastAsia="ja-JP"/>
        </w:rPr>
      </w:pPr>
      <w:r>
        <w:rPr>
          <w:rFonts w:eastAsiaTheme="minorEastAsia" w:cs="Arial" w:hint="eastAsia"/>
          <w:lang w:eastAsia="ja-JP"/>
        </w:rPr>
        <w:t xml:space="preserve">In RAN4, </w:t>
      </w:r>
      <w:r w:rsidR="00DD701C">
        <w:rPr>
          <w:rFonts w:eastAsiaTheme="minorEastAsia" w:cs="Arial"/>
          <w:lang w:eastAsia="ja-JP"/>
        </w:rPr>
        <w:t>following was concluded on the h</w:t>
      </w:r>
      <w:r w:rsidR="00DD701C" w:rsidRPr="00217380">
        <w:rPr>
          <w:rFonts w:eastAsiaTheme="minorEastAsia" w:cs="Arial"/>
          <w:lang w:eastAsia="ja-JP"/>
        </w:rPr>
        <w:t>andling of TA in Synchronous</w:t>
      </w:r>
      <w:r w:rsidR="00DD701C">
        <w:rPr>
          <w:rFonts w:eastAsiaTheme="minorEastAsia" w:cs="Arial"/>
          <w:lang w:eastAsia="ja-JP"/>
        </w:rPr>
        <w:t xml:space="preserve"> MR-DC</w:t>
      </w:r>
      <w:r>
        <w:rPr>
          <w:rFonts w:eastAsiaTheme="minorEastAsia" w:cs="Arial"/>
          <w:lang w:eastAsia="ja-JP"/>
        </w:rPr>
        <w:t xml:space="preserve"> [3].</w:t>
      </w:r>
    </w:p>
    <w:p w14:paraId="31B37930" w14:textId="70D1AEFA" w:rsidR="00217380" w:rsidRDefault="009059A8" w:rsidP="009059A8">
      <w:pPr>
        <w:ind w:leftChars="200" w:left="400"/>
        <w:rPr>
          <w:rFonts w:eastAsiaTheme="minorEastAsia" w:cs="Arial"/>
          <w:lang w:eastAsia="ja-JP"/>
        </w:rPr>
      </w:pPr>
      <w:r w:rsidRPr="009059A8">
        <w:rPr>
          <w:rFonts w:eastAsiaTheme="minorEastAsia" w:cs="Arial"/>
          <w:lang w:eastAsia="ja-JP"/>
        </w:rPr>
        <w:t>RAN4 has defined both synchronous and asynchronous operations for intra-band EN_DC combinations. For which are synchronous operation, this is where LTE and NR are time-aligned. The synchronous case corresponds to MRTD of 3 µs (maximum UE receive timing difference). Even in the co-located case with “identical” propagation paths, the CGs can have different radio paths/chains, which can motivate separate timing management on the two CGs. How synchronous MR-DC combinations should be supported from timing adjustment perspective is a RAN1 issue and it is unlikely that RAN4 will have a response.</w:t>
      </w:r>
    </w:p>
    <w:p w14:paraId="5070C122" w14:textId="4CC22BA1" w:rsidR="00217380" w:rsidRDefault="00217380" w:rsidP="00F653F7">
      <w:pPr>
        <w:rPr>
          <w:rFonts w:eastAsiaTheme="minorEastAsia" w:cs="Arial"/>
          <w:lang w:eastAsia="ja-JP"/>
        </w:rPr>
      </w:pPr>
      <w:r>
        <w:rPr>
          <w:rFonts w:eastAsiaTheme="minorEastAsia" w:cs="Arial"/>
          <w:lang w:eastAsia="ja-JP"/>
        </w:rPr>
        <w:t xml:space="preserve">This document discusses </w:t>
      </w:r>
      <w:r w:rsidR="0033519C">
        <w:rPr>
          <w:rFonts w:eastAsiaTheme="minorEastAsia" w:cs="Arial"/>
          <w:lang w:eastAsia="ja-JP"/>
        </w:rPr>
        <w:t xml:space="preserve">the </w:t>
      </w:r>
      <w:r>
        <w:rPr>
          <w:rFonts w:eastAsiaTheme="minorEastAsia" w:cs="Arial"/>
          <w:lang w:eastAsia="ja-JP"/>
        </w:rPr>
        <w:t>h</w:t>
      </w:r>
      <w:r w:rsidRPr="00217380">
        <w:rPr>
          <w:rFonts w:eastAsiaTheme="minorEastAsia" w:cs="Arial"/>
          <w:lang w:eastAsia="ja-JP"/>
        </w:rPr>
        <w:t>andling of TA in Synchronous MR-DC</w:t>
      </w:r>
      <w:r>
        <w:rPr>
          <w:rFonts w:eastAsiaTheme="minorEastAsia" w:cs="Arial"/>
          <w:lang w:eastAsia="ja-JP"/>
        </w:rPr>
        <w:t xml:space="preserve"> further</w:t>
      </w:r>
      <w:r w:rsidRPr="00217380">
        <w:rPr>
          <w:rFonts w:eastAsiaTheme="minorEastAsia" w:cs="Arial"/>
          <w:lang w:eastAsia="ja-JP"/>
        </w:rPr>
        <w:t xml:space="preserve">. </w:t>
      </w:r>
    </w:p>
    <w:p w14:paraId="3809D7EC" w14:textId="77777777" w:rsidR="00217380" w:rsidRPr="009034C9" w:rsidRDefault="00217380"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5FDA9420" w14:textId="5A5F71C1" w:rsidR="00CF1C82" w:rsidRPr="00BF3AA7" w:rsidRDefault="00480CB7" w:rsidP="00CF1C82">
      <w:pPr>
        <w:rPr>
          <w:b/>
          <w:u w:val="single"/>
          <w:lang w:eastAsia="ja-JP"/>
        </w:rPr>
      </w:pPr>
      <w:r>
        <w:rPr>
          <w:b/>
          <w:u w:val="single"/>
          <w:lang w:eastAsia="ja-JP"/>
        </w:rPr>
        <w:t>H</w:t>
      </w:r>
      <w:r w:rsidR="009059A8" w:rsidRPr="009059A8">
        <w:rPr>
          <w:b/>
          <w:u w:val="single"/>
          <w:lang w:eastAsia="ja-JP"/>
        </w:rPr>
        <w:t>andling of TA in Synchronous MR-DC</w:t>
      </w:r>
      <w:r w:rsidR="004D3CEE">
        <w:rPr>
          <w:b/>
          <w:u w:val="single"/>
          <w:lang w:eastAsia="ja-JP"/>
        </w:rPr>
        <w:t xml:space="preserve"> (other than RACH)</w:t>
      </w:r>
    </w:p>
    <w:p w14:paraId="66D7BAFD" w14:textId="65FEF603" w:rsidR="009A536F" w:rsidRDefault="00F41378" w:rsidP="00F27F3F">
      <w:pPr>
        <w:rPr>
          <w:lang w:eastAsia="ja-JP"/>
        </w:rPr>
      </w:pPr>
      <w:r>
        <w:rPr>
          <w:lang w:eastAsia="ja-JP"/>
        </w:rPr>
        <w:t xml:space="preserve">At first, we discuss the case other than PRACH. </w:t>
      </w:r>
      <w:r w:rsidR="009A536F">
        <w:rPr>
          <w:lang w:eastAsia="ja-JP"/>
        </w:rPr>
        <w:t>In order to have the same timing (with allowed tolerances), we identified</w:t>
      </w:r>
      <w:r w:rsidR="00DD701C">
        <w:rPr>
          <w:lang w:eastAsia="ja-JP"/>
        </w:rPr>
        <w:t xml:space="preserve"> following options</w:t>
      </w:r>
      <w:r w:rsidR="009A536F">
        <w:rPr>
          <w:lang w:eastAsia="ja-JP"/>
        </w:rPr>
        <w:t>.</w:t>
      </w:r>
    </w:p>
    <w:p w14:paraId="51B6BECD" w14:textId="6E9D6ED2" w:rsidR="009A536F" w:rsidRDefault="009A536F" w:rsidP="00F27F3F">
      <w:pPr>
        <w:rPr>
          <w:lang w:eastAsia="ja-JP"/>
        </w:rPr>
      </w:pPr>
      <w:r>
        <w:rPr>
          <w:lang w:eastAsia="ja-JP"/>
        </w:rPr>
        <w:t>Option 1:</w:t>
      </w:r>
      <w:r>
        <w:rPr>
          <w:lang w:eastAsia="ja-JP"/>
        </w:rPr>
        <w:tab/>
      </w:r>
      <w:r w:rsidRPr="009A536F">
        <w:rPr>
          <w:lang w:eastAsia="ja-JP"/>
        </w:rPr>
        <w:t>Separate TA handling with network limitation</w:t>
      </w:r>
    </w:p>
    <w:p w14:paraId="28B15CBC" w14:textId="103A251E" w:rsidR="009A536F" w:rsidRDefault="004D3CEE" w:rsidP="004D3CEE">
      <w:pPr>
        <w:ind w:leftChars="200" w:left="400"/>
        <w:rPr>
          <w:lang w:eastAsia="ja-JP"/>
        </w:rPr>
      </w:pPr>
      <w:r>
        <w:rPr>
          <w:rFonts w:hint="eastAsia"/>
          <w:lang w:eastAsia="ja-JP"/>
        </w:rPr>
        <w:t>In this option, the network has the responsibility that TA value</w:t>
      </w:r>
      <w:r>
        <w:rPr>
          <w:lang w:eastAsia="ja-JP"/>
        </w:rPr>
        <w:t>s</w:t>
      </w:r>
      <w:r>
        <w:rPr>
          <w:rFonts w:hint="eastAsia"/>
          <w:lang w:eastAsia="ja-JP"/>
        </w:rPr>
        <w:t xml:space="preserve"> indicated to UE. If the indicated values are beyond UE's allowed tolerances, UE behaviour is undefined.</w:t>
      </w:r>
    </w:p>
    <w:p w14:paraId="168F0B76" w14:textId="09427E56" w:rsidR="009A536F" w:rsidRDefault="009A536F" w:rsidP="00F27F3F">
      <w:pPr>
        <w:rPr>
          <w:lang w:eastAsia="ja-JP"/>
        </w:rPr>
      </w:pPr>
      <w:r>
        <w:rPr>
          <w:lang w:eastAsia="ja-JP"/>
        </w:rPr>
        <w:t>Option 2:</w:t>
      </w:r>
      <w:r>
        <w:rPr>
          <w:lang w:eastAsia="ja-JP"/>
        </w:rPr>
        <w:tab/>
      </w:r>
      <w:r w:rsidRPr="009A536F">
        <w:rPr>
          <w:lang w:eastAsia="ja-JP"/>
        </w:rPr>
        <w:t>Separate TA handling with UE limitation</w:t>
      </w:r>
    </w:p>
    <w:p w14:paraId="56F55EE4" w14:textId="2173AD11" w:rsidR="00FE29B0" w:rsidRDefault="004D3CEE" w:rsidP="004D3CEE">
      <w:pPr>
        <w:ind w:leftChars="200" w:left="400"/>
        <w:rPr>
          <w:lang w:eastAsia="ja-JP"/>
        </w:rPr>
      </w:pPr>
      <w:r>
        <w:rPr>
          <w:rFonts w:hint="eastAsia"/>
          <w:lang w:eastAsia="ja-JP"/>
        </w:rPr>
        <w:t>In this option, the network does not have the responsibility that TA value</w:t>
      </w:r>
      <w:r>
        <w:rPr>
          <w:lang w:eastAsia="ja-JP"/>
        </w:rPr>
        <w:t>s</w:t>
      </w:r>
      <w:r>
        <w:rPr>
          <w:rFonts w:hint="eastAsia"/>
          <w:lang w:eastAsia="ja-JP"/>
        </w:rPr>
        <w:t xml:space="preserve"> indicated to UE are within</w:t>
      </w:r>
      <w:r>
        <w:rPr>
          <w:lang w:eastAsia="ja-JP"/>
        </w:rPr>
        <w:t xml:space="preserve"> </w:t>
      </w:r>
      <w:r w:rsidRPr="004D3CEE">
        <w:rPr>
          <w:lang w:eastAsia="ja-JP"/>
        </w:rPr>
        <w:t>UE's allowed tolerances</w:t>
      </w:r>
      <w:r>
        <w:rPr>
          <w:rFonts w:hint="eastAsia"/>
          <w:lang w:eastAsia="ja-JP"/>
        </w:rPr>
        <w:t>.</w:t>
      </w:r>
      <w:r>
        <w:rPr>
          <w:lang w:eastAsia="ja-JP"/>
        </w:rPr>
        <w:t xml:space="preserve"> If the value is beyond the allowed tolerances, based on UE implementation specific algorithm, UE select certain TA values for </w:t>
      </w:r>
      <w:r w:rsidR="00DD701C">
        <w:rPr>
          <w:lang w:eastAsia="ja-JP"/>
        </w:rPr>
        <w:t xml:space="preserve">the </w:t>
      </w:r>
      <w:r>
        <w:rPr>
          <w:lang w:eastAsia="ja-JP"/>
        </w:rPr>
        <w:t>respective RATs.</w:t>
      </w:r>
    </w:p>
    <w:p w14:paraId="62422E8C" w14:textId="308BF314" w:rsidR="00FE29B0" w:rsidRDefault="00FE29B0" w:rsidP="00FE29B0">
      <w:pPr>
        <w:rPr>
          <w:lang w:eastAsia="ja-JP"/>
        </w:rPr>
      </w:pPr>
      <w:r>
        <w:rPr>
          <w:lang w:eastAsia="ja-JP"/>
        </w:rPr>
        <w:t>Option 3:</w:t>
      </w:r>
      <w:r>
        <w:rPr>
          <w:lang w:eastAsia="ja-JP"/>
        </w:rPr>
        <w:tab/>
      </w:r>
      <w:r w:rsidRPr="009A536F">
        <w:rPr>
          <w:lang w:eastAsia="ja-JP"/>
        </w:rPr>
        <w:t xml:space="preserve">Separate TA handling with </w:t>
      </w:r>
      <w:r>
        <w:rPr>
          <w:lang w:eastAsia="ja-JP"/>
        </w:rPr>
        <w:t xml:space="preserve">ruled </w:t>
      </w:r>
      <w:r w:rsidRPr="009A536F">
        <w:rPr>
          <w:lang w:eastAsia="ja-JP"/>
        </w:rPr>
        <w:t>UE limitation</w:t>
      </w:r>
    </w:p>
    <w:p w14:paraId="41A7ED2A" w14:textId="3225C16D" w:rsidR="00FE29B0" w:rsidRDefault="004D3CEE" w:rsidP="004D3CEE">
      <w:pPr>
        <w:ind w:leftChars="200" w:left="400"/>
        <w:rPr>
          <w:lang w:eastAsia="ja-JP"/>
        </w:rPr>
      </w:pPr>
      <w:r>
        <w:rPr>
          <w:rFonts w:hint="eastAsia"/>
          <w:lang w:eastAsia="ja-JP"/>
        </w:rPr>
        <w:t>In this option, the network does not have the responsibility that TA value</w:t>
      </w:r>
      <w:r>
        <w:rPr>
          <w:lang w:eastAsia="ja-JP"/>
        </w:rPr>
        <w:t>s</w:t>
      </w:r>
      <w:r>
        <w:rPr>
          <w:rFonts w:hint="eastAsia"/>
          <w:lang w:eastAsia="ja-JP"/>
        </w:rPr>
        <w:t xml:space="preserve"> indicated to UE are within</w:t>
      </w:r>
      <w:r>
        <w:rPr>
          <w:lang w:eastAsia="ja-JP"/>
        </w:rPr>
        <w:t xml:space="preserve"> </w:t>
      </w:r>
      <w:r w:rsidRPr="004D3CEE">
        <w:rPr>
          <w:lang w:eastAsia="ja-JP"/>
        </w:rPr>
        <w:t>UE's allowed tolerances</w:t>
      </w:r>
      <w:r>
        <w:rPr>
          <w:rFonts w:hint="eastAsia"/>
          <w:lang w:eastAsia="ja-JP"/>
        </w:rPr>
        <w:t>.</w:t>
      </w:r>
      <w:r>
        <w:rPr>
          <w:lang w:eastAsia="ja-JP"/>
        </w:rPr>
        <w:t xml:space="preserve"> The UE behaviour is specified on how to handle TA value when the indicated values are beyond UE's allowed tolerance.</w:t>
      </w:r>
    </w:p>
    <w:p w14:paraId="0530302D" w14:textId="3E559244" w:rsidR="00FE29B0" w:rsidRDefault="00A26FB8" w:rsidP="00F27F3F">
      <w:pPr>
        <w:rPr>
          <w:lang w:eastAsia="ja-JP"/>
        </w:rPr>
      </w:pPr>
      <w:r>
        <w:rPr>
          <w:lang w:eastAsia="ja-JP"/>
        </w:rPr>
        <w:t>Option 4</w:t>
      </w:r>
      <w:r w:rsidR="00FE29B0">
        <w:rPr>
          <w:lang w:eastAsia="ja-JP"/>
        </w:rPr>
        <w:t>:</w:t>
      </w:r>
      <w:r w:rsidR="00FE29B0">
        <w:rPr>
          <w:lang w:eastAsia="ja-JP"/>
        </w:rPr>
        <w:tab/>
      </w:r>
      <w:r w:rsidR="00FE29B0" w:rsidRPr="00FE29B0">
        <w:rPr>
          <w:lang w:eastAsia="ja-JP"/>
        </w:rPr>
        <w:t xml:space="preserve">Single TA handling (via </w:t>
      </w:r>
      <w:r w:rsidR="00814890">
        <w:rPr>
          <w:lang w:eastAsia="ja-JP"/>
        </w:rPr>
        <w:t>PCG</w:t>
      </w:r>
      <w:r w:rsidR="00FE29B0" w:rsidRPr="00FE29B0">
        <w:rPr>
          <w:lang w:eastAsia="ja-JP"/>
        </w:rPr>
        <w:t>)</w:t>
      </w:r>
    </w:p>
    <w:p w14:paraId="2E298A15" w14:textId="4E2AE38E" w:rsidR="005C6CEC" w:rsidRDefault="005C6CEC" w:rsidP="005C6CEC">
      <w:pPr>
        <w:ind w:leftChars="200" w:left="400"/>
        <w:rPr>
          <w:lang w:eastAsia="ja-JP"/>
        </w:rPr>
      </w:pPr>
      <w:r>
        <w:rPr>
          <w:rFonts w:hint="eastAsia"/>
          <w:lang w:eastAsia="ja-JP"/>
        </w:rPr>
        <w:t>In this option, the network does not have the responsibility that TA value</w:t>
      </w:r>
      <w:r>
        <w:rPr>
          <w:lang w:eastAsia="ja-JP"/>
        </w:rPr>
        <w:t>s</w:t>
      </w:r>
      <w:r>
        <w:rPr>
          <w:rFonts w:hint="eastAsia"/>
          <w:lang w:eastAsia="ja-JP"/>
        </w:rPr>
        <w:t xml:space="preserve"> indicated to UE are within</w:t>
      </w:r>
      <w:r>
        <w:rPr>
          <w:lang w:eastAsia="ja-JP"/>
        </w:rPr>
        <w:t xml:space="preserve"> </w:t>
      </w:r>
      <w:r w:rsidRPr="004D3CEE">
        <w:rPr>
          <w:lang w:eastAsia="ja-JP"/>
        </w:rPr>
        <w:t>UE's allowed tolerances</w:t>
      </w:r>
      <w:r>
        <w:rPr>
          <w:rFonts w:hint="eastAsia"/>
          <w:lang w:eastAsia="ja-JP"/>
        </w:rPr>
        <w:t>.</w:t>
      </w:r>
      <w:r w:rsidR="00DD701C">
        <w:rPr>
          <w:lang w:eastAsia="ja-JP"/>
        </w:rPr>
        <w:t xml:space="preserve"> TA value is determined by PCG</w:t>
      </w:r>
      <w:r w:rsidR="007E28A2">
        <w:rPr>
          <w:lang w:eastAsia="ja-JP"/>
        </w:rPr>
        <w:t xml:space="preserve"> value.</w:t>
      </w:r>
      <w:r w:rsidR="00DD701C">
        <w:rPr>
          <w:lang w:eastAsia="ja-JP"/>
        </w:rPr>
        <w:t xml:space="preserve"> The indicated TA value in SCG is neglected by UE.</w:t>
      </w:r>
    </w:p>
    <w:p w14:paraId="5293C7C6" w14:textId="154669CF" w:rsidR="00AD7DC9" w:rsidRDefault="00AD7DC9" w:rsidP="00F27F3F">
      <w:pPr>
        <w:rPr>
          <w:lang w:eastAsia="ja-JP"/>
        </w:rPr>
      </w:pPr>
      <w:r>
        <w:rPr>
          <w:rFonts w:hint="eastAsia"/>
          <w:lang w:eastAsia="ja-JP"/>
        </w:rPr>
        <w:lastRenderedPageBreak/>
        <w:t xml:space="preserve">As </w:t>
      </w:r>
      <w:r w:rsidRPr="00AD7DC9">
        <w:rPr>
          <w:lang w:eastAsia="ja-JP"/>
        </w:rPr>
        <w:t>different radio paths/chains</w:t>
      </w:r>
      <w:r>
        <w:rPr>
          <w:rFonts w:hint="eastAsia"/>
          <w:lang w:eastAsia="ja-JP"/>
        </w:rPr>
        <w:t xml:space="preserve"> between RATs, if the network has completely independent</w:t>
      </w:r>
      <w:r w:rsidR="00F41378">
        <w:rPr>
          <w:lang w:eastAsia="ja-JP"/>
        </w:rPr>
        <w:t xml:space="preserve"> between 2 RATs</w:t>
      </w:r>
      <w:r>
        <w:rPr>
          <w:rFonts w:hint="eastAsia"/>
          <w:lang w:eastAsia="ja-JP"/>
        </w:rPr>
        <w:t>, the</w:t>
      </w:r>
      <w:r>
        <w:rPr>
          <w:lang w:eastAsia="ja-JP"/>
        </w:rPr>
        <w:t>re can the possibility that the</w:t>
      </w:r>
      <w:r>
        <w:rPr>
          <w:rFonts w:hint="eastAsia"/>
          <w:lang w:eastAsia="ja-JP"/>
        </w:rPr>
        <w:t xml:space="preserve"> indicated TA value</w:t>
      </w:r>
      <w:r>
        <w:rPr>
          <w:lang w:eastAsia="ja-JP"/>
        </w:rPr>
        <w:t>s</w:t>
      </w:r>
      <w:r>
        <w:rPr>
          <w:rFonts w:hint="eastAsia"/>
          <w:lang w:eastAsia="ja-JP"/>
        </w:rPr>
        <w:t xml:space="preserve"> can be beyond UE's allowed tolerance. Therefore, we think</w:t>
      </w:r>
      <w:r>
        <w:rPr>
          <w:lang w:eastAsia="ja-JP"/>
        </w:rPr>
        <w:t xml:space="preserve"> option 1 is not so realistic.</w:t>
      </w:r>
    </w:p>
    <w:p w14:paraId="64D1A72F" w14:textId="5010A983" w:rsidR="00AD7DC9" w:rsidRDefault="00AD7DC9" w:rsidP="00F27F3F">
      <w:pPr>
        <w:rPr>
          <w:lang w:eastAsia="ja-JP"/>
        </w:rPr>
      </w:pPr>
      <w:r>
        <w:rPr>
          <w:lang w:eastAsia="ja-JP"/>
        </w:rPr>
        <w:t>When two RATs are operated completely independent at the network side, in option 2 and 3, there is the situation that the network request to change TA value</w:t>
      </w:r>
      <w:r w:rsidR="008A66B6">
        <w:rPr>
          <w:lang w:eastAsia="ja-JP"/>
        </w:rPr>
        <w:t>,</w:t>
      </w:r>
      <w:r>
        <w:rPr>
          <w:lang w:eastAsia="ja-JP"/>
        </w:rPr>
        <w:t xml:space="preserve"> but UE does not follow the indicated value. In such situation, the network may further request to change TA value but still UE does not follow the indicated value. Such procedure can be repeated. In order to avoid such situation, regardless of option 2 or option 3, the network internal coordination </w:t>
      </w:r>
      <w:r w:rsidR="00F41378">
        <w:rPr>
          <w:lang w:eastAsia="ja-JP"/>
        </w:rPr>
        <w:t xml:space="preserve">between 2 RATs </w:t>
      </w:r>
      <w:r>
        <w:rPr>
          <w:lang w:eastAsia="ja-JP"/>
        </w:rPr>
        <w:t>would be required.</w:t>
      </w:r>
    </w:p>
    <w:p w14:paraId="25E1DFC4" w14:textId="470811CA" w:rsidR="00EB7791" w:rsidRDefault="00234A34" w:rsidP="00F27F3F">
      <w:pPr>
        <w:rPr>
          <w:lang w:eastAsia="ja-JP"/>
        </w:rPr>
      </w:pPr>
      <w:r>
        <w:rPr>
          <w:rFonts w:hint="eastAsia"/>
          <w:lang w:eastAsia="ja-JP"/>
        </w:rPr>
        <w:t xml:space="preserve">In case single PA is used for </w:t>
      </w:r>
      <w:r w:rsidR="002F783A">
        <w:rPr>
          <w:lang w:eastAsia="ja-JP"/>
        </w:rPr>
        <w:t xml:space="preserve">intra-band EN-DC, for the phase continuously reason, to have the capability of </w:t>
      </w:r>
      <w:r w:rsidR="002F783A" w:rsidRPr="002F783A">
        <w:rPr>
          <w:lang w:eastAsia="ja-JP"/>
        </w:rPr>
        <w:t>non-aligned starting or ending times or hop boundaries across carriers</w:t>
      </w:r>
      <w:r w:rsidR="002F783A">
        <w:rPr>
          <w:rFonts w:hint="eastAsia"/>
          <w:lang w:eastAsia="ja-JP"/>
        </w:rPr>
        <w:t xml:space="preserve"> are introduced </w:t>
      </w:r>
      <w:r w:rsidR="002F783A">
        <w:rPr>
          <w:lang w:eastAsia="ja-JP"/>
        </w:rPr>
        <w:t xml:space="preserve">[4]. </w:t>
      </w:r>
      <w:r w:rsidR="00EB7791">
        <w:rPr>
          <w:lang w:eastAsia="ja-JP"/>
        </w:rPr>
        <w:t xml:space="preserve">We think such single PA capability can be more typical for </w:t>
      </w:r>
      <w:r w:rsidR="00DD701C">
        <w:rPr>
          <w:lang w:eastAsia="ja-JP"/>
        </w:rPr>
        <w:t>i</w:t>
      </w:r>
      <w:r w:rsidR="00EB7791" w:rsidRPr="00EB7791">
        <w:rPr>
          <w:lang w:eastAsia="ja-JP"/>
        </w:rPr>
        <w:t>ntra-band MR-DC</w:t>
      </w:r>
      <w:r w:rsidR="00EB7791">
        <w:rPr>
          <w:lang w:eastAsia="ja-JP"/>
        </w:rPr>
        <w:t xml:space="preserve"> where spectrum is contiguous across LTE and NR. To support such UE, the networ</w:t>
      </w:r>
      <w:r w:rsidR="00DD701C">
        <w:rPr>
          <w:lang w:eastAsia="ja-JP"/>
        </w:rPr>
        <w:t>k internal coordination is</w:t>
      </w:r>
      <w:r w:rsidR="00EB7791">
        <w:rPr>
          <w:lang w:eastAsia="ja-JP"/>
        </w:rPr>
        <w:t xml:space="preserve"> </w:t>
      </w:r>
      <w:r w:rsidR="00F41378">
        <w:rPr>
          <w:lang w:eastAsia="ja-JP"/>
        </w:rPr>
        <w:t xml:space="preserve">also </w:t>
      </w:r>
      <w:r w:rsidR="00EB7791">
        <w:rPr>
          <w:lang w:eastAsia="ja-JP"/>
        </w:rPr>
        <w:t>required between 2 RATs. Compared with aligned starting/ending time between two RATs, TA value information exchange is much easier between 2 RATs in the network.</w:t>
      </w:r>
    </w:p>
    <w:p w14:paraId="69827694" w14:textId="5D652E6B" w:rsidR="00AD7DC9" w:rsidRDefault="001E13E5" w:rsidP="00F27F3F">
      <w:pPr>
        <w:rPr>
          <w:lang w:eastAsia="ja-JP"/>
        </w:rPr>
      </w:pPr>
      <w:r>
        <w:rPr>
          <w:lang w:eastAsia="ja-JP"/>
        </w:rPr>
        <w:t>From the network perspective, predictable UE behaviour is important to control UE's TA value within the network's reception window. When TA value of one RAT is close to boundary of reception window,</w:t>
      </w:r>
      <w:r w:rsidR="00EB7791">
        <w:rPr>
          <w:lang w:eastAsia="ja-JP"/>
        </w:rPr>
        <w:t xml:space="preserve"> </w:t>
      </w:r>
      <w:r>
        <w:rPr>
          <w:lang w:eastAsia="ja-JP"/>
        </w:rPr>
        <w:t>assuming some network coordination between 2 RATs, the network can use the other RAT to adjust TA value on the RAT as far as the rule is known to the network. Therefore, option 3 or 4 would be more suitable.</w:t>
      </w:r>
    </w:p>
    <w:p w14:paraId="7A7A4C73" w14:textId="0F5A69AD" w:rsidR="001E13E5" w:rsidRDefault="001E13E5" w:rsidP="00F27F3F">
      <w:pPr>
        <w:rPr>
          <w:lang w:eastAsia="ja-JP"/>
        </w:rPr>
      </w:pPr>
      <w:r>
        <w:rPr>
          <w:rFonts w:hint="eastAsia"/>
          <w:lang w:eastAsia="ja-JP"/>
        </w:rPr>
        <w:t>When we compare option 3 and 4, the simplest rule would be option 4. Therefore, we propose to take option 4.</w:t>
      </w:r>
    </w:p>
    <w:p w14:paraId="38B786A3" w14:textId="77C7CDD5" w:rsidR="00A32316" w:rsidRDefault="001E13E5" w:rsidP="00F27F3F">
      <w:pPr>
        <w:rPr>
          <w:lang w:eastAsia="ja-JP"/>
        </w:rPr>
      </w:pPr>
      <w:r>
        <w:rPr>
          <w:lang w:eastAsia="ja-JP"/>
        </w:rPr>
        <w:t xml:space="preserve">Although the UE's maximum allowed tolerance should be determined by RAN4, it can be related to UE's transition time definition of 20 or 40 us for LTE defined in section 6.3.4 </w:t>
      </w:r>
      <w:r w:rsidR="007B7723">
        <w:rPr>
          <w:lang w:eastAsia="ja-JP"/>
        </w:rPr>
        <w:t>of TS36.104</w:t>
      </w:r>
      <w:r>
        <w:rPr>
          <w:lang w:eastAsia="ja-JP"/>
        </w:rPr>
        <w:t>. This transition time</w:t>
      </w:r>
      <w:r w:rsidR="007B7723">
        <w:rPr>
          <w:lang w:eastAsia="ja-JP"/>
        </w:rPr>
        <w:t xml:space="preserve"> c</w:t>
      </w:r>
      <w:r>
        <w:rPr>
          <w:lang w:eastAsia="ja-JP"/>
        </w:rPr>
        <w:t xml:space="preserve">ould be further increased when TA values of two RATs are </w:t>
      </w:r>
      <w:r w:rsidR="007B7723">
        <w:rPr>
          <w:lang w:eastAsia="ja-JP"/>
        </w:rPr>
        <w:t>apart further</w:t>
      </w:r>
      <w:r>
        <w:rPr>
          <w:lang w:eastAsia="ja-JP"/>
        </w:rPr>
        <w:t>.</w:t>
      </w:r>
      <w:r w:rsidR="00A32316">
        <w:rPr>
          <w:lang w:eastAsia="ja-JP"/>
        </w:rPr>
        <w:t xml:space="preserve"> When 40usec are uncertain value of transition time, in any way, to drop the whole one SC-OFDM symbol does not make so big difference. In such situation, additional 30</w:t>
      </w:r>
      <w:r w:rsidR="007B7723">
        <w:rPr>
          <w:lang w:eastAsia="ja-JP"/>
        </w:rPr>
        <w:t xml:space="preserve"> us may</w:t>
      </w:r>
      <w:r w:rsidR="00A32316">
        <w:rPr>
          <w:lang w:eastAsia="ja-JP"/>
        </w:rPr>
        <w:t xml:space="preserve"> be further added. If such large allowed tolerance is allowed between 2 TA values of two RATs</w:t>
      </w:r>
      <w:r w:rsidR="008430BD">
        <w:rPr>
          <w:lang w:eastAsia="ja-JP"/>
        </w:rPr>
        <w:t xml:space="preserve">, </w:t>
      </w:r>
      <w:r w:rsidR="00632D72">
        <w:rPr>
          <w:lang w:eastAsia="ja-JP"/>
        </w:rPr>
        <w:t>more than 1 step of TA value (15kHz SCS 5.2us, 30kHz SCS 2.6us, 60kHz SCS 1.3us)</w:t>
      </w:r>
      <w:r w:rsidR="00A32316">
        <w:rPr>
          <w:lang w:eastAsia="ja-JP"/>
        </w:rPr>
        <w:t>, to have independent TA control can be possible with certain limit. In such case, TA valu</w:t>
      </w:r>
      <w:r w:rsidR="007B7723">
        <w:rPr>
          <w:lang w:eastAsia="ja-JP"/>
        </w:rPr>
        <w:t>e is basically determined by PCG</w:t>
      </w:r>
      <w:r w:rsidR="00A32316">
        <w:rPr>
          <w:lang w:eastAsia="ja-JP"/>
        </w:rPr>
        <w:t xml:space="preserve"> but to allow to change TA value </w:t>
      </w:r>
      <w:r w:rsidR="007B7723">
        <w:rPr>
          <w:lang w:eastAsia="ja-JP"/>
        </w:rPr>
        <w:t>of SCG</w:t>
      </w:r>
      <w:r w:rsidR="00A32316">
        <w:rPr>
          <w:lang w:eastAsia="ja-JP"/>
        </w:rPr>
        <w:t xml:space="preserve"> within allowed tolerance can be </w:t>
      </w:r>
      <w:r w:rsidR="00206919">
        <w:rPr>
          <w:lang w:eastAsia="ja-JP"/>
        </w:rPr>
        <w:t>viable option</w:t>
      </w:r>
      <w:r w:rsidR="00E33B12">
        <w:rPr>
          <w:lang w:eastAsia="ja-JP"/>
        </w:rPr>
        <w:t xml:space="preserve"> as far as the requirement comes from phase continuity is satisfied</w:t>
      </w:r>
      <w:r w:rsidR="00A32316">
        <w:rPr>
          <w:lang w:eastAsia="ja-JP"/>
        </w:rPr>
        <w:t>.</w:t>
      </w:r>
    </w:p>
    <w:p w14:paraId="248C4DEA" w14:textId="660E96A5" w:rsidR="00E92F78" w:rsidRDefault="00E92F78" w:rsidP="00F27F3F">
      <w:pPr>
        <w:rPr>
          <w:lang w:eastAsia="ja-JP"/>
        </w:rPr>
      </w:pPr>
      <w:r>
        <w:rPr>
          <w:lang w:eastAsia="ja-JP"/>
        </w:rPr>
        <w:t xml:space="preserve">As TA value is mainly determined by PCG, TA value signalled by PCG random access response is taken by UE. TA value signalled by SCG random access response is supported as far as it is within </w:t>
      </w:r>
      <w:r w:rsidRPr="00E92F78">
        <w:rPr>
          <w:lang w:eastAsia="ja-JP"/>
        </w:rPr>
        <w:t>UE's maximum allowed tolerance</w:t>
      </w:r>
      <w:r>
        <w:rPr>
          <w:lang w:eastAsia="ja-JP"/>
        </w:rPr>
        <w:t>.</w:t>
      </w:r>
    </w:p>
    <w:p w14:paraId="795B01B9" w14:textId="2207E942" w:rsidR="00814890" w:rsidRDefault="00814890" w:rsidP="00F27F3F">
      <w:pPr>
        <w:rPr>
          <w:lang w:eastAsia="ja-JP"/>
        </w:rPr>
      </w:pPr>
      <w:r>
        <w:rPr>
          <w:lang w:eastAsia="ja-JP"/>
        </w:rPr>
        <w:t>Based on the above discussion, we propose following.</w:t>
      </w:r>
    </w:p>
    <w:p w14:paraId="149E797A" w14:textId="76A7FAEE" w:rsidR="00814890" w:rsidRDefault="00814890" w:rsidP="00814890">
      <w:pPr>
        <w:rPr>
          <w:b/>
          <w:lang w:eastAsia="ja-JP"/>
        </w:rPr>
      </w:pPr>
      <w:r>
        <w:rPr>
          <w:b/>
          <w:lang w:eastAsia="ja-JP"/>
        </w:rPr>
        <w:t xml:space="preserve">Proposal 1: In </w:t>
      </w:r>
      <w:r w:rsidRPr="00814890">
        <w:rPr>
          <w:b/>
          <w:lang w:eastAsia="ja-JP"/>
        </w:rPr>
        <w:t>Synchronous MR-DC (other than RACH)</w:t>
      </w:r>
      <w:r>
        <w:rPr>
          <w:b/>
          <w:lang w:eastAsia="ja-JP"/>
        </w:rPr>
        <w:t xml:space="preserve">, TA value </w:t>
      </w:r>
      <w:r w:rsidR="00EE45DD">
        <w:rPr>
          <w:b/>
          <w:lang w:eastAsia="ja-JP"/>
        </w:rPr>
        <w:t xml:space="preserve">of SCG </w:t>
      </w:r>
      <w:r>
        <w:rPr>
          <w:b/>
          <w:lang w:eastAsia="ja-JP"/>
        </w:rPr>
        <w:t>is determined by</w:t>
      </w:r>
      <w:r w:rsidR="00EE45DD">
        <w:rPr>
          <w:b/>
          <w:lang w:eastAsia="ja-JP"/>
        </w:rPr>
        <w:t xml:space="preserve"> TA value</w:t>
      </w:r>
      <w:r w:rsidR="00E92F78">
        <w:rPr>
          <w:b/>
          <w:lang w:eastAsia="ja-JP"/>
        </w:rPr>
        <w:t xml:space="preserve"> of PCG. TA value signaled in PCG random access response is used by UE. For other case</w:t>
      </w:r>
      <w:r w:rsidR="004C7DE3">
        <w:rPr>
          <w:b/>
          <w:lang w:eastAsia="ja-JP"/>
        </w:rPr>
        <w:t>s</w:t>
      </w:r>
      <w:r w:rsidR="00E92F78">
        <w:rPr>
          <w:b/>
          <w:lang w:eastAsia="ja-JP"/>
        </w:rPr>
        <w:t xml:space="preserve">, </w:t>
      </w:r>
      <w:r w:rsidR="00E92F78">
        <w:rPr>
          <w:rFonts w:hint="eastAsia"/>
          <w:b/>
          <w:lang w:eastAsia="ja-JP"/>
        </w:rPr>
        <w:t>i</w:t>
      </w:r>
      <w:r w:rsidR="00561EA0">
        <w:rPr>
          <w:rFonts w:hint="eastAsia"/>
          <w:b/>
          <w:lang w:eastAsia="ja-JP"/>
        </w:rPr>
        <w:t xml:space="preserve">f </w:t>
      </w:r>
      <w:r w:rsidR="00561EA0" w:rsidRPr="00561EA0">
        <w:rPr>
          <w:b/>
          <w:lang w:eastAsia="ja-JP"/>
        </w:rPr>
        <w:t>UE's maximum allowed tolerance</w:t>
      </w:r>
      <w:r w:rsidR="00561EA0">
        <w:rPr>
          <w:b/>
          <w:lang w:eastAsia="ja-JP"/>
        </w:rPr>
        <w:t xml:space="preserve"> is </w:t>
      </w:r>
      <w:r w:rsidR="00632D72">
        <w:rPr>
          <w:b/>
          <w:lang w:eastAsia="ja-JP"/>
        </w:rPr>
        <w:t>larger than 1 step</w:t>
      </w:r>
      <w:r w:rsidR="007B7723">
        <w:rPr>
          <w:b/>
          <w:lang w:eastAsia="ja-JP"/>
        </w:rPr>
        <w:t xml:space="preserve"> of TA command</w:t>
      </w:r>
      <w:r w:rsidR="00CA5D41">
        <w:rPr>
          <w:b/>
          <w:lang w:eastAsia="ja-JP"/>
        </w:rPr>
        <w:t>, UE should adj</w:t>
      </w:r>
      <w:r w:rsidR="00486B52">
        <w:rPr>
          <w:b/>
          <w:lang w:eastAsia="ja-JP"/>
        </w:rPr>
        <w:t xml:space="preserve">ust TA value of SCG accordingly within </w:t>
      </w:r>
      <w:r w:rsidR="00486B52" w:rsidRPr="00486B52">
        <w:rPr>
          <w:b/>
          <w:lang w:eastAsia="ja-JP"/>
        </w:rPr>
        <w:t>maximum allowed tolerance</w:t>
      </w:r>
      <w:r w:rsidR="00E33B12">
        <w:rPr>
          <w:b/>
          <w:lang w:eastAsia="ja-JP"/>
        </w:rPr>
        <w:t xml:space="preserve"> </w:t>
      </w:r>
      <w:r w:rsidR="00E33B12">
        <w:rPr>
          <w:lang w:eastAsia="ja-JP"/>
        </w:rPr>
        <w:t>as far as the requirement comes from phase continuity is satisfied</w:t>
      </w:r>
      <w:r w:rsidR="00486B52">
        <w:rPr>
          <w:b/>
          <w:lang w:eastAsia="ja-JP"/>
        </w:rPr>
        <w:t>.</w:t>
      </w:r>
    </w:p>
    <w:p w14:paraId="73BCBB9F" w14:textId="2595F859" w:rsidR="00E92F78" w:rsidRDefault="00E92F78" w:rsidP="00814890">
      <w:pPr>
        <w:rPr>
          <w:b/>
          <w:lang w:eastAsia="ja-JP"/>
        </w:rPr>
      </w:pPr>
    </w:p>
    <w:p w14:paraId="09077062" w14:textId="7F179FF2" w:rsidR="001E13E5" w:rsidRDefault="001E13E5" w:rsidP="00F27F3F">
      <w:pPr>
        <w:rPr>
          <w:lang w:eastAsia="ja-JP"/>
        </w:rPr>
      </w:pPr>
    </w:p>
    <w:p w14:paraId="25B06AA6" w14:textId="03D0F741" w:rsidR="009F37F4" w:rsidRPr="00BF3AA7" w:rsidRDefault="009F37F4" w:rsidP="009F37F4">
      <w:pPr>
        <w:rPr>
          <w:b/>
          <w:u w:val="single"/>
          <w:lang w:eastAsia="ja-JP"/>
        </w:rPr>
      </w:pPr>
      <w:r>
        <w:rPr>
          <w:b/>
          <w:u w:val="single"/>
          <w:lang w:eastAsia="ja-JP"/>
        </w:rPr>
        <w:t>H</w:t>
      </w:r>
      <w:r w:rsidRPr="009059A8">
        <w:rPr>
          <w:b/>
          <w:u w:val="single"/>
          <w:lang w:eastAsia="ja-JP"/>
        </w:rPr>
        <w:t>andling of TA in Synchronous MR-DC</w:t>
      </w:r>
      <w:r>
        <w:rPr>
          <w:b/>
          <w:u w:val="single"/>
          <w:lang w:eastAsia="ja-JP"/>
        </w:rPr>
        <w:t xml:space="preserve"> on RACH</w:t>
      </w:r>
    </w:p>
    <w:p w14:paraId="485FFE6D" w14:textId="17D50AB9" w:rsidR="009F37F4" w:rsidRDefault="00F10AE7" w:rsidP="00F27F3F">
      <w:pPr>
        <w:rPr>
          <w:lang w:eastAsia="ja-JP"/>
        </w:rPr>
      </w:pPr>
      <w:r>
        <w:rPr>
          <w:rFonts w:hint="eastAsia"/>
          <w:lang w:eastAsia="ja-JP"/>
        </w:rPr>
        <w:t xml:space="preserve">PRACH is sent TA value = 0 in LTE or NR respectively. Therefore, when one RAT is transmitting PRACH and the other RAT is transmitting current TA value (PUSCH/PUCCH/SRS), the transmission timing </w:t>
      </w:r>
      <w:r w:rsidR="00206919">
        <w:rPr>
          <w:lang w:eastAsia="ja-JP"/>
        </w:rPr>
        <w:t>is</w:t>
      </w:r>
      <w:r>
        <w:rPr>
          <w:rFonts w:hint="eastAsia"/>
          <w:lang w:eastAsia="ja-JP"/>
        </w:rPr>
        <w:t xml:space="preserve"> different. When PR</w:t>
      </w:r>
      <w:r w:rsidR="003362C0">
        <w:rPr>
          <w:rFonts w:hint="eastAsia"/>
          <w:lang w:eastAsia="ja-JP"/>
        </w:rPr>
        <w:t xml:space="preserve">ACH is sent is not controlled </w:t>
      </w:r>
      <w:r>
        <w:rPr>
          <w:rFonts w:hint="eastAsia"/>
          <w:lang w:eastAsia="ja-JP"/>
        </w:rPr>
        <w:t>by the network. Therefore, network based handling of PRACH timing are not possible. To change PRACH timing similar to PUSCH/PUCCH make the transmission timing alignment among 2 RATs but it has large impact on the network side. In general, PRACH transmission is not frequent compared with PUCCH/P</w:t>
      </w:r>
      <w:r w:rsidR="003362C0">
        <w:rPr>
          <w:lang w:eastAsia="ja-JP"/>
        </w:rPr>
        <w:t>USCH</w:t>
      </w:r>
      <w:r>
        <w:rPr>
          <w:rFonts w:hint="eastAsia"/>
          <w:lang w:eastAsia="ja-JP"/>
        </w:rPr>
        <w:t xml:space="preserve"> transmission. Therefore, to allow no transmission in the other RAT should not have significant impact on the network operation. We propose following.</w:t>
      </w:r>
    </w:p>
    <w:p w14:paraId="0B3185ED" w14:textId="2A43E141" w:rsidR="00F10AE7" w:rsidRDefault="0033519C" w:rsidP="00F10AE7">
      <w:pPr>
        <w:rPr>
          <w:b/>
          <w:lang w:eastAsia="ja-JP"/>
        </w:rPr>
      </w:pPr>
      <w:r>
        <w:rPr>
          <w:b/>
          <w:lang w:eastAsia="ja-JP"/>
        </w:rPr>
        <w:t>Proposal 2</w:t>
      </w:r>
      <w:r w:rsidR="00F10AE7">
        <w:rPr>
          <w:b/>
          <w:lang w:eastAsia="ja-JP"/>
        </w:rPr>
        <w:t xml:space="preserve">: In </w:t>
      </w:r>
      <w:r w:rsidR="00F10AE7" w:rsidRPr="00814890">
        <w:rPr>
          <w:b/>
          <w:lang w:eastAsia="ja-JP"/>
        </w:rPr>
        <w:t>Synchronous MR-</w:t>
      </w:r>
      <w:r w:rsidR="00F10AE7">
        <w:rPr>
          <w:b/>
          <w:lang w:eastAsia="ja-JP"/>
        </w:rPr>
        <w:t xml:space="preserve">DC, PRACH is sent as </w:t>
      </w:r>
      <w:r w:rsidR="003362C0">
        <w:rPr>
          <w:b/>
          <w:lang w:eastAsia="ja-JP"/>
        </w:rPr>
        <w:t>TA value</w:t>
      </w:r>
      <w:r w:rsidR="00F10AE7">
        <w:rPr>
          <w:b/>
          <w:lang w:eastAsia="ja-JP"/>
        </w:rPr>
        <w:t xml:space="preserve"> zero as no difference from LTE/NR. </w:t>
      </w:r>
      <w:r w:rsidR="00AA0F48">
        <w:rPr>
          <w:b/>
          <w:lang w:eastAsia="ja-JP"/>
        </w:rPr>
        <w:t xml:space="preserve">In the slot/subframe PRACH is sent in one RAT, UE is allowed not to transmit </w:t>
      </w:r>
      <w:r w:rsidR="00615D64">
        <w:rPr>
          <w:b/>
          <w:lang w:eastAsia="ja-JP"/>
        </w:rPr>
        <w:t>channels/signals</w:t>
      </w:r>
      <w:r w:rsidR="00AA0F48">
        <w:rPr>
          <w:b/>
          <w:lang w:eastAsia="ja-JP"/>
        </w:rPr>
        <w:t xml:space="preserve"> in the other RAT.</w:t>
      </w:r>
    </w:p>
    <w:p w14:paraId="1B874B0C" w14:textId="137FCDE4" w:rsidR="00F10AE7" w:rsidRDefault="00F10AE7" w:rsidP="00F27F3F">
      <w:pPr>
        <w:rPr>
          <w:lang w:eastAsia="ja-JP"/>
        </w:rPr>
      </w:pPr>
    </w:p>
    <w:p w14:paraId="290A6518" w14:textId="1F3E2E8B" w:rsidR="0002243E" w:rsidRDefault="0002243E" w:rsidP="00F27F3F">
      <w:pPr>
        <w:rPr>
          <w:lang w:eastAsia="ja-JP"/>
        </w:rPr>
      </w:pPr>
    </w:p>
    <w:p w14:paraId="35E120B6" w14:textId="29EEEFE3" w:rsidR="004210AA" w:rsidRPr="00BF3AA7" w:rsidRDefault="004210AA" w:rsidP="004210AA">
      <w:pPr>
        <w:rPr>
          <w:b/>
          <w:u w:val="single"/>
          <w:lang w:eastAsia="ja-JP"/>
        </w:rPr>
      </w:pPr>
      <w:r>
        <w:rPr>
          <w:b/>
          <w:u w:val="single"/>
          <w:lang w:eastAsia="ja-JP"/>
        </w:rPr>
        <w:t>Multiple TAG handling</w:t>
      </w:r>
    </w:p>
    <w:p w14:paraId="2F8C568D" w14:textId="025960EA" w:rsidR="004210AA" w:rsidRDefault="00295BCD" w:rsidP="00F27F3F">
      <w:pPr>
        <w:rPr>
          <w:lang w:eastAsia="ja-JP"/>
        </w:rPr>
      </w:pPr>
      <w:r>
        <w:rPr>
          <w:rFonts w:hint="eastAsia"/>
          <w:lang w:eastAsia="ja-JP"/>
        </w:rPr>
        <w:t xml:space="preserve">A UE can have </w:t>
      </w:r>
      <w:r>
        <w:rPr>
          <w:lang w:eastAsia="ja-JP"/>
        </w:rPr>
        <w:t>multiple</w:t>
      </w:r>
      <w:r>
        <w:rPr>
          <w:rFonts w:hint="eastAsia"/>
          <w:lang w:eastAsia="ja-JP"/>
        </w:rPr>
        <w:t xml:space="preserve"> TAG</w:t>
      </w:r>
      <w:r>
        <w:rPr>
          <w:lang w:eastAsia="ja-JP"/>
        </w:rPr>
        <w:t>s</w:t>
      </w:r>
      <w:r>
        <w:rPr>
          <w:rFonts w:hint="eastAsia"/>
          <w:lang w:eastAsia="ja-JP"/>
        </w:rPr>
        <w:t xml:space="preserve"> in</w:t>
      </w:r>
      <w:r>
        <w:rPr>
          <w:lang w:eastAsia="ja-JP"/>
        </w:rPr>
        <w:t xml:space="preserve"> PCG and multiple TAGs in SCG. </w:t>
      </w:r>
      <w:r w:rsidR="00CD01CC">
        <w:rPr>
          <w:lang w:eastAsia="ja-JP"/>
        </w:rPr>
        <w:t xml:space="preserve">Synchronous </w:t>
      </w:r>
      <w:r w:rsidR="00CD01CC" w:rsidRPr="00CD01CC">
        <w:rPr>
          <w:lang w:eastAsia="ja-JP"/>
        </w:rPr>
        <w:t xml:space="preserve">MR-DC </w:t>
      </w:r>
      <w:r w:rsidR="00CD01CC">
        <w:rPr>
          <w:lang w:eastAsia="ja-JP"/>
        </w:rPr>
        <w:t>can be only one of TAG among multiple TAGs. The situation can be illustrated by figure 1.</w:t>
      </w:r>
    </w:p>
    <w:p w14:paraId="5CE5394D" w14:textId="77777777" w:rsidR="00E60D66" w:rsidRDefault="00E60D66" w:rsidP="00F27F3F">
      <w:pPr>
        <w:rPr>
          <w:lang w:eastAsia="ja-JP"/>
        </w:rPr>
      </w:pPr>
    </w:p>
    <w:p w14:paraId="6CBCB367" w14:textId="4868C068" w:rsidR="00964D09" w:rsidRDefault="009750A7" w:rsidP="009750A7">
      <w:pPr>
        <w:jc w:val="center"/>
        <w:rPr>
          <w:lang w:eastAsia="ja-JP"/>
        </w:rPr>
      </w:pPr>
      <w:r>
        <w:object w:dxaOrig="7231" w:dyaOrig="4005" w14:anchorId="5EAA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199.85pt" o:ole="">
            <v:imagedata r:id="rId8" o:title=""/>
          </v:shape>
          <o:OLEObject Type="Embed" ProgID="Visio.Drawing.15" ShapeID="_x0000_i1025" DrawAspect="Content" ObjectID="_1602688674" r:id="rId9"/>
        </w:object>
      </w:r>
    </w:p>
    <w:p w14:paraId="214D2771" w14:textId="77777777" w:rsidR="009750A7" w:rsidRPr="0033519C" w:rsidRDefault="009750A7" w:rsidP="009750A7">
      <w:pPr>
        <w:jc w:val="center"/>
        <w:rPr>
          <w:b/>
          <w:lang w:eastAsia="ja-JP"/>
        </w:rPr>
      </w:pPr>
      <w:r w:rsidRPr="0033519C">
        <w:rPr>
          <w:b/>
          <w:lang w:eastAsia="ja-JP"/>
        </w:rPr>
        <w:t>Figure 1: One synchronous MR-DC TAG among multiple TAGs</w:t>
      </w:r>
    </w:p>
    <w:p w14:paraId="689636DA" w14:textId="1D8A3996" w:rsidR="00964D09" w:rsidRDefault="00964D09" w:rsidP="00F27F3F">
      <w:pPr>
        <w:rPr>
          <w:lang w:eastAsia="ja-JP"/>
        </w:rPr>
      </w:pPr>
    </w:p>
    <w:p w14:paraId="776DB14B" w14:textId="586DBABC" w:rsidR="0033519C" w:rsidRDefault="0033519C" w:rsidP="0033519C">
      <w:pPr>
        <w:rPr>
          <w:lang w:eastAsia="ja-JP"/>
        </w:rPr>
      </w:pPr>
      <w:r>
        <w:rPr>
          <w:rFonts w:hint="eastAsia"/>
          <w:lang w:eastAsia="ja-JP"/>
        </w:rPr>
        <w:t>In the figure, LTE TAG1 and NR TAG2 are operated as synchronous MR-DC</w:t>
      </w:r>
      <w:r>
        <w:rPr>
          <w:lang w:eastAsia="ja-JP"/>
        </w:rPr>
        <w:t xml:space="preserve"> and shown blue</w:t>
      </w:r>
      <w:r>
        <w:rPr>
          <w:rFonts w:hint="eastAsia"/>
          <w:lang w:eastAsia="ja-JP"/>
        </w:rPr>
        <w:t>. As RRC signalling</w:t>
      </w:r>
      <w:r>
        <w:rPr>
          <w:lang w:eastAsia="ja-JP"/>
        </w:rPr>
        <w:t xml:space="preserve"> related to which cell is the same TAG</w:t>
      </w:r>
      <w:r>
        <w:rPr>
          <w:rFonts w:hint="eastAsia"/>
          <w:lang w:eastAsia="ja-JP"/>
        </w:rPr>
        <w:t xml:space="preserve"> is independent between NR and LTE</w:t>
      </w:r>
      <w:r>
        <w:rPr>
          <w:lang w:eastAsia="ja-JP"/>
        </w:rPr>
        <w:t>, no explicit signalling is possible to indicate</w:t>
      </w:r>
      <w:r w:rsidR="003362C0">
        <w:rPr>
          <w:lang w:eastAsia="ja-JP"/>
        </w:rPr>
        <w:t xml:space="preserve"> which TAGs of different RAT are same</w:t>
      </w:r>
      <w:r>
        <w:rPr>
          <w:lang w:eastAsia="ja-JP"/>
        </w:rPr>
        <w:t>. On the other hand, as the network is able to know NR Cell2 and LTE Cell 1 are operated as synchronous intra-band MR-DC, it can deduce NR TAG2 and LTE TAG1 is same TAG when NR cell 2 and LTE Cell 1 is synchronous intra-band MR-DC. Therefore, we propose following.</w:t>
      </w:r>
    </w:p>
    <w:p w14:paraId="013D284B" w14:textId="6BE589F5" w:rsidR="0033519C" w:rsidRDefault="0033519C" w:rsidP="0033519C">
      <w:pPr>
        <w:rPr>
          <w:b/>
          <w:lang w:eastAsia="ja-JP"/>
        </w:rPr>
      </w:pPr>
      <w:r>
        <w:rPr>
          <w:b/>
          <w:lang w:eastAsia="ja-JP"/>
        </w:rPr>
        <w:t>Proposal 3:</w:t>
      </w:r>
      <w:r w:rsidR="009B6C18">
        <w:rPr>
          <w:b/>
          <w:lang w:eastAsia="ja-JP"/>
        </w:rPr>
        <w:t xml:space="preserve"> When one TAG in PCG </w:t>
      </w:r>
      <w:r>
        <w:rPr>
          <w:b/>
          <w:lang w:eastAsia="ja-JP"/>
        </w:rPr>
        <w:t xml:space="preserve">RAT contains a CC of </w:t>
      </w:r>
      <w:r w:rsidRPr="0033519C">
        <w:rPr>
          <w:b/>
          <w:lang w:eastAsia="ja-JP"/>
        </w:rPr>
        <w:t>synchronous intra-band MR-DC</w:t>
      </w:r>
      <w:r>
        <w:rPr>
          <w:b/>
          <w:lang w:eastAsia="ja-JP"/>
        </w:rPr>
        <w:t xml:space="preserve">, the TAG in the </w:t>
      </w:r>
      <w:r w:rsidR="009B6C18">
        <w:rPr>
          <w:b/>
          <w:lang w:eastAsia="ja-JP"/>
        </w:rPr>
        <w:t>SCG</w:t>
      </w:r>
      <w:r>
        <w:rPr>
          <w:b/>
          <w:lang w:eastAsia="ja-JP"/>
        </w:rPr>
        <w:t xml:space="preserve"> RAT</w:t>
      </w:r>
      <w:r w:rsidR="009B6C18">
        <w:rPr>
          <w:b/>
          <w:lang w:eastAsia="ja-JP"/>
        </w:rPr>
        <w:t xml:space="preserve"> which contain the the corresponding CC of the </w:t>
      </w:r>
      <w:r w:rsidR="009B6C18" w:rsidRPr="009B6C18">
        <w:rPr>
          <w:b/>
          <w:lang w:eastAsia="ja-JP"/>
        </w:rPr>
        <w:t>synchronous intra-band MR-DC</w:t>
      </w:r>
      <w:r w:rsidR="00274298">
        <w:rPr>
          <w:b/>
          <w:lang w:eastAsia="ja-JP"/>
        </w:rPr>
        <w:t xml:space="preserve"> is</w:t>
      </w:r>
      <w:r w:rsidR="009B6C18">
        <w:rPr>
          <w:b/>
          <w:lang w:eastAsia="ja-JP"/>
        </w:rPr>
        <w:t xml:space="preserve"> interpreted as the same TAG of the PCG RAT.</w:t>
      </w:r>
    </w:p>
    <w:p w14:paraId="414CF782" w14:textId="0F436F08" w:rsidR="007B0242" w:rsidRPr="007B0242" w:rsidRDefault="007B0242" w:rsidP="007D541D">
      <w:pPr>
        <w:rPr>
          <w:b/>
          <w:lang w:eastAsia="ja-JP"/>
        </w:rPr>
      </w:pPr>
    </w:p>
    <w:p w14:paraId="2DEBF49E" w14:textId="77777777" w:rsidR="007B0242" w:rsidRPr="00FA19B3" w:rsidRDefault="007B0242"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FE4B50B" w14:textId="3303EBD8" w:rsidR="0033519C" w:rsidRDefault="0033519C" w:rsidP="00F01F94">
      <w:pPr>
        <w:rPr>
          <w:rFonts w:eastAsia="SimSun" w:cs="Arial"/>
          <w:lang w:eastAsia="zh-CN"/>
        </w:rPr>
      </w:pPr>
      <w:r>
        <w:rPr>
          <w:rFonts w:eastAsia="SimSun" w:cs="Arial"/>
          <w:lang w:eastAsia="zh-CN"/>
        </w:rPr>
        <w:t xml:space="preserve">We discussed </w:t>
      </w:r>
      <w:r w:rsidRPr="0033519C">
        <w:rPr>
          <w:rFonts w:eastAsia="SimSun" w:cs="Arial"/>
          <w:lang w:eastAsia="zh-CN"/>
        </w:rPr>
        <w:t xml:space="preserve">the handling of TA in </w:t>
      </w:r>
      <w:r>
        <w:rPr>
          <w:rFonts w:eastAsia="SimSun" w:cs="Arial"/>
          <w:lang w:eastAsia="zh-CN"/>
        </w:rPr>
        <w:t>intra-band s</w:t>
      </w:r>
      <w:r w:rsidRPr="0033519C">
        <w:rPr>
          <w:rFonts w:eastAsia="SimSun" w:cs="Arial"/>
          <w:lang w:eastAsia="zh-CN"/>
        </w:rPr>
        <w:t xml:space="preserve">ynchronous MR-DC </w:t>
      </w:r>
    </w:p>
    <w:p w14:paraId="05B62DFB" w14:textId="4E88943A" w:rsidR="00C07E9E" w:rsidRDefault="00C07E9E" w:rsidP="00C07E9E">
      <w:pPr>
        <w:rPr>
          <w:b/>
          <w:lang w:eastAsia="ja-JP"/>
        </w:rPr>
      </w:pPr>
      <w:r>
        <w:rPr>
          <w:b/>
          <w:lang w:eastAsia="ja-JP"/>
        </w:rPr>
        <w:t xml:space="preserve">Proposal 1: In </w:t>
      </w:r>
      <w:r w:rsidRPr="00814890">
        <w:rPr>
          <w:b/>
          <w:lang w:eastAsia="ja-JP"/>
        </w:rPr>
        <w:t>Synchronous MR-DC (other than RACH)</w:t>
      </w:r>
      <w:r>
        <w:rPr>
          <w:b/>
          <w:lang w:eastAsia="ja-JP"/>
        </w:rPr>
        <w:t xml:space="preserve">, TA value of SCG is determined by TA value of PCG. TA value signaled in PCG random access response is used by UE. For other cases, </w:t>
      </w:r>
      <w:r>
        <w:rPr>
          <w:rFonts w:hint="eastAsia"/>
          <w:b/>
          <w:lang w:eastAsia="ja-JP"/>
        </w:rPr>
        <w:t xml:space="preserve">if </w:t>
      </w:r>
      <w:r w:rsidRPr="00561EA0">
        <w:rPr>
          <w:b/>
          <w:lang w:eastAsia="ja-JP"/>
        </w:rPr>
        <w:t>UE's maximum allowed tolerance</w:t>
      </w:r>
      <w:r>
        <w:rPr>
          <w:b/>
          <w:lang w:eastAsia="ja-JP"/>
        </w:rPr>
        <w:t xml:space="preserve"> is larger than 1 step of TA command, UE should adjust TA value of SCG accordingly within </w:t>
      </w:r>
      <w:r w:rsidRPr="00486B52">
        <w:rPr>
          <w:b/>
          <w:lang w:eastAsia="ja-JP"/>
        </w:rPr>
        <w:t>maximum allowed tolerance</w:t>
      </w:r>
      <w:r w:rsidR="00842127">
        <w:rPr>
          <w:b/>
          <w:lang w:eastAsia="ja-JP"/>
        </w:rPr>
        <w:t xml:space="preserve"> </w:t>
      </w:r>
      <w:r w:rsidR="00615D64" w:rsidRPr="00615D64">
        <w:rPr>
          <w:b/>
          <w:lang w:eastAsia="ja-JP"/>
        </w:rPr>
        <w:t>as far as the requirement comes from phase continuity is satisfied</w:t>
      </w:r>
      <w:r>
        <w:rPr>
          <w:b/>
          <w:lang w:eastAsia="ja-JP"/>
        </w:rPr>
        <w:t>.</w:t>
      </w:r>
    </w:p>
    <w:p w14:paraId="019B3510" w14:textId="24810BB1" w:rsidR="00C07E9E" w:rsidRDefault="00C07E9E" w:rsidP="00C07E9E">
      <w:pPr>
        <w:rPr>
          <w:b/>
          <w:lang w:eastAsia="ja-JP"/>
        </w:rPr>
      </w:pPr>
      <w:r>
        <w:rPr>
          <w:b/>
          <w:lang w:eastAsia="ja-JP"/>
        </w:rPr>
        <w:t xml:space="preserve">Proposal 2: In </w:t>
      </w:r>
      <w:r w:rsidRPr="00814890">
        <w:rPr>
          <w:b/>
          <w:lang w:eastAsia="ja-JP"/>
        </w:rPr>
        <w:t>Synchronous MR-</w:t>
      </w:r>
      <w:r>
        <w:rPr>
          <w:b/>
          <w:lang w:eastAsia="ja-JP"/>
        </w:rPr>
        <w:t xml:space="preserve">DC, PRACH is sent as TA value zero as no difference from LTE/NR. In the slot/subframe PRACH is sent in one RAT, UE is allowed not to transmit </w:t>
      </w:r>
      <w:r w:rsidR="00615D64">
        <w:rPr>
          <w:b/>
          <w:lang w:eastAsia="ja-JP"/>
        </w:rPr>
        <w:t>channels/signals</w:t>
      </w:r>
      <w:r>
        <w:rPr>
          <w:b/>
          <w:lang w:eastAsia="ja-JP"/>
        </w:rPr>
        <w:t xml:space="preserve"> in the other RAT.</w:t>
      </w:r>
    </w:p>
    <w:p w14:paraId="11F6F2AC" w14:textId="77777777" w:rsidR="00C07E9E" w:rsidRDefault="00C07E9E" w:rsidP="00C07E9E">
      <w:pPr>
        <w:rPr>
          <w:b/>
          <w:lang w:eastAsia="ja-JP"/>
        </w:rPr>
      </w:pPr>
      <w:r>
        <w:rPr>
          <w:b/>
          <w:lang w:eastAsia="ja-JP"/>
        </w:rPr>
        <w:t xml:space="preserve">Proposal 3: When one TAG in PCG RAT contains a CC of </w:t>
      </w:r>
      <w:r w:rsidRPr="0033519C">
        <w:rPr>
          <w:b/>
          <w:lang w:eastAsia="ja-JP"/>
        </w:rPr>
        <w:t>synchronous intra-band MR-DC</w:t>
      </w:r>
      <w:r>
        <w:rPr>
          <w:b/>
          <w:lang w:eastAsia="ja-JP"/>
        </w:rPr>
        <w:t xml:space="preserve">, the TAG in the SCG RAT which contain the the corresponding CC of the </w:t>
      </w:r>
      <w:r w:rsidRPr="009B6C18">
        <w:rPr>
          <w:b/>
          <w:lang w:eastAsia="ja-JP"/>
        </w:rPr>
        <w:t>synchronous intra-band MR-DC</w:t>
      </w:r>
      <w:r>
        <w:rPr>
          <w:b/>
          <w:lang w:eastAsia="ja-JP"/>
        </w:rPr>
        <w:t xml:space="preserve"> is interpreted as the same TAG of the PCG RAT.</w:t>
      </w:r>
    </w:p>
    <w:p w14:paraId="69FDE3B7" w14:textId="77777777" w:rsidR="00F04AD2" w:rsidRDefault="00F04AD2" w:rsidP="003F2751">
      <w:pPr>
        <w:rPr>
          <w:b/>
          <w:lang w:eastAsia="ja-JP"/>
        </w:rPr>
      </w:pPr>
    </w:p>
    <w:p w14:paraId="68EAF48C" w14:textId="77777777" w:rsidR="00593AB3" w:rsidRDefault="00593AB3" w:rsidP="00593AB3">
      <w:pPr>
        <w:pStyle w:val="1"/>
        <w:numPr>
          <w:ilvl w:val="0"/>
          <w:numId w:val="0"/>
        </w:numPr>
        <w:rPr>
          <w:szCs w:val="36"/>
          <w:lang w:eastAsia="ja-JP"/>
        </w:rPr>
      </w:pPr>
      <w:r>
        <w:rPr>
          <w:szCs w:val="36"/>
          <w:lang w:eastAsia="ja-JP"/>
        </w:rPr>
        <w:t>Reference</w:t>
      </w:r>
    </w:p>
    <w:p w14:paraId="18B48FC7" w14:textId="65813767" w:rsidR="00F42AA6" w:rsidRDefault="00593AB3" w:rsidP="00F42AA6">
      <w:pPr>
        <w:rPr>
          <w:lang w:eastAsia="ja-JP"/>
        </w:rPr>
      </w:pPr>
      <w:r>
        <w:rPr>
          <w:lang w:eastAsia="ja-JP"/>
        </w:rPr>
        <w:t>[1]</w:t>
      </w:r>
      <w:r>
        <w:rPr>
          <w:lang w:eastAsia="ja-JP"/>
        </w:rPr>
        <w:tab/>
      </w:r>
      <w:r>
        <w:rPr>
          <w:lang w:eastAsia="ja-JP"/>
        </w:rPr>
        <w:tab/>
      </w:r>
      <w:r w:rsidR="00F42AA6" w:rsidRPr="00F42AA6">
        <w:rPr>
          <w:lang w:eastAsia="ja-JP"/>
        </w:rPr>
        <w:t>R1-1810068</w:t>
      </w:r>
      <w:r w:rsidR="00F42AA6">
        <w:rPr>
          <w:lang w:eastAsia="ja-JP"/>
        </w:rPr>
        <w:t>/</w:t>
      </w:r>
      <w:r w:rsidR="00F42AA6" w:rsidRPr="00F42AA6">
        <w:t xml:space="preserve"> </w:t>
      </w:r>
      <w:r w:rsidR="00F42AA6" w:rsidRPr="00F42AA6">
        <w:rPr>
          <w:lang w:eastAsia="ja-JP"/>
        </w:rPr>
        <w:t>R2-1813442</w:t>
      </w:r>
      <w:r w:rsidR="00F42AA6">
        <w:rPr>
          <w:lang w:eastAsia="ja-JP"/>
        </w:rPr>
        <w:tab/>
      </w:r>
      <w:r w:rsidR="00F42AA6" w:rsidRPr="00F42AA6">
        <w:rPr>
          <w:lang w:eastAsia="ja-JP"/>
        </w:rPr>
        <w:t>LS on intra-band combination for NR CA and MR-DC</w:t>
      </w:r>
      <w:r w:rsidR="00F42AA6">
        <w:rPr>
          <w:lang w:eastAsia="ja-JP"/>
        </w:rPr>
        <w:t xml:space="preserve">, </w:t>
      </w:r>
      <w:r w:rsidR="00F42AA6" w:rsidRPr="00F42AA6">
        <w:rPr>
          <w:lang w:eastAsia="ja-JP"/>
        </w:rPr>
        <w:t>RAN2</w:t>
      </w:r>
    </w:p>
    <w:p w14:paraId="29375199" w14:textId="05274E28" w:rsidR="00F42AA6" w:rsidRDefault="00F42AA6" w:rsidP="00F42AA6">
      <w:pPr>
        <w:rPr>
          <w:lang w:eastAsia="ja-JP"/>
        </w:rPr>
      </w:pPr>
      <w:r>
        <w:rPr>
          <w:lang w:eastAsia="ja-JP"/>
        </w:rPr>
        <w:t>[2]</w:t>
      </w:r>
      <w:r>
        <w:rPr>
          <w:lang w:eastAsia="ja-JP"/>
        </w:rPr>
        <w:tab/>
      </w:r>
      <w:r>
        <w:rPr>
          <w:lang w:eastAsia="ja-JP"/>
        </w:rPr>
        <w:tab/>
      </w:r>
      <w:r w:rsidRPr="00F42AA6">
        <w:rPr>
          <w:lang w:eastAsia="ja-JP"/>
        </w:rPr>
        <w:t>R1-1812028</w:t>
      </w:r>
      <w:r>
        <w:rPr>
          <w:lang w:eastAsia="ja-JP"/>
        </w:rPr>
        <w:tab/>
      </w:r>
      <w:r w:rsidRPr="00F42AA6">
        <w:rPr>
          <w:lang w:eastAsia="ja-JP"/>
        </w:rPr>
        <w:t>Reply LS on intra-band combination for NR CA and MR-DC</w:t>
      </w:r>
      <w:r>
        <w:rPr>
          <w:lang w:eastAsia="ja-JP"/>
        </w:rPr>
        <w:t>, RAN1</w:t>
      </w:r>
    </w:p>
    <w:p w14:paraId="4FEDF5CC" w14:textId="337DFC87" w:rsidR="00F42AA6" w:rsidRDefault="00F42AA6" w:rsidP="00F42AA6">
      <w:pPr>
        <w:rPr>
          <w:lang w:eastAsia="ja-JP"/>
        </w:rPr>
      </w:pPr>
      <w:r>
        <w:rPr>
          <w:lang w:eastAsia="ja-JP"/>
        </w:rPr>
        <w:t>[3]</w:t>
      </w:r>
      <w:r>
        <w:rPr>
          <w:lang w:eastAsia="ja-JP"/>
        </w:rPr>
        <w:tab/>
      </w:r>
      <w:r>
        <w:rPr>
          <w:lang w:eastAsia="ja-JP"/>
        </w:rPr>
        <w:tab/>
      </w:r>
      <w:r w:rsidR="001C6C9C">
        <w:rPr>
          <w:lang w:eastAsia="ja-JP"/>
        </w:rPr>
        <w:t>R4-</w:t>
      </w:r>
      <w:r w:rsidR="001C6C9C" w:rsidRPr="001C6C9C">
        <w:rPr>
          <w:lang w:eastAsia="ja-JP"/>
        </w:rPr>
        <w:t>1813862</w:t>
      </w:r>
      <w:r w:rsidR="001C6C9C">
        <w:rPr>
          <w:lang w:eastAsia="ja-JP"/>
        </w:rPr>
        <w:tab/>
      </w:r>
      <w:r w:rsidR="001C6C9C" w:rsidRPr="001C6C9C">
        <w:rPr>
          <w:lang w:eastAsia="ja-JP"/>
        </w:rPr>
        <w:t>Reply LS on intra-band combination for NR CA and MR-DC</w:t>
      </w:r>
      <w:r w:rsidR="001C6C9C">
        <w:rPr>
          <w:lang w:eastAsia="ja-JP"/>
        </w:rPr>
        <w:t xml:space="preserve">, </w:t>
      </w:r>
      <w:r w:rsidR="001C6C9C" w:rsidRPr="001C6C9C">
        <w:rPr>
          <w:lang w:eastAsia="ja-JP"/>
        </w:rPr>
        <w:t>RAN4</w:t>
      </w:r>
    </w:p>
    <w:p w14:paraId="034DA1C9" w14:textId="0B752E04" w:rsidR="00AD7DC9" w:rsidRPr="00D273A5" w:rsidRDefault="00AD7DC9" w:rsidP="00F42AA6">
      <w:pPr>
        <w:rPr>
          <w:lang w:eastAsia="ja-JP"/>
        </w:rPr>
      </w:pPr>
      <w:r>
        <w:rPr>
          <w:lang w:eastAsia="ja-JP"/>
        </w:rPr>
        <w:t>[4]</w:t>
      </w:r>
      <w:r>
        <w:rPr>
          <w:lang w:eastAsia="ja-JP"/>
        </w:rPr>
        <w:tab/>
      </w:r>
      <w:r>
        <w:rPr>
          <w:lang w:eastAsia="ja-JP"/>
        </w:rPr>
        <w:tab/>
      </w:r>
      <w:r w:rsidR="00F96E1E" w:rsidRPr="00F96E1E">
        <w:rPr>
          <w:lang w:eastAsia="ja-JP"/>
        </w:rPr>
        <w:t>R1-1809992</w:t>
      </w:r>
      <w:r w:rsidR="00F96E1E">
        <w:rPr>
          <w:lang w:eastAsia="ja-JP"/>
        </w:rPr>
        <w:tab/>
      </w:r>
      <w:r w:rsidR="00F96E1E" w:rsidRPr="00F96E1E">
        <w:rPr>
          <w:lang w:eastAsia="ja-JP"/>
        </w:rPr>
        <w:t>LS on NR-LTE Co-existence</w:t>
      </w:r>
      <w:r w:rsidR="00F96E1E">
        <w:rPr>
          <w:lang w:eastAsia="ja-JP"/>
        </w:rPr>
        <w:t xml:space="preserve">, </w:t>
      </w:r>
      <w:r w:rsidR="00F96E1E" w:rsidRPr="00F96E1E">
        <w:rPr>
          <w:lang w:eastAsia="ja-JP"/>
        </w:rPr>
        <w:t>RAN WG1</w:t>
      </w:r>
    </w:p>
    <w:p w14:paraId="61FC94DD" w14:textId="0C7FCE2E" w:rsidR="00593AB3" w:rsidRPr="00D273A5" w:rsidRDefault="00593AB3" w:rsidP="00593AB3">
      <w:pPr>
        <w:rPr>
          <w:lang w:eastAsia="ja-JP"/>
        </w:rPr>
      </w:pPr>
    </w:p>
    <w:p w14:paraId="691B52C8" w14:textId="2D3E209B" w:rsidR="000D2A48" w:rsidRPr="00593AB3" w:rsidRDefault="000D2A48" w:rsidP="00D273A5">
      <w:pPr>
        <w:rPr>
          <w:lang w:eastAsia="ja-JP"/>
        </w:rPr>
      </w:pPr>
    </w:p>
    <w:sectPr w:rsidR="000D2A48" w:rsidRPr="00593AB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2CE99" w14:textId="77777777" w:rsidR="00204402" w:rsidRDefault="00204402">
      <w:r>
        <w:separator/>
      </w:r>
    </w:p>
  </w:endnote>
  <w:endnote w:type="continuationSeparator" w:id="0">
    <w:p w14:paraId="63E08208" w14:textId="77777777" w:rsidR="00204402" w:rsidRDefault="00204402">
      <w:r>
        <w:continuationSeparator/>
      </w:r>
    </w:p>
  </w:endnote>
  <w:endnote w:type="continuationNotice" w:id="1">
    <w:p w14:paraId="31CCB6B6" w14:textId="77777777" w:rsidR="00204402" w:rsidRDefault="00204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680C5" w14:textId="77777777" w:rsidR="00204402" w:rsidRDefault="00204402">
      <w:r>
        <w:separator/>
      </w:r>
    </w:p>
  </w:footnote>
  <w:footnote w:type="continuationSeparator" w:id="0">
    <w:p w14:paraId="6B61A260" w14:textId="77777777" w:rsidR="00204402" w:rsidRDefault="00204402">
      <w:r>
        <w:continuationSeparator/>
      </w:r>
    </w:p>
  </w:footnote>
  <w:footnote w:type="continuationNotice" w:id="1">
    <w:p w14:paraId="462AE31F" w14:textId="77777777" w:rsidR="00204402" w:rsidRDefault="002044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6"/>
  </w:num>
  <w:num w:numId="4">
    <w:abstractNumId w:val="24"/>
  </w:num>
  <w:num w:numId="5">
    <w:abstractNumId w:val="18"/>
  </w:num>
  <w:num w:numId="6">
    <w:abstractNumId w:val="19"/>
  </w:num>
  <w:num w:numId="7">
    <w:abstractNumId w:val="17"/>
  </w:num>
  <w:num w:numId="8">
    <w:abstractNumId w:val="27"/>
  </w:num>
  <w:num w:numId="9">
    <w:abstractNumId w:val="23"/>
  </w:num>
  <w:num w:numId="10">
    <w:abstractNumId w:val="10"/>
  </w:num>
  <w:num w:numId="11">
    <w:abstractNumId w:val="15"/>
  </w:num>
  <w:num w:numId="12">
    <w:abstractNumId w:val="5"/>
  </w:num>
  <w:num w:numId="13">
    <w:abstractNumId w:val="7"/>
  </w:num>
  <w:num w:numId="14">
    <w:abstractNumId w:val="8"/>
  </w:num>
  <w:num w:numId="15">
    <w:abstractNumId w:val="11"/>
  </w:num>
  <w:num w:numId="16">
    <w:abstractNumId w:val="14"/>
  </w:num>
  <w:num w:numId="17">
    <w:abstractNumId w:val="2"/>
  </w:num>
  <w:num w:numId="18">
    <w:abstractNumId w:val="6"/>
  </w:num>
  <w:num w:numId="19">
    <w:abstractNumId w:val="2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9"/>
  </w:num>
  <w:num w:numId="24">
    <w:abstractNumId w:val="13"/>
  </w:num>
  <w:num w:numId="25">
    <w:abstractNumId w:val="25"/>
  </w:num>
  <w:num w:numId="26">
    <w:abstractNumId w:val="12"/>
  </w:num>
  <w:num w:numId="27">
    <w:abstractNumId w:val="4"/>
  </w:num>
  <w:num w:numId="28">
    <w:abstractNumId w:val="20"/>
  </w:num>
  <w:num w:numId="29">
    <w:abstractNumId w:val="3"/>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43E"/>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67C"/>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A8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5BB7"/>
    <w:rsid w:val="0007690F"/>
    <w:rsid w:val="00077F75"/>
    <w:rsid w:val="000803A0"/>
    <w:rsid w:val="0008051A"/>
    <w:rsid w:val="00080BF7"/>
    <w:rsid w:val="00081405"/>
    <w:rsid w:val="00083B28"/>
    <w:rsid w:val="00083C62"/>
    <w:rsid w:val="00084EF4"/>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9F0"/>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088"/>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498F"/>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5F9A"/>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5881"/>
    <w:rsid w:val="0017645C"/>
    <w:rsid w:val="00176909"/>
    <w:rsid w:val="00176C74"/>
    <w:rsid w:val="0017708B"/>
    <w:rsid w:val="00177951"/>
    <w:rsid w:val="0017796A"/>
    <w:rsid w:val="00177D5C"/>
    <w:rsid w:val="00177E50"/>
    <w:rsid w:val="00177F56"/>
    <w:rsid w:val="00180010"/>
    <w:rsid w:val="00180053"/>
    <w:rsid w:val="0018034C"/>
    <w:rsid w:val="00181E2B"/>
    <w:rsid w:val="001822B3"/>
    <w:rsid w:val="0018256D"/>
    <w:rsid w:val="0018259F"/>
    <w:rsid w:val="001827CC"/>
    <w:rsid w:val="00182A0D"/>
    <w:rsid w:val="00182E76"/>
    <w:rsid w:val="00182F10"/>
    <w:rsid w:val="00183562"/>
    <w:rsid w:val="00184315"/>
    <w:rsid w:val="00184741"/>
    <w:rsid w:val="00184C86"/>
    <w:rsid w:val="00184CFE"/>
    <w:rsid w:val="00185353"/>
    <w:rsid w:val="00185557"/>
    <w:rsid w:val="0018574D"/>
    <w:rsid w:val="00185992"/>
    <w:rsid w:val="00186179"/>
    <w:rsid w:val="001863D2"/>
    <w:rsid w:val="001863E3"/>
    <w:rsid w:val="001866E9"/>
    <w:rsid w:val="00187151"/>
    <w:rsid w:val="00187695"/>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232"/>
    <w:rsid w:val="001A23B0"/>
    <w:rsid w:val="001A26B8"/>
    <w:rsid w:val="001A27EC"/>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C69"/>
    <w:rsid w:val="001B4F38"/>
    <w:rsid w:val="001B4F90"/>
    <w:rsid w:val="001B4FDE"/>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C6C9C"/>
    <w:rsid w:val="001D03A0"/>
    <w:rsid w:val="001D0C92"/>
    <w:rsid w:val="001D0EC7"/>
    <w:rsid w:val="001D0F86"/>
    <w:rsid w:val="001D1CBC"/>
    <w:rsid w:val="001D1FE4"/>
    <w:rsid w:val="001D2E8A"/>
    <w:rsid w:val="001D2F73"/>
    <w:rsid w:val="001D324D"/>
    <w:rsid w:val="001D3366"/>
    <w:rsid w:val="001D3D83"/>
    <w:rsid w:val="001D3E8C"/>
    <w:rsid w:val="001D4229"/>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3E5"/>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402"/>
    <w:rsid w:val="002046E4"/>
    <w:rsid w:val="00204B32"/>
    <w:rsid w:val="00204B54"/>
    <w:rsid w:val="002067F3"/>
    <w:rsid w:val="0020685A"/>
    <w:rsid w:val="00206919"/>
    <w:rsid w:val="00206948"/>
    <w:rsid w:val="00206AB0"/>
    <w:rsid w:val="00206AEB"/>
    <w:rsid w:val="00206B58"/>
    <w:rsid w:val="0020727C"/>
    <w:rsid w:val="00207B8F"/>
    <w:rsid w:val="00207C92"/>
    <w:rsid w:val="00207F36"/>
    <w:rsid w:val="00210E5F"/>
    <w:rsid w:val="00210FF7"/>
    <w:rsid w:val="00212D25"/>
    <w:rsid w:val="00213655"/>
    <w:rsid w:val="00213CA5"/>
    <w:rsid w:val="002146DA"/>
    <w:rsid w:val="00214A85"/>
    <w:rsid w:val="00214EAF"/>
    <w:rsid w:val="00215A3B"/>
    <w:rsid w:val="002160D0"/>
    <w:rsid w:val="00216CE3"/>
    <w:rsid w:val="00216FE8"/>
    <w:rsid w:val="00217133"/>
    <w:rsid w:val="00217380"/>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5D3E"/>
    <w:rsid w:val="0022667B"/>
    <w:rsid w:val="00226787"/>
    <w:rsid w:val="00226D0C"/>
    <w:rsid w:val="00227035"/>
    <w:rsid w:val="00230070"/>
    <w:rsid w:val="0023094B"/>
    <w:rsid w:val="00230F0D"/>
    <w:rsid w:val="00231AF0"/>
    <w:rsid w:val="00233541"/>
    <w:rsid w:val="00233F0C"/>
    <w:rsid w:val="00234680"/>
    <w:rsid w:val="00234923"/>
    <w:rsid w:val="00234A34"/>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54B"/>
    <w:rsid w:val="00241E1F"/>
    <w:rsid w:val="00242940"/>
    <w:rsid w:val="002436DF"/>
    <w:rsid w:val="00243AD9"/>
    <w:rsid w:val="00245839"/>
    <w:rsid w:val="00245E25"/>
    <w:rsid w:val="00245F97"/>
    <w:rsid w:val="002462CF"/>
    <w:rsid w:val="00246464"/>
    <w:rsid w:val="00246958"/>
    <w:rsid w:val="00246AA4"/>
    <w:rsid w:val="0024783E"/>
    <w:rsid w:val="0024790A"/>
    <w:rsid w:val="00247B93"/>
    <w:rsid w:val="00247C3A"/>
    <w:rsid w:val="00251467"/>
    <w:rsid w:val="002515B9"/>
    <w:rsid w:val="002519E5"/>
    <w:rsid w:val="00251A8E"/>
    <w:rsid w:val="00251B56"/>
    <w:rsid w:val="00252069"/>
    <w:rsid w:val="0025258A"/>
    <w:rsid w:val="00252C20"/>
    <w:rsid w:val="00253199"/>
    <w:rsid w:val="002534B1"/>
    <w:rsid w:val="002536ED"/>
    <w:rsid w:val="00253B10"/>
    <w:rsid w:val="002540DF"/>
    <w:rsid w:val="002541CB"/>
    <w:rsid w:val="00254F65"/>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1F4"/>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298"/>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07E"/>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BCD"/>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A41"/>
    <w:rsid w:val="002B5D46"/>
    <w:rsid w:val="002B5E92"/>
    <w:rsid w:val="002B5F5B"/>
    <w:rsid w:val="002B5FC1"/>
    <w:rsid w:val="002B65B1"/>
    <w:rsid w:val="002B65BF"/>
    <w:rsid w:val="002B68E2"/>
    <w:rsid w:val="002B6EE6"/>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971"/>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8C6"/>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2F783A"/>
    <w:rsid w:val="003001F4"/>
    <w:rsid w:val="003003B0"/>
    <w:rsid w:val="003004B5"/>
    <w:rsid w:val="00300729"/>
    <w:rsid w:val="0030093F"/>
    <w:rsid w:val="003009BB"/>
    <w:rsid w:val="00301BCA"/>
    <w:rsid w:val="00301CC9"/>
    <w:rsid w:val="00302A40"/>
    <w:rsid w:val="00302B51"/>
    <w:rsid w:val="00303142"/>
    <w:rsid w:val="003031EC"/>
    <w:rsid w:val="00303A58"/>
    <w:rsid w:val="00303CCD"/>
    <w:rsid w:val="003045FC"/>
    <w:rsid w:val="003046F4"/>
    <w:rsid w:val="00304C1C"/>
    <w:rsid w:val="00304E10"/>
    <w:rsid w:val="0030520F"/>
    <w:rsid w:val="0030530B"/>
    <w:rsid w:val="0030540E"/>
    <w:rsid w:val="0030583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3A17"/>
    <w:rsid w:val="00323C80"/>
    <w:rsid w:val="0032413E"/>
    <w:rsid w:val="00324D71"/>
    <w:rsid w:val="003254D9"/>
    <w:rsid w:val="00325773"/>
    <w:rsid w:val="00325C5E"/>
    <w:rsid w:val="003265CB"/>
    <w:rsid w:val="00326862"/>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9C"/>
    <w:rsid w:val="003351C5"/>
    <w:rsid w:val="00335411"/>
    <w:rsid w:val="003355AE"/>
    <w:rsid w:val="003360CF"/>
    <w:rsid w:val="00336266"/>
    <w:rsid w:val="003362C0"/>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9B5"/>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844"/>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D17"/>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0AA"/>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E5E"/>
    <w:rsid w:val="004429BF"/>
    <w:rsid w:val="00442BFF"/>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87B"/>
    <w:rsid w:val="0045394B"/>
    <w:rsid w:val="00453E7E"/>
    <w:rsid w:val="00454111"/>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6E"/>
    <w:rsid w:val="00470BFF"/>
    <w:rsid w:val="00471926"/>
    <w:rsid w:val="00471CC5"/>
    <w:rsid w:val="0047412A"/>
    <w:rsid w:val="00474496"/>
    <w:rsid w:val="004746EB"/>
    <w:rsid w:val="004751BE"/>
    <w:rsid w:val="004755DD"/>
    <w:rsid w:val="0047561D"/>
    <w:rsid w:val="004768D1"/>
    <w:rsid w:val="0047719C"/>
    <w:rsid w:val="004771A6"/>
    <w:rsid w:val="004773B4"/>
    <w:rsid w:val="00480888"/>
    <w:rsid w:val="0048098F"/>
    <w:rsid w:val="004809EC"/>
    <w:rsid w:val="00480CB7"/>
    <w:rsid w:val="0048150E"/>
    <w:rsid w:val="00481980"/>
    <w:rsid w:val="00481BAE"/>
    <w:rsid w:val="004827F1"/>
    <w:rsid w:val="00482967"/>
    <w:rsid w:val="0048299E"/>
    <w:rsid w:val="00482F87"/>
    <w:rsid w:val="004833F8"/>
    <w:rsid w:val="00483CBA"/>
    <w:rsid w:val="00483F2C"/>
    <w:rsid w:val="00483FCE"/>
    <w:rsid w:val="00483FE1"/>
    <w:rsid w:val="004842E1"/>
    <w:rsid w:val="004846F9"/>
    <w:rsid w:val="00484A69"/>
    <w:rsid w:val="00484D5B"/>
    <w:rsid w:val="00484E57"/>
    <w:rsid w:val="00484ED4"/>
    <w:rsid w:val="00484FB2"/>
    <w:rsid w:val="004850B7"/>
    <w:rsid w:val="004856A5"/>
    <w:rsid w:val="00485CDE"/>
    <w:rsid w:val="004862CD"/>
    <w:rsid w:val="00486A50"/>
    <w:rsid w:val="00486B52"/>
    <w:rsid w:val="00486E13"/>
    <w:rsid w:val="00486E6A"/>
    <w:rsid w:val="00490537"/>
    <w:rsid w:val="004908B6"/>
    <w:rsid w:val="0049183B"/>
    <w:rsid w:val="00491C0C"/>
    <w:rsid w:val="00491F76"/>
    <w:rsid w:val="00492071"/>
    <w:rsid w:val="0049256A"/>
    <w:rsid w:val="00492595"/>
    <w:rsid w:val="00492AF0"/>
    <w:rsid w:val="00492B79"/>
    <w:rsid w:val="00492C30"/>
    <w:rsid w:val="00493151"/>
    <w:rsid w:val="004932F4"/>
    <w:rsid w:val="00493991"/>
    <w:rsid w:val="004943E8"/>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97EFA"/>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C7DE3"/>
    <w:rsid w:val="004D041B"/>
    <w:rsid w:val="004D0459"/>
    <w:rsid w:val="004D08BA"/>
    <w:rsid w:val="004D099D"/>
    <w:rsid w:val="004D14BC"/>
    <w:rsid w:val="004D2467"/>
    <w:rsid w:val="004D28B5"/>
    <w:rsid w:val="004D2E19"/>
    <w:rsid w:val="004D3B5D"/>
    <w:rsid w:val="004D3CEE"/>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6D50"/>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31A"/>
    <w:rsid w:val="00557750"/>
    <w:rsid w:val="005605DB"/>
    <w:rsid w:val="0056094F"/>
    <w:rsid w:val="00561704"/>
    <w:rsid w:val="00561EA0"/>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1BA"/>
    <w:rsid w:val="0058730F"/>
    <w:rsid w:val="00587511"/>
    <w:rsid w:val="00587CED"/>
    <w:rsid w:val="00590185"/>
    <w:rsid w:val="00591F01"/>
    <w:rsid w:val="0059241B"/>
    <w:rsid w:val="0059248B"/>
    <w:rsid w:val="00592C6F"/>
    <w:rsid w:val="00593189"/>
    <w:rsid w:val="005932E3"/>
    <w:rsid w:val="00593A48"/>
    <w:rsid w:val="00593AB3"/>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BF8"/>
    <w:rsid w:val="005B6FF8"/>
    <w:rsid w:val="005B7553"/>
    <w:rsid w:val="005C0202"/>
    <w:rsid w:val="005C0624"/>
    <w:rsid w:val="005C0E13"/>
    <w:rsid w:val="005C12F9"/>
    <w:rsid w:val="005C1729"/>
    <w:rsid w:val="005C1F7B"/>
    <w:rsid w:val="005C23EF"/>
    <w:rsid w:val="005C2665"/>
    <w:rsid w:val="005C2D1B"/>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6CEC"/>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5D64"/>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D72"/>
    <w:rsid w:val="00632F59"/>
    <w:rsid w:val="00633113"/>
    <w:rsid w:val="0063393B"/>
    <w:rsid w:val="00633BC0"/>
    <w:rsid w:val="006348C9"/>
    <w:rsid w:val="00635C58"/>
    <w:rsid w:val="006366BA"/>
    <w:rsid w:val="00636FD4"/>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8C0"/>
    <w:rsid w:val="006979C6"/>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DD"/>
    <w:rsid w:val="007117F4"/>
    <w:rsid w:val="00711CD3"/>
    <w:rsid w:val="0071213A"/>
    <w:rsid w:val="0071221F"/>
    <w:rsid w:val="0071246C"/>
    <w:rsid w:val="007130F8"/>
    <w:rsid w:val="00713844"/>
    <w:rsid w:val="00713D13"/>
    <w:rsid w:val="007144E3"/>
    <w:rsid w:val="007147FE"/>
    <w:rsid w:val="00714FAC"/>
    <w:rsid w:val="00715200"/>
    <w:rsid w:val="00715431"/>
    <w:rsid w:val="00715D4D"/>
    <w:rsid w:val="00716692"/>
    <w:rsid w:val="00717659"/>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0D9"/>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DC4"/>
    <w:rsid w:val="007A2EE3"/>
    <w:rsid w:val="007A36B7"/>
    <w:rsid w:val="007A38AF"/>
    <w:rsid w:val="007A3A2C"/>
    <w:rsid w:val="007A3F36"/>
    <w:rsid w:val="007A4605"/>
    <w:rsid w:val="007A515F"/>
    <w:rsid w:val="007A5625"/>
    <w:rsid w:val="007A57C4"/>
    <w:rsid w:val="007A5893"/>
    <w:rsid w:val="007A5BBC"/>
    <w:rsid w:val="007A6230"/>
    <w:rsid w:val="007A7806"/>
    <w:rsid w:val="007B0242"/>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B7723"/>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8A2"/>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0"/>
    <w:rsid w:val="0081489D"/>
    <w:rsid w:val="00814C8F"/>
    <w:rsid w:val="00814D5B"/>
    <w:rsid w:val="00815067"/>
    <w:rsid w:val="008150E9"/>
    <w:rsid w:val="008155F3"/>
    <w:rsid w:val="008157A4"/>
    <w:rsid w:val="00815DE1"/>
    <w:rsid w:val="00816174"/>
    <w:rsid w:val="00816300"/>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376A"/>
    <w:rsid w:val="00824922"/>
    <w:rsid w:val="00824BC3"/>
    <w:rsid w:val="00824D83"/>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127"/>
    <w:rsid w:val="008427C8"/>
    <w:rsid w:val="00842EF7"/>
    <w:rsid w:val="008430BD"/>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3E2"/>
    <w:rsid w:val="00863B7A"/>
    <w:rsid w:val="00863EA9"/>
    <w:rsid w:val="008648AC"/>
    <w:rsid w:val="00864D62"/>
    <w:rsid w:val="00865421"/>
    <w:rsid w:val="008654A5"/>
    <w:rsid w:val="0086589B"/>
    <w:rsid w:val="00865B62"/>
    <w:rsid w:val="00865D23"/>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ACE"/>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6B6"/>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5DC5"/>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107"/>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A8"/>
    <w:rsid w:val="00905D64"/>
    <w:rsid w:val="009061A5"/>
    <w:rsid w:val="0090623F"/>
    <w:rsid w:val="009062AF"/>
    <w:rsid w:val="0090737E"/>
    <w:rsid w:val="00910A04"/>
    <w:rsid w:val="00910AB7"/>
    <w:rsid w:val="00910EBE"/>
    <w:rsid w:val="009128B1"/>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194"/>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4D09"/>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0A7"/>
    <w:rsid w:val="00975B28"/>
    <w:rsid w:val="00975D8B"/>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36F"/>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18"/>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BDD"/>
    <w:rsid w:val="009C7C42"/>
    <w:rsid w:val="009C7D94"/>
    <w:rsid w:val="009D0794"/>
    <w:rsid w:val="009D173D"/>
    <w:rsid w:val="009D2843"/>
    <w:rsid w:val="009D3407"/>
    <w:rsid w:val="009D3719"/>
    <w:rsid w:val="009D3F2C"/>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871"/>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7F4"/>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A1E"/>
    <w:rsid w:val="00A10D84"/>
    <w:rsid w:val="00A115BD"/>
    <w:rsid w:val="00A11FB6"/>
    <w:rsid w:val="00A120D0"/>
    <w:rsid w:val="00A1241B"/>
    <w:rsid w:val="00A12D4A"/>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1AD4"/>
    <w:rsid w:val="00A22C84"/>
    <w:rsid w:val="00A2375D"/>
    <w:rsid w:val="00A237EB"/>
    <w:rsid w:val="00A237F3"/>
    <w:rsid w:val="00A239D1"/>
    <w:rsid w:val="00A2523C"/>
    <w:rsid w:val="00A25653"/>
    <w:rsid w:val="00A25981"/>
    <w:rsid w:val="00A26FB8"/>
    <w:rsid w:val="00A27DE7"/>
    <w:rsid w:val="00A302DC"/>
    <w:rsid w:val="00A3032D"/>
    <w:rsid w:val="00A31D7C"/>
    <w:rsid w:val="00A31E58"/>
    <w:rsid w:val="00A32316"/>
    <w:rsid w:val="00A323DC"/>
    <w:rsid w:val="00A32E20"/>
    <w:rsid w:val="00A333EF"/>
    <w:rsid w:val="00A33C1C"/>
    <w:rsid w:val="00A3401C"/>
    <w:rsid w:val="00A341AF"/>
    <w:rsid w:val="00A34230"/>
    <w:rsid w:val="00A347F9"/>
    <w:rsid w:val="00A34FDD"/>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784"/>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A0"/>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67B66"/>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0F48"/>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37"/>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DC9"/>
    <w:rsid w:val="00AD7F3E"/>
    <w:rsid w:val="00AE03AD"/>
    <w:rsid w:val="00AE1009"/>
    <w:rsid w:val="00AE1010"/>
    <w:rsid w:val="00AE14F5"/>
    <w:rsid w:val="00AE1696"/>
    <w:rsid w:val="00AE1BA6"/>
    <w:rsid w:val="00AE1EDC"/>
    <w:rsid w:val="00AE1F79"/>
    <w:rsid w:val="00AE202F"/>
    <w:rsid w:val="00AE2702"/>
    <w:rsid w:val="00AE2D6C"/>
    <w:rsid w:val="00AE30C7"/>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1B58"/>
    <w:rsid w:val="00B02772"/>
    <w:rsid w:val="00B02F57"/>
    <w:rsid w:val="00B03112"/>
    <w:rsid w:val="00B0328C"/>
    <w:rsid w:val="00B03424"/>
    <w:rsid w:val="00B036F7"/>
    <w:rsid w:val="00B043A3"/>
    <w:rsid w:val="00B049DD"/>
    <w:rsid w:val="00B04C1C"/>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69"/>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CD6"/>
    <w:rsid w:val="00BA3DD4"/>
    <w:rsid w:val="00BA3E6D"/>
    <w:rsid w:val="00BA4C5D"/>
    <w:rsid w:val="00BA4E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1C26"/>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255"/>
    <w:rsid w:val="00BE379F"/>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07E9E"/>
    <w:rsid w:val="00C1087F"/>
    <w:rsid w:val="00C1093A"/>
    <w:rsid w:val="00C1139F"/>
    <w:rsid w:val="00C11713"/>
    <w:rsid w:val="00C1293B"/>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125"/>
    <w:rsid w:val="00C2144E"/>
    <w:rsid w:val="00C215C8"/>
    <w:rsid w:val="00C218A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B89"/>
    <w:rsid w:val="00C32E4B"/>
    <w:rsid w:val="00C333CE"/>
    <w:rsid w:val="00C3363F"/>
    <w:rsid w:val="00C33A96"/>
    <w:rsid w:val="00C33D32"/>
    <w:rsid w:val="00C35A08"/>
    <w:rsid w:val="00C35E01"/>
    <w:rsid w:val="00C3624E"/>
    <w:rsid w:val="00C36423"/>
    <w:rsid w:val="00C3692F"/>
    <w:rsid w:val="00C371E0"/>
    <w:rsid w:val="00C372EC"/>
    <w:rsid w:val="00C372FA"/>
    <w:rsid w:val="00C37417"/>
    <w:rsid w:val="00C375F2"/>
    <w:rsid w:val="00C37925"/>
    <w:rsid w:val="00C37BD6"/>
    <w:rsid w:val="00C40A4E"/>
    <w:rsid w:val="00C40DC6"/>
    <w:rsid w:val="00C41072"/>
    <w:rsid w:val="00C41BD3"/>
    <w:rsid w:val="00C4204A"/>
    <w:rsid w:val="00C4267C"/>
    <w:rsid w:val="00C429BD"/>
    <w:rsid w:val="00C42B56"/>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5FF8"/>
    <w:rsid w:val="00C56275"/>
    <w:rsid w:val="00C5699C"/>
    <w:rsid w:val="00C56A8C"/>
    <w:rsid w:val="00C5702F"/>
    <w:rsid w:val="00C57492"/>
    <w:rsid w:val="00C57939"/>
    <w:rsid w:val="00C57D30"/>
    <w:rsid w:val="00C6067F"/>
    <w:rsid w:val="00C606C4"/>
    <w:rsid w:val="00C61087"/>
    <w:rsid w:val="00C61094"/>
    <w:rsid w:val="00C62346"/>
    <w:rsid w:val="00C632DB"/>
    <w:rsid w:val="00C6340C"/>
    <w:rsid w:val="00C63496"/>
    <w:rsid w:val="00C63952"/>
    <w:rsid w:val="00C6409C"/>
    <w:rsid w:val="00C64224"/>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873"/>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D41"/>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1CC"/>
    <w:rsid w:val="00CD0924"/>
    <w:rsid w:val="00CD0973"/>
    <w:rsid w:val="00CD0B9F"/>
    <w:rsid w:val="00CD1087"/>
    <w:rsid w:val="00CD141D"/>
    <w:rsid w:val="00CD1771"/>
    <w:rsid w:val="00CD19E5"/>
    <w:rsid w:val="00CD2476"/>
    <w:rsid w:val="00CD29EB"/>
    <w:rsid w:val="00CD2E0E"/>
    <w:rsid w:val="00CD366C"/>
    <w:rsid w:val="00CD36C5"/>
    <w:rsid w:val="00CD44DF"/>
    <w:rsid w:val="00CD4F79"/>
    <w:rsid w:val="00CD535C"/>
    <w:rsid w:val="00CD5C6C"/>
    <w:rsid w:val="00CD5EDC"/>
    <w:rsid w:val="00CD6191"/>
    <w:rsid w:val="00CD7FFC"/>
    <w:rsid w:val="00CE00C9"/>
    <w:rsid w:val="00CE08D4"/>
    <w:rsid w:val="00CE0DB7"/>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BDC"/>
    <w:rsid w:val="00CE7F3D"/>
    <w:rsid w:val="00CF0266"/>
    <w:rsid w:val="00CF1C82"/>
    <w:rsid w:val="00CF2D93"/>
    <w:rsid w:val="00CF33D8"/>
    <w:rsid w:val="00CF3A17"/>
    <w:rsid w:val="00CF40DF"/>
    <w:rsid w:val="00CF4706"/>
    <w:rsid w:val="00CF4EF7"/>
    <w:rsid w:val="00CF5536"/>
    <w:rsid w:val="00CF56E5"/>
    <w:rsid w:val="00CF59EF"/>
    <w:rsid w:val="00CF6647"/>
    <w:rsid w:val="00CF66EC"/>
    <w:rsid w:val="00CF6834"/>
    <w:rsid w:val="00CF6DF8"/>
    <w:rsid w:val="00CF6ED5"/>
    <w:rsid w:val="00CF6FD1"/>
    <w:rsid w:val="00CF7117"/>
    <w:rsid w:val="00D01488"/>
    <w:rsid w:val="00D01E06"/>
    <w:rsid w:val="00D01EE5"/>
    <w:rsid w:val="00D02669"/>
    <w:rsid w:val="00D027AE"/>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389"/>
    <w:rsid w:val="00D267FD"/>
    <w:rsid w:val="00D27138"/>
    <w:rsid w:val="00D271BF"/>
    <w:rsid w:val="00D273A5"/>
    <w:rsid w:val="00D273D2"/>
    <w:rsid w:val="00D276A2"/>
    <w:rsid w:val="00D276AC"/>
    <w:rsid w:val="00D27B0A"/>
    <w:rsid w:val="00D27E59"/>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797"/>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0DEB"/>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B64"/>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5C9"/>
    <w:rsid w:val="00DA7DC6"/>
    <w:rsid w:val="00DB02BA"/>
    <w:rsid w:val="00DB1C8E"/>
    <w:rsid w:val="00DB20DB"/>
    <w:rsid w:val="00DB233C"/>
    <w:rsid w:val="00DB2AD0"/>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453"/>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01C"/>
    <w:rsid w:val="00DD74A3"/>
    <w:rsid w:val="00DD7D8B"/>
    <w:rsid w:val="00DE0833"/>
    <w:rsid w:val="00DE1289"/>
    <w:rsid w:val="00DE145B"/>
    <w:rsid w:val="00DE178B"/>
    <w:rsid w:val="00DE2753"/>
    <w:rsid w:val="00DE2CF7"/>
    <w:rsid w:val="00DE35C1"/>
    <w:rsid w:val="00DE3A56"/>
    <w:rsid w:val="00DE3B5C"/>
    <w:rsid w:val="00DE4008"/>
    <w:rsid w:val="00DE4942"/>
    <w:rsid w:val="00DE4F6A"/>
    <w:rsid w:val="00DE51E4"/>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3EE"/>
    <w:rsid w:val="00E2579A"/>
    <w:rsid w:val="00E25DF0"/>
    <w:rsid w:val="00E2647D"/>
    <w:rsid w:val="00E26C37"/>
    <w:rsid w:val="00E3001D"/>
    <w:rsid w:val="00E3002C"/>
    <w:rsid w:val="00E3033C"/>
    <w:rsid w:val="00E31003"/>
    <w:rsid w:val="00E312C2"/>
    <w:rsid w:val="00E324A8"/>
    <w:rsid w:val="00E32650"/>
    <w:rsid w:val="00E332A9"/>
    <w:rsid w:val="00E33AA3"/>
    <w:rsid w:val="00E33B12"/>
    <w:rsid w:val="00E34624"/>
    <w:rsid w:val="00E3475E"/>
    <w:rsid w:val="00E34AD5"/>
    <w:rsid w:val="00E36085"/>
    <w:rsid w:val="00E36561"/>
    <w:rsid w:val="00E36703"/>
    <w:rsid w:val="00E36995"/>
    <w:rsid w:val="00E36F9E"/>
    <w:rsid w:val="00E3756A"/>
    <w:rsid w:val="00E37A74"/>
    <w:rsid w:val="00E409FD"/>
    <w:rsid w:val="00E41D04"/>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D66"/>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0F1"/>
    <w:rsid w:val="00E91573"/>
    <w:rsid w:val="00E91620"/>
    <w:rsid w:val="00E91B2D"/>
    <w:rsid w:val="00E9229C"/>
    <w:rsid w:val="00E92489"/>
    <w:rsid w:val="00E929E2"/>
    <w:rsid w:val="00E92A93"/>
    <w:rsid w:val="00E92C7B"/>
    <w:rsid w:val="00E92EA2"/>
    <w:rsid w:val="00E92F78"/>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0C"/>
    <w:rsid w:val="00EB1B19"/>
    <w:rsid w:val="00EB1CB1"/>
    <w:rsid w:val="00EB20A2"/>
    <w:rsid w:val="00EB269A"/>
    <w:rsid w:val="00EB28EC"/>
    <w:rsid w:val="00EB3364"/>
    <w:rsid w:val="00EB3442"/>
    <w:rsid w:val="00EB3F2A"/>
    <w:rsid w:val="00EB43A0"/>
    <w:rsid w:val="00EB4505"/>
    <w:rsid w:val="00EB468C"/>
    <w:rsid w:val="00EB5145"/>
    <w:rsid w:val="00EB5475"/>
    <w:rsid w:val="00EB5FEB"/>
    <w:rsid w:val="00EB6058"/>
    <w:rsid w:val="00EB6A4B"/>
    <w:rsid w:val="00EB6EFB"/>
    <w:rsid w:val="00EB72D8"/>
    <w:rsid w:val="00EB734D"/>
    <w:rsid w:val="00EB7791"/>
    <w:rsid w:val="00EB780D"/>
    <w:rsid w:val="00EB7E6A"/>
    <w:rsid w:val="00EC029B"/>
    <w:rsid w:val="00EC089D"/>
    <w:rsid w:val="00EC0D21"/>
    <w:rsid w:val="00EC0F33"/>
    <w:rsid w:val="00EC1A23"/>
    <w:rsid w:val="00EC1A42"/>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5DD"/>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2B80"/>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AD2"/>
    <w:rsid w:val="00F05100"/>
    <w:rsid w:val="00F0511B"/>
    <w:rsid w:val="00F05667"/>
    <w:rsid w:val="00F05690"/>
    <w:rsid w:val="00F0590D"/>
    <w:rsid w:val="00F060DC"/>
    <w:rsid w:val="00F06429"/>
    <w:rsid w:val="00F06B2D"/>
    <w:rsid w:val="00F07353"/>
    <w:rsid w:val="00F07420"/>
    <w:rsid w:val="00F07645"/>
    <w:rsid w:val="00F079C3"/>
    <w:rsid w:val="00F10AE7"/>
    <w:rsid w:val="00F10BC9"/>
    <w:rsid w:val="00F10CC9"/>
    <w:rsid w:val="00F10DDF"/>
    <w:rsid w:val="00F10F69"/>
    <w:rsid w:val="00F110EB"/>
    <w:rsid w:val="00F11324"/>
    <w:rsid w:val="00F11C8F"/>
    <w:rsid w:val="00F121F6"/>
    <w:rsid w:val="00F124C1"/>
    <w:rsid w:val="00F12A02"/>
    <w:rsid w:val="00F13A3F"/>
    <w:rsid w:val="00F14C76"/>
    <w:rsid w:val="00F1539E"/>
    <w:rsid w:val="00F1567D"/>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05AB"/>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378"/>
    <w:rsid w:val="00F4142D"/>
    <w:rsid w:val="00F417F5"/>
    <w:rsid w:val="00F418BA"/>
    <w:rsid w:val="00F41EA6"/>
    <w:rsid w:val="00F427A4"/>
    <w:rsid w:val="00F42AA6"/>
    <w:rsid w:val="00F42BB1"/>
    <w:rsid w:val="00F432A4"/>
    <w:rsid w:val="00F4388C"/>
    <w:rsid w:val="00F44265"/>
    <w:rsid w:val="00F44EFB"/>
    <w:rsid w:val="00F450AC"/>
    <w:rsid w:val="00F457FD"/>
    <w:rsid w:val="00F45EE0"/>
    <w:rsid w:val="00F46151"/>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4F8"/>
    <w:rsid w:val="00F73533"/>
    <w:rsid w:val="00F73AF4"/>
    <w:rsid w:val="00F748CE"/>
    <w:rsid w:val="00F74C1E"/>
    <w:rsid w:val="00F75C00"/>
    <w:rsid w:val="00F75FA1"/>
    <w:rsid w:val="00F77073"/>
    <w:rsid w:val="00F7767B"/>
    <w:rsid w:val="00F7791F"/>
    <w:rsid w:val="00F807A8"/>
    <w:rsid w:val="00F80EF6"/>
    <w:rsid w:val="00F81916"/>
    <w:rsid w:val="00F82144"/>
    <w:rsid w:val="00F8251D"/>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E1E"/>
    <w:rsid w:val="00F97137"/>
    <w:rsid w:val="00F97530"/>
    <w:rsid w:val="00F97D83"/>
    <w:rsid w:val="00FA1251"/>
    <w:rsid w:val="00FA1539"/>
    <w:rsid w:val="00FA19B3"/>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5F5"/>
    <w:rsid w:val="00FC2627"/>
    <w:rsid w:val="00FC29CF"/>
    <w:rsid w:val="00FC2F14"/>
    <w:rsid w:val="00FC3BD6"/>
    <w:rsid w:val="00FC407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9B0"/>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列出段落 (文字),Lista1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9380113">
      <w:bodyDiv w:val="1"/>
      <w:marLeft w:val="0"/>
      <w:marRight w:val="0"/>
      <w:marTop w:val="0"/>
      <w:marBottom w:val="0"/>
      <w:divBdr>
        <w:top w:val="none" w:sz="0" w:space="0" w:color="auto"/>
        <w:left w:val="none" w:sz="0" w:space="0" w:color="auto"/>
        <w:bottom w:val="none" w:sz="0" w:space="0" w:color="auto"/>
        <w:right w:val="none" w:sz="0" w:space="0" w:color="auto"/>
      </w:divBdr>
    </w:div>
    <w:div w:id="100271390">
      <w:bodyDiv w:val="1"/>
      <w:marLeft w:val="0"/>
      <w:marRight w:val="0"/>
      <w:marTop w:val="0"/>
      <w:marBottom w:val="0"/>
      <w:divBdr>
        <w:top w:val="none" w:sz="0" w:space="0" w:color="auto"/>
        <w:left w:val="none" w:sz="0" w:space="0" w:color="auto"/>
        <w:bottom w:val="none" w:sz="0" w:space="0" w:color="auto"/>
        <w:right w:val="none" w:sz="0" w:space="0" w:color="auto"/>
      </w:divBdr>
      <w:divsChild>
        <w:div w:id="208223303">
          <w:marLeft w:val="1800"/>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21509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7916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421943">
      <w:bodyDiv w:val="1"/>
      <w:marLeft w:val="0"/>
      <w:marRight w:val="0"/>
      <w:marTop w:val="0"/>
      <w:marBottom w:val="0"/>
      <w:divBdr>
        <w:top w:val="none" w:sz="0" w:space="0" w:color="auto"/>
        <w:left w:val="none" w:sz="0" w:space="0" w:color="auto"/>
        <w:bottom w:val="none" w:sz="0" w:space="0" w:color="auto"/>
        <w:right w:val="none" w:sz="0" w:space="0" w:color="auto"/>
      </w:divBdr>
      <w:divsChild>
        <w:div w:id="631056006">
          <w:marLeft w:val="1800"/>
          <w:marRight w:val="0"/>
          <w:marTop w:val="86"/>
          <w:marBottom w:val="0"/>
          <w:divBdr>
            <w:top w:val="none" w:sz="0" w:space="0" w:color="auto"/>
            <w:left w:val="none" w:sz="0" w:space="0" w:color="auto"/>
            <w:bottom w:val="none" w:sz="0" w:space="0" w:color="auto"/>
            <w:right w:val="none" w:sz="0" w:space="0" w:color="auto"/>
          </w:divBdr>
        </w:div>
        <w:div w:id="653484087">
          <w:marLeft w:val="2520"/>
          <w:marRight w:val="0"/>
          <w:marTop w:val="77"/>
          <w:marBottom w:val="0"/>
          <w:divBdr>
            <w:top w:val="none" w:sz="0" w:space="0" w:color="auto"/>
            <w:left w:val="none" w:sz="0" w:space="0" w:color="auto"/>
            <w:bottom w:val="none" w:sz="0" w:space="0" w:color="auto"/>
            <w:right w:val="none" w:sz="0" w:space="0" w:color="auto"/>
          </w:divBdr>
        </w:div>
        <w:div w:id="660305422">
          <w:marLeft w:val="2520"/>
          <w:marRight w:val="0"/>
          <w:marTop w:val="77"/>
          <w:marBottom w:val="0"/>
          <w:divBdr>
            <w:top w:val="none" w:sz="0" w:space="0" w:color="auto"/>
            <w:left w:val="none" w:sz="0" w:space="0" w:color="auto"/>
            <w:bottom w:val="none" w:sz="0" w:space="0" w:color="auto"/>
            <w:right w:val="none" w:sz="0" w:space="0" w:color="auto"/>
          </w:divBdr>
        </w:div>
        <w:div w:id="478887988">
          <w:marLeft w:val="2520"/>
          <w:marRight w:val="0"/>
          <w:marTop w:val="77"/>
          <w:marBottom w:val="0"/>
          <w:divBdr>
            <w:top w:val="none" w:sz="0" w:space="0" w:color="auto"/>
            <w:left w:val="none" w:sz="0" w:space="0" w:color="auto"/>
            <w:bottom w:val="none" w:sz="0" w:space="0" w:color="auto"/>
            <w:right w:val="none" w:sz="0" w:space="0" w:color="auto"/>
          </w:divBdr>
        </w:div>
        <w:div w:id="114446789">
          <w:marLeft w:val="1800"/>
          <w:marRight w:val="0"/>
          <w:marTop w:val="86"/>
          <w:marBottom w:val="0"/>
          <w:divBdr>
            <w:top w:val="none" w:sz="0" w:space="0" w:color="auto"/>
            <w:left w:val="none" w:sz="0" w:space="0" w:color="auto"/>
            <w:bottom w:val="none" w:sz="0" w:space="0" w:color="auto"/>
            <w:right w:val="none" w:sz="0" w:space="0" w:color="auto"/>
          </w:divBdr>
        </w:div>
        <w:div w:id="948200697">
          <w:marLeft w:val="2520"/>
          <w:marRight w:val="0"/>
          <w:marTop w:val="7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7327">
      <w:bodyDiv w:val="1"/>
      <w:marLeft w:val="0"/>
      <w:marRight w:val="0"/>
      <w:marTop w:val="0"/>
      <w:marBottom w:val="0"/>
      <w:divBdr>
        <w:top w:val="none" w:sz="0" w:space="0" w:color="auto"/>
        <w:left w:val="none" w:sz="0" w:space="0" w:color="auto"/>
        <w:bottom w:val="none" w:sz="0" w:space="0" w:color="auto"/>
        <w:right w:val="none" w:sz="0" w:space="0" w:color="auto"/>
      </w:divBdr>
      <w:divsChild>
        <w:div w:id="205831776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494309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1448</Words>
  <Characters>8257</Characters>
  <Application>Microsoft Office Word</Application>
  <DocSecurity>0</DocSecurity>
  <Lines>68</Lines>
  <Paragraphs>19</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contribution skeleton</vt:lpstr>
      <vt:lpstr>Introduction</vt:lpstr>
      <vt:lpstr>Discussion</vt:lpstr>
      <vt:lpstr>Conclusion</vt:lpstr>
      <vt:lpstr>Reference</vt:lpstr>
      <vt:lpstr>3GPP contribution skeleton</vt:lpstr>
    </vt:vector>
  </TitlesOfParts>
  <Company>PRDCG</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02</cp:lastModifiedBy>
  <cp:revision>10</cp:revision>
  <cp:lastPrinted>2010-04-02T09:58:00Z</cp:lastPrinted>
  <dcterms:created xsi:type="dcterms:W3CDTF">2018-11-02T02:58:00Z</dcterms:created>
  <dcterms:modified xsi:type="dcterms:W3CDTF">2018-11-02T09:31:00Z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