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137E" w:rsidRDefault="00B5137E" w:rsidP="00B5137E">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#95</w:t>
      </w:r>
      <w:r>
        <w:rPr>
          <w:rFonts w:ascii="Arial" w:eastAsiaTheme="minorEastAsia" w:hAnsi="Arial" w:cs="Arial"/>
          <w:b/>
          <w:bCs/>
          <w:sz w:val="28"/>
          <w:szCs w:val="24"/>
        </w:rPr>
        <w:tab/>
      </w:r>
      <w:r>
        <w:rPr>
          <w:rFonts w:ascii="Arial" w:eastAsiaTheme="minorEastAsia" w:hAnsi="Arial" w:cs="Arial"/>
          <w:b/>
          <w:bCs/>
          <w:sz w:val="28"/>
          <w:szCs w:val="24"/>
        </w:rPr>
        <w:tab/>
      </w:r>
      <w:r w:rsidR="005021CE">
        <w:rPr>
          <w:rFonts w:ascii="Arial" w:eastAsiaTheme="minorEastAsia" w:hAnsi="Arial" w:cs="Arial"/>
          <w:b/>
          <w:bCs/>
          <w:sz w:val="28"/>
          <w:szCs w:val="24"/>
        </w:rPr>
        <w:tab/>
      </w:r>
      <w:bookmarkStart w:id="2" w:name="_GoBack"/>
      <w:r w:rsidR="005021CE" w:rsidRPr="005021CE">
        <w:rPr>
          <w:rFonts w:ascii="Arial" w:eastAsiaTheme="minorEastAsia" w:hAnsi="Arial" w:cs="Arial"/>
          <w:b/>
          <w:bCs/>
          <w:sz w:val="28"/>
          <w:szCs w:val="24"/>
        </w:rPr>
        <w:t>R1-1813205</w:t>
      </w:r>
      <w:bookmarkEnd w:id="2"/>
    </w:p>
    <w:p w:rsidR="00B5137E" w:rsidRDefault="00B5137E" w:rsidP="00B5137E">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Spokane, USA, November 12</w:t>
      </w:r>
      <w:r>
        <w:rPr>
          <w:rFonts w:ascii="Arial" w:eastAsia="ＭＳ 明朝" w:hAnsi="Arial" w:cs="Arial"/>
          <w:b/>
          <w:bCs/>
          <w:sz w:val="28"/>
          <w:vertAlign w:val="superscript"/>
        </w:rPr>
        <w:t>th</w:t>
      </w:r>
      <w:r>
        <w:rPr>
          <w:rFonts w:ascii="Arial" w:eastAsia="ＭＳ 明朝" w:hAnsi="Arial" w:cs="Arial"/>
          <w:b/>
          <w:bCs/>
          <w:sz w:val="28"/>
        </w:rPr>
        <w:t xml:space="preserve"> – 16</w:t>
      </w:r>
      <w:r>
        <w:rPr>
          <w:rFonts w:ascii="Arial" w:eastAsia="ＭＳ 明朝" w:hAnsi="Arial" w:cs="Arial"/>
          <w:b/>
          <w:bCs/>
          <w:sz w:val="28"/>
          <w:vertAlign w:val="superscript"/>
        </w:rPr>
        <w:t>th</w:t>
      </w:r>
      <w:r>
        <w:rPr>
          <w:rFonts w:ascii="Arial" w:eastAsia="ＭＳ 明朝" w:hAnsi="Arial" w:cs="Arial"/>
          <w:b/>
          <w:bCs/>
          <w:sz w:val="28"/>
        </w:rPr>
        <w:t>, 2018</w:t>
      </w:r>
    </w:p>
    <w:p w:rsidR="009661AE" w:rsidRPr="001617EF" w:rsidRDefault="009661AE" w:rsidP="009661AE">
      <w:pPr>
        <w:pStyle w:val="a3"/>
        <w:rPr>
          <w:rFonts w:cs="Arial"/>
          <w:bCs/>
          <w:sz w:val="28"/>
        </w:rPr>
      </w:pPr>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BD263B">
        <w:rPr>
          <w:rFonts w:ascii="Arial" w:hAnsi="Arial" w:cs="Arial"/>
          <w:b/>
          <w:sz w:val="28"/>
          <w:szCs w:val="28"/>
          <w:lang w:val="en-US"/>
        </w:rPr>
        <w:t xml:space="preserve">UL channel and signal </w:t>
      </w:r>
      <w:r w:rsidR="00BA3CBF">
        <w:rPr>
          <w:rFonts w:ascii="Arial" w:hAnsi="Arial" w:cs="Arial"/>
          <w:b/>
          <w:sz w:val="28"/>
          <w:szCs w:val="28"/>
          <w:lang w:val="en-US"/>
        </w:rPr>
        <w:t>design</w:t>
      </w:r>
      <w:r w:rsidRPr="00374689">
        <w:rPr>
          <w:rFonts w:ascii="Arial" w:hAnsi="Arial" w:cs="Arial"/>
          <w:b/>
          <w:sz w:val="28"/>
          <w:szCs w:val="28"/>
          <w:lang w:val="en-US"/>
        </w:rPr>
        <w:t xml:space="preserve"> for NR unlicensed operation</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Pr>
          <w:rFonts w:ascii="Arial" w:eastAsiaTheme="minorEastAsia" w:hAnsi="Arial" w:cs="Arial" w:hint="eastAsia"/>
          <w:b/>
          <w:sz w:val="28"/>
          <w:szCs w:val="28"/>
          <w:lang w:val="pt-BR"/>
        </w:rPr>
        <w:t>7.</w:t>
      </w:r>
      <w:r w:rsidR="005B48C9">
        <w:rPr>
          <w:rFonts w:ascii="Arial" w:eastAsiaTheme="minorEastAsia" w:hAnsi="Arial" w:cs="Arial"/>
          <w:b/>
          <w:sz w:val="28"/>
          <w:szCs w:val="28"/>
          <w:lang w:val="pt-BR"/>
        </w:rPr>
        <w:t>2</w:t>
      </w:r>
      <w:r>
        <w:rPr>
          <w:rFonts w:ascii="Arial" w:eastAsiaTheme="minorEastAsia" w:hAnsi="Arial" w:cs="Arial"/>
          <w:b/>
          <w:sz w:val="28"/>
          <w:szCs w:val="28"/>
          <w:lang w:val="pt-BR"/>
        </w:rPr>
        <w:t>.</w:t>
      </w:r>
      <w:r w:rsidR="005B48C9">
        <w:rPr>
          <w:rFonts w:ascii="Arial" w:eastAsiaTheme="minorEastAsia" w:hAnsi="Arial" w:cs="Arial"/>
          <w:b/>
          <w:sz w:val="28"/>
          <w:szCs w:val="28"/>
          <w:lang w:val="pt-BR"/>
        </w:rPr>
        <w:t>2</w:t>
      </w:r>
      <w:r>
        <w:rPr>
          <w:rFonts w:ascii="Arial" w:eastAsiaTheme="minorEastAsia" w:hAnsi="Arial" w:cs="Arial"/>
          <w:b/>
          <w:sz w:val="28"/>
          <w:szCs w:val="28"/>
          <w:lang w:val="pt-BR"/>
        </w:rPr>
        <w:t>.</w:t>
      </w:r>
      <w:r w:rsidR="005B48C9">
        <w:rPr>
          <w:rFonts w:ascii="Arial" w:eastAsiaTheme="minorEastAsia" w:hAnsi="Arial" w:cs="Arial"/>
          <w:b/>
          <w:sz w:val="28"/>
          <w:szCs w:val="28"/>
          <w:lang w:val="pt-BR"/>
        </w:rPr>
        <w:t>3.2</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FD4C20" w:rsidRDefault="00FD4C20" w:rsidP="00DA205D">
      <w:pPr>
        <w:autoSpaceDE w:val="0"/>
        <w:autoSpaceDN w:val="0"/>
        <w:adjustRightInd w:val="0"/>
        <w:spacing w:after="0" w:afterAutospacing="0"/>
        <w:rPr>
          <w:rFonts w:cs="Arial"/>
          <w:szCs w:val="24"/>
        </w:rPr>
      </w:pPr>
      <w:r>
        <w:rPr>
          <w:rFonts w:cs="Arial" w:hint="eastAsia"/>
          <w:szCs w:val="24"/>
        </w:rPr>
        <w:t>This</w:t>
      </w:r>
      <w:r>
        <w:rPr>
          <w:rFonts w:cs="Arial"/>
          <w:szCs w:val="24"/>
        </w:rPr>
        <w:t xml:space="preserve"> contribution is a revision of </w:t>
      </w:r>
      <w:r w:rsidRPr="00FD4C20">
        <w:rPr>
          <w:rFonts w:cs="Arial"/>
          <w:szCs w:val="24"/>
        </w:rPr>
        <w:t>R1-1811149</w:t>
      </w:r>
      <w:r w:rsidR="005021CE">
        <w:rPr>
          <w:rFonts w:cs="Arial" w:hint="eastAsia"/>
          <w:szCs w:val="24"/>
        </w:rPr>
        <w:t xml:space="preserve"> </w:t>
      </w:r>
      <w:r w:rsidR="005021CE">
        <w:rPr>
          <w:rFonts w:cs="Arial"/>
          <w:szCs w:val="24"/>
        </w:rPr>
        <w:t>[1]</w:t>
      </w:r>
      <w:r>
        <w:rPr>
          <w:rFonts w:cs="Arial"/>
          <w:szCs w:val="24"/>
        </w:rPr>
        <w:t>.</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w:t>
      </w:r>
      <w:r w:rsidR="00BC2DCE">
        <w:rPr>
          <w:rFonts w:cs="Arial"/>
          <w:szCs w:val="24"/>
        </w:rPr>
        <w:t>4</w:t>
      </w:r>
      <w:r>
        <w:rPr>
          <w:rFonts w:cs="Arial" w:hint="eastAsia"/>
          <w:szCs w:val="24"/>
        </w:rPr>
        <w:t xml:space="preserve"> meeting</w:t>
      </w:r>
      <w:r w:rsidR="007B4675">
        <w:rPr>
          <w:rFonts w:cs="Arial"/>
          <w:szCs w:val="24"/>
          <w:lang w:eastAsia="zh-CN"/>
        </w:rPr>
        <w:t xml:space="preserve"> </w:t>
      </w:r>
      <w:r w:rsidR="00AB0264">
        <w:rPr>
          <w:rFonts w:cs="Arial"/>
          <w:szCs w:val="24"/>
        </w:rPr>
        <w:t xml:space="preserve">interlaced wave forms for uplink transmissions were discussed and </w:t>
      </w:r>
      <w:r w:rsidR="00BC2DCE">
        <w:rPr>
          <w:rFonts w:cs="Arial"/>
          <w:szCs w:val="24"/>
        </w:rPr>
        <w:t>the following agreements were made</w:t>
      </w:r>
      <w:r w:rsidR="002B2FD8">
        <w:rPr>
          <w:rFonts w:cs="Arial"/>
          <w:szCs w:val="24"/>
        </w:rPr>
        <w:t xml:space="preserve"> [</w:t>
      </w:r>
      <w:r w:rsidR="005021CE">
        <w:rPr>
          <w:rFonts w:cs="Arial"/>
          <w:szCs w:val="24"/>
        </w:rPr>
        <w:t>2</w:t>
      </w:r>
      <w:r w:rsidR="002B2FD8">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AB0264" w:rsidRDefault="00AB0264" w:rsidP="00AB0264">
            <w:r w:rsidRPr="00D73789">
              <w:rPr>
                <w:highlight w:val="green"/>
              </w:rPr>
              <w:t>Agreement:</w:t>
            </w:r>
          </w:p>
          <w:p w:rsidR="00AB0264" w:rsidRDefault="00AB0264" w:rsidP="00AB0264">
            <w:pPr>
              <w:pStyle w:val="aff5"/>
              <w:widowControl w:val="0"/>
              <w:numPr>
                <w:ilvl w:val="0"/>
                <w:numId w:val="13"/>
              </w:numPr>
              <w:autoSpaceDE w:val="0"/>
              <w:autoSpaceDN w:val="0"/>
              <w:adjustRightInd w:val="0"/>
              <w:snapToGrid/>
              <w:spacing w:after="0" w:afterAutospacing="0"/>
              <w:ind w:leftChars="0"/>
              <w:contextualSpacing/>
            </w:pPr>
            <w: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rsidR="00AB0264" w:rsidRDefault="00AB0264" w:rsidP="00AB0264">
            <w:pPr>
              <w:pStyle w:val="aff5"/>
              <w:widowControl w:val="0"/>
              <w:numPr>
                <w:ilvl w:val="1"/>
                <w:numId w:val="13"/>
              </w:numPr>
              <w:autoSpaceDE w:val="0"/>
              <w:autoSpaceDN w:val="0"/>
              <w:adjustRightInd w:val="0"/>
              <w:snapToGrid/>
              <w:spacing w:after="0" w:afterAutospacing="0"/>
              <w:ind w:leftChars="0"/>
              <w:contextualSpacing/>
            </w:pPr>
            <w:r>
              <w:t>Note: This is only from a user-multiplexing perspective. Other aspects of PRACH design need to be considered, i.e., timing estimation accuracy, miss detection rate, PAPR, RACH capacity, transmission power</w:t>
            </w:r>
          </w:p>
          <w:p w:rsidR="00AB0264" w:rsidRDefault="00AB0264" w:rsidP="00AB0264">
            <w:pPr>
              <w:pStyle w:val="aff5"/>
              <w:widowControl w:val="0"/>
              <w:numPr>
                <w:ilvl w:val="0"/>
                <w:numId w:val="13"/>
              </w:numPr>
              <w:autoSpaceDE w:val="0"/>
              <w:autoSpaceDN w:val="0"/>
              <w:adjustRightInd w:val="0"/>
              <w:snapToGrid/>
              <w:spacing w:after="0" w:afterAutospacing="0"/>
              <w:ind w:leftChars="0"/>
              <w:contextualSpacing/>
            </w:pPr>
            <w:r>
              <w:t>For scenarios in which a contiguous allocation for PUSCH and PUCCH is used, it is beneficial to use contiguous resource allocation for PRACH</w:t>
            </w:r>
          </w:p>
          <w:p w:rsidR="00AB0264" w:rsidRDefault="00AB0264" w:rsidP="00AB0264">
            <w:pPr>
              <w:pStyle w:val="aff5"/>
              <w:widowControl w:val="0"/>
              <w:numPr>
                <w:ilvl w:val="0"/>
                <w:numId w:val="13"/>
              </w:numPr>
              <w:autoSpaceDE w:val="0"/>
              <w:autoSpaceDN w:val="0"/>
              <w:adjustRightInd w:val="0"/>
              <w:snapToGrid/>
              <w:spacing w:after="0" w:afterAutospacing="0"/>
              <w:ind w:leftChars="0"/>
              <w:contextualSpacing/>
            </w:pPr>
            <w:r>
              <w:t xml:space="preserve">FFS: Potential LBT blocking due to TA difference between </w:t>
            </w:r>
            <w:proofErr w:type="spellStart"/>
            <w:r>
              <w:t>FDM’d</w:t>
            </w:r>
            <w:proofErr w:type="spellEnd"/>
            <w:r>
              <w:t xml:space="preserve"> PUSCH, PUCCH, and PRACH</w:t>
            </w:r>
          </w:p>
          <w:p w:rsidR="000A3E79" w:rsidRDefault="000A3E79" w:rsidP="00AB0264">
            <w:pPr>
              <w:widowControl w:val="0"/>
              <w:snapToGrid/>
              <w:spacing w:after="0" w:afterAutospacing="0"/>
              <w:jc w:val="left"/>
              <w:rPr>
                <w:lang w:eastAsia="x-none"/>
              </w:rPr>
            </w:pPr>
          </w:p>
          <w:p w:rsidR="00AB0264" w:rsidRDefault="00AB0264" w:rsidP="00AB0264">
            <w:pPr>
              <w:rPr>
                <w:lang w:eastAsia="x-none"/>
              </w:rPr>
            </w:pPr>
            <w:r w:rsidRPr="00697EEC">
              <w:rPr>
                <w:highlight w:val="green"/>
                <w:lang w:eastAsia="x-none"/>
              </w:rPr>
              <w:t>Agreement:</w:t>
            </w:r>
          </w:p>
          <w:p w:rsidR="00AB0264" w:rsidRPr="00697EEC" w:rsidRDefault="00AB0264" w:rsidP="00AB0264">
            <w:pPr>
              <w:widowControl w:val="0"/>
              <w:numPr>
                <w:ilvl w:val="0"/>
                <w:numId w:val="16"/>
              </w:numPr>
              <w:autoSpaceDE w:val="0"/>
              <w:autoSpaceDN w:val="0"/>
              <w:adjustRightInd w:val="0"/>
              <w:snapToGrid/>
              <w:spacing w:after="0" w:afterAutospacing="0"/>
              <w:ind w:left="360"/>
              <w:jc w:val="left"/>
              <w:rPr>
                <w:lang w:eastAsia="x-none"/>
              </w:rPr>
            </w:pPr>
            <w:r w:rsidRPr="00697EEC">
              <w:rPr>
                <w:lang w:eastAsia="x-none"/>
              </w:rPr>
              <w:t>For scenarios in which a block-interlaced waveform is used for UL transmission, a PRB-based block-interlace design has been identified as beneficial at least for 15 and 30 kHz SCS, and potentially for 60 kHz SCS</w:t>
            </w:r>
          </w:p>
          <w:p w:rsidR="00AB0264" w:rsidRPr="00697EEC" w:rsidRDefault="00AB0264" w:rsidP="00AB0264">
            <w:pPr>
              <w:widowControl w:val="0"/>
              <w:numPr>
                <w:ilvl w:val="1"/>
                <w:numId w:val="16"/>
              </w:numPr>
              <w:autoSpaceDE w:val="0"/>
              <w:autoSpaceDN w:val="0"/>
              <w:adjustRightInd w:val="0"/>
              <w:snapToGrid/>
              <w:spacing w:after="0" w:afterAutospacing="0"/>
              <w:ind w:left="1080"/>
              <w:jc w:val="left"/>
              <w:rPr>
                <w:lang w:eastAsia="x-none"/>
              </w:rPr>
            </w:pPr>
            <w:r w:rsidRPr="00697EEC">
              <w:rPr>
                <w:lang w:eastAsia="x-none"/>
              </w:rPr>
              <w:t>Link budget limited cases with given PSD constraint</w:t>
            </w:r>
          </w:p>
          <w:p w:rsidR="00AB0264" w:rsidRPr="00697EEC" w:rsidRDefault="00AB0264" w:rsidP="00AB0264">
            <w:pPr>
              <w:widowControl w:val="0"/>
              <w:numPr>
                <w:ilvl w:val="2"/>
                <w:numId w:val="16"/>
              </w:numPr>
              <w:autoSpaceDE w:val="0"/>
              <w:autoSpaceDN w:val="0"/>
              <w:adjustRightInd w:val="0"/>
              <w:snapToGrid/>
              <w:spacing w:after="0" w:afterAutospacing="0"/>
              <w:ind w:left="1800"/>
              <w:jc w:val="left"/>
              <w:rPr>
                <w:lang w:eastAsia="x-none"/>
              </w:rPr>
            </w:pPr>
            <w:r w:rsidRPr="00697EEC">
              <w:rPr>
                <w:lang w:eastAsia="x-none"/>
              </w:rPr>
              <w:t>It is observed that power boosting gains decrease with increasing SCS</w:t>
            </w:r>
          </w:p>
          <w:p w:rsidR="00AB0264" w:rsidRPr="00697EEC" w:rsidRDefault="00AB0264" w:rsidP="00AB0264">
            <w:pPr>
              <w:widowControl w:val="0"/>
              <w:numPr>
                <w:ilvl w:val="1"/>
                <w:numId w:val="16"/>
              </w:numPr>
              <w:autoSpaceDE w:val="0"/>
              <w:autoSpaceDN w:val="0"/>
              <w:adjustRightInd w:val="0"/>
              <w:snapToGrid/>
              <w:spacing w:after="0" w:afterAutospacing="0"/>
              <w:ind w:left="1080"/>
              <w:jc w:val="left"/>
              <w:rPr>
                <w:lang w:eastAsia="x-none"/>
              </w:rPr>
            </w:pPr>
            <w:r w:rsidRPr="00697EEC">
              <w:rPr>
                <w:lang w:eastAsia="x-none"/>
              </w:rPr>
              <w:t>As one option to efficiently meet the occupied channel bandwidth requirement</w:t>
            </w:r>
          </w:p>
          <w:p w:rsidR="00AB0264" w:rsidRPr="00697EEC" w:rsidRDefault="00AB0264" w:rsidP="00AB0264">
            <w:pPr>
              <w:widowControl w:val="0"/>
              <w:numPr>
                <w:ilvl w:val="1"/>
                <w:numId w:val="16"/>
              </w:numPr>
              <w:autoSpaceDE w:val="0"/>
              <w:autoSpaceDN w:val="0"/>
              <w:adjustRightInd w:val="0"/>
              <w:snapToGrid/>
              <w:spacing w:after="0" w:afterAutospacing="0"/>
              <w:ind w:left="1080"/>
              <w:jc w:val="left"/>
              <w:rPr>
                <w:lang w:eastAsia="x-none"/>
              </w:rPr>
            </w:pPr>
            <w:r w:rsidRPr="00697EEC">
              <w:rPr>
                <w:lang w:eastAsia="x-none"/>
              </w:rPr>
              <w:t xml:space="preserve">Comparatively less specification impact than Sub-PRB interlace design </w:t>
            </w:r>
          </w:p>
          <w:p w:rsidR="00AB0264" w:rsidRPr="00697EEC" w:rsidRDefault="00AB0264" w:rsidP="00AB0264">
            <w:pPr>
              <w:widowControl w:val="0"/>
              <w:numPr>
                <w:ilvl w:val="0"/>
                <w:numId w:val="16"/>
              </w:numPr>
              <w:autoSpaceDE w:val="0"/>
              <w:autoSpaceDN w:val="0"/>
              <w:adjustRightInd w:val="0"/>
              <w:snapToGrid/>
              <w:spacing w:after="0" w:afterAutospacing="0"/>
              <w:ind w:left="360"/>
              <w:jc w:val="left"/>
              <w:rPr>
                <w:lang w:eastAsia="x-none"/>
              </w:rPr>
            </w:pPr>
            <w:r w:rsidRPr="00697EEC">
              <w:rPr>
                <w:lang w:eastAsia="x-none"/>
              </w:rPr>
              <w:t>Design for 60 kHz requires further discussion, e.g., sub-PRB vs. PRB-based block interlace designs</w:t>
            </w:r>
          </w:p>
          <w:p w:rsidR="00AB0264" w:rsidRPr="00697EEC" w:rsidRDefault="00AB0264" w:rsidP="00AB0264">
            <w:pPr>
              <w:widowControl w:val="0"/>
              <w:numPr>
                <w:ilvl w:val="0"/>
                <w:numId w:val="16"/>
              </w:numPr>
              <w:autoSpaceDE w:val="0"/>
              <w:autoSpaceDN w:val="0"/>
              <w:adjustRightInd w:val="0"/>
              <w:snapToGrid/>
              <w:spacing w:after="0" w:afterAutospacing="0"/>
              <w:ind w:left="360"/>
              <w:jc w:val="left"/>
              <w:rPr>
                <w:lang w:eastAsia="x-none"/>
              </w:rPr>
            </w:pPr>
            <w:r w:rsidRPr="00697EEC">
              <w:rPr>
                <w:lang w:eastAsia="x-none"/>
              </w:rPr>
              <w:t>The following has been observed for sub-PRB block interlace designs</w:t>
            </w:r>
          </w:p>
          <w:p w:rsidR="00AB0264" w:rsidRPr="00697EEC" w:rsidRDefault="00AB0264" w:rsidP="00AB0264">
            <w:pPr>
              <w:widowControl w:val="0"/>
              <w:numPr>
                <w:ilvl w:val="1"/>
                <w:numId w:val="16"/>
              </w:numPr>
              <w:autoSpaceDE w:val="0"/>
              <w:autoSpaceDN w:val="0"/>
              <w:adjustRightInd w:val="0"/>
              <w:snapToGrid/>
              <w:spacing w:after="0" w:afterAutospacing="0"/>
              <w:ind w:left="1080"/>
              <w:jc w:val="left"/>
              <w:rPr>
                <w:lang w:eastAsia="x-none"/>
              </w:rPr>
            </w:pPr>
            <w:r w:rsidRPr="00697EEC">
              <w:rPr>
                <w:lang w:eastAsia="x-none"/>
              </w:rPr>
              <w:t>In some scenarios sub-PRB interlacing can be beneficial in terms of power boosting</w:t>
            </w:r>
          </w:p>
          <w:p w:rsidR="00AB0264" w:rsidRPr="00697EEC" w:rsidRDefault="00AB0264" w:rsidP="00AB0264">
            <w:pPr>
              <w:widowControl w:val="0"/>
              <w:numPr>
                <w:ilvl w:val="2"/>
                <w:numId w:val="16"/>
              </w:numPr>
              <w:autoSpaceDE w:val="0"/>
              <w:autoSpaceDN w:val="0"/>
              <w:adjustRightInd w:val="0"/>
              <w:snapToGrid/>
              <w:spacing w:after="0" w:afterAutospacing="0"/>
              <w:ind w:left="1800"/>
              <w:jc w:val="left"/>
              <w:rPr>
                <w:lang w:eastAsia="x-none"/>
              </w:rPr>
            </w:pPr>
            <w:r w:rsidRPr="00697EEC">
              <w:rPr>
                <w:lang w:eastAsia="x-none"/>
              </w:rPr>
              <w:lastRenderedPageBreak/>
              <w:t>FFS: scenario details, e.g., small resource allocations</w:t>
            </w:r>
          </w:p>
          <w:p w:rsidR="00AB0264" w:rsidRPr="00697EEC" w:rsidRDefault="00AB0264" w:rsidP="00AB0264">
            <w:pPr>
              <w:widowControl w:val="0"/>
              <w:numPr>
                <w:ilvl w:val="1"/>
                <w:numId w:val="16"/>
              </w:numPr>
              <w:autoSpaceDE w:val="0"/>
              <w:autoSpaceDN w:val="0"/>
              <w:adjustRightInd w:val="0"/>
              <w:snapToGrid/>
              <w:spacing w:after="0" w:afterAutospacing="0"/>
              <w:ind w:left="1080"/>
              <w:jc w:val="left"/>
              <w:rPr>
                <w:lang w:eastAsia="x-none"/>
              </w:rPr>
            </w:pPr>
            <w:r w:rsidRPr="00697EEC">
              <w:rPr>
                <w:lang w:eastAsia="x-none"/>
              </w:rPr>
              <w:t>Sub-PRB interlace design has at least the following specification impact:</w:t>
            </w:r>
          </w:p>
          <w:p w:rsidR="00AB0264" w:rsidRPr="00697EEC" w:rsidRDefault="00AB0264" w:rsidP="00AB0264">
            <w:pPr>
              <w:widowControl w:val="0"/>
              <w:numPr>
                <w:ilvl w:val="2"/>
                <w:numId w:val="16"/>
              </w:numPr>
              <w:autoSpaceDE w:val="0"/>
              <w:autoSpaceDN w:val="0"/>
              <w:adjustRightInd w:val="0"/>
              <w:snapToGrid/>
              <w:spacing w:after="0" w:afterAutospacing="0"/>
              <w:ind w:left="1800"/>
              <w:jc w:val="left"/>
              <w:rPr>
                <w:lang w:eastAsia="x-none"/>
              </w:rPr>
            </w:pPr>
            <w:r w:rsidRPr="00697EEC">
              <w:rPr>
                <w:lang w:eastAsia="x-none"/>
              </w:rPr>
              <w:t>Reference signal design (e.g., DMRS)</w:t>
            </w:r>
          </w:p>
          <w:p w:rsidR="00AB0264" w:rsidRPr="00697EEC" w:rsidRDefault="00AB0264" w:rsidP="00AB0264">
            <w:pPr>
              <w:widowControl w:val="0"/>
              <w:numPr>
                <w:ilvl w:val="2"/>
                <w:numId w:val="16"/>
              </w:numPr>
              <w:autoSpaceDE w:val="0"/>
              <w:autoSpaceDN w:val="0"/>
              <w:adjustRightInd w:val="0"/>
              <w:snapToGrid/>
              <w:spacing w:after="0" w:afterAutospacing="0"/>
              <w:ind w:left="1800"/>
              <w:jc w:val="left"/>
              <w:rPr>
                <w:lang w:eastAsia="x-none"/>
              </w:rPr>
            </w:pPr>
            <w:r w:rsidRPr="00697EEC">
              <w:rPr>
                <w:lang w:eastAsia="x-none"/>
              </w:rPr>
              <w:t>Channel estimation aspects</w:t>
            </w:r>
          </w:p>
          <w:p w:rsidR="00AB0264" w:rsidRPr="00697EEC" w:rsidRDefault="00AB0264" w:rsidP="00AB0264">
            <w:pPr>
              <w:widowControl w:val="0"/>
              <w:numPr>
                <w:ilvl w:val="2"/>
                <w:numId w:val="16"/>
              </w:numPr>
              <w:autoSpaceDE w:val="0"/>
              <w:autoSpaceDN w:val="0"/>
              <w:adjustRightInd w:val="0"/>
              <w:snapToGrid/>
              <w:spacing w:after="0" w:afterAutospacing="0"/>
              <w:ind w:left="1800"/>
              <w:jc w:val="left"/>
              <w:rPr>
                <w:lang w:eastAsia="x-none"/>
              </w:rPr>
            </w:pPr>
            <w:r w:rsidRPr="00697EEC">
              <w:rPr>
                <w:lang w:eastAsia="x-none"/>
              </w:rPr>
              <w:t>Resource allocation</w:t>
            </w:r>
          </w:p>
          <w:p w:rsidR="00AB0264" w:rsidRDefault="00AB0264" w:rsidP="00AB0264">
            <w:pPr>
              <w:widowControl w:val="0"/>
              <w:snapToGrid/>
              <w:spacing w:after="0" w:afterAutospacing="0"/>
              <w:jc w:val="left"/>
              <w:rPr>
                <w:lang w:eastAsia="x-none"/>
              </w:rPr>
            </w:pPr>
          </w:p>
          <w:p w:rsidR="00AB0264" w:rsidRPr="00697EEC" w:rsidRDefault="00AB0264" w:rsidP="00AB0264">
            <w:pPr>
              <w:rPr>
                <w:lang w:eastAsia="x-none"/>
              </w:rPr>
            </w:pPr>
            <w:r w:rsidRPr="00697EEC">
              <w:rPr>
                <w:highlight w:val="green"/>
                <w:lang w:eastAsia="x-none"/>
              </w:rPr>
              <w:t>Agreement:</w:t>
            </w:r>
          </w:p>
          <w:p w:rsidR="00AB0264" w:rsidRPr="00697EEC" w:rsidRDefault="00AB0264" w:rsidP="00AB0264">
            <w:pPr>
              <w:widowControl w:val="0"/>
              <w:numPr>
                <w:ilvl w:val="0"/>
                <w:numId w:val="17"/>
              </w:numPr>
              <w:autoSpaceDE w:val="0"/>
              <w:autoSpaceDN w:val="0"/>
              <w:adjustRightInd w:val="0"/>
              <w:snapToGrid/>
              <w:spacing w:after="0" w:afterAutospacing="0"/>
              <w:ind w:left="360"/>
              <w:jc w:val="left"/>
              <w:rPr>
                <w:lang w:eastAsia="x-none"/>
              </w:rPr>
            </w:pPr>
            <w:r w:rsidRPr="00697EEC">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rsidR="00AB0264" w:rsidRPr="00697EEC" w:rsidRDefault="00AB0264" w:rsidP="00AB0264">
            <w:pPr>
              <w:widowControl w:val="0"/>
              <w:numPr>
                <w:ilvl w:val="0"/>
                <w:numId w:val="17"/>
              </w:numPr>
              <w:autoSpaceDE w:val="0"/>
              <w:autoSpaceDN w:val="0"/>
              <w:adjustRightInd w:val="0"/>
              <w:snapToGrid/>
              <w:spacing w:after="0" w:afterAutospacing="0"/>
              <w:ind w:left="360"/>
              <w:jc w:val="left"/>
              <w:rPr>
                <w:lang w:eastAsia="x-none"/>
              </w:rPr>
            </w:pPr>
            <w:r w:rsidRPr="00697EEC">
              <w:rPr>
                <w:lang w:eastAsia="x-none"/>
              </w:rPr>
              <w:t>FFS: M and N for each supported SCS</w:t>
            </w:r>
          </w:p>
          <w:p w:rsidR="00AB0264" w:rsidRDefault="00AB0264" w:rsidP="00AB0264">
            <w:pPr>
              <w:widowControl w:val="0"/>
              <w:numPr>
                <w:ilvl w:val="0"/>
                <w:numId w:val="17"/>
              </w:numPr>
              <w:autoSpaceDE w:val="0"/>
              <w:autoSpaceDN w:val="0"/>
              <w:adjustRightInd w:val="0"/>
              <w:snapToGrid/>
              <w:spacing w:after="0" w:afterAutospacing="0"/>
              <w:ind w:left="360"/>
              <w:jc w:val="left"/>
              <w:rPr>
                <w:lang w:eastAsia="x-none"/>
              </w:rPr>
            </w:pPr>
            <w:r w:rsidRPr="00697EEC">
              <w:rPr>
                <w:lang w:eastAsia="x-none"/>
              </w:rPr>
              <w:t>FFS: 60 kHz in case a sub-PRB interlace is introduced</w:t>
            </w:r>
          </w:p>
          <w:p w:rsidR="00AB0264" w:rsidRDefault="00AB0264" w:rsidP="00AB0264">
            <w:pPr>
              <w:widowControl w:val="0"/>
              <w:snapToGrid/>
              <w:spacing w:after="0" w:afterAutospacing="0"/>
              <w:jc w:val="left"/>
              <w:rPr>
                <w:lang w:eastAsia="x-none"/>
              </w:rPr>
            </w:pPr>
          </w:p>
          <w:p w:rsidR="00AB0264" w:rsidRPr="00697EEC" w:rsidRDefault="00AB0264" w:rsidP="00AB0264">
            <w:pPr>
              <w:rPr>
                <w:lang w:eastAsia="x-none"/>
              </w:rPr>
            </w:pPr>
            <w:r w:rsidRPr="00C8036A">
              <w:rPr>
                <w:highlight w:val="green"/>
                <w:lang w:eastAsia="x-none"/>
              </w:rPr>
              <w:t>Agreement:</w:t>
            </w:r>
          </w:p>
          <w:p w:rsidR="00AB0264" w:rsidRPr="00697EEC" w:rsidRDefault="00AB0264" w:rsidP="00AB0264">
            <w:pPr>
              <w:widowControl w:val="0"/>
              <w:numPr>
                <w:ilvl w:val="0"/>
                <w:numId w:val="18"/>
              </w:numPr>
              <w:autoSpaceDE w:val="0"/>
              <w:autoSpaceDN w:val="0"/>
              <w:adjustRightInd w:val="0"/>
              <w:snapToGrid/>
              <w:spacing w:after="0" w:afterAutospacing="0"/>
              <w:ind w:left="360"/>
              <w:jc w:val="left"/>
              <w:rPr>
                <w:lang w:eastAsia="x-none"/>
              </w:rPr>
            </w:pPr>
            <w:r w:rsidRPr="00697EEC">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p>
          <w:p w:rsidR="00AB0264" w:rsidRPr="00697EEC" w:rsidRDefault="00AB0264" w:rsidP="00AB0264">
            <w:pPr>
              <w:widowControl w:val="0"/>
              <w:numPr>
                <w:ilvl w:val="1"/>
                <w:numId w:val="18"/>
              </w:numPr>
              <w:autoSpaceDE w:val="0"/>
              <w:autoSpaceDN w:val="0"/>
              <w:adjustRightInd w:val="0"/>
              <w:snapToGrid/>
              <w:spacing w:after="0" w:afterAutospacing="0"/>
              <w:ind w:left="1080"/>
              <w:jc w:val="left"/>
              <w:rPr>
                <w:lang w:eastAsia="x-none"/>
              </w:rPr>
            </w:pPr>
            <w:r w:rsidRPr="00697EEC">
              <w:rPr>
                <w:lang w:eastAsia="x-none"/>
              </w:rPr>
              <w:t>FFS: Exact number of PRBs per interlace for supported value(s) of M and N</w:t>
            </w:r>
          </w:p>
          <w:p w:rsidR="00AB0264" w:rsidRPr="00697EEC" w:rsidRDefault="00AB0264" w:rsidP="00AB0264">
            <w:pPr>
              <w:widowControl w:val="0"/>
              <w:numPr>
                <w:ilvl w:val="2"/>
                <w:numId w:val="18"/>
              </w:numPr>
              <w:autoSpaceDE w:val="0"/>
              <w:autoSpaceDN w:val="0"/>
              <w:adjustRightInd w:val="0"/>
              <w:snapToGrid/>
              <w:spacing w:after="0" w:afterAutospacing="0"/>
              <w:ind w:left="1800"/>
              <w:jc w:val="left"/>
              <w:rPr>
                <w:lang w:eastAsia="x-none"/>
              </w:rPr>
            </w:pPr>
            <w:r w:rsidRPr="00697EEC">
              <w:rPr>
                <w:lang w:eastAsia="x-none"/>
              </w:rPr>
              <w:t>Note: M is the number of interlaces and N is the nominal number of PRBs per interlace in a given bandwidth</w:t>
            </w:r>
          </w:p>
          <w:p w:rsidR="00AB0264" w:rsidRPr="00697EEC" w:rsidRDefault="00AB0264" w:rsidP="00AB0264">
            <w:pPr>
              <w:widowControl w:val="0"/>
              <w:numPr>
                <w:ilvl w:val="1"/>
                <w:numId w:val="19"/>
              </w:numPr>
              <w:autoSpaceDE w:val="0"/>
              <w:autoSpaceDN w:val="0"/>
              <w:adjustRightInd w:val="0"/>
              <w:snapToGrid/>
              <w:spacing w:after="0" w:afterAutospacing="0"/>
              <w:ind w:left="1080"/>
              <w:jc w:val="left"/>
              <w:rPr>
                <w:lang w:eastAsia="x-none"/>
              </w:rPr>
            </w:pPr>
            <w:r w:rsidRPr="00697EEC">
              <w:rPr>
                <w:lang w:eastAsia="x-none"/>
              </w:rPr>
              <w:t>FFS: Whether or not there are issues in the interlace design in the resource allocation to 2^n1*3^n2*5^n3 in the case of DFT-s-OFDM</w:t>
            </w:r>
          </w:p>
          <w:p w:rsidR="00AB0264" w:rsidRPr="00AB0264" w:rsidRDefault="00AB0264" w:rsidP="00AB0264">
            <w:pPr>
              <w:widowControl w:val="0"/>
              <w:snapToGrid/>
              <w:spacing w:after="0" w:afterAutospacing="0"/>
              <w:jc w:val="left"/>
              <w:rPr>
                <w:lang w:eastAsia="x-none"/>
              </w:rPr>
            </w:pP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A9155A">
        <w:rPr>
          <w:rFonts w:cs="Arial"/>
          <w:szCs w:val="24"/>
        </w:rPr>
        <w:t xml:space="preserve">UL channel and signal </w:t>
      </w:r>
      <w:r w:rsidR="00BA3CBF">
        <w:rPr>
          <w:rFonts w:cs="Arial"/>
          <w:szCs w:val="24"/>
        </w:rPr>
        <w:t>design</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FB52F1" w:rsidRPr="00AB10D2" w:rsidRDefault="005643BA" w:rsidP="005643BA">
      <w:pPr>
        <w:pStyle w:val="20"/>
        <w:rPr>
          <w:lang w:val="en-US" w:eastAsia="zh-CN"/>
        </w:rPr>
      </w:pPr>
      <w:r w:rsidRPr="005643BA">
        <w:rPr>
          <w:lang w:val="en-US"/>
        </w:rPr>
        <w:t>Supported Legacy PUCCH formats</w:t>
      </w:r>
    </w:p>
    <w:p w:rsidR="00FB52F1" w:rsidRDefault="005A4309" w:rsidP="00FB52F1">
      <w:pPr>
        <w:adjustRightInd w:val="0"/>
        <w:spacing w:after="0" w:afterAutospacing="0"/>
        <w:rPr>
          <w:rFonts w:eastAsiaTheme="minorEastAsia" w:cs="Arial"/>
          <w:szCs w:val="24"/>
          <w:lang w:val="en-US"/>
        </w:rPr>
      </w:pPr>
      <w:r>
        <w:rPr>
          <w:rFonts w:eastAsiaTheme="minorEastAsia" w:cs="Arial"/>
          <w:szCs w:val="24"/>
          <w:lang w:val="en-US"/>
        </w:rPr>
        <w:t>In RAN1#93 it was agreed that NR supports Rel-15 NR PUCCH formats</w:t>
      </w:r>
      <w:r w:rsidR="006A49E5">
        <w:rPr>
          <w:rFonts w:eastAsiaTheme="minorEastAsia" w:cs="Arial"/>
          <w:szCs w:val="24"/>
          <w:lang w:val="en-US"/>
        </w:rPr>
        <w:t xml:space="preserve"> [</w:t>
      </w:r>
      <w:r w:rsidR="005021CE">
        <w:rPr>
          <w:rFonts w:eastAsiaTheme="minorEastAsia" w:cs="Arial"/>
          <w:szCs w:val="24"/>
          <w:lang w:val="en-US"/>
        </w:rPr>
        <w:t>3</w:t>
      </w:r>
      <w:r w:rsidR="006A49E5">
        <w:rPr>
          <w:rFonts w:eastAsiaTheme="minorEastAsia" w:cs="Arial"/>
          <w:szCs w:val="24"/>
          <w:lang w:val="en-US"/>
        </w:rPr>
        <w:t>]</w:t>
      </w:r>
      <w:r>
        <w:rPr>
          <w:rFonts w:eastAsiaTheme="minorEastAsia" w:cs="Arial"/>
          <w:szCs w:val="24"/>
          <w:lang w:val="en-US"/>
        </w:rPr>
        <w:t xml:space="preserve">. However, </w:t>
      </w:r>
      <w:r w:rsidR="004F6204">
        <w:rPr>
          <w:rFonts w:eastAsiaTheme="minorEastAsia" w:cs="Arial"/>
          <w:szCs w:val="24"/>
          <w:lang w:val="en-US"/>
        </w:rPr>
        <w:t>only a single PRB can be configured</w:t>
      </w:r>
      <w:r>
        <w:rPr>
          <w:rFonts w:eastAsiaTheme="minorEastAsia" w:cs="Arial"/>
          <w:szCs w:val="24"/>
          <w:lang w:val="en-US"/>
        </w:rPr>
        <w:t xml:space="preserve"> for Rel-15 NR PUCCH formats 0, 1 and 4</w:t>
      </w:r>
      <w:r w:rsidR="004F6204">
        <w:rPr>
          <w:rFonts w:eastAsiaTheme="minorEastAsia" w:cs="Arial"/>
          <w:szCs w:val="24"/>
          <w:lang w:val="en-US"/>
        </w:rPr>
        <w:t>. Hence, the</w:t>
      </w:r>
      <w:r>
        <w:rPr>
          <w:rFonts w:eastAsiaTheme="minorEastAsia" w:cs="Arial"/>
          <w:szCs w:val="24"/>
          <w:lang w:val="en-US"/>
        </w:rPr>
        <w:t>se legacy formats</w:t>
      </w:r>
      <w:r w:rsidR="004F6204">
        <w:rPr>
          <w:rFonts w:eastAsiaTheme="minorEastAsia" w:cs="Arial"/>
          <w:szCs w:val="24"/>
          <w:lang w:val="en-US"/>
        </w:rPr>
        <w:t xml:space="preserve"> cannot meet the ETSI regulatory requirement that any transmission needs to occupy minimum 2MHz</w:t>
      </w:r>
      <w:r w:rsidR="006A49E5">
        <w:rPr>
          <w:rFonts w:eastAsiaTheme="minorEastAsia" w:cs="Arial"/>
          <w:szCs w:val="24"/>
          <w:lang w:val="en-US"/>
        </w:rPr>
        <w:t xml:space="preserve"> [</w:t>
      </w:r>
      <w:r w:rsidR="005021CE">
        <w:rPr>
          <w:rFonts w:eastAsiaTheme="minorEastAsia" w:cs="Arial"/>
          <w:szCs w:val="24"/>
          <w:lang w:val="en-US"/>
        </w:rPr>
        <w:t>4</w:t>
      </w:r>
      <w:r w:rsidR="006A49E5">
        <w:rPr>
          <w:rFonts w:eastAsiaTheme="minorEastAsia" w:cs="Arial"/>
          <w:szCs w:val="24"/>
          <w:lang w:val="en-US"/>
        </w:rPr>
        <w:t>]</w:t>
      </w:r>
      <w:r w:rsidR="004F6204">
        <w:rPr>
          <w:rFonts w:eastAsiaTheme="minorEastAsia" w:cs="Arial"/>
          <w:szCs w:val="24"/>
          <w:lang w:val="en-US"/>
        </w:rPr>
        <w:t xml:space="preserve">. Moreover, </w:t>
      </w:r>
      <w:r>
        <w:rPr>
          <w:rFonts w:eastAsiaTheme="minorEastAsia" w:cs="Arial"/>
          <w:szCs w:val="24"/>
          <w:lang w:val="en-US"/>
        </w:rPr>
        <w:t xml:space="preserve">even </w:t>
      </w:r>
      <w:r w:rsidR="004F6204">
        <w:rPr>
          <w:rFonts w:eastAsiaTheme="minorEastAsia" w:cs="Arial"/>
          <w:szCs w:val="24"/>
          <w:lang w:val="en-US"/>
        </w:rPr>
        <w:t>for PUCCH formats 2 and 3, there is the need to restrict the PRB allocation configuration to satisfy the requirement.</w:t>
      </w:r>
    </w:p>
    <w:p w:rsidR="00FB52F1" w:rsidRPr="00CC202E" w:rsidRDefault="00FB52F1" w:rsidP="00FB52F1">
      <w:pPr>
        <w:adjustRightInd w:val="0"/>
        <w:spacing w:after="0" w:afterAutospacing="0"/>
        <w:rPr>
          <w:rFonts w:eastAsiaTheme="minorEastAsia" w:cs="Arial"/>
          <w:szCs w:val="24"/>
          <w:lang w:val="en-US"/>
        </w:rPr>
      </w:pPr>
    </w:p>
    <w:p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B52F1" w:rsidRDefault="004F6204"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 xml:space="preserve">NR-U </w:t>
      </w:r>
      <w:r w:rsidR="00D83E81">
        <w:rPr>
          <w:rFonts w:eastAsiaTheme="minorEastAsia" w:cs="Arial"/>
          <w:szCs w:val="24"/>
          <w:lang w:val="en-US"/>
        </w:rPr>
        <w:t xml:space="preserve">does not </w:t>
      </w:r>
      <w:r>
        <w:rPr>
          <w:rFonts w:eastAsiaTheme="minorEastAsia" w:cs="Arial"/>
          <w:szCs w:val="24"/>
          <w:lang w:val="en-US"/>
        </w:rPr>
        <w:t xml:space="preserve">support </w:t>
      </w:r>
      <w:r w:rsidR="00D83E81">
        <w:rPr>
          <w:rFonts w:eastAsiaTheme="minorEastAsia" w:cs="Arial"/>
          <w:szCs w:val="24"/>
          <w:lang w:val="en-US"/>
        </w:rPr>
        <w:t xml:space="preserve">Rel-15 </w:t>
      </w:r>
      <w:r>
        <w:rPr>
          <w:rFonts w:eastAsiaTheme="minorEastAsia" w:cs="Arial"/>
          <w:szCs w:val="24"/>
          <w:lang w:val="en-US"/>
        </w:rPr>
        <w:t xml:space="preserve">PUCCH format </w:t>
      </w:r>
      <w:r w:rsidR="00D83E81">
        <w:rPr>
          <w:rFonts w:eastAsiaTheme="minorEastAsia" w:cs="Arial"/>
          <w:szCs w:val="24"/>
          <w:lang w:val="en-US"/>
        </w:rPr>
        <w:t>0, 1, nor 4</w:t>
      </w:r>
      <w:r>
        <w:rPr>
          <w:rFonts w:eastAsiaTheme="minorEastAsia" w:cs="Arial"/>
          <w:szCs w:val="24"/>
          <w:lang w:val="en-US"/>
        </w:rPr>
        <w:t>.</w:t>
      </w:r>
    </w:p>
    <w:p w:rsidR="00FB52F1" w:rsidRPr="00D83E81" w:rsidRDefault="00FB52F1" w:rsidP="00FB52F1">
      <w:pPr>
        <w:adjustRightInd w:val="0"/>
        <w:spacing w:after="0" w:afterAutospacing="0"/>
        <w:rPr>
          <w:rFonts w:eastAsiaTheme="minorEastAsia" w:cs="Arial"/>
          <w:szCs w:val="24"/>
          <w:lang w:val="en-US"/>
        </w:rPr>
      </w:pPr>
    </w:p>
    <w:p w:rsidR="00264239" w:rsidRPr="00AB10D2" w:rsidRDefault="00AC2CBD" w:rsidP="00AC2CBD">
      <w:pPr>
        <w:pStyle w:val="20"/>
        <w:rPr>
          <w:lang w:val="en-US" w:eastAsia="zh-CN"/>
        </w:rPr>
      </w:pPr>
      <w:r w:rsidRPr="00AC2CBD">
        <w:rPr>
          <w:lang w:val="en-US"/>
        </w:rPr>
        <w:t>Enhanced PUCCH formats</w:t>
      </w:r>
    </w:p>
    <w:p w:rsidR="0020746E" w:rsidRPr="003C221A" w:rsidRDefault="0020746E" w:rsidP="0020746E">
      <w:pPr>
        <w:adjustRightInd w:val="0"/>
        <w:spacing w:after="0" w:afterAutospacing="0"/>
        <w:rPr>
          <w:rFonts w:cs="Arial"/>
          <w:szCs w:val="24"/>
          <w:lang w:val="en-US"/>
        </w:rPr>
      </w:pPr>
      <w:r>
        <w:rPr>
          <w:rFonts w:eastAsiaTheme="minorEastAsia" w:cs="Arial"/>
          <w:szCs w:val="24"/>
          <w:lang w:val="en-US"/>
        </w:rPr>
        <w:t>In RAN1#9</w:t>
      </w:r>
      <w:r w:rsidR="00AC2CBD">
        <w:rPr>
          <w:rFonts w:eastAsiaTheme="minorEastAsia" w:cs="Arial"/>
          <w:szCs w:val="24"/>
          <w:lang w:val="en-US"/>
        </w:rPr>
        <w:t>4</w:t>
      </w:r>
      <w:r>
        <w:rPr>
          <w:rFonts w:eastAsiaTheme="minorEastAsia" w:cs="Arial"/>
          <w:szCs w:val="24"/>
          <w:lang w:val="en-US"/>
        </w:rPr>
        <w:t xml:space="preserve"> it was agreed that </w:t>
      </w:r>
      <w:r w:rsidR="00AC2CBD" w:rsidRPr="00AC2CBD">
        <w:rPr>
          <w:rFonts w:eastAsiaTheme="minorEastAsia" w:cs="Arial"/>
          <w:szCs w:val="24"/>
          <w:lang w:val="en-US"/>
        </w:rPr>
        <w:t>a PRB-based block-interlace design has been identified as beneficial at least for 15 and 30 kHz SCS</w:t>
      </w:r>
      <w:r w:rsidR="006A49E5">
        <w:rPr>
          <w:rFonts w:eastAsiaTheme="minorEastAsia" w:cs="Arial"/>
          <w:szCs w:val="24"/>
          <w:lang w:val="en-US"/>
        </w:rPr>
        <w:t xml:space="preserve"> [</w:t>
      </w:r>
      <w:r w:rsidR="005021CE">
        <w:rPr>
          <w:rFonts w:eastAsiaTheme="minorEastAsia" w:cs="Arial"/>
          <w:szCs w:val="24"/>
          <w:lang w:val="en-US"/>
        </w:rPr>
        <w:t>2</w:t>
      </w:r>
      <w:r w:rsidR="006A49E5">
        <w:rPr>
          <w:rFonts w:eastAsiaTheme="minorEastAsia" w:cs="Arial"/>
          <w:szCs w:val="24"/>
          <w:lang w:val="en-US"/>
        </w:rPr>
        <w:t>]</w:t>
      </w:r>
      <w:r w:rsidR="00AC2CBD">
        <w:rPr>
          <w:rFonts w:eastAsiaTheme="minorEastAsia" w:cs="Arial"/>
          <w:szCs w:val="24"/>
          <w:lang w:val="en-US"/>
        </w:rPr>
        <w:t xml:space="preserve">. Given that enhanced PUCCH format(s) is designed to satisfy the regulatory requirement on </w:t>
      </w:r>
      <w:r w:rsidR="00AC2CBD">
        <w:rPr>
          <w:rFonts w:eastAsiaTheme="minorEastAsia" w:cs="Arial"/>
          <w:szCs w:val="24"/>
          <w:lang w:val="en-US"/>
        </w:rPr>
        <w:sym w:font="Symbol" w:char="F0B3"/>
      </w:r>
      <w:r w:rsidR="00AC2CBD">
        <w:rPr>
          <w:rFonts w:eastAsiaTheme="minorEastAsia" w:cs="Arial"/>
          <w:szCs w:val="24"/>
          <w:lang w:val="en-US"/>
        </w:rPr>
        <w:t>80% of occupied channel bandwidth</w:t>
      </w:r>
      <w:r w:rsidR="006A49E5">
        <w:rPr>
          <w:rFonts w:eastAsiaTheme="minorEastAsia" w:cs="Arial"/>
          <w:szCs w:val="24"/>
          <w:lang w:val="en-US"/>
        </w:rPr>
        <w:t xml:space="preserve"> [</w:t>
      </w:r>
      <w:r w:rsidR="005021CE">
        <w:rPr>
          <w:rFonts w:eastAsiaTheme="minorEastAsia" w:cs="Arial"/>
          <w:szCs w:val="24"/>
          <w:lang w:val="en-US"/>
        </w:rPr>
        <w:t>4</w:t>
      </w:r>
      <w:r w:rsidR="006A49E5">
        <w:rPr>
          <w:rFonts w:eastAsiaTheme="minorEastAsia" w:cs="Arial"/>
          <w:szCs w:val="24"/>
          <w:lang w:val="en-US"/>
        </w:rPr>
        <w:t>]</w:t>
      </w:r>
      <w:r w:rsidR="00AC2CBD">
        <w:rPr>
          <w:rFonts w:eastAsiaTheme="minorEastAsia" w:cs="Arial"/>
          <w:szCs w:val="24"/>
          <w:lang w:val="en-US"/>
        </w:rPr>
        <w:t xml:space="preserve">, any single PUCCH resource has to contain a certain number of PRBs. </w:t>
      </w:r>
      <w:r w:rsidR="00EC4FA8">
        <w:rPr>
          <w:rFonts w:eastAsiaTheme="minorEastAsia" w:cs="Arial"/>
          <w:szCs w:val="24"/>
          <w:lang w:val="en-US"/>
        </w:rPr>
        <w:t>In this case</w:t>
      </w:r>
      <w:r w:rsidR="00AC2CBD">
        <w:rPr>
          <w:rFonts w:eastAsiaTheme="minorEastAsia" w:cs="Arial"/>
          <w:szCs w:val="24"/>
          <w:lang w:val="en-US"/>
        </w:rPr>
        <w:t xml:space="preserve">, </w:t>
      </w:r>
      <w:r w:rsidR="00EC4FA8">
        <w:rPr>
          <w:rFonts w:eastAsiaTheme="minorEastAsia" w:cs="Arial"/>
          <w:szCs w:val="24"/>
          <w:lang w:val="en-US"/>
        </w:rPr>
        <w:t xml:space="preserve">PUCCH format </w:t>
      </w:r>
      <w:r w:rsidR="00AC2CBD">
        <w:rPr>
          <w:rFonts w:eastAsiaTheme="minorEastAsia" w:cs="Arial"/>
          <w:szCs w:val="24"/>
          <w:lang w:val="en-US"/>
        </w:rPr>
        <w:t xml:space="preserve">adaptation </w:t>
      </w:r>
      <w:r w:rsidR="00EC4FA8">
        <w:rPr>
          <w:rFonts w:eastAsiaTheme="minorEastAsia" w:cs="Arial"/>
          <w:szCs w:val="24"/>
          <w:lang w:val="en-US"/>
        </w:rPr>
        <w:t xml:space="preserve">just </w:t>
      </w:r>
      <w:r w:rsidR="00AC2CBD">
        <w:rPr>
          <w:rFonts w:eastAsiaTheme="minorEastAsia" w:cs="Arial"/>
          <w:szCs w:val="24"/>
          <w:lang w:val="en-US"/>
        </w:rPr>
        <w:t>to reduce the number of PRBs is not necessary.</w:t>
      </w:r>
      <w:r w:rsidR="00EC4FA8">
        <w:rPr>
          <w:rFonts w:eastAsiaTheme="minorEastAsia" w:cs="Arial"/>
          <w:szCs w:val="24"/>
          <w:lang w:val="en-US"/>
        </w:rPr>
        <w:t xml:space="preserve"> It may be sufficient to design </w:t>
      </w:r>
      <w:r w:rsidR="00EC4FA8" w:rsidRPr="00EC4FA8">
        <w:rPr>
          <w:rFonts w:eastAsiaTheme="minorEastAsia" w:cs="Arial"/>
          <w:szCs w:val="24"/>
          <w:lang w:val="en-US"/>
        </w:rPr>
        <w:t>one enhanced short format and one enhanced long format</w:t>
      </w:r>
      <w:r w:rsidR="00EC4FA8">
        <w:rPr>
          <w:rFonts w:eastAsiaTheme="minorEastAsia" w:cs="Arial"/>
          <w:szCs w:val="24"/>
          <w:lang w:val="en-US"/>
        </w:rPr>
        <w:t>. A good starting point is to consider enhancement on Rel-15 PUCCH format 2 and 3 for NR-U short and long formats, respectively.</w:t>
      </w:r>
    </w:p>
    <w:p w:rsidR="0020746E" w:rsidRPr="003C221A" w:rsidRDefault="0020746E" w:rsidP="0020746E">
      <w:pPr>
        <w:adjustRightInd w:val="0"/>
        <w:spacing w:after="0" w:afterAutospacing="0"/>
        <w:rPr>
          <w:rFonts w:cs="Arial"/>
          <w:szCs w:val="24"/>
        </w:rPr>
      </w:pPr>
    </w:p>
    <w:p w:rsidR="0020746E" w:rsidRPr="0013407A" w:rsidRDefault="0020746E" w:rsidP="0020746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C4FA8" w:rsidRDefault="00EC4FA8"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Design </w:t>
      </w:r>
      <w:r w:rsidRPr="00EC4FA8">
        <w:rPr>
          <w:rFonts w:eastAsiaTheme="minorEastAsia" w:cs="Arial"/>
          <w:szCs w:val="24"/>
          <w:lang w:val="en-US"/>
        </w:rPr>
        <w:t>one enhanced short format and one enhanced long format</w:t>
      </w:r>
      <w:r>
        <w:rPr>
          <w:rFonts w:eastAsiaTheme="minorEastAsia" w:cs="Arial"/>
          <w:szCs w:val="24"/>
          <w:lang w:val="en-US"/>
        </w:rPr>
        <w:t>.</w:t>
      </w:r>
    </w:p>
    <w:p w:rsidR="0020746E" w:rsidRPr="0020746E" w:rsidRDefault="00EC4FA8" w:rsidP="00EC4FA8">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A good starting point is to consider enhancement on Rel-15 PUCCH format 2 and 3 for NR-U short and long formats, respectively.</w:t>
      </w:r>
    </w:p>
    <w:p w:rsidR="00646392" w:rsidRDefault="00646392" w:rsidP="00FB52F1">
      <w:pPr>
        <w:adjustRightInd w:val="0"/>
        <w:spacing w:after="0" w:afterAutospacing="0"/>
        <w:rPr>
          <w:rFonts w:eastAsiaTheme="minorEastAsia" w:cs="Arial"/>
          <w:szCs w:val="24"/>
          <w:lang w:val="en-US"/>
        </w:rPr>
      </w:pPr>
    </w:p>
    <w:p w:rsidR="002D7FA4" w:rsidRPr="00AB10D2" w:rsidRDefault="002D7FA4" w:rsidP="002D7FA4">
      <w:pPr>
        <w:pStyle w:val="20"/>
        <w:rPr>
          <w:lang w:val="en-US" w:eastAsia="zh-CN"/>
        </w:rPr>
      </w:pPr>
      <w:proofErr w:type="spellStart"/>
      <w:r w:rsidRPr="002D7FA4">
        <w:rPr>
          <w:lang w:val="en-US" w:eastAsia="zh-CN"/>
        </w:rPr>
        <w:t>WiFi</w:t>
      </w:r>
      <w:proofErr w:type="spellEnd"/>
      <w:r w:rsidRPr="002D7FA4">
        <w:rPr>
          <w:lang w:val="en-US" w:eastAsia="zh-CN"/>
        </w:rPr>
        <w:t xml:space="preserve"> 802.11a preamble</w:t>
      </w:r>
    </w:p>
    <w:p w:rsidR="007E3BD1" w:rsidRPr="002D7FA4" w:rsidRDefault="000D25E9" w:rsidP="00FB52F1">
      <w:pPr>
        <w:adjustRightInd w:val="0"/>
        <w:spacing w:after="0" w:afterAutospacing="0"/>
        <w:rPr>
          <w:rFonts w:eastAsiaTheme="minorEastAsia" w:cs="Arial"/>
          <w:szCs w:val="24"/>
          <w:lang w:val="en-US"/>
        </w:rPr>
      </w:pPr>
      <w:r>
        <w:rPr>
          <w:rFonts w:eastAsiaTheme="minorEastAsia" w:cs="Arial"/>
          <w:szCs w:val="24"/>
          <w:lang w:val="en-US"/>
        </w:rPr>
        <w:t xml:space="preserve">It was proposed </w:t>
      </w:r>
      <w:r w:rsidR="002D7FA4">
        <w:rPr>
          <w:rFonts w:eastAsiaTheme="minorEastAsia" w:cs="Arial"/>
          <w:szCs w:val="24"/>
          <w:lang w:val="en-US"/>
        </w:rPr>
        <w:t>introduc</w:t>
      </w:r>
      <w:r>
        <w:rPr>
          <w:rFonts w:eastAsiaTheme="minorEastAsia" w:cs="Arial"/>
          <w:szCs w:val="24"/>
          <w:lang w:val="en-US"/>
        </w:rPr>
        <w:t>ing</w:t>
      </w:r>
      <w:r w:rsidR="002D7FA4">
        <w:rPr>
          <w:rFonts w:eastAsiaTheme="minorEastAsia" w:cs="Arial"/>
          <w:szCs w:val="24"/>
          <w:lang w:val="en-US"/>
        </w:rPr>
        <w:t xml:space="preserve"> </w:t>
      </w:r>
      <w:bookmarkStart w:id="4" w:name="_Hlk524081630"/>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bookmarkEnd w:id="4"/>
      <w:r>
        <w:rPr>
          <w:rFonts w:eastAsiaTheme="minorEastAsia" w:cs="Arial"/>
          <w:szCs w:val="24"/>
          <w:lang w:val="en-US"/>
        </w:rPr>
        <w:t xml:space="preserve"> (including 16us PLCP preamble and 4us PLCP header) to NR-U for co-existence with </w:t>
      </w:r>
      <w:proofErr w:type="spellStart"/>
      <w:r>
        <w:rPr>
          <w:rFonts w:eastAsiaTheme="minorEastAsia" w:cs="Arial"/>
          <w:szCs w:val="24"/>
          <w:lang w:val="en-US"/>
        </w:rPr>
        <w:t>WiFi</w:t>
      </w:r>
      <w:proofErr w:type="spellEnd"/>
      <w:r>
        <w:rPr>
          <w:rFonts w:eastAsiaTheme="minorEastAsia" w:cs="Arial"/>
          <w:szCs w:val="24"/>
          <w:lang w:val="en-US"/>
        </w:rPr>
        <w:t xml:space="preserve"> devices</w:t>
      </w:r>
      <w:r w:rsidR="006A49E5">
        <w:rPr>
          <w:rFonts w:eastAsiaTheme="minorEastAsia" w:cs="Arial"/>
          <w:szCs w:val="24"/>
          <w:lang w:val="en-US"/>
        </w:rPr>
        <w:t xml:space="preserve"> [</w:t>
      </w:r>
      <w:r w:rsidR="005021CE">
        <w:rPr>
          <w:rFonts w:eastAsiaTheme="minorEastAsia" w:cs="Arial"/>
          <w:szCs w:val="24"/>
          <w:lang w:val="en-US"/>
        </w:rPr>
        <w:t>5</w:t>
      </w:r>
      <w:r w:rsidR="006A49E5">
        <w:rPr>
          <w:rFonts w:eastAsiaTheme="minorEastAsia" w:cs="Arial"/>
          <w:szCs w:val="24"/>
          <w:lang w:val="en-US"/>
        </w:rPr>
        <w:t>]</w:t>
      </w:r>
      <w:r w:rsidR="002D7FA4">
        <w:rPr>
          <w:rFonts w:eastAsiaTheme="minorEastAsia" w:cs="Arial"/>
          <w:szCs w:val="24"/>
          <w:lang w:val="en-US"/>
        </w:rPr>
        <w:t>.</w:t>
      </w:r>
      <w:r>
        <w:rPr>
          <w:rFonts w:eastAsiaTheme="minorEastAsia" w:cs="Arial"/>
          <w:szCs w:val="24"/>
          <w:lang w:val="en-US"/>
        </w:rPr>
        <w:t xml:space="preserve"> If NR-U nodes </w:t>
      </w:r>
      <w:proofErr w:type="gramStart"/>
      <w:r>
        <w:rPr>
          <w:rFonts w:eastAsiaTheme="minorEastAsia" w:cs="Arial"/>
          <w:szCs w:val="24"/>
          <w:lang w:val="en-US"/>
        </w:rPr>
        <w:t>informs</w:t>
      </w:r>
      <w:proofErr w:type="gramEnd"/>
      <w:r>
        <w:rPr>
          <w:rFonts w:eastAsiaTheme="minorEastAsia" w:cs="Arial"/>
          <w:szCs w:val="24"/>
          <w:lang w:val="en-US"/>
        </w:rPr>
        <w:t xml:space="preserve"> </w:t>
      </w:r>
      <w:proofErr w:type="spellStart"/>
      <w:r>
        <w:rPr>
          <w:rFonts w:eastAsiaTheme="minorEastAsia" w:cs="Arial"/>
          <w:szCs w:val="24"/>
          <w:lang w:val="en-US"/>
        </w:rPr>
        <w:t>WiFi</w:t>
      </w:r>
      <w:proofErr w:type="spellEnd"/>
      <w:r>
        <w:rPr>
          <w:rFonts w:eastAsiaTheme="minorEastAsia" w:cs="Arial"/>
          <w:szCs w:val="24"/>
          <w:lang w:val="en-US"/>
        </w:rPr>
        <w:t xml:space="preserve"> devices of </w:t>
      </w:r>
      <w:r w:rsidR="007B2712">
        <w:rPr>
          <w:rFonts w:eastAsiaTheme="minorEastAsia" w:cs="Arial"/>
          <w:szCs w:val="24"/>
          <w:lang w:val="en-US"/>
        </w:rPr>
        <w:t xml:space="preserve">TXOP length via PLCP header, the </w:t>
      </w:r>
      <w:proofErr w:type="spellStart"/>
      <w:r w:rsidR="007B2712">
        <w:rPr>
          <w:rFonts w:eastAsiaTheme="minorEastAsia" w:cs="Arial"/>
          <w:szCs w:val="24"/>
          <w:lang w:val="en-US"/>
        </w:rPr>
        <w:t>WiFi</w:t>
      </w:r>
      <w:proofErr w:type="spellEnd"/>
      <w:r w:rsidR="007B2712">
        <w:rPr>
          <w:rFonts w:eastAsiaTheme="minorEastAsia" w:cs="Arial"/>
          <w:szCs w:val="24"/>
          <w:lang w:val="en-US"/>
        </w:rPr>
        <w:t xml:space="preserve"> nodes would not transmit signals during the TXOP. Hence, it may help coexistence between NR-U nodes and </w:t>
      </w:r>
      <w:proofErr w:type="spellStart"/>
      <w:r w:rsidR="007B2712">
        <w:rPr>
          <w:rFonts w:eastAsiaTheme="minorEastAsia" w:cs="Arial"/>
          <w:szCs w:val="24"/>
          <w:lang w:val="en-US"/>
        </w:rPr>
        <w:t>WiFi</w:t>
      </w:r>
      <w:proofErr w:type="spellEnd"/>
      <w:r w:rsidR="007B2712">
        <w:rPr>
          <w:rFonts w:eastAsiaTheme="minorEastAsia" w:cs="Arial"/>
          <w:szCs w:val="24"/>
          <w:lang w:val="en-US"/>
        </w:rPr>
        <w:t xml:space="preserve"> nodes. </w:t>
      </w:r>
      <w:r w:rsidR="007E3BD1">
        <w:rPr>
          <w:rFonts w:eastAsiaTheme="minorEastAsia" w:cs="Arial" w:hint="eastAsia"/>
          <w:szCs w:val="24"/>
          <w:lang w:val="en-US"/>
        </w:rPr>
        <w:t xml:space="preserve">On the other hand, UL transmission is a different story. </w:t>
      </w:r>
      <w:r w:rsidR="007E3BD1">
        <w:rPr>
          <w:rFonts w:eastAsiaTheme="minorEastAsia" w:cs="Arial"/>
          <w:szCs w:val="24"/>
          <w:lang w:val="en-US"/>
        </w:rPr>
        <w:t xml:space="preserve">NR-U system should have UL multi-user transmissions in a cell, where UL transmission lengths may be different among the scheduled UEs. If those UEs simultaneously transmit different PLCP header, </w:t>
      </w:r>
      <w:proofErr w:type="spellStart"/>
      <w:r w:rsidR="007E3BD1">
        <w:rPr>
          <w:rFonts w:eastAsiaTheme="minorEastAsia" w:cs="Arial"/>
          <w:szCs w:val="24"/>
          <w:lang w:val="en-US"/>
        </w:rPr>
        <w:t>WiFi</w:t>
      </w:r>
      <w:proofErr w:type="spellEnd"/>
      <w:r w:rsidR="007E3BD1">
        <w:rPr>
          <w:rFonts w:eastAsiaTheme="minorEastAsia" w:cs="Arial"/>
          <w:szCs w:val="24"/>
          <w:lang w:val="en-US"/>
        </w:rPr>
        <w:t xml:space="preserve"> nodes must get even more confused. Therefore, </w:t>
      </w:r>
      <w:proofErr w:type="spellStart"/>
      <w:r w:rsidR="007E3BD1" w:rsidRPr="000D25E9">
        <w:rPr>
          <w:rFonts w:eastAsiaTheme="minorEastAsia" w:cs="Arial"/>
          <w:szCs w:val="24"/>
          <w:lang w:val="en-US"/>
        </w:rPr>
        <w:t>WiFi</w:t>
      </w:r>
      <w:proofErr w:type="spellEnd"/>
      <w:r w:rsidR="007E3BD1" w:rsidRPr="000D25E9">
        <w:rPr>
          <w:rFonts w:eastAsiaTheme="minorEastAsia" w:cs="Arial"/>
          <w:szCs w:val="24"/>
          <w:lang w:val="en-US"/>
        </w:rPr>
        <w:t xml:space="preserve"> 802.11a preamble</w:t>
      </w:r>
      <w:r w:rsidR="007E3BD1">
        <w:rPr>
          <w:rFonts w:eastAsiaTheme="minorEastAsia" w:cs="Arial"/>
          <w:szCs w:val="24"/>
          <w:lang w:val="en-US"/>
        </w:rPr>
        <w:t xml:space="preserve"> is not suitable for UL multi-user scheduling.</w:t>
      </w:r>
    </w:p>
    <w:p w:rsidR="007A3274" w:rsidRDefault="007A3274" w:rsidP="004A6E47">
      <w:pPr>
        <w:adjustRightInd w:val="0"/>
        <w:spacing w:after="0" w:afterAutospacing="0"/>
        <w:rPr>
          <w:rFonts w:eastAsiaTheme="minorEastAsia" w:cs="Arial"/>
          <w:szCs w:val="24"/>
          <w:lang w:val="en-US"/>
        </w:rPr>
      </w:pPr>
    </w:p>
    <w:p w:rsidR="007E3BD1" w:rsidRPr="0013407A" w:rsidRDefault="00750CFB" w:rsidP="007E3BD1">
      <w:pPr>
        <w:adjustRightInd w:val="0"/>
        <w:spacing w:after="0" w:afterAutospacing="0"/>
        <w:rPr>
          <w:rFonts w:cs="Arial"/>
          <w:b/>
          <w:szCs w:val="24"/>
          <w:u w:val="single"/>
        </w:rPr>
      </w:pPr>
      <w:r>
        <w:rPr>
          <w:rFonts w:cs="Arial"/>
          <w:b/>
          <w:szCs w:val="24"/>
          <w:u w:val="single"/>
        </w:rPr>
        <w:t>Observation</w:t>
      </w:r>
      <w:r w:rsidR="007E3BD1">
        <w:rPr>
          <w:rFonts w:cs="Arial" w:hint="eastAsia"/>
          <w:b/>
          <w:szCs w:val="24"/>
          <w:u w:val="single"/>
        </w:rPr>
        <w:t xml:space="preserve"> 1</w:t>
      </w:r>
      <w:r w:rsidR="007E3BD1" w:rsidRPr="0013407A">
        <w:rPr>
          <w:rFonts w:cs="Arial" w:hint="eastAsia"/>
          <w:b/>
          <w:szCs w:val="24"/>
          <w:u w:val="single"/>
        </w:rPr>
        <w:t>:</w:t>
      </w:r>
      <w:r w:rsidR="007E3BD1" w:rsidRPr="0013407A">
        <w:rPr>
          <w:rFonts w:eastAsiaTheme="minorEastAsia" w:cs="Arial" w:hint="eastAsia"/>
          <w:b/>
          <w:szCs w:val="24"/>
          <w:u w:val="single"/>
          <w:lang w:val="en-US"/>
        </w:rPr>
        <w:t xml:space="preserve"> </w:t>
      </w:r>
    </w:p>
    <w:p w:rsidR="007E3BD1" w:rsidRDefault="005021CE" w:rsidP="007E3BD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Use of </w:t>
      </w:r>
      <w:proofErr w:type="spellStart"/>
      <w:r w:rsidR="007E3BD1" w:rsidRPr="000D25E9">
        <w:rPr>
          <w:rFonts w:eastAsiaTheme="minorEastAsia" w:cs="Arial"/>
          <w:szCs w:val="24"/>
          <w:lang w:val="en-US"/>
        </w:rPr>
        <w:t>WiFi</w:t>
      </w:r>
      <w:proofErr w:type="spellEnd"/>
      <w:r w:rsidR="007E3BD1" w:rsidRPr="000D25E9">
        <w:rPr>
          <w:rFonts w:eastAsiaTheme="minorEastAsia" w:cs="Arial"/>
          <w:szCs w:val="24"/>
          <w:lang w:val="en-US"/>
        </w:rPr>
        <w:t xml:space="preserve"> 802.11a preamble</w:t>
      </w:r>
      <w:r w:rsidR="007E3BD1">
        <w:rPr>
          <w:rFonts w:eastAsiaTheme="minorEastAsia" w:cs="Arial"/>
          <w:szCs w:val="24"/>
          <w:lang w:val="en-US"/>
        </w:rPr>
        <w:t xml:space="preserve"> is not suitable for NR-U UL transmission</w:t>
      </w:r>
      <w:r w:rsidR="007E3BD1" w:rsidRPr="0020746E">
        <w:rPr>
          <w:rFonts w:eastAsiaTheme="minorEastAsia" w:cs="Arial"/>
          <w:szCs w:val="24"/>
          <w:lang w:val="en-US"/>
        </w:rPr>
        <w:t>.</w:t>
      </w:r>
    </w:p>
    <w:p w:rsidR="007E3BD1" w:rsidRPr="007E3BD1" w:rsidRDefault="007E3BD1" w:rsidP="004A6E47">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634245">
        <w:rPr>
          <w:rFonts w:cs="Arial" w:hint="eastAsia"/>
          <w:szCs w:val="24"/>
        </w:rPr>
        <w:t xml:space="preserve">our views on </w:t>
      </w:r>
      <w:r w:rsidR="00A9155A">
        <w:rPr>
          <w:rFonts w:cs="Arial"/>
          <w:szCs w:val="24"/>
        </w:rPr>
        <w:t xml:space="preserve">UL channel and signal </w:t>
      </w:r>
      <w:r w:rsidR="00634245">
        <w:rPr>
          <w:rFonts w:cs="Arial"/>
          <w:szCs w:val="24"/>
        </w:rPr>
        <w:t>design</w:t>
      </w:r>
      <w:r w:rsidR="00634245">
        <w:rPr>
          <w:rFonts w:cs="Arial" w:hint="eastAsia"/>
          <w:szCs w:val="24"/>
        </w:rPr>
        <w:t xml:space="preserve"> </w:t>
      </w:r>
      <w:r w:rsidR="004A023B">
        <w:rPr>
          <w:rFonts w:cs="Arial" w:hint="eastAsia"/>
          <w:szCs w:val="24"/>
        </w:rPr>
        <w:t>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486524" w:rsidRPr="0013407A" w:rsidRDefault="00486524" w:rsidP="0048652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486524" w:rsidRDefault="00486524" w:rsidP="0048652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NR-U does not support Rel-15 PUCCH format 0, 1, nor 4.</w:t>
      </w:r>
    </w:p>
    <w:p w:rsidR="00486524" w:rsidRPr="0013407A" w:rsidRDefault="00486524" w:rsidP="00486524">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486524" w:rsidRDefault="00486524" w:rsidP="0048652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Design </w:t>
      </w:r>
      <w:r w:rsidRPr="00EC4FA8">
        <w:rPr>
          <w:rFonts w:eastAsiaTheme="minorEastAsia" w:cs="Arial"/>
          <w:szCs w:val="24"/>
          <w:lang w:val="en-US"/>
        </w:rPr>
        <w:t>one enhanced short format and one enhanced long format</w:t>
      </w:r>
      <w:r>
        <w:rPr>
          <w:rFonts w:eastAsiaTheme="minorEastAsia" w:cs="Arial"/>
          <w:szCs w:val="24"/>
          <w:lang w:val="en-US"/>
        </w:rPr>
        <w:t>.</w:t>
      </w:r>
    </w:p>
    <w:p w:rsidR="00486524" w:rsidRPr="0020746E" w:rsidRDefault="00486524" w:rsidP="00486524">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A good starting point is to consider enhancement on Rel-15 PUCCH format 2 and 3 for NR-U short and long formats, respectively.</w:t>
      </w:r>
    </w:p>
    <w:p w:rsidR="00486524" w:rsidRPr="0013407A" w:rsidRDefault="00486524" w:rsidP="00486524">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486524" w:rsidRDefault="005021CE" w:rsidP="0048652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Use of </w:t>
      </w:r>
      <w:proofErr w:type="spellStart"/>
      <w:r w:rsidR="00486524" w:rsidRPr="000D25E9">
        <w:rPr>
          <w:rFonts w:eastAsiaTheme="minorEastAsia" w:cs="Arial"/>
          <w:szCs w:val="24"/>
          <w:lang w:val="en-US"/>
        </w:rPr>
        <w:t>WiFi</w:t>
      </w:r>
      <w:proofErr w:type="spellEnd"/>
      <w:r w:rsidR="00486524" w:rsidRPr="000D25E9">
        <w:rPr>
          <w:rFonts w:eastAsiaTheme="minorEastAsia" w:cs="Arial"/>
          <w:szCs w:val="24"/>
          <w:lang w:val="en-US"/>
        </w:rPr>
        <w:t xml:space="preserve"> 802.11a preamble</w:t>
      </w:r>
      <w:r w:rsidR="00486524">
        <w:rPr>
          <w:rFonts w:eastAsiaTheme="minorEastAsia" w:cs="Arial"/>
          <w:szCs w:val="24"/>
          <w:lang w:val="en-US"/>
        </w:rPr>
        <w:t xml:space="preserve"> is not suitable for NR-U UL transmission</w:t>
      </w:r>
      <w:r w:rsidR="00486524" w:rsidRPr="0020746E">
        <w:rPr>
          <w:rFonts w:eastAsiaTheme="minorEastAsia" w:cs="Arial"/>
          <w:szCs w:val="24"/>
          <w:lang w:val="en-US"/>
        </w:rPr>
        <w:t>.</w:t>
      </w:r>
    </w:p>
    <w:p w:rsidR="00F77A1B" w:rsidRPr="00F77A1B" w:rsidRDefault="00F77A1B"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5021CE" w:rsidRPr="005021CE" w:rsidRDefault="005021CE" w:rsidP="00895C16">
      <w:pPr>
        <w:pStyle w:val="textintend2"/>
        <w:widowControl w:val="0"/>
        <w:numPr>
          <w:ilvl w:val="0"/>
          <w:numId w:val="11"/>
        </w:numPr>
        <w:snapToGrid w:val="0"/>
        <w:spacing w:after="0"/>
        <w:ind w:left="720" w:hanging="720"/>
        <w:rPr>
          <w:szCs w:val="24"/>
        </w:rPr>
      </w:pPr>
      <w:r w:rsidRPr="005021CE">
        <w:rPr>
          <w:lang w:eastAsia="ja-JP"/>
        </w:rPr>
        <w:t>R1-1811149</w:t>
      </w:r>
      <w:r w:rsidRPr="00652C40">
        <w:rPr>
          <w:lang w:eastAsia="ja-JP"/>
        </w:rPr>
        <w:t>, “</w:t>
      </w:r>
      <w:r w:rsidRPr="005021CE">
        <w:rPr>
          <w:lang w:eastAsia="ja-JP"/>
        </w:rPr>
        <w:t>UL channel and signal design for NR unlicensed operation</w:t>
      </w:r>
      <w:r w:rsidRPr="00652C40">
        <w:rPr>
          <w:lang w:eastAsia="ja-JP"/>
        </w:rPr>
        <w:t xml:space="preserve">”, </w:t>
      </w:r>
      <w:r>
        <w:rPr>
          <w:lang w:eastAsia="ja-JP"/>
        </w:rPr>
        <w:t>Sharp</w:t>
      </w:r>
      <w:r w:rsidRPr="00652C40">
        <w:rPr>
          <w:lang w:eastAsia="ja-JP"/>
        </w:rPr>
        <w:t>, RAN1#94</w:t>
      </w:r>
      <w:r>
        <w:rPr>
          <w:lang w:eastAsia="ja-JP"/>
        </w:rPr>
        <w:t>bis</w:t>
      </w:r>
      <w:r w:rsidRPr="00652C40">
        <w:rPr>
          <w:lang w:eastAsia="ja-JP"/>
        </w:rPr>
        <w:t xml:space="preserve">, </w:t>
      </w:r>
      <w:r>
        <w:rPr>
          <w:lang w:eastAsia="ja-JP"/>
        </w:rPr>
        <w:t>October</w:t>
      </w:r>
      <w:r w:rsidRPr="00652C40">
        <w:rPr>
          <w:lang w:eastAsia="ja-JP"/>
        </w:rPr>
        <w:t xml:space="preserve"> 2018.</w:t>
      </w:r>
    </w:p>
    <w:p w:rsidR="002A5354" w:rsidRPr="002A5354" w:rsidRDefault="002A5354" w:rsidP="00895C16">
      <w:pPr>
        <w:pStyle w:val="textintend2"/>
        <w:widowControl w:val="0"/>
        <w:numPr>
          <w:ilvl w:val="0"/>
          <w:numId w:val="11"/>
        </w:numPr>
        <w:snapToGrid w:val="0"/>
        <w:spacing w:after="0"/>
        <w:ind w:left="720" w:hanging="720"/>
        <w:rPr>
          <w:szCs w:val="24"/>
        </w:rPr>
      </w:pPr>
      <w:r>
        <w:t>RAN WG1 #94 Chairman’s note, August 2018.</w:t>
      </w:r>
    </w:p>
    <w:p w:rsidR="00E96198" w:rsidRPr="006A49E5" w:rsidRDefault="00E96198" w:rsidP="00895C16">
      <w:pPr>
        <w:pStyle w:val="textintend2"/>
        <w:widowControl w:val="0"/>
        <w:numPr>
          <w:ilvl w:val="0"/>
          <w:numId w:val="11"/>
        </w:numPr>
        <w:snapToGrid w:val="0"/>
        <w:spacing w:after="0"/>
        <w:ind w:left="720" w:hanging="720"/>
        <w:rPr>
          <w:szCs w:val="24"/>
        </w:rPr>
      </w:pPr>
      <w:r>
        <w:rPr>
          <w:lang w:eastAsia="ja-JP"/>
        </w:rPr>
        <w:t>RAN WG1 #93 Chairman’s note, May 2018.</w:t>
      </w:r>
    </w:p>
    <w:p w:rsidR="006A49E5" w:rsidRPr="00C24544" w:rsidRDefault="006A49E5" w:rsidP="006A49E5">
      <w:pPr>
        <w:pStyle w:val="textintend2"/>
        <w:widowControl w:val="0"/>
        <w:numPr>
          <w:ilvl w:val="0"/>
          <w:numId w:val="11"/>
        </w:numPr>
        <w:snapToGrid w:val="0"/>
        <w:spacing w:after="0"/>
        <w:ind w:left="720" w:hanging="720"/>
        <w:rPr>
          <w:lang w:eastAsia="ja-JP"/>
        </w:rPr>
      </w:pPr>
      <w:r w:rsidRPr="00C24544">
        <w:rPr>
          <w:lang w:eastAsia="ja-JP"/>
        </w:rPr>
        <w:t>ETSI EN 301 893 V2.1.0, Mar, 2017</w:t>
      </w:r>
      <w:r>
        <w:rPr>
          <w:lang w:eastAsia="ja-JP"/>
        </w:rPr>
        <w:t>.</w:t>
      </w:r>
    </w:p>
    <w:p w:rsidR="006A49E5" w:rsidRPr="00652C40" w:rsidRDefault="006A49E5" w:rsidP="006A49E5">
      <w:pPr>
        <w:pStyle w:val="textintend2"/>
        <w:widowControl w:val="0"/>
        <w:numPr>
          <w:ilvl w:val="0"/>
          <w:numId w:val="11"/>
        </w:numPr>
        <w:snapToGrid w:val="0"/>
        <w:spacing w:after="0"/>
        <w:ind w:left="720" w:hanging="720"/>
        <w:rPr>
          <w:lang w:eastAsia="ja-JP"/>
        </w:rPr>
      </w:pPr>
      <w:r w:rsidRPr="00652C40">
        <w:rPr>
          <w:lang w:eastAsia="ja-JP"/>
        </w:rPr>
        <w:t>R1-1808690, “Initial design on technology neutral preamble for unlicensed operation”, Intel, RAN1#94, August 2018.</w:t>
      </w:r>
    </w:p>
    <w:p w:rsidR="006A49E5" w:rsidRPr="00D65461" w:rsidRDefault="006A49E5" w:rsidP="006A49E5">
      <w:pPr>
        <w:pStyle w:val="textintend2"/>
        <w:widowControl w:val="0"/>
        <w:numPr>
          <w:ilvl w:val="0"/>
          <w:numId w:val="0"/>
        </w:numPr>
        <w:snapToGrid w:val="0"/>
        <w:spacing w:after="0"/>
        <w:rPr>
          <w:szCs w:val="24"/>
        </w:rPr>
      </w:pPr>
    </w:p>
    <w:sectPr w:rsidR="006A49E5" w:rsidRPr="00D6546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508E" w:rsidRDefault="0084508E">
      <w:r>
        <w:separator/>
      </w:r>
    </w:p>
  </w:endnote>
  <w:endnote w:type="continuationSeparator" w:id="0">
    <w:p w:rsidR="0084508E" w:rsidRDefault="0084508E">
      <w:r>
        <w:continuationSeparator/>
      </w:r>
    </w:p>
  </w:endnote>
  <w:endnote w:type="continuationNotice" w:id="1">
    <w:p w:rsidR="0084508E" w:rsidRDefault="00845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FD4C20">
      <w:rPr>
        <w:b/>
        <w:noProof/>
      </w:rPr>
      <w:t>3</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508E" w:rsidRDefault="0084508E">
      <w:r>
        <w:separator/>
      </w:r>
    </w:p>
  </w:footnote>
  <w:footnote w:type="continuationSeparator" w:id="0">
    <w:p w:rsidR="0084508E" w:rsidRDefault="0084508E">
      <w:r>
        <w:continuationSeparator/>
      </w:r>
    </w:p>
  </w:footnote>
  <w:footnote w:type="continuationNotice" w:id="1">
    <w:p w:rsidR="0084508E" w:rsidRDefault="008450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132023"/>
    <w:multiLevelType w:val="hybridMultilevel"/>
    <w:tmpl w:val="CBCE4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3"/>
  </w:num>
  <w:num w:numId="6">
    <w:abstractNumId w:val="14"/>
  </w:num>
  <w:num w:numId="7">
    <w:abstractNumId w:val="12"/>
  </w:num>
  <w:num w:numId="8">
    <w:abstractNumId w:val="1"/>
  </w:num>
  <w:num w:numId="9">
    <w:abstractNumId w:val="18"/>
  </w:num>
  <w:num w:numId="10">
    <w:abstractNumId w:val="9"/>
  </w:num>
  <w:num w:numId="11">
    <w:abstractNumId w:val="10"/>
  </w:num>
  <w:num w:numId="12">
    <w:abstractNumId w:val="15"/>
  </w:num>
  <w:num w:numId="13">
    <w:abstractNumId w:val="8"/>
  </w:num>
  <w:num w:numId="14">
    <w:abstractNumId w:val="11"/>
  </w:num>
  <w:num w:numId="15">
    <w:abstractNumId w:val="0"/>
  </w:num>
  <w:num w:numId="16">
    <w:abstractNumId w:val="3"/>
  </w:num>
  <w:num w:numId="17">
    <w:abstractNumId w:val="7"/>
  </w:num>
  <w:num w:numId="18">
    <w:abstractNumId w:val="6"/>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0711"/>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3816"/>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354"/>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524"/>
    <w:rsid w:val="0048660C"/>
    <w:rsid w:val="004872D6"/>
    <w:rsid w:val="004877A7"/>
    <w:rsid w:val="004922AB"/>
    <w:rsid w:val="00492608"/>
    <w:rsid w:val="0049362E"/>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204"/>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21CE"/>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4309"/>
    <w:rsid w:val="005A50C0"/>
    <w:rsid w:val="005A5ECA"/>
    <w:rsid w:val="005A61C7"/>
    <w:rsid w:val="005A70B1"/>
    <w:rsid w:val="005A75E8"/>
    <w:rsid w:val="005A7648"/>
    <w:rsid w:val="005A77FB"/>
    <w:rsid w:val="005A7EC3"/>
    <w:rsid w:val="005B0AB3"/>
    <w:rsid w:val="005B21BA"/>
    <w:rsid w:val="005B2255"/>
    <w:rsid w:val="005B26D7"/>
    <w:rsid w:val="005B282B"/>
    <w:rsid w:val="005B36AA"/>
    <w:rsid w:val="005B3DE5"/>
    <w:rsid w:val="005B3E3B"/>
    <w:rsid w:val="005B48C9"/>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245"/>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4D69"/>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9E5"/>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C5E"/>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6D5"/>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57DFD"/>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0D4F"/>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1F4A"/>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08E"/>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7A3"/>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1A72"/>
    <w:rsid w:val="009F2578"/>
    <w:rsid w:val="009F264F"/>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72C"/>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5A"/>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264"/>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2CB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02A"/>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37E"/>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BF"/>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CE"/>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263B"/>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E81"/>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B83"/>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A8"/>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8EC"/>
    <w:rsid w:val="00F919CE"/>
    <w:rsid w:val="00F92305"/>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4D4"/>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C20"/>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7865147">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2F24D-1615-4E73-BB61-E1EBCA4FC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3045</TotalTime>
  <Pages>4</Pages>
  <Words>939</Words>
  <Characters>5353</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344</cp:revision>
  <cp:lastPrinted>2014-04-22T06:35:00Z</cp:lastPrinted>
  <dcterms:created xsi:type="dcterms:W3CDTF">2017-01-06T07:16:00Z</dcterms:created>
  <dcterms:modified xsi:type="dcterms:W3CDTF">2018-11-02T02:21:00Z</dcterms:modified>
</cp:coreProperties>
</file>