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EAB5C" w14:textId="08F61A09"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A76648">
        <w:rPr>
          <w:rFonts w:eastAsia="ＭＳ ゴシック" w:cs="Arial"/>
          <w:noProof w:val="0"/>
          <w:sz w:val="28"/>
          <w:szCs w:val="28"/>
          <w:lang w:val="en-US"/>
        </w:rPr>
        <w:t>5</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2623E9" w:rsidRPr="003B4E69">
        <w:rPr>
          <w:rFonts w:eastAsia="ＭＳ ゴシック" w:cs="Arial"/>
          <w:iCs/>
          <w:noProof w:val="0"/>
          <w:sz w:val="28"/>
          <w:szCs w:val="28"/>
          <w:lang w:val="en-US"/>
        </w:rPr>
        <w:t>1</w:t>
      </w:r>
      <w:r w:rsidR="002623E9">
        <w:rPr>
          <w:rFonts w:eastAsia="ＭＳ ゴシック" w:cs="Arial" w:hint="eastAsia"/>
          <w:iCs/>
          <w:noProof w:val="0"/>
          <w:sz w:val="28"/>
          <w:szCs w:val="28"/>
          <w:lang w:val="en-US"/>
        </w:rPr>
        <w:t>8</w:t>
      </w:r>
      <w:r w:rsidR="002623E9">
        <w:rPr>
          <w:rFonts w:eastAsia="ＭＳ ゴシック" w:cs="Arial"/>
          <w:iCs/>
          <w:noProof w:val="0"/>
          <w:sz w:val="28"/>
          <w:szCs w:val="28"/>
          <w:lang w:val="en-US"/>
        </w:rPr>
        <w:t>1</w:t>
      </w:r>
      <w:r w:rsidR="002C1B0D">
        <w:rPr>
          <w:rFonts w:eastAsia="ＭＳ ゴシック" w:cs="Arial"/>
          <w:iCs/>
          <w:noProof w:val="0"/>
          <w:sz w:val="28"/>
          <w:szCs w:val="28"/>
          <w:lang w:val="en-US"/>
        </w:rPr>
        <w:t>3198</w:t>
      </w:r>
    </w:p>
    <w:p w14:paraId="7DB35396" w14:textId="4F9C954A" w:rsidR="00312758" w:rsidRDefault="00A76648" w:rsidP="0060799C">
      <w:pPr>
        <w:pStyle w:val="a4"/>
        <w:tabs>
          <w:tab w:val="right" w:pos="10206"/>
        </w:tabs>
        <w:spacing w:after="0" w:afterAutospacing="0"/>
        <w:rPr>
          <w:rFonts w:eastAsia="ＭＳ ゴシック" w:cs="Arial"/>
          <w:noProof w:val="0"/>
          <w:sz w:val="28"/>
          <w:szCs w:val="28"/>
        </w:rPr>
      </w:pPr>
      <w:r w:rsidRPr="00A76648">
        <w:rPr>
          <w:rFonts w:eastAsia="ＭＳ ゴシック" w:cs="Arial"/>
          <w:noProof w:val="0"/>
          <w:sz w:val="28"/>
          <w:szCs w:val="28"/>
        </w:rPr>
        <w:t>Spokane, USA, November 12</w:t>
      </w:r>
      <w:r w:rsidRPr="00A76648">
        <w:rPr>
          <w:rFonts w:eastAsia="ＭＳ ゴシック" w:cs="Arial"/>
          <w:noProof w:val="0"/>
          <w:sz w:val="28"/>
          <w:szCs w:val="28"/>
          <w:vertAlign w:val="superscript"/>
        </w:rPr>
        <w:t>th</w:t>
      </w:r>
      <w:r w:rsidRPr="00A76648">
        <w:rPr>
          <w:rFonts w:eastAsia="ＭＳ ゴシック" w:cs="Arial"/>
          <w:noProof w:val="0"/>
          <w:sz w:val="28"/>
          <w:szCs w:val="28"/>
        </w:rPr>
        <w:t xml:space="preserve"> – 16</w:t>
      </w:r>
      <w:r w:rsidRPr="00A76648">
        <w:rPr>
          <w:rFonts w:eastAsia="ＭＳ ゴシック" w:cs="Arial"/>
          <w:noProof w:val="0"/>
          <w:sz w:val="28"/>
          <w:szCs w:val="28"/>
          <w:vertAlign w:val="superscript"/>
        </w:rPr>
        <w:t>th</w:t>
      </w:r>
      <w:r w:rsidRPr="00A76648">
        <w:rPr>
          <w:rFonts w:eastAsia="ＭＳ ゴシック" w:cs="Arial"/>
          <w:noProof w:val="0"/>
          <w:sz w:val="28"/>
          <w:szCs w:val="28"/>
        </w:rPr>
        <w:t>, 2018</w:t>
      </w:r>
    </w:p>
    <w:p w14:paraId="19E52EF0" w14:textId="77777777" w:rsidR="00A76648" w:rsidRPr="00A76648" w:rsidRDefault="00A7664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777F7B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 xml:space="preserve">Remaining issues on </w:t>
      </w:r>
      <w:r w:rsidR="00A76648">
        <w:rPr>
          <w:rFonts w:ascii="Arial" w:hAnsi="Arial" w:cs="Arial"/>
          <w:b/>
          <w:sz w:val="28"/>
          <w:szCs w:val="28"/>
          <w:lang w:val="en-US"/>
        </w:rPr>
        <w:t>SRS</w:t>
      </w:r>
    </w:p>
    <w:p w14:paraId="369A72EC" w14:textId="1C9D0418"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6E63AA" w:rsidRPr="006C2992">
        <w:rPr>
          <w:rFonts w:ascii="Arial" w:hAnsi="Arial" w:cs="Arial"/>
          <w:b/>
          <w:sz w:val="28"/>
          <w:szCs w:val="28"/>
          <w:lang w:val="en-US"/>
        </w:rPr>
        <w:t>7</w:t>
      </w:r>
      <w:r w:rsidR="00B70EAE" w:rsidRPr="006C2992">
        <w:rPr>
          <w:rFonts w:ascii="Arial" w:hAnsi="Arial" w:cs="Arial"/>
          <w:b/>
          <w:sz w:val="28"/>
          <w:szCs w:val="28"/>
          <w:lang w:val="en-US"/>
        </w:rPr>
        <w:t>.</w:t>
      </w:r>
      <w:r w:rsidR="006E63AA" w:rsidRPr="006C2992">
        <w:rPr>
          <w:rFonts w:ascii="Arial" w:hAnsi="Arial" w:cs="Arial"/>
          <w:b/>
          <w:sz w:val="28"/>
          <w:szCs w:val="28"/>
          <w:lang w:val="en-US"/>
        </w:rPr>
        <w:t>1</w:t>
      </w:r>
      <w:r w:rsidR="00B70EAE" w:rsidRPr="006C2992">
        <w:rPr>
          <w:rFonts w:ascii="Arial" w:hAnsi="Arial" w:cs="Arial"/>
          <w:b/>
          <w:sz w:val="28"/>
          <w:szCs w:val="28"/>
          <w:lang w:val="en-US"/>
        </w:rPr>
        <w:t>.</w:t>
      </w:r>
      <w:r w:rsidR="006E63AA" w:rsidRPr="006C2992">
        <w:rPr>
          <w:rFonts w:ascii="Arial" w:hAnsi="Arial" w:cs="Arial"/>
          <w:b/>
          <w:sz w:val="28"/>
          <w:szCs w:val="28"/>
          <w:lang w:val="en-US"/>
        </w:rPr>
        <w:t>2</w:t>
      </w:r>
      <w:r w:rsidR="00B70EAE" w:rsidRPr="006C2992">
        <w:rPr>
          <w:rFonts w:ascii="Arial" w:hAnsi="Arial" w:cs="Arial"/>
          <w:b/>
          <w:sz w:val="28"/>
          <w:szCs w:val="28"/>
          <w:lang w:val="en-US"/>
        </w:rPr>
        <w:t>.</w:t>
      </w:r>
      <w:r w:rsidR="00A76648">
        <w:rPr>
          <w:rFonts w:ascii="Arial" w:hAnsi="Arial" w:cs="Arial" w:hint="eastAsia"/>
          <w:b/>
          <w:sz w:val="28"/>
          <w:szCs w:val="28"/>
          <w:lang w:val="en-US"/>
        </w:rPr>
        <w:t>4</w:t>
      </w:r>
      <w:r w:rsidR="00B70EAE" w:rsidRPr="006C2992">
        <w:rPr>
          <w:rFonts w:ascii="Arial" w:hAnsi="Arial" w:cs="Arial"/>
          <w:b/>
          <w:sz w:val="28"/>
          <w:szCs w:val="28"/>
          <w:lang w:val="pt-BR"/>
        </w:rPr>
        <w:t xml:space="preserve">; </w:t>
      </w:r>
      <w:r w:rsidR="00A76648" w:rsidRPr="00A76648">
        <w:rPr>
          <w:rFonts w:ascii="Arial" w:hAnsi="Arial" w:cs="Arial"/>
          <w:b/>
          <w:sz w:val="28"/>
          <w:szCs w:val="28"/>
          <w:lang w:val="pt-BR"/>
        </w:rPr>
        <w:t>Maintenance for Reference signals and QCL</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4431A38A" w14:textId="7ED7E3C2" w:rsidR="007B306C" w:rsidRPr="00FD312C"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A76648">
        <w:rPr>
          <w:rFonts w:eastAsia="ＭＳ 明朝"/>
        </w:rPr>
        <w:t>SRS</w:t>
      </w:r>
      <w:r w:rsidR="005E094E">
        <w:rPr>
          <w:rFonts w:eastAsia="ＭＳ 明朝"/>
        </w:rPr>
        <w:t xml:space="preserve"> include</w:t>
      </w:r>
      <w:r w:rsidR="00312758">
        <w:rPr>
          <w:rFonts w:eastAsia="ＭＳ 明朝"/>
        </w:rPr>
        <w:t xml:space="preserve"> </w:t>
      </w:r>
      <w:r w:rsidR="00A76648">
        <w:rPr>
          <w:rFonts w:eastAsia="ＭＳ 明朝"/>
        </w:rPr>
        <w:t>cross-carrier beam indication for SRS.</w:t>
      </w:r>
    </w:p>
    <w:p w14:paraId="2F0C3B6C" w14:textId="77777777" w:rsidR="00656E99" w:rsidRDefault="00656E99" w:rsidP="00DD5C00">
      <w:pPr>
        <w:pStyle w:val="10"/>
        <w:spacing w:after="180"/>
        <w:rPr>
          <w:lang w:val="en-US"/>
        </w:rPr>
      </w:pPr>
      <w:bookmarkStart w:id="3" w:name="OLE_LINK1"/>
      <w:r>
        <w:rPr>
          <w:lang w:val="en-US"/>
        </w:rPr>
        <w:t>Discussions</w:t>
      </w:r>
    </w:p>
    <w:p w14:paraId="0FCA085E" w14:textId="362F654A" w:rsidR="00DD5C00" w:rsidRPr="00DD5C00" w:rsidRDefault="009F40A9" w:rsidP="00714732">
      <w:pPr>
        <w:pStyle w:val="20"/>
        <w:rPr>
          <w:lang w:val="en-US"/>
        </w:rPr>
      </w:pPr>
      <w:r>
        <w:rPr>
          <w:lang w:val="en-US"/>
        </w:rPr>
        <w:t>Cross-carrier beam indication for SRS</w:t>
      </w:r>
    </w:p>
    <w:p w14:paraId="557733AA" w14:textId="1AD54A0B" w:rsidR="00DD5C00" w:rsidRDefault="006C5BA8" w:rsidP="00DD5C00">
      <w:pPr>
        <w:rPr>
          <w:lang w:val="en-US"/>
        </w:rPr>
      </w:pPr>
      <w:r>
        <w:rPr>
          <w:lang w:val="en-US"/>
        </w:rPr>
        <w:t>At RAN1#9</w:t>
      </w:r>
      <w:r w:rsidR="00FD312C">
        <w:rPr>
          <w:lang w:val="en-US"/>
        </w:rPr>
        <w:t>4bis</w:t>
      </w:r>
      <w:r w:rsidR="007E35EC">
        <w:rPr>
          <w:lang w:val="en-US"/>
        </w:rPr>
        <w:t xml:space="preserve">, the following </w:t>
      </w:r>
      <w:r w:rsidR="009F40A9">
        <w:rPr>
          <w:lang w:val="en-US"/>
        </w:rPr>
        <w:t>TP agreed</w:t>
      </w:r>
      <w:r>
        <w:rPr>
          <w:lang w:val="en-US"/>
        </w:rPr>
        <w:t xml:space="preserve"> for </w:t>
      </w:r>
      <w:r w:rsidR="009F40A9">
        <w:rPr>
          <w:lang w:val="en-US"/>
        </w:rPr>
        <w:t>38.214</w:t>
      </w:r>
      <w:r w:rsidR="00153C64">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5C4578B2" w14:textId="7A353C91" w:rsidR="00F7192A" w:rsidRPr="00AF4C7B" w:rsidRDefault="00F7192A" w:rsidP="00F7192A">
            <w:pPr>
              <w:rPr>
                <w:b/>
                <w:lang w:eastAsia="x-none"/>
              </w:rPr>
            </w:pPr>
            <w:r w:rsidRPr="00AF4C7B">
              <w:rPr>
                <w:b/>
                <w:highlight w:val="green"/>
                <w:lang w:eastAsia="x-none"/>
              </w:rPr>
              <w:t>Agreement</w:t>
            </w:r>
          </w:p>
          <w:p w14:paraId="2038DD40" w14:textId="03EFBFAF" w:rsidR="009F40A9" w:rsidRPr="00487591" w:rsidRDefault="009F40A9" w:rsidP="009F40A9">
            <w:pPr>
              <w:pStyle w:val="af3"/>
              <w:spacing w:after="0"/>
              <w:rPr>
                <w:rFonts w:eastAsia="SimSun"/>
              </w:rPr>
            </w:pPr>
            <w:r w:rsidRPr="00487591">
              <w:rPr>
                <w:rFonts w:eastAsia="SimSun" w:hint="eastAsia"/>
              </w:rPr>
              <w:t>---------------------------------------------Start of TP for 38.214-----------------------------------------------</w:t>
            </w:r>
          </w:p>
          <w:p w14:paraId="408CA855" w14:textId="77777777" w:rsidR="009F40A9" w:rsidRDefault="009F40A9" w:rsidP="009F40A9">
            <w:pPr>
              <w:rPr>
                <w:b/>
                <w:color w:val="000000"/>
              </w:rPr>
            </w:pPr>
            <w:r w:rsidRPr="00487591">
              <w:rPr>
                <w:b/>
                <w:color w:val="000000"/>
              </w:rPr>
              <w:t>6.</w:t>
            </w:r>
            <w:r>
              <w:rPr>
                <w:b/>
                <w:color w:val="000000"/>
              </w:rPr>
              <w:t xml:space="preserve">2.1 </w:t>
            </w:r>
            <w:r w:rsidRPr="00487591">
              <w:rPr>
                <w:b/>
                <w:color w:val="000000"/>
              </w:rPr>
              <w:tab/>
            </w:r>
            <w:r>
              <w:rPr>
                <w:b/>
                <w:color w:val="000000"/>
              </w:rPr>
              <w:t>UE sounding procedure</w:t>
            </w:r>
          </w:p>
          <w:p w14:paraId="6F2294AD" w14:textId="77777777" w:rsidR="009F40A9" w:rsidRDefault="009F40A9" w:rsidP="009F40A9">
            <w:pPr>
              <w:rPr>
                <w:color w:val="000000"/>
              </w:rPr>
            </w:pPr>
            <w:r>
              <w:rPr>
                <w:color w:val="000000"/>
              </w:rPr>
              <w:t>…</w:t>
            </w:r>
          </w:p>
          <w:p w14:paraId="1CAE9BD9" w14:textId="77777777" w:rsidR="009F40A9" w:rsidRPr="00FA6C6F" w:rsidRDefault="009F40A9" w:rsidP="009F40A9">
            <w:pPr>
              <w:rPr>
                <w:color w:val="000000"/>
              </w:rPr>
            </w:pPr>
            <w:r w:rsidRPr="00FA6C6F">
              <w:rPr>
                <w:color w:val="000000"/>
              </w:rPr>
              <w:t xml:space="preserve">The following SRS parameters are semi-statically configurable by higher layer parameter </w:t>
            </w:r>
            <w:r w:rsidRPr="00FA6C6F">
              <w:rPr>
                <w:i/>
              </w:rPr>
              <w:t>SRS-Resource</w:t>
            </w:r>
            <w:r w:rsidRPr="00FA6C6F">
              <w:rPr>
                <w:color w:val="000000"/>
              </w:rPr>
              <w:t>.</w:t>
            </w:r>
          </w:p>
          <w:p w14:paraId="719D95FE" w14:textId="77777777" w:rsidR="009F40A9" w:rsidRPr="0048482F" w:rsidRDefault="009F40A9" w:rsidP="009F40A9">
            <w:pPr>
              <w:pStyle w:val="B1"/>
              <w:spacing w:after="0"/>
              <w:rPr>
                <w:color w:val="000000"/>
              </w:rPr>
            </w:pPr>
            <w:r w:rsidRPr="0048482F">
              <w:rPr>
                <w:iCs/>
                <w:color w:val="000000"/>
              </w:rPr>
              <w:t>-</w:t>
            </w:r>
            <w:r w:rsidRPr="0048482F">
              <w:rPr>
                <w:iCs/>
                <w:color w:val="000000"/>
              </w:rPr>
              <w:tab/>
            </w:r>
            <w:r>
              <w:rPr>
                <w:i/>
                <w:iCs/>
                <w:color w:val="000000"/>
              </w:rPr>
              <w:t>…</w:t>
            </w:r>
          </w:p>
          <w:p w14:paraId="45901A06" w14:textId="77777777" w:rsidR="009F40A9" w:rsidRPr="004F4EFD" w:rsidRDefault="009F40A9" w:rsidP="009F40A9">
            <w:pPr>
              <w:pStyle w:val="B1"/>
              <w:spacing w:after="0"/>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w:t>
            </w:r>
            <w:r w:rsidRPr="00B247B8">
              <w:rPr>
                <w:color w:val="FF0000"/>
                <w:u w:val="single"/>
              </w:rPr>
              <w:t>configured</w:t>
            </w:r>
            <w:r w:rsidRPr="00B247B8">
              <w:rPr>
                <w:color w:val="000000"/>
                <w:u w:val="single"/>
              </w:rPr>
              <w:t xml:space="preserve"> </w:t>
            </w:r>
            <w:r w:rsidRPr="00B247B8">
              <w:rPr>
                <w:color w:val="FF0000"/>
                <w:u w:val="single"/>
              </w:rPr>
              <w:t xml:space="preserve">on serving cell indicated by higher layer parameter </w:t>
            </w:r>
            <w:proofErr w:type="spellStart"/>
            <w:r w:rsidRPr="00B247B8">
              <w:rPr>
                <w:i/>
                <w:iCs/>
                <w:color w:val="FF0000"/>
                <w:u w:val="single"/>
              </w:rPr>
              <w:t>servingCellId</w:t>
            </w:r>
            <w:proofErr w:type="spellEnd"/>
            <w:r w:rsidRPr="00B247B8">
              <w:rPr>
                <w:color w:val="FF0000"/>
                <w:u w:val="single"/>
              </w:rPr>
              <w:t xml:space="preserve"> if present, same serving cell as the target SRS otherwise</w:t>
            </w:r>
            <w:r>
              <w:rPr>
                <w:i/>
                <w:iCs/>
                <w:color w:val="FF0000"/>
              </w:rPr>
              <w:t>,</w:t>
            </w:r>
            <w:r w:rsidRPr="001944BC">
              <w:rPr>
                <w:color w:val="000000"/>
              </w:rPr>
              <w:t xml:space="preserve"> </w:t>
            </w:r>
            <w:r w:rsidRPr="0048482F">
              <w:rPr>
                <w:color w:val="000000"/>
              </w:rPr>
              <w:t xml:space="preserve">or an SRS </w:t>
            </w:r>
            <w:r w:rsidRPr="004F4EFD">
              <w:rPr>
                <w:color w:val="000000"/>
              </w:rPr>
              <w:t xml:space="preserve">configured on </w:t>
            </w:r>
            <w:r w:rsidRPr="00B247B8">
              <w:rPr>
                <w:color w:val="FF0000"/>
                <w:u w:val="single"/>
              </w:rPr>
              <w:t xml:space="preserve">serving cell and uplink bandwidth part indicated by higher layer parameters </w:t>
            </w:r>
            <w:proofErr w:type="spellStart"/>
            <w:r w:rsidRPr="00B247B8">
              <w:rPr>
                <w:i/>
                <w:iCs/>
                <w:color w:val="FF0000"/>
                <w:u w:val="single"/>
              </w:rPr>
              <w:t>servingCellId</w:t>
            </w:r>
            <w:proofErr w:type="spellEnd"/>
            <w:r w:rsidRPr="00B247B8">
              <w:rPr>
                <w:color w:val="FF0000"/>
                <w:u w:val="single"/>
              </w:rPr>
              <w:t xml:space="preserve"> and/or </w:t>
            </w:r>
            <w:proofErr w:type="spellStart"/>
            <w:r w:rsidRPr="00B247B8">
              <w:rPr>
                <w:i/>
                <w:iCs/>
                <w:color w:val="FF0000"/>
                <w:u w:val="single"/>
              </w:rPr>
              <w:t>uplinkBWP</w:t>
            </w:r>
            <w:proofErr w:type="spellEnd"/>
            <w:r w:rsidRPr="00B247B8">
              <w:rPr>
                <w:color w:val="FF0000"/>
                <w:u w:val="single"/>
              </w:rPr>
              <w:t xml:space="preserve"> if present, </w:t>
            </w:r>
            <w:r w:rsidRPr="00B247B8">
              <w:rPr>
                <w:strike/>
                <w:color w:val="FF0000"/>
              </w:rPr>
              <w:t>the</w:t>
            </w:r>
            <w:r w:rsidRPr="004F4EFD">
              <w:rPr>
                <w:color w:val="000000"/>
              </w:rPr>
              <w:t xml:space="preserve"> same </w:t>
            </w:r>
            <w:r w:rsidRPr="00B247B8">
              <w:rPr>
                <w:strike/>
                <w:color w:val="FF0000"/>
              </w:rPr>
              <w:t>or different component carrier</w:t>
            </w:r>
            <w:r w:rsidRPr="004F4EFD">
              <w:rPr>
                <w:color w:val="000000"/>
              </w:rPr>
              <w:t xml:space="preserve"> </w:t>
            </w:r>
            <w:r>
              <w:rPr>
                <w:color w:val="000000"/>
              </w:rPr>
              <w:t xml:space="preserve">serving cell </w:t>
            </w:r>
            <w:r w:rsidRPr="004F4EFD">
              <w:rPr>
                <w:color w:val="000000"/>
              </w:rPr>
              <w:t>and/or bandwidth part as the target SRS</w:t>
            </w:r>
            <w:r w:rsidRPr="00B247B8">
              <w:rPr>
                <w:color w:val="000000"/>
                <w:u w:val="single"/>
              </w:rPr>
              <w:t xml:space="preserve"> </w:t>
            </w:r>
            <w:r w:rsidRPr="00B247B8">
              <w:rPr>
                <w:color w:val="FF0000"/>
                <w:u w:val="single"/>
              </w:rPr>
              <w:t>otherwise</w:t>
            </w:r>
            <w:r w:rsidRPr="004F4EFD">
              <w:rPr>
                <w:color w:val="000000"/>
              </w:rPr>
              <w:t>.</w:t>
            </w:r>
          </w:p>
          <w:p w14:paraId="44432F9F" w14:textId="77777777" w:rsidR="009F40A9" w:rsidRDefault="009F40A9" w:rsidP="009F40A9">
            <w:pPr>
              <w:rPr>
                <w:color w:val="000000"/>
              </w:rPr>
            </w:pPr>
            <w:r>
              <w:rPr>
                <w:color w:val="000000"/>
              </w:rPr>
              <w:t>…</w:t>
            </w:r>
          </w:p>
          <w:p w14:paraId="6086BFA0" w14:textId="77777777" w:rsidR="009F40A9" w:rsidRDefault="009F40A9" w:rsidP="009F40A9">
            <w:pPr>
              <w:rPr>
                <w:color w:val="000000"/>
              </w:rPr>
            </w:pPr>
            <w:r>
              <w:rPr>
                <w:color w:val="000000"/>
              </w:rPr>
              <w:t xml:space="preserve">For a UE configured with one or more SRS resource configuration(s), and when the higher layer parameter </w:t>
            </w:r>
            <w:proofErr w:type="spellStart"/>
            <w:r>
              <w:rPr>
                <w:i/>
                <w:iCs/>
              </w:rPr>
              <w:t>resourceType</w:t>
            </w:r>
            <w:proofErr w:type="spellEnd"/>
            <w:r>
              <w:rPr>
                <w:i/>
                <w:iCs/>
                <w:color w:val="000000"/>
              </w:rPr>
              <w:t xml:space="preserve"> </w:t>
            </w:r>
            <w:r>
              <w:rPr>
                <w:color w:val="000000"/>
              </w:rPr>
              <w:t>in</w:t>
            </w:r>
            <w:r>
              <w:rPr>
                <w:i/>
                <w:iCs/>
                <w:color w:val="000000"/>
              </w:rPr>
              <w:t xml:space="preserve"> SRS-Resource</w:t>
            </w:r>
            <w:r>
              <w:rPr>
                <w:color w:val="000000"/>
              </w:rPr>
              <w:t xml:space="preserve"> is set to 'semi-persistent':</w:t>
            </w:r>
          </w:p>
          <w:p w14:paraId="2C72474D" w14:textId="77777777" w:rsidR="009F40A9" w:rsidRPr="00FA6C6F" w:rsidRDefault="009F40A9" w:rsidP="009F40A9">
            <w:pPr>
              <w:ind w:left="568" w:hanging="284"/>
              <w:rPr>
                <w:color w:val="000000"/>
              </w:rPr>
            </w:pPr>
            <w:r>
              <w:rPr>
                <w:color w:val="000000"/>
              </w:rPr>
              <w:lastRenderedPageBreak/>
              <w:t xml:space="preserve">-    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w:r w:rsidRPr="009D4BA2">
              <w:rPr>
                <w:color w:val="000000"/>
                <w:position w:val="-12"/>
              </w:rPr>
              <w:object w:dxaOrig="1700" w:dyaOrig="380" w14:anchorId="67617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18.75pt" o:ole="">
                  <v:imagedata r:id="rId8" o:title=""/>
                </v:shape>
                <o:OLEObject Type="Embed" ProgID="Equation.DSMT4" ShapeID="_x0000_i1025" DrawAspect="Content" ObjectID="_1602686614" r:id="rId9"/>
              </w:object>
            </w:r>
            <w:r>
              <w:rPr>
                <w:color w:val="000000"/>
              </w:rPr>
              <w:t>. The activation command also contains spatial relation assumptions provided by a list of references to reference signal IDs, one per element of the activated SRS resource set. Each ID in the list refers to a reference SS/PBCH block, NZP CSI-RS resource</w:t>
            </w:r>
            <w:r w:rsidRPr="00B247B8">
              <w:rPr>
                <w:color w:val="FF0000"/>
                <w:u w:val="single"/>
              </w:rPr>
              <w:t xml:space="preserve"> configured on serving cell indicated by </w:t>
            </w:r>
            <w:r w:rsidRPr="00B247B8">
              <w:rPr>
                <w:i/>
                <w:iCs/>
                <w:color w:val="FF0000"/>
                <w:u w:val="single"/>
              </w:rPr>
              <w:t>Resource Serving Cell ID</w:t>
            </w:r>
            <w:r w:rsidRPr="00B247B8">
              <w:rPr>
                <w:iCs/>
                <w:color w:val="FF0000"/>
                <w:u w:val="single"/>
              </w:rPr>
              <w:t xml:space="preserve"> field in the activation command</w:t>
            </w:r>
            <w:r w:rsidRPr="00B247B8">
              <w:rPr>
                <w:i/>
                <w:iCs/>
                <w:color w:val="FF0000"/>
                <w:u w:val="single"/>
              </w:rPr>
              <w:t xml:space="preserve"> </w:t>
            </w:r>
            <w:r w:rsidRPr="00B247B8">
              <w:rPr>
                <w:color w:val="FF0000"/>
                <w:u w:val="single"/>
              </w:rPr>
              <w:t>if present, same serving cell as the SRS resource set otherwise</w:t>
            </w:r>
            <w:r>
              <w:rPr>
                <w:color w:val="000000"/>
              </w:rPr>
              <w:t xml:space="preserve">, </w:t>
            </w:r>
            <w:r w:rsidRPr="00FA6C6F">
              <w:rPr>
                <w:color w:val="000000"/>
              </w:rPr>
              <w:t xml:space="preserve"> or SRS resource configured on </w:t>
            </w:r>
            <w:r w:rsidRPr="00B247B8">
              <w:rPr>
                <w:color w:val="FF0000"/>
                <w:u w:val="single"/>
              </w:rPr>
              <w:t xml:space="preserve">serving cell and uplink bandwidth part indicated by </w:t>
            </w:r>
            <w:r w:rsidRPr="00B247B8">
              <w:rPr>
                <w:i/>
                <w:iCs/>
                <w:color w:val="FF0000"/>
                <w:u w:val="single"/>
              </w:rPr>
              <w:t>Resource Serving Cell ID</w:t>
            </w:r>
            <w:r w:rsidRPr="00B247B8">
              <w:rPr>
                <w:iCs/>
                <w:color w:val="FF0000"/>
                <w:u w:val="single"/>
              </w:rPr>
              <w:t xml:space="preserve"> field and </w:t>
            </w:r>
            <w:r w:rsidRPr="00B247B8">
              <w:rPr>
                <w:i/>
                <w:iCs/>
                <w:color w:val="FF0000"/>
                <w:u w:val="single"/>
              </w:rPr>
              <w:t>Resource BWP ID</w:t>
            </w:r>
            <w:r w:rsidRPr="00B247B8">
              <w:rPr>
                <w:iCs/>
                <w:color w:val="FF0000"/>
                <w:u w:val="single"/>
              </w:rPr>
              <w:t xml:space="preserve"> field in the activation command</w:t>
            </w:r>
            <w:r w:rsidRPr="00B247B8">
              <w:rPr>
                <w:i/>
                <w:iCs/>
                <w:color w:val="FF0000"/>
                <w:u w:val="single"/>
              </w:rPr>
              <w:t xml:space="preserve"> </w:t>
            </w:r>
            <w:r w:rsidRPr="00B247B8">
              <w:rPr>
                <w:color w:val="FF0000"/>
                <w:u w:val="single"/>
              </w:rPr>
              <w:t xml:space="preserve">if present, </w:t>
            </w:r>
            <w:r w:rsidRPr="00B247B8">
              <w:rPr>
                <w:strike/>
                <w:color w:val="FF0000"/>
              </w:rPr>
              <w:t>the</w:t>
            </w:r>
            <w:r w:rsidRPr="00FA6C6F">
              <w:rPr>
                <w:color w:val="000000"/>
              </w:rPr>
              <w:t xml:space="preserve"> same </w:t>
            </w:r>
            <w:r w:rsidRPr="00B247B8">
              <w:rPr>
                <w:strike/>
                <w:color w:val="FF0000"/>
              </w:rPr>
              <w:t>or different component carrier</w:t>
            </w:r>
            <w:r w:rsidRPr="00FA6C6F">
              <w:rPr>
                <w:color w:val="000000"/>
              </w:rPr>
              <w:t xml:space="preserve"> serving cell and bandwidth part </w:t>
            </w:r>
            <w:r w:rsidRPr="00BC0742">
              <w:rPr>
                <w:color w:val="000000"/>
              </w:rPr>
              <w:t xml:space="preserve">as the </w:t>
            </w:r>
            <w:r w:rsidRPr="00B247B8">
              <w:rPr>
                <w:strike/>
                <w:color w:val="000000"/>
              </w:rPr>
              <w:t xml:space="preserve">SRS resource(s) in the </w:t>
            </w:r>
            <w:r>
              <w:rPr>
                <w:color w:val="000000"/>
              </w:rPr>
              <w:t>SRS resource se</w:t>
            </w:r>
            <w:r w:rsidRPr="00FA6C6F">
              <w:rPr>
                <w:color w:val="000000"/>
              </w:rPr>
              <w:t>t</w:t>
            </w:r>
            <w:r>
              <w:rPr>
                <w:color w:val="000000"/>
              </w:rPr>
              <w:t xml:space="preserve"> </w:t>
            </w:r>
            <w:r w:rsidRPr="00B247B8">
              <w:rPr>
                <w:color w:val="FF0000"/>
                <w:u w:val="single"/>
              </w:rPr>
              <w:t>otherwise</w:t>
            </w:r>
            <w:r w:rsidRPr="00FA6C6F">
              <w:rPr>
                <w:color w:val="000000"/>
              </w:rPr>
              <w:t xml:space="preserve">. </w:t>
            </w:r>
          </w:p>
          <w:p w14:paraId="37261736" w14:textId="77777777" w:rsidR="009F40A9" w:rsidRDefault="009F40A9" w:rsidP="009F40A9">
            <w:pPr>
              <w:ind w:left="568" w:hanging="284"/>
              <w:rPr>
                <w:color w:val="000000"/>
              </w:rPr>
            </w:pPr>
            <w:r w:rsidRPr="00FA6C6F">
              <w:rPr>
                <w:color w:val="000000"/>
              </w:rPr>
              <w:t>-    if an SRS resou</w:t>
            </w:r>
            <w:r>
              <w:rPr>
                <w:color w:val="000000"/>
              </w:rPr>
              <w:t xml:space="preserve">rce in the activated resource set is configured with the higher layer parameter </w:t>
            </w:r>
            <w:r>
              <w:rPr>
                <w:i/>
                <w:iCs/>
                <w:lang w:val="x-none"/>
              </w:rPr>
              <w:t>spatialRelationInfo</w:t>
            </w:r>
            <w:r>
              <w:rPr>
                <w:color w:val="000000"/>
              </w:rPr>
              <w:t xml:space="preserve">, the UE shall assume that the ID of the reference signal in the activation command overrides the one configured in </w:t>
            </w:r>
            <w:r>
              <w:rPr>
                <w:i/>
                <w:iCs/>
                <w:lang w:val="x-none"/>
              </w:rPr>
              <w:t>spatialRelationInfo</w:t>
            </w:r>
            <w:r>
              <w:rPr>
                <w:i/>
                <w:iCs/>
                <w:color w:val="000000"/>
              </w:rPr>
              <w:t>.</w:t>
            </w:r>
          </w:p>
          <w:p w14:paraId="4B553BF9" w14:textId="77777777" w:rsidR="009F40A9" w:rsidRDefault="009F40A9" w:rsidP="009F40A9">
            <w:pPr>
              <w:ind w:left="568" w:hanging="284"/>
            </w:pPr>
            <w:r>
              <w:rPr>
                <w:color w:val="000000"/>
              </w:rPr>
              <w:t>-    …</w:t>
            </w:r>
          </w:p>
          <w:p w14:paraId="1FEA92A1" w14:textId="7A92A69A" w:rsidR="009F40A9" w:rsidRPr="00487591" w:rsidRDefault="009F40A9" w:rsidP="009F40A9">
            <w:pPr>
              <w:pStyle w:val="af3"/>
              <w:spacing w:after="0"/>
              <w:rPr>
                <w:rFonts w:eastAsia="SimSun"/>
              </w:rPr>
            </w:pPr>
            <w:r w:rsidRPr="00487591">
              <w:rPr>
                <w:rFonts w:eastAsia="SimSun" w:hint="eastAsia"/>
              </w:rPr>
              <w:t>---------------------------------------------</w:t>
            </w:r>
            <w:r>
              <w:rPr>
                <w:rFonts w:eastAsia="SimSun"/>
              </w:rPr>
              <w:t>End</w:t>
            </w:r>
            <w:r w:rsidRPr="00487591">
              <w:rPr>
                <w:rFonts w:eastAsia="SimSun" w:hint="eastAsia"/>
              </w:rPr>
              <w:t xml:space="preserve"> of TP for 38.214------------------------------------------------</w:t>
            </w:r>
          </w:p>
          <w:p w14:paraId="735FF4DD" w14:textId="7FA58B41" w:rsidR="006C5BA8" w:rsidRPr="00F7192A" w:rsidRDefault="006C5BA8" w:rsidP="00F7192A">
            <w:pPr>
              <w:rPr>
                <w:sz w:val="12"/>
                <w:lang w:eastAsia="x-none"/>
              </w:rPr>
            </w:pPr>
          </w:p>
        </w:tc>
      </w:tr>
    </w:tbl>
    <w:p w14:paraId="005B5EA9" w14:textId="77777777" w:rsidR="003030FA" w:rsidRDefault="003030FA" w:rsidP="00DD5C00">
      <w:pPr>
        <w:rPr>
          <w:lang w:val="en-US"/>
        </w:rPr>
      </w:pPr>
    </w:p>
    <w:p w14:paraId="7F77B9BD" w14:textId="4A09C1DB" w:rsidR="00780F60" w:rsidRDefault="00780F60" w:rsidP="00DD5C00">
      <w:pPr>
        <w:rPr>
          <w:lang w:val="en-US"/>
        </w:rPr>
      </w:pPr>
      <w:r>
        <w:rPr>
          <w:rFonts w:hint="eastAsia"/>
          <w:lang w:val="en-US"/>
        </w:rPr>
        <w:t xml:space="preserve">As </w:t>
      </w:r>
      <w:r>
        <w:rPr>
          <w:lang w:val="en-US"/>
        </w:rPr>
        <w:t xml:space="preserve">the remaining part of section 6.2.1 “UE sounding procedure” indicate that </w:t>
      </w:r>
      <w:r w:rsidRPr="0048482F">
        <w:rPr>
          <w:lang w:val="en-US"/>
        </w:rPr>
        <w:t xml:space="preserve">the UE </w:t>
      </w:r>
      <w:r>
        <w:rPr>
          <w:lang w:val="en-US"/>
        </w:rPr>
        <w:t xml:space="preserve">configured with the higher layer parameter </w:t>
      </w:r>
      <w:r w:rsidRPr="00780F60">
        <w:rPr>
          <w:i/>
          <w:lang w:val="en-US"/>
        </w:rPr>
        <w:t>spatialRelationInfo</w:t>
      </w:r>
      <w:r>
        <w:rPr>
          <w:lang w:val="en-US"/>
        </w:rPr>
        <w:t xml:space="preserve"> </w:t>
      </w:r>
      <w:r w:rsidRPr="0048482F">
        <w:rPr>
          <w:lang w:val="en-US"/>
        </w:rPr>
        <w:t xml:space="preserve">shall transmit the </w:t>
      </w:r>
      <w:r>
        <w:rPr>
          <w:lang w:val="en-US"/>
        </w:rPr>
        <w:t xml:space="preserve">target </w:t>
      </w:r>
      <w:r w:rsidRPr="0048482F">
        <w:rPr>
          <w:lang w:val="en-US"/>
        </w:rPr>
        <w:t xml:space="preserve">SRS resource with the same spatial domain transmission filter used for the </w:t>
      </w:r>
      <w:r>
        <w:rPr>
          <w:lang w:val="en-US"/>
        </w:rPr>
        <w:t xml:space="preserve">reception or </w:t>
      </w:r>
      <w:r w:rsidRPr="0048482F">
        <w:rPr>
          <w:lang w:val="en-US"/>
        </w:rPr>
        <w:t xml:space="preserve">transmission of the </w:t>
      </w:r>
      <w:r>
        <w:rPr>
          <w:lang w:val="en-US"/>
        </w:rPr>
        <w:t xml:space="preserve">reference RS. However this cross-carrier beam indication provides uncertainty </w:t>
      </w:r>
      <w:r w:rsidR="001D13AA">
        <w:rPr>
          <w:lang w:val="en-US"/>
        </w:rPr>
        <w:t>because</w:t>
      </w:r>
      <w:r>
        <w:rPr>
          <w:lang w:val="en-US"/>
        </w:rPr>
        <w:t xml:space="preserve"> the cell and/or BWP of the reference RS</w:t>
      </w:r>
      <w:r w:rsidR="001D13AA">
        <w:rPr>
          <w:lang w:val="en-US"/>
        </w:rPr>
        <w:t xml:space="preserve"> can be inactive on close time instance then </w:t>
      </w:r>
      <w:r w:rsidR="00BA4A32">
        <w:rPr>
          <w:lang w:val="en-US"/>
        </w:rPr>
        <w:t xml:space="preserve">the UE only has outdated or </w:t>
      </w:r>
      <w:r w:rsidR="001D13AA">
        <w:rPr>
          <w:lang w:val="en-US"/>
        </w:rPr>
        <w:t>no spatial domain transmission filter used</w:t>
      </w:r>
      <w:r w:rsidR="00BA4A32">
        <w:rPr>
          <w:lang w:val="en-US"/>
        </w:rPr>
        <w:t xml:space="preserve"> for the reference RS</w:t>
      </w:r>
      <w:r w:rsidR="001D13AA">
        <w:rPr>
          <w:lang w:val="en-US"/>
        </w:rPr>
        <w:t>.</w:t>
      </w:r>
    </w:p>
    <w:p w14:paraId="217DC8EA" w14:textId="555139CE" w:rsidR="009F40A9" w:rsidRPr="001D13AA" w:rsidRDefault="001D13AA" w:rsidP="009F40A9">
      <w:pPr>
        <w:rPr>
          <w:lang w:val="en-US"/>
        </w:rPr>
      </w:pPr>
      <w:r>
        <w:rPr>
          <w:rFonts w:hint="eastAsia"/>
          <w:lang w:val="en-US"/>
        </w:rPr>
        <w:t xml:space="preserve">Another relating discussion is on CSI reporting, namely </w:t>
      </w:r>
      <w:r>
        <w:rPr>
          <w:lang w:val="en-US"/>
        </w:rPr>
        <w:t>RAN1#94bis agreed following TP</w:t>
      </w:r>
      <w:r w:rsidR="00CA69B7">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9F40A9" w14:paraId="4F8C7A0C" w14:textId="77777777" w:rsidTr="00D342CE">
        <w:tc>
          <w:tcPr>
            <w:tcW w:w="9954" w:type="dxa"/>
          </w:tcPr>
          <w:p w14:paraId="220664BD" w14:textId="77777777" w:rsidR="009F40A9" w:rsidRDefault="009F40A9" w:rsidP="009F40A9">
            <w:pPr>
              <w:rPr>
                <w:b/>
                <w:lang w:eastAsia="x-none"/>
              </w:rPr>
            </w:pPr>
            <w:r w:rsidRPr="00AF4C7B">
              <w:rPr>
                <w:b/>
                <w:highlight w:val="green"/>
                <w:lang w:eastAsia="x-none"/>
              </w:rPr>
              <w:t>Agreement</w:t>
            </w:r>
          </w:p>
          <w:p w14:paraId="203B9F45" w14:textId="6A536CF1" w:rsidR="009F40A9" w:rsidRPr="009F40A9" w:rsidRDefault="009F40A9" w:rsidP="009F40A9">
            <w:pPr>
              <w:rPr>
                <w:b/>
                <w:lang w:eastAsia="x-none"/>
              </w:rPr>
            </w:pPr>
            <w:r w:rsidRPr="002603C3">
              <w:t>Agree to the following text proposal</w:t>
            </w:r>
          </w:p>
          <w:p w14:paraId="2A59EA18" w14:textId="26356DD0" w:rsidR="009F40A9" w:rsidRPr="002603C3" w:rsidRDefault="009F40A9" w:rsidP="009F40A9">
            <w:pPr>
              <w:rPr>
                <w:color w:val="FF0000"/>
                <w:lang w:val="en-US"/>
              </w:rPr>
            </w:pPr>
            <w:r w:rsidRPr="002603C3">
              <w:rPr>
                <w:color w:val="FF0000"/>
                <w:lang w:val="en-US"/>
              </w:rPr>
              <w:sym w:font="Wingdings" w:char="F0DF"/>
            </w:r>
            <w:r w:rsidRPr="002603C3">
              <w:rPr>
                <w:color w:val="FF0000"/>
                <w:lang w:val="en-US"/>
              </w:rPr>
              <w:t>------------------------------------------ Start TP to 38.214 Section 5.2.2.1.1-------------------------------</w:t>
            </w:r>
            <w:r w:rsidRPr="002603C3">
              <w:rPr>
                <w:color w:val="FF0000"/>
                <w:lang w:val="en-US"/>
              </w:rPr>
              <w:sym w:font="Wingdings" w:char="F0E0"/>
            </w:r>
          </w:p>
          <w:p w14:paraId="56765C48" w14:textId="77777777" w:rsidR="009F40A9" w:rsidRPr="002603C3" w:rsidRDefault="009F40A9" w:rsidP="009F40A9">
            <w:pPr>
              <w:pStyle w:val="aff9"/>
              <w:ind w:firstLine="480"/>
              <w:contextualSpacing/>
              <w:jc w:val="center"/>
            </w:pPr>
            <w:r w:rsidRPr="002603C3">
              <w:rPr>
                <w:color w:val="FF0000"/>
                <w:lang w:val="en-US"/>
              </w:rPr>
              <w:t>&lt;--------------------- unchanged parts omitted ----------------------------&gt;</w:t>
            </w:r>
          </w:p>
          <w:p w14:paraId="15BF0D87" w14:textId="77777777" w:rsidR="009F40A9" w:rsidRPr="002603C3" w:rsidRDefault="009F40A9" w:rsidP="009F40A9">
            <w:pPr>
              <w:rPr>
                <w:lang w:val="en-US"/>
              </w:rPr>
            </w:pPr>
            <w:r w:rsidRPr="002603C3">
              <w:rPr>
                <w:lang w:val="en-US"/>
              </w:rPr>
              <w:t>A slot in a serving cell shall be considered to be a valid downlink slot if:</w:t>
            </w:r>
          </w:p>
          <w:p w14:paraId="5D769F93" w14:textId="77777777" w:rsidR="009F40A9" w:rsidRPr="002603C3" w:rsidRDefault="009F40A9" w:rsidP="009F40A9">
            <w:pPr>
              <w:pStyle w:val="B1"/>
              <w:spacing w:after="0"/>
              <w:ind w:left="360" w:firstLine="0"/>
              <w:rPr>
                <w:lang w:val="en-US"/>
              </w:rPr>
            </w:pPr>
            <w:r w:rsidRPr="002603C3">
              <w:rPr>
                <w:lang w:val="en-US"/>
              </w:rPr>
              <w:t>-</w:t>
            </w:r>
            <w:r w:rsidRPr="002603C3">
              <w:rPr>
                <w:lang w:val="en-US"/>
              </w:rPr>
              <w:tab/>
              <w:t>it comprises at least one higher layer configured downlink or flexible symbol, and</w:t>
            </w:r>
          </w:p>
          <w:p w14:paraId="2AD4B8B3" w14:textId="77777777" w:rsidR="009F40A9" w:rsidRPr="002603C3" w:rsidRDefault="009F40A9" w:rsidP="009F40A9">
            <w:pPr>
              <w:pStyle w:val="B1"/>
              <w:spacing w:after="0"/>
              <w:ind w:left="360" w:firstLine="0"/>
              <w:rPr>
                <w:lang w:val="en-US"/>
              </w:rPr>
            </w:pPr>
            <w:r w:rsidRPr="002603C3">
              <w:rPr>
                <w:lang w:val="en-US"/>
              </w:rPr>
              <w:t>-</w:t>
            </w:r>
            <w:r w:rsidRPr="002603C3">
              <w:rPr>
                <w:lang w:val="en-US"/>
              </w:rPr>
              <w:tab/>
              <w:t>it does not fall within a configured measurement gap for that UE.</w:t>
            </w:r>
          </w:p>
          <w:p w14:paraId="3DBE6CE4" w14:textId="77777777" w:rsidR="009F40A9" w:rsidRPr="002603C3" w:rsidRDefault="009F40A9" w:rsidP="009F40A9">
            <w:pPr>
              <w:pStyle w:val="B1"/>
              <w:spacing w:after="0"/>
              <w:ind w:left="360" w:firstLine="0"/>
              <w:rPr>
                <w:lang w:val="en-US"/>
              </w:rPr>
            </w:pPr>
            <w:r w:rsidRPr="002603C3">
              <w:rPr>
                <w:lang w:val="en-US"/>
              </w:rPr>
              <w:t>-</w:t>
            </w:r>
            <w:r w:rsidRPr="002603C3">
              <w:rPr>
                <w:lang w:val="en-US"/>
              </w:rPr>
              <w:tab/>
            </w:r>
          </w:p>
          <w:p w14:paraId="4D6433B4" w14:textId="77777777" w:rsidR="009F40A9" w:rsidRPr="002603C3" w:rsidRDefault="009F40A9" w:rsidP="009F40A9">
            <w:pPr>
              <w:pStyle w:val="B1"/>
              <w:spacing w:after="0"/>
              <w:ind w:left="360" w:firstLine="0"/>
              <w:rPr>
                <w:lang w:val="en-US"/>
              </w:rPr>
            </w:pPr>
            <w:r w:rsidRPr="002603C3">
              <w:rPr>
                <w:lang w:val="en-US"/>
              </w:rPr>
              <w:t>-</w:t>
            </w:r>
            <w:r w:rsidRPr="002603C3">
              <w:rPr>
                <w:lang w:val="en-US"/>
              </w:rPr>
              <w:tab/>
              <w:t xml:space="preserve"> </w:t>
            </w:r>
          </w:p>
          <w:p w14:paraId="1820682B" w14:textId="77777777" w:rsidR="009F40A9" w:rsidRPr="002603C3" w:rsidRDefault="009F40A9" w:rsidP="009F40A9">
            <w:pPr>
              <w:rPr>
                <w:lang w:val="en-US"/>
              </w:rPr>
            </w:pPr>
            <w:r w:rsidRPr="002603C3">
              <w:rPr>
                <w:lang w:val="en-US"/>
              </w:rPr>
              <w:lastRenderedPageBreak/>
              <w:t xml:space="preserve">If there is no valid downlink slot for the CSI reference resource corresponding to a CSI Report Setting in a serving cell, CSI reporting is omitted for the serving cell in uplink slot </w:t>
            </w:r>
            <w:r w:rsidRPr="002603C3">
              <w:rPr>
                <w:i/>
                <w:lang w:val="en-US"/>
              </w:rPr>
              <w:t>n’</w:t>
            </w:r>
            <w:r w:rsidRPr="002603C3">
              <w:rPr>
                <w:lang w:val="en-US"/>
              </w:rPr>
              <w:t>.</w:t>
            </w:r>
          </w:p>
          <w:p w14:paraId="2E49030D" w14:textId="77777777" w:rsidR="009F40A9" w:rsidRPr="002603C3" w:rsidRDefault="009F40A9" w:rsidP="009F40A9">
            <w:pPr>
              <w:rPr>
                <w:color w:val="C00000"/>
                <w:lang w:eastAsia="zh-TW"/>
              </w:rPr>
            </w:pPr>
            <w:r w:rsidRPr="002603C3">
              <w:rPr>
                <w:color w:val="C00000"/>
                <w:lang w:eastAsia="zh-TW"/>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w:t>
            </w:r>
            <w:r w:rsidRPr="002603C3">
              <w:t xml:space="preserve">no later than CSI reference resource </w:t>
            </w:r>
            <w:r w:rsidRPr="002603C3">
              <w:rPr>
                <w:color w:val="C00000"/>
                <w:lang w:eastAsia="zh-TW"/>
              </w:rPr>
              <w:t>and drops the report otherwise.</w:t>
            </w:r>
          </w:p>
          <w:p w14:paraId="4206E3DD" w14:textId="77777777" w:rsidR="009F40A9" w:rsidRPr="002603C3" w:rsidRDefault="009F40A9" w:rsidP="009F40A9">
            <w:pPr>
              <w:rPr>
                <w:color w:val="C00000"/>
                <w:lang w:eastAsia="zh-TW"/>
              </w:rPr>
            </w:pPr>
            <w:r w:rsidRPr="002603C3">
              <w:rPr>
                <w:color w:val="C00000"/>
                <w:lang w:eastAsia="zh-TW"/>
              </w:rPr>
              <w:t xml:space="preserve">When DRX is configured, the UE reports a CSI report only if receiving at least one CSI-RS transmission occasion for channel measurement and CSI-RS and/or CSI-IM occasion for interference measurement in DRX Active Time </w:t>
            </w:r>
            <w:r w:rsidRPr="002603C3">
              <w:t xml:space="preserve">no later than CSI reference resource </w:t>
            </w:r>
            <w:r w:rsidRPr="002603C3">
              <w:rPr>
                <w:color w:val="C00000"/>
                <w:lang w:eastAsia="zh-TW"/>
              </w:rPr>
              <w:t>and drops the report otherwise.</w:t>
            </w:r>
          </w:p>
          <w:p w14:paraId="14C83080" w14:textId="0BBCEA94" w:rsidR="009F40A9" w:rsidRPr="002603C3" w:rsidRDefault="009F40A9" w:rsidP="009F40A9">
            <w:pPr>
              <w:rPr>
                <w:color w:val="FF0000"/>
                <w:lang w:val="en-US"/>
              </w:rPr>
            </w:pPr>
            <w:r w:rsidRPr="002603C3">
              <w:rPr>
                <w:lang w:val="en-US"/>
              </w:rPr>
              <w:sym w:font="Wingdings" w:char="F0DF"/>
            </w:r>
            <w:r w:rsidRPr="002603C3">
              <w:rPr>
                <w:color w:val="FF0000"/>
                <w:lang w:val="en-US"/>
              </w:rPr>
              <w:t>------------------------------------------ End TP to 38.214 Section 5.2.2.1.1--</w:t>
            </w:r>
            <w:r>
              <w:rPr>
                <w:color w:val="FF0000"/>
                <w:lang w:val="en-US"/>
              </w:rPr>
              <w:t>----------------------------</w:t>
            </w:r>
            <w:r w:rsidRPr="002603C3">
              <w:rPr>
                <w:color w:val="FF0000"/>
                <w:lang w:val="en-US"/>
              </w:rPr>
              <w:t>-</w:t>
            </w:r>
            <w:r w:rsidRPr="002603C3">
              <w:rPr>
                <w:lang w:val="en-US"/>
              </w:rPr>
              <w:sym w:font="Wingdings" w:char="F0E0"/>
            </w:r>
          </w:p>
          <w:p w14:paraId="567E8A4C" w14:textId="77777777" w:rsidR="009F40A9" w:rsidRPr="00F7192A" w:rsidRDefault="009F40A9" w:rsidP="009F40A9">
            <w:pPr>
              <w:pStyle w:val="af3"/>
              <w:spacing w:after="0"/>
              <w:rPr>
                <w:sz w:val="12"/>
                <w:lang w:eastAsia="x-none"/>
              </w:rPr>
            </w:pPr>
          </w:p>
        </w:tc>
      </w:tr>
    </w:tbl>
    <w:p w14:paraId="5B33028A" w14:textId="77777777" w:rsidR="009F40A9" w:rsidRDefault="009F40A9" w:rsidP="009F40A9">
      <w:pPr>
        <w:rPr>
          <w:lang w:val="en-US"/>
        </w:rPr>
      </w:pPr>
    </w:p>
    <w:p w14:paraId="3C9AB8BA" w14:textId="52588E2F" w:rsidR="001D13AA" w:rsidRDefault="00BA4A32" w:rsidP="00BA4A32">
      <w:pPr>
        <w:rPr>
          <w:lang w:val="en-US"/>
        </w:rPr>
      </w:pPr>
      <w:r>
        <w:rPr>
          <w:rFonts w:hint="eastAsia"/>
          <w:lang w:val="en-US"/>
        </w:rPr>
        <w:t xml:space="preserve">Applied modification on the CSI reporting is that </w:t>
      </w:r>
      <w:r>
        <w:rPr>
          <w:lang w:val="en-US"/>
        </w:rPr>
        <w:t>“</w:t>
      </w:r>
      <w:r>
        <w:rPr>
          <w:lang w:eastAsia="zh-TW"/>
        </w:rPr>
        <w:t xml:space="preserve">the UE reports CSI only after receiving the CSI resources for channel and/or interference measurement at least once before the first report transmission </w:t>
      </w:r>
      <w:r>
        <w:rPr>
          <w:lang w:eastAsia="zh-TW"/>
        </w:rPr>
        <w:t>and drops the reports otherwise”</w:t>
      </w:r>
      <w:r w:rsidR="000230B8">
        <w:rPr>
          <w:lang w:eastAsia="zh-TW"/>
        </w:rPr>
        <w:t xml:space="preserve"> [2]</w:t>
      </w:r>
      <w:r>
        <w:rPr>
          <w:lang w:eastAsia="zh-TW"/>
        </w:rPr>
        <w:t>, this principle should be applied to SRS transmission particular the case for cross-carrier beam indication. So</w:t>
      </w:r>
      <w:r w:rsidR="001D13AA">
        <w:rPr>
          <w:lang w:val="en-US"/>
        </w:rPr>
        <w:t xml:space="preserve"> corresponding text on TS38.214 need to be modified to clarify </w:t>
      </w:r>
      <w:r>
        <w:rPr>
          <w:lang w:val="en-US"/>
        </w:rPr>
        <w:t>this aspect as in the attached draft CR</w:t>
      </w:r>
      <w:r w:rsidR="005A53C5">
        <w:rPr>
          <w:lang w:val="en-US"/>
        </w:rPr>
        <w:t xml:space="preserve"> with respect to the endorsed editor’s CR to 38.214v15.3.0</w:t>
      </w:r>
      <w:r w:rsidR="001D13AA">
        <w:rPr>
          <w:lang w:val="en-US"/>
        </w:rPr>
        <w:t>.</w:t>
      </w:r>
    </w:p>
    <w:p w14:paraId="0A768FFD" w14:textId="77777777" w:rsidR="009F40A9" w:rsidRPr="001D13AA" w:rsidRDefault="009F40A9" w:rsidP="00BA32F7">
      <w:pPr>
        <w:rPr>
          <w:lang w:val="en-US"/>
        </w:rPr>
      </w:pPr>
    </w:p>
    <w:p w14:paraId="3E429B93" w14:textId="026EA86D"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p>
    <w:p w14:paraId="1C5738F0" w14:textId="63689254" w:rsidR="006A3859" w:rsidRDefault="00BA4A32" w:rsidP="006A3859">
      <w:pPr>
        <w:pStyle w:val="aff9"/>
        <w:numPr>
          <w:ilvl w:val="0"/>
          <w:numId w:val="12"/>
        </w:numPr>
        <w:ind w:firstLineChars="0"/>
        <w:rPr>
          <w:rFonts w:eastAsiaTheme="minorEastAsia"/>
          <w:lang w:val="en-US"/>
        </w:rPr>
      </w:pPr>
      <w:r>
        <w:rPr>
          <w:rFonts w:eastAsiaTheme="minorEastAsia"/>
          <w:lang w:val="en-US"/>
        </w:rPr>
        <w:t>To apply proposed changes in the draft CR attached.</w:t>
      </w:r>
    </w:p>
    <w:p w14:paraId="285BCF82" w14:textId="77777777" w:rsidR="00DC55B2" w:rsidRPr="00472062" w:rsidRDefault="00DC55B2"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15528C2A" w:rsidR="006E1CB7" w:rsidRDefault="00642A8C" w:rsidP="00185F77">
      <w:pPr>
        <w:rPr>
          <w:lang w:val="en-US"/>
        </w:rPr>
      </w:pPr>
      <w:r>
        <w:rPr>
          <w:rFonts w:hint="eastAsia"/>
          <w:lang w:val="en-US"/>
        </w:rPr>
        <w:t xml:space="preserve">In this contribution, we </w:t>
      </w:r>
      <w:r w:rsidR="00685B08">
        <w:rPr>
          <w:lang w:val="en-US"/>
        </w:rPr>
        <w:t>discuss</w:t>
      </w:r>
      <w:r w:rsidR="0036713B">
        <w:rPr>
          <w:lang w:val="en-US"/>
        </w:rPr>
        <w:t>ed</w:t>
      </w:r>
      <w:r w:rsidR="00685B08">
        <w:rPr>
          <w:lang w:val="en-US"/>
        </w:rPr>
        <w:t xml:space="preserve"> necessary clarification</w:t>
      </w:r>
      <w:r w:rsidR="0036713B">
        <w:rPr>
          <w:lang w:val="en-US"/>
        </w:rPr>
        <w:t>s</w:t>
      </w:r>
      <w:r w:rsidR="00685B08">
        <w:rPr>
          <w:lang w:val="en-US"/>
        </w:rPr>
        <w:t xml:space="preserve"> on </w:t>
      </w:r>
      <w:r w:rsidR="001D13AA">
        <w:rPr>
          <w:rFonts w:eastAsia="ＭＳ 明朝"/>
        </w:rPr>
        <w:t>cross-carr</w:t>
      </w:r>
      <w:r w:rsidR="001D13AA">
        <w:rPr>
          <w:rFonts w:eastAsia="ＭＳ 明朝"/>
        </w:rPr>
        <w:t>ier beam indication for SRS.</w:t>
      </w:r>
    </w:p>
    <w:p w14:paraId="1D53DBBF" w14:textId="6A40035C" w:rsidR="00DC55B2" w:rsidRPr="00D94F0E" w:rsidRDefault="00DC55B2" w:rsidP="00DC55B2">
      <w:pPr>
        <w:rPr>
          <w:rFonts w:eastAsiaTheme="minorEastAsia"/>
          <w:b/>
          <w:u w:val="single"/>
          <w:lang w:val="en-US"/>
        </w:rPr>
      </w:pPr>
      <w:r w:rsidRPr="00D94F0E">
        <w:rPr>
          <w:rFonts w:eastAsiaTheme="minorEastAsia" w:hint="eastAsia"/>
          <w:b/>
          <w:u w:val="single"/>
          <w:lang w:val="en-US"/>
        </w:rPr>
        <w:t>Proposal:</w:t>
      </w:r>
    </w:p>
    <w:p w14:paraId="0D21B47D" w14:textId="77777777" w:rsidR="005C3896" w:rsidRDefault="005C3896" w:rsidP="005C3896">
      <w:pPr>
        <w:pStyle w:val="aff9"/>
        <w:numPr>
          <w:ilvl w:val="0"/>
          <w:numId w:val="12"/>
        </w:numPr>
        <w:ind w:firstLineChars="0"/>
        <w:rPr>
          <w:rFonts w:eastAsiaTheme="minorEastAsia"/>
          <w:lang w:val="en-US"/>
        </w:rPr>
      </w:pPr>
      <w:r>
        <w:rPr>
          <w:rFonts w:eastAsiaTheme="minorEastAsia"/>
          <w:lang w:val="en-US"/>
        </w:rPr>
        <w:t>To apply proposed changes in the draft CR attached.</w:t>
      </w:r>
    </w:p>
    <w:p w14:paraId="3F9BF06A" w14:textId="77777777" w:rsidR="00642A8C" w:rsidRPr="005C3896"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0A8421E" w14:textId="77777777" w:rsidR="002C1B0D" w:rsidRDefault="00416A24" w:rsidP="002C1B0D">
      <w:pPr>
        <w:pStyle w:val="textintend2"/>
        <w:rPr>
          <w:szCs w:val="24"/>
        </w:rPr>
      </w:pPr>
      <w:r w:rsidRPr="00F7192A">
        <w:rPr>
          <w:szCs w:val="24"/>
        </w:rPr>
        <w:t xml:space="preserve">“RAN1 Chairman’s Notes”, </w:t>
      </w:r>
      <w:r w:rsidR="00115EFB" w:rsidRPr="00F7192A">
        <w:rPr>
          <w:szCs w:val="24"/>
        </w:rPr>
        <w:t>RAN1#9</w:t>
      </w:r>
      <w:r w:rsidR="009F40A9">
        <w:rPr>
          <w:szCs w:val="24"/>
        </w:rPr>
        <w:t>4bis</w:t>
      </w:r>
    </w:p>
    <w:p w14:paraId="2E738690" w14:textId="450C370A" w:rsidR="00D5109C" w:rsidRPr="002C1B0D" w:rsidRDefault="00C10711" w:rsidP="002C1B0D">
      <w:pPr>
        <w:pStyle w:val="textintend2"/>
        <w:rPr>
          <w:szCs w:val="24"/>
        </w:rPr>
      </w:pPr>
      <w:bookmarkStart w:id="4" w:name="_GoBack"/>
      <w:bookmarkEnd w:id="4"/>
      <w:r w:rsidRPr="002C1B0D">
        <w:rPr>
          <w:szCs w:val="24"/>
        </w:rPr>
        <w:t>R1-1811943</w:t>
      </w:r>
      <w:r w:rsidRPr="002C1B0D">
        <w:rPr>
          <w:szCs w:val="24"/>
        </w:rPr>
        <w:tab/>
        <w:t>“Summary of views on CSI reporting v3”, Ericsson</w:t>
      </w:r>
    </w:p>
    <w:sectPr w:rsidR="00D5109C" w:rsidRPr="002C1B0D"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5A53C5">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D00E2F0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4"/>
  </w:num>
  <w:num w:numId="4">
    <w:abstractNumId w:val="16"/>
  </w:num>
  <w:num w:numId="5">
    <w:abstractNumId w:val="11"/>
  </w:num>
  <w:num w:numId="6">
    <w:abstractNumId w:val="12"/>
  </w:num>
  <w:num w:numId="7">
    <w:abstractNumId w:val="9"/>
  </w:num>
  <w:num w:numId="8">
    <w:abstractNumId w:val="1"/>
  </w:num>
  <w:num w:numId="9">
    <w:abstractNumId w:val="17"/>
  </w:num>
  <w:num w:numId="10">
    <w:abstractNumId w:val="8"/>
  </w:num>
  <w:num w:numId="11">
    <w:abstractNumId w:val="14"/>
  </w:num>
  <w:num w:numId="12">
    <w:abstractNumId w:val="10"/>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3"/>
  </w:num>
  <w:num w:numId="17">
    <w:abstractNumId w:val="7"/>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0B8"/>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3AA"/>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B0D"/>
    <w:rsid w:val="002C1EF4"/>
    <w:rsid w:val="002C2478"/>
    <w:rsid w:val="002C28CE"/>
    <w:rsid w:val="002C2DDA"/>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2F68E1"/>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16ED"/>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37FB7"/>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3E5"/>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3C5"/>
    <w:rsid w:val="005A5CF3"/>
    <w:rsid w:val="005A63C9"/>
    <w:rsid w:val="005A68D7"/>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96"/>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0F60"/>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A08"/>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9"/>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648"/>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A32"/>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0711"/>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90"/>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9B7"/>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CAB"/>
    <w:rsid w:val="00D340B9"/>
    <w:rsid w:val="00D340EB"/>
    <w:rsid w:val="00D362EA"/>
    <w:rsid w:val="00D36592"/>
    <w:rsid w:val="00D365A6"/>
    <w:rsid w:val="00D3668E"/>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12C"/>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uiPriority w:val="99"/>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中等深浅网格 1 - 着色 21,列出段落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中等深浅网格 1 - 着色 21 (文字),列出段落1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character" w:customStyle="1" w:styleId="B11">
    <w:name w:val="B1 (文字)"/>
    <w:qFormat/>
    <w:rsid w:val="009F40A9"/>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B0D5F-A37A-4294-B785-9CB0FBB1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896</Words>
  <Characters>5108</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17</cp:revision>
  <cp:lastPrinted>2017-04-24T01:32:00Z</cp:lastPrinted>
  <dcterms:created xsi:type="dcterms:W3CDTF">2018-09-28T06:15:00Z</dcterms:created>
  <dcterms:modified xsi:type="dcterms:W3CDTF">2018-11-02T07:56:00Z</dcterms:modified>
</cp:coreProperties>
</file>