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DACD59" w14:textId="6222AFC3" w:rsidR="00BC0557" w:rsidRPr="00BC0557" w:rsidRDefault="00BC0557" w:rsidP="00BC0557">
      <w:pPr>
        <w:pStyle w:val="Header"/>
        <w:tabs>
          <w:tab w:val="clear" w:pos="4153"/>
          <w:tab w:val="clear" w:pos="8306"/>
          <w:tab w:val="right" w:pos="9026"/>
        </w:tabs>
        <w:rPr>
          <w:b/>
          <w:sz w:val="24"/>
        </w:rPr>
      </w:pPr>
      <w:bookmarkStart w:id="0" w:name="_Hlk512609091"/>
      <w:r w:rsidRPr="00BC0557">
        <w:rPr>
          <w:b/>
          <w:sz w:val="24"/>
        </w:rPr>
        <w:t>3GPP TSG-RAN WG1 Meeting #9</w:t>
      </w:r>
      <w:r w:rsidR="00351C4E">
        <w:rPr>
          <w:b/>
          <w:sz w:val="24"/>
        </w:rPr>
        <w:t>5</w:t>
      </w:r>
      <w:r w:rsidRPr="00BC0557">
        <w:rPr>
          <w:b/>
          <w:sz w:val="24"/>
        </w:rPr>
        <w:tab/>
        <w:t>R1-18</w:t>
      </w:r>
      <w:r>
        <w:rPr>
          <w:b/>
          <w:sz w:val="24"/>
        </w:rPr>
        <w:t>1</w:t>
      </w:r>
      <w:bookmarkStart w:id="1" w:name="_GoBack"/>
      <w:bookmarkEnd w:id="1"/>
      <w:r w:rsidR="00167A4E" w:rsidRPr="00167A4E">
        <w:rPr>
          <w:b/>
          <w:color w:val="000000" w:themeColor="text1"/>
          <w:sz w:val="24"/>
        </w:rPr>
        <w:t>2830</w:t>
      </w:r>
    </w:p>
    <w:p w14:paraId="2D04BE87" w14:textId="4D14A3FB" w:rsidR="00BC0557" w:rsidRPr="00BC0557" w:rsidRDefault="00351C4E" w:rsidP="00BC0557">
      <w:pPr>
        <w:pStyle w:val="Header"/>
        <w:rPr>
          <w:b/>
          <w:sz w:val="24"/>
        </w:rPr>
      </w:pPr>
      <w:r>
        <w:rPr>
          <w:b/>
          <w:sz w:val="24"/>
        </w:rPr>
        <w:t>Spokane</w:t>
      </w:r>
      <w:r w:rsidR="00BC0557" w:rsidRPr="00BC0557">
        <w:rPr>
          <w:b/>
          <w:sz w:val="24"/>
        </w:rPr>
        <w:t xml:space="preserve">, </w:t>
      </w:r>
      <w:r>
        <w:rPr>
          <w:b/>
          <w:sz w:val="24"/>
        </w:rPr>
        <w:t>USA</w:t>
      </w:r>
      <w:r w:rsidR="00BC0557" w:rsidRPr="00BC0557">
        <w:rPr>
          <w:b/>
          <w:sz w:val="24"/>
        </w:rPr>
        <w:t xml:space="preserve">, </w:t>
      </w:r>
      <w:r>
        <w:rPr>
          <w:b/>
          <w:sz w:val="24"/>
        </w:rPr>
        <w:t>12</w:t>
      </w:r>
      <w:r w:rsidR="00BC0557" w:rsidRPr="00BC0557">
        <w:rPr>
          <w:b/>
          <w:sz w:val="24"/>
        </w:rPr>
        <w:t xml:space="preserve"> – </w:t>
      </w:r>
      <w:r>
        <w:rPr>
          <w:b/>
          <w:sz w:val="24"/>
        </w:rPr>
        <w:t>16</w:t>
      </w:r>
      <w:r w:rsidR="00BC0557" w:rsidRPr="00BC0557">
        <w:rPr>
          <w:b/>
          <w:sz w:val="24"/>
        </w:rPr>
        <w:t xml:space="preserve"> </w:t>
      </w:r>
      <w:r>
        <w:rPr>
          <w:b/>
          <w:sz w:val="24"/>
        </w:rPr>
        <w:t>November</w:t>
      </w:r>
      <w:r w:rsidR="00BC0557" w:rsidRPr="00BC0557">
        <w:rPr>
          <w:b/>
          <w:sz w:val="24"/>
        </w:rPr>
        <w:t xml:space="preserve"> 2018</w:t>
      </w:r>
    </w:p>
    <w:bookmarkEnd w:id="0"/>
    <w:p w14:paraId="2A0E09CD" w14:textId="77777777" w:rsidR="00BC0557" w:rsidRDefault="00BC0557" w:rsidP="00BC0557"/>
    <w:p w14:paraId="779ABF42" w14:textId="769ABCCB" w:rsidR="00BC0557" w:rsidRPr="009D7E42" w:rsidRDefault="00BC0557" w:rsidP="00BC0557">
      <w:pPr>
        <w:tabs>
          <w:tab w:val="left" w:pos="1701"/>
        </w:tabs>
        <w:spacing w:after="60"/>
        <w:rPr>
          <w:bCs/>
          <w:color w:val="000000" w:themeColor="text1"/>
        </w:rPr>
      </w:pPr>
      <w:r w:rsidRPr="00BC0557">
        <w:rPr>
          <w:b/>
          <w:sz w:val="22"/>
        </w:rPr>
        <w:t>Agenda item:</w:t>
      </w:r>
      <w:r w:rsidRPr="009D7E42">
        <w:rPr>
          <w:color w:val="000000" w:themeColor="text1"/>
        </w:rPr>
        <w:tab/>
      </w:r>
      <w:r w:rsidRPr="00EE4760">
        <w:t>7.2.4.</w:t>
      </w:r>
      <w:r w:rsidR="009D7E42" w:rsidRPr="00EE4760">
        <w:t>5</w:t>
      </w:r>
    </w:p>
    <w:p w14:paraId="06A83340" w14:textId="63E3DEE1" w:rsidR="00BC0557" w:rsidRPr="009D7E42" w:rsidRDefault="00BC0557" w:rsidP="00BC0557">
      <w:pPr>
        <w:tabs>
          <w:tab w:val="left" w:pos="1701"/>
        </w:tabs>
        <w:spacing w:after="60"/>
        <w:rPr>
          <w:bCs/>
          <w:color w:val="000000" w:themeColor="text1"/>
        </w:rPr>
      </w:pPr>
      <w:r w:rsidRPr="009D7E42">
        <w:rPr>
          <w:b/>
          <w:color w:val="000000" w:themeColor="text1"/>
          <w:sz w:val="22"/>
        </w:rPr>
        <w:t>Title:</w:t>
      </w:r>
      <w:r w:rsidRPr="009D7E42">
        <w:rPr>
          <w:b/>
          <w:color w:val="000000" w:themeColor="text1"/>
        </w:rPr>
        <w:tab/>
      </w:r>
      <w:r w:rsidRPr="00BE0A7F">
        <w:t xml:space="preserve">Discussion on </w:t>
      </w:r>
      <w:r w:rsidR="009D7E42" w:rsidRPr="00BE0A7F">
        <w:t>coexistence</w:t>
      </w:r>
      <w:r w:rsidRPr="00BE0A7F">
        <w:t xml:space="preserve"> in NR-V2X</w:t>
      </w:r>
    </w:p>
    <w:p w14:paraId="7DC2E3DB" w14:textId="77777777"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BC0557">
      <w:pPr>
        <w:tabs>
          <w:tab w:val="left" w:pos="1701"/>
        </w:tabs>
        <w:spacing w:after="60"/>
      </w:pPr>
      <w:r w:rsidRPr="00BC0557">
        <w:rPr>
          <w:b/>
          <w:sz w:val="22"/>
        </w:rPr>
        <w:t>Document for:</w:t>
      </w:r>
      <w:r w:rsidRPr="00EF0FD5">
        <w:tab/>
        <w:t>Discussion and Decision</w:t>
      </w:r>
    </w:p>
    <w:p w14:paraId="4401D39C" w14:textId="77777777" w:rsidR="00BC0557" w:rsidRDefault="00BC0557" w:rsidP="00BC0557">
      <w:pPr>
        <w:pBdr>
          <w:bottom w:val="single" w:sz="4" w:space="1" w:color="auto"/>
        </w:pBdr>
      </w:pPr>
    </w:p>
    <w:p w14:paraId="3146754E" w14:textId="77777777" w:rsidR="00BC0557" w:rsidRDefault="00BC0557" w:rsidP="00BC0557"/>
    <w:p w14:paraId="770EF4D8" w14:textId="77777777" w:rsidR="00BC0557" w:rsidRPr="00BC0557" w:rsidRDefault="00BC0557" w:rsidP="00BC0557">
      <w:pPr>
        <w:spacing w:after="120"/>
        <w:rPr>
          <w:b/>
          <w:sz w:val="22"/>
        </w:rPr>
      </w:pPr>
      <w:r w:rsidRPr="00BC0557">
        <w:rPr>
          <w:b/>
          <w:sz w:val="22"/>
        </w:rPr>
        <w:t>1. Introduction</w:t>
      </w:r>
    </w:p>
    <w:p w14:paraId="3EB10A05" w14:textId="1375444E" w:rsidR="00246872" w:rsidRDefault="00246872" w:rsidP="00BC0557">
      <w:pPr>
        <w:pStyle w:val="BodyText"/>
        <w:rPr>
          <w:color w:val="auto"/>
        </w:rPr>
      </w:pPr>
      <w:r>
        <w:rPr>
          <w:color w:val="000000" w:themeColor="text1"/>
        </w:rPr>
        <w:t>The coexistence of LTE-V2X and NR-V2X operations within the same UE (intra-UE) was discussed in RAN1#94</w:t>
      </w:r>
      <w:r w:rsidR="00BE0A7F">
        <w:rPr>
          <w:color w:val="000000" w:themeColor="text1"/>
        </w:rPr>
        <w:t>bis</w:t>
      </w:r>
      <w:r>
        <w:rPr>
          <w:color w:val="000000" w:themeColor="text1"/>
        </w:rPr>
        <w:t xml:space="preserve">. In [1], it was agreed to study the following operation scenarios and potential solution </w:t>
      </w:r>
      <w:r w:rsidR="00FB2DB2">
        <w:rPr>
          <w:color w:val="000000" w:themeColor="text1"/>
        </w:rPr>
        <w:t>details</w:t>
      </w:r>
      <w:r>
        <w:rPr>
          <w:color w:val="000000" w:themeColor="text1"/>
        </w:rPr>
        <w:t>.</w:t>
      </w:r>
    </w:p>
    <w:p w14:paraId="3D2E05C0" w14:textId="5112510A" w:rsidR="00C144FC" w:rsidRPr="00F43AB1" w:rsidRDefault="00C144FC" w:rsidP="00BC0557">
      <w:pPr>
        <w:pStyle w:val="BodyText"/>
        <w:rPr>
          <w:color w:val="auto"/>
        </w:rPr>
      </w:pPr>
    </w:p>
    <w:tbl>
      <w:tblPr>
        <w:tblStyle w:val="TableGrid"/>
        <w:tblW w:w="0" w:type="auto"/>
        <w:tblLook w:val="04A0" w:firstRow="1" w:lastRow="0" w:firstColumn="1" w:lastColumn="0" w:noHBand="0" w:noVBand="1"/>
      </w:tblPr>
      <w:tblGrid>
        <w:gridCol w:w="9016"/>
      </w:tblGrid>
      <w:tr w:rsidR="00F43AB1" w14:paraId="052436F6" w14:textId="77777777" w:rsidTr="00F43AB1">
        <w:tc>
          <w:tcPr>
            <w:tcW w:w="9016" w:type="dxa"/>
          </w:tcPr>
          <w:p w14:paraId="4E65FC56" w14:textId="77777777" w:rsidR="00EE4760" w:rsidRPr="00EE4760" w:rsidRDefault="00EE4760" w:rsidP="00EE4760">
            <w:pPr>
              <w:rPr>
                <w:rFonts w:ascii="Times New Roman" w:hAnsi="Times New Roman" w:cs="Times New Roman"/>
                <w:b/>
                <w:sz w:val="20"/>
                <w:szCs w:val="20"/>
                <w:lang w:eastAsia="x-none"/>
              </w:rPr>
            </w:pPr>
            <w:r w:rsidRPr="00EE4760">
              <w:rPr>
                <w:rFonts w:ascii="Times New Roman" w:hAnsi="Times New Roman" w:cs="Times New Roman"/>
                <w:b/>
                <w:sz w:val="20"/>
                <w:szCs w:val="20"/>
                <w:highlight w:val="green"/>
                <w:lang w:eastAsia="x-none"/>
              </w:rPr>
              <w:t>Agreements</w:t>
            </w:r>
            <w:r w:rsidRPr="00EE4760">
              <w:rPr>
                <w:rFonts w:ascii="Times New Roman" w:hAnsi="Times New Roman" w:cs="Times New Roman"/>
                <w:b/>
                <w:sz w:val="20"/>
                <w:szCs w:val="20"/>
                <w:lang w:eastAsia="x-none"/>
              </w:rPr>
              <w:t>:</w:t>
            </w:r>
          </w:p>
          <w:p w14:paraId="398E4749" w14:textId="77777777" w:rsidR="00EE4760" w:rsidRPr="00EE4760" w:rsidRDefault="00EE4760" w:rsidP="00EE4760">
            <w:pPr>
              <w:numPr>
                <w:ilvl w:val="0"/>
                <w:numId w:val="10"/>
              </w:numPr>
              <w:jc w:val="left"/>
              <w:rPr>
                <w:rFonts w:ascii="Times New Roman" w:hAnsi="Times New Roman" w:cs="Times New Roman"/>
                <w:sz w:val="20"/>
                <w:szCs w:val="20"/>
              </w:rPr>
            </w:pPr>
            <w:r w:rsidRPr="00EE4760">
              <w:rPr>
                <w:rFonts w:ascii="Times New Roman" w:hAnsi="Times New Roman" w:cs="Times New Roman"/>
                <w:sz w:val="20"/>
                <w:szCs w:val="20"/>
              </w:rPr>
              <w:t xml:space="preserve">In the context of in-device coexistence between NR and LTE V2X </w:t>
            </w:r>
            <w:proofErr w:type="spellStart"/>
            <w:r w:rsidRPr="00EE4760">
              <w:rPr>
                <w:rFonts w:ascii="Times New Roman" w:hAnsi="Times New Roman" w:cs="Times New Roman"/>
                <w:sz w:val="20"/>
                <w:szCs w:val="20"/>
              </w:rPr>
              <w:t>sidelinks</w:t>
            </w:r>
            <w:proofErr w:type="spellEnd"/>
            <w:r w:rsidRPr="00EE4760">
              <w:rPr>
                <w:rFonts w:ascii="Times New Roman" w:hAnsi="Times New Roman" w:cs="Times New Roman"/>
                <w:sz w:val="20"/>
                <w:szCs w:val="20"/>
              </w:rPr>
              <w:t xml:space="preserve"> (not co-channel), </w:t>
            </w:r>
          </w:p>
          <w:p w14:paraId="22517F68" w14:textId="77777777" w:rsidR="00EE4760" w:rsidRPr="00EE4760" w:rsidRDefault="00EE4760" w:rsidP="00EE4760">
            <w:pPr>
              <w:numPr>
                <w:ilvl w:val="2"/>
                <w:numId w:val="10"/>
              </w:numPr>
              <w:jc w:val="left"/>
              <w:rPr>
                <w:rFonts w:ascii="Times New Roman" w:hAnsi="Times New Roman" w:cs="Times New Roman"/>
                <w:sz w:val="20"/>
                <w:szCs w:val="20"/>
              </w:rPr>
            </w:pPr>
            <w:r w:rsidRPr="00EE4760">
              <w:rPr>
                <w:rFonts w:ascii="Times New Roman" w:hAnsi="Times New Roman" w:cs="Times New Roman"/>
                <w:sz w:val="20"/>
                <w:szCs w:val="20"/>
              </w:rPr>
              <w:t>TDM solutions are those that prevent overlapping or simultaneous NR and LTE V2X sidelink transmissions.</w:t>
            </w:r>
          </w:p>
          <w:p w14:paraId="2B9181FD" w14:textId="77777777" w:rsidR="00EE4760" w:rsidRPr="00EE4760" w:rsidRDefault="00EE4760" w:rsidP="00EE4760">
            <w:pPr>
              <w:numPr>
                <w:ilvl w:val="2"/>
                <w:numId w:val="10"/>
              </w:numPr>
              <w:jc w:val="left"/>
              <w:rPr>
                <w:rFonts w:ascii="Times New Roman" w:hAnsi="Times New Roman" w:cs="Times New Roman"/>
                <w:sz w:val="20"/>
                <w:szCs w:val="20"/>
              </w:rPr>
            </w:pPr>
            <w:r w:rsidRPr="00EE4760">
              <w:rPr>
                <w:rFonts w:ascii="Times New Roman" w:hAnsi="Times New Roman" w:cs="Times New Roman"/>
                <w:sz w:val="20"/>
                <w:szCs w:val="20"/>
              </w:rPr>
              <w:t>FDM solutions are those that involve simultaneous transmissions of NR and LTE V2X sidelink transmissions and defining mechanisms for sharing the total device power between the two.</w:t>
            </w:r>
          </w:p>
          <w:p w14:paraId="2C7B8649" w14:textId="77777777" w:rsidR="00EE4760" w:rsidRDefault="00EE4760" w:rsidP="00EE4760">
            <w:pPr>
              <w:rPr>
                <w:rFonts w:ascii="Times New Roman" w:hAnsi="Times New Roman" w:cs="Times New Roman"/>
                <w:b/>
                <w:sz w:val="20"/>
                <w:szCs w:val="20"/>
                <w:highlight w:val="green"/>
                <w:lang w:eastAsia="x-none"/>
              </w:rPr>
            </w:pPr>
          </w:p>
          <w:p w14:paraId="08348C26" w14:textId="1E89EDFB" w:rsidR="00EE4760" w:rsidRPr="00EE4760" w:rsidRDefault="00EE4760" w:rsidP="00EE4760">
            <w:pPr>
              <w:rPr>
                <w:rFonts w:ascii="Times New Roman" w:hAnsi="Times New Roman" w:cs="Times New Roman"/>
                <w:b/>
                <w:sz w:val="20"/>
                <w:szCs w:val="20"/>
                <w:lang w:eastAsia="x-none"/>
              </w:rPr>
            </w:pPr>
            <w:r w:rsidRPr="00EE4760">
              <w:rPr>
                <w:rFonts w:ascii="Times New Roman" w:hAnsi="Times New Roman" w:cs="Times New Roman"/>
                <w:b/>
                <w:sz w:val="20"/>
                <w:szCs w:val="20"/>
                <w:highlight w:val="green"/>
                <w:lang w:eastAsia="x-none"/>
              </w:rPr>
              <w:t>Agreements</w:t>
            </w:r>
            <w:r w:rsidRPr="00EE4760">
              <w:rPr>
                <w:rFonts w:ascii="Times New Roman" w:hAnsi="Times New Roman" w:cs="Times New Roman"/>
                <w:b/>
                <w:sz w:val="20"/>
                <w:szCs w:val="20"/>
                <w:lang w:eastAsia="x-none"/>
              </w:rPr>
              <w:t>:</w:t>
            </w:r>
          </w:p>
          <w:p w14:paraId="62F13AFC" w14:textId="77777777" w:rsidR="00EE4760" w:rsidRPr="00EE4760" w:rsidRDefault="00EE4760" w:rsidP="00EE4760">
            <w:pPr>
              <w:pStyle w:val="ListParagraph"/>
              <w:numPr>
                <w:ilvl w:val="0"/>
                <w:numId w:val="11"/>
              </w:numPr>
              <w:spacing w:after="180"/>
              <w:ind w:leftChars="0"/>
              <w:contextualSpacing/>
              <w:rPr>
                <w:rFonts w:ascii="Times New Roman" w:hAnsi="Times New Roman"/>
                <w:szCs w:val="20"/>
              </w:rPr>
            </w:pPr>
            <w:r w:rsidRPr="00EE4760">
              <w:rPr>
                <w:rFonts w:ascii="Times New Roman" w:hAnsi="Times New Roman"/>
                <w:szCs w:val="20"/>
              </w:rPr>
              <w:t xml:space="preserve">For TDM solutions, LTE and NR V2X </w:t>
            </w:r>
            <w:proofErr w:type="spellStart"/>
            <w:r w:rsidRPr="00EE4760">
              <w:rPr>
                <w:rFonts w:ascii="Times New Roman" w:hAnsi="Times New Roman"/>
                <w:szCs w:val="20"/>
              </w:rPr>
              <w:t>sidelinks</w:t>
            </w:r>
            <w:proofErr w:type="spellEnd"/>
            <w:r w:rsidRPr="00EE4760">
              <w:rPr>
                <w:rFonts w:ascii="Times New Roman" w:hAnsi="Times New Roman"/>
                <w:szCs w:val="20"/>
              </w:rPr>
              <w:t xml:space="preserve"> are assumed to be synchronized </w:t>
            </w:r>
          </w:p>
          <w:p w14:paraId="5B70C3B1" w14:textId="77777777" w:rsidR="00EE4760" w:rsidRPr="00EE4760" w:rsidRDefault="00EE4760" w:rsidP="00EE4760">
            <w:pPr>
              <w:pStyle w:val="ListParagraph"/>
              <w:numPr>
                <w:ilvl w:val="1"/>
                <w:numId w:val="11"/>
              </w:numPr>
              <w:spacing w:after="180"/>
              <w:ind w:leftChars="0"/>
              <w:contextualSpacing/>
              <w:rPr>
                <w:rFonts w:ascii="Times New Roman" w:hAnsi="Times New Roman"/>
                <w:szCs w:val="20"/>
              </w:rPr>
            </w:pPr>
            <w:r w:rsidRPr="00EE4760">
              <w:rPr>
                <w:rFonts w:ascii="Times New Roman" w:hAnsi="Times New Roman"/>
                <w:szCs w:val="20"/>
              </w:rPr>
              <w:t>FFS accuracy of time alignment/synchronization</w:t>
            </w:r>
          </w:p>
          <w:p w14:paraId="10103798" w14:textId="77777777" w:rsidR="00EE4760" w:rsidRPr="00EE4760" w:rsidRDefault="00EE4760" w:rsidP="00EE4760">
            <w:pPr>
              <w:pStyle w:val="ListParagraph"/>
              <w:numPr>
                <w:ilvl w:val="1"/>
                <w:numId w:val="11"/>
              </w:numPr>
              <w:spacing w:after="180"/>
              <w:ind w:leftChars="0"/>
              <w:contextualSpacing/>
              <w:rPr>
                <w:rFonts w:ascii="Times New Roman" w:hAnsi="Times New Roman"/>
                <w:szCs w:val="20"/>
              </w:rPr>
            </w:pPr>
            <w:r w:rsidRPr="00EE4760">
              <w:rPr>
                <w:rFonts w:ascii="Times New Roman" w:hAnsi="Times New Roman"/>
                <w:szCs w:val="20"/>
              </w:rPr>
              <w:t>FFS alignment whether slot level and/or DFN based alignment is needed</w:t>
            </w:r>
          </w:p>
          <w:p w14:paraId="1631965B" w14:textId="77777777" w:rsidR="00EE4760" w:rsidRDefault="00EE4760" w:rsidP="00EE4760">
            <w:pPr>
              <w:pStyle w:val="ListParagraph"/>
              <w:spacing w:after="180"/>
              <w:ind w:leftChars="0" w:hanging="840"/>
              <w:contextualSpacing/>
              <w:rPr>
                <w:rFonts w:ascii="Times New Roman" w:hAnsi="Times New Roman"/>
                <w:b/>
                <w:szCs w:val="20"/>
                <w:highlight w:val="green"/>
              </w:rPr>
            </w:pPr>
          </w:p>
          <w:p w14:paraId="34F846E1" w14:textId="7C8F07F7" w:rsidR="00EE4760" w:rsidRPr="00EE4760" w:rsidRDefault="00EE4760" w:rsidP="00EE4760">
            <w:pPr>
              <w:pStyle w:val="ListParagraph"/>
              <w:spacing w:after="180"/>
              <w:ind w:leftChars="0" w:hanging="840"/>
              <w:contextualSpacing/>
              <w:rPr>
                <w:rFonts w:ascii="Times New Roman" w:hAnsi="Times New Roman"/>
                <w:b/>
                <w:szCs w:val="20"/>
              </w:rPr>
            </w:pPr>
            <w:r w:rsidRPr="00EE4760">
              <w:rPr>
                <w:rFonts w:ascii="Times New Roman" w:hAnsi="Times New Roman"/>
                <w:b/>
                <w:szCs w:val="20"/>
                <w:highlight w:val="green"/>
              </w:rPr>
              <w:t>Agreements</w:t>
            </w:r>
            <w:r w:rsidRPr="00EE4760">
              <w:rPr>
                <w:rFonts w:ascii="Times New Roman" w:hAnsi="Times New Roman"/>
                <w:b/>
                <w:szCs w:val="20"/>
              </w:rPr>
              <w:t>:</w:t>
            </w:r>
          </w:p>
          <w:p w14:paraId="33C404AC" w14:textId="77777777" w:rsidR="00EE4760" w:rsidRPr="00EE4760" w:rsidRDefault="00EE4760" w:rsidP="00EE4760">
            <w:pPr>
              <w:pStyle w:val="ListParagraph"/>
              <w:numPr>
                <w:ilvl w:val="0"/>
                <w:numId w:val="11"/>
              </w:numPr>
              <w:spacing w:after="180"/>
              <w:ind w:leftChars="0"/>
              <w:contextualSpacing/>
              <w:rPr>
                <w:rFonts w:ascii="Times New Roman" w:hAnsi="Times New Roman"/>
                <w:szCs w:val="20"/>
              </w:rPr>
            </w:pPr>
            <w:r w:rsidRPr="00EE4760">
              <w:rPr>
                <w:rFonts w:ascii="Times New Roman" w:hAnsi="Times New Roman"/>
                <w:szCs w:val="20"/>
              </w:rPr>
              <w:t xml:space="preserve">For TDM solutions, the following aspects are studied in RAN1: </w:t>
            </w:r>
          </w:p>
          <w:p w14:paraId="01F419A6" w14:textId="77777777" w:rsidR="00EE4760" w:rsidRPr="00EE4760" w:rsidRDefault="00EE4760" w:rsidP="00EE4760">
            <w:pPr>
              <w:pStyle w:val="ListParagraph"/>
              <w:numPr>
                <w:ilvl w:val="1"/>
                <w:numId w:val="11"/>
              </w:numPr>
              <w:spacing w:after="180"/>
              <w:ind w:leftChars="0"/>
              <w:contextualSpacing/>
              <w:rPr>
                <w:rFonts w:ascii="Times New Roman" w:hAnsi="Times New Roman"/>
                <w:szCs w:val="20"/>
                <w:lang w:eastAsia="zh-CN"/>
              </w:rPr>
            </w:pPr>
            <w:r w:rsidRPr="00EE4760">
              <w:rPr>
                <w:rFonts w:ascii="Times New Roman" w:hAnsi="Times New Roman"/>
                <w:szCs w:val="20"/>
                <w:lang w:eastAsia="zh-CN"/>
              </w:rPr>
              <w:t>Long term time-scale coordination</w:t>
            </w:r>
          </w:p>
          <w:p w14:paraId="0C889CA5" w14:textId="77777777" w:rsidR="00EE4760" w:rsidRPr="00EE4760" w:rsidRDefault="00EE4760" w:rsidP="00EE4760">
            <w:pPr>
              <w:pStyle w:val="ListParagraph"/>
              <w:numPr>
                <w:ilvl w:val="2"/>
                <w:numId w:val="11"/>
              </w:numPr>
              <w:spacing w:after="180"/>
              <w:ind w:leftChars="0"/>
              <w:contextualSpacing/>
              <w:rPr>
                <w:rFonts w:ascii="Times New Roman" w:hAnsi="Times New Roman"/>
                <w:szCs w:val="20"/>
                <w:lang w:eastAsia="zh-CN"/>
              </w:rPr>
            </w:pPr>
            <w:r w:rsidRPr="00EE4760">
              <w:rPr>
                <w:rFonts w:ascii="Times New Roman" w:hAnsi="Times New Roman"/>
                <w:szCs w:val="20"/>
                <w:lang w:eastAsia="zh-CN"/>
              </w:rPr>
              <w:t>Potential transmissions in time of LTE and NR V2X are statically/quasi-statically determined</w:t>
            </w:r>
          </w:p>
          <w:p w14:paraId="6FEE2747" w14:textId="77777777" w:rsidR="00EE4760" w:rsidRPr="00EE4760" w:rsidRDefault="00EE4760" w:rsidP="00EE4760">
            <w:pPr>
              <w:pStyle w:val="ListParagraph"/>
              <w:numPr>
                <w:ilvl w:val="2"/>
                <w:numId w:val="11"/>
              </w:numPr>
              <w:spacing w:after="180"/>
              <w:ind w:leftChars="0"/>
              <w:contextualSpacing/>
              <w:rPr>
                <w:rFonts w:ascii="Times New Roman" w:hAnsi="Times New Roman"/>
                <w:szCs w:val="20"/>
                <w:lang w:eastAsia="zh-CN"/>
              </w:rPr>
            </w:pPr>
            <w:r w:rsidRPr="00EE4760">
              <w:rPr>
                <w:rFonts w:ascii="Times New Roman" w:hAnsi="Times New Roman"/>
                <w:szCs w:val="20"/>
                <w:lang w:eastAsia="zh-CN"/>
              </w:rPr>
              <w:t>UE behaviour when LTE and NR V2X sidelink transmissions overlap in time is FFS</w:t>
            </w:r>
          </w:p>
          <w:p w14:paraId="1E65CE9D" w14:textId="77777777" w:rsidR="00EE4760" w:rsidRPr="00EE4760" w:rsidRDefault="00EE4760" w:rsidP="00EE4760">
            <w:pPr>
              <w:pStyle w:val="ListParagraph"/>
              <w:numPr>
                <w:ilvl w:val="1"/>
                <w:numId w:val="11"/>
              </w:numPr>
              <w:spacing w:after="180"/>
              <w:ind w:leftChars="0"/>
              <w:contextualSpacing/>
              <w:rPr>
                <w:rFonts w:ascii="Times New Roman" w:hAnsi="Times New Roman"/>
                <w:szCs w:val="20"/>
                <w:lang w:eastAsia="zh-CN"/>
              </w:rPr>
            </w:pPr>
            <w:r w:rsidRPr="00EE4760">
              <w:rPr>
                <w:rFonts w:ascii="Times New Roman" w:hAnsi="Times New Roman"/>
                <w:szCs w:val="20"/>
                <w:lang w:eastAsia="zh-CN"/>
              </w:rPr>
              <w:t>Short time-scale coordination</w:t>
            </w:r>
          </w:p>
          <w:p w14:paraId="42B42318" w14:textId="77777777" w:rsidR="00EE4760" w:rsidRPr="00EE4760" w:rsidRDefault="00EE4760" w:rsidP="00EE4760">
            <w:pPr>
              <w:pStyle w:val="ListParagraph"/>
              <w:numPr>
                <w:ilvl w:val="2"/>
                <w:numId w:val="11"/>
              </w:numPr>
              <w:spacing w:after="180"/>
              <w:ind w:leftChars="0"/>
              <w:contextualSpacing/>
              <w:rPr>
                <w:rFonts w:ascii="Times New Roman" w:hAnsi="Times New Roman"/>
                <w:szCs w:val="20"/>
                <w:lang w:eastAsia="zh-CN"/>
              </w:rPr>
            </w:pPr>
            <w:r w:rsidRPr="00EE4760">
              <w:rPr>
                <w:rFonts w:ascii="Times New Roman" w:hAnsi="Times New Roman"/>
                <w:szCs w:val="20"/>
                <w:lang w:eastAsia="zh-CN"/>
              </w:rPr>
              <w:t>Transmissions in time of LTE and NR V2X are known to each RAT (details FFS)</w:t>
            </w:r>
          </w:p>
          <w:p w14:paraId="13B32331" w14:textId="77777777" w:rsidR="00EE4760" w:rsidRPr="00EE4760" w:rsidRDefault="00EE4760" w:rsidP="00EE4760">
            <w:pPr>
              <w:pStyle w:val="ListParagraph"/>
              <w:numPr>
                <w:ilvl w:val="2"/>
                <w:numId w:val="11"/>
              </w:numPr>
              <w:spacing w:after="180"/>
              <w:ind w:leftChars="0"/>
              <w:contextualSpacing/>
              <w:rPr>
                <w:rFonts w:ascii="Times New Roman" w:hAnsi="Times New Roman"/>
                <w:szCs w:val="20"/>
                <w:lang w:eastAsia="zh-CN"/>
              </w:rPr>
            </w:pPr>
            <w:r w:rsidRPr="00EE4760">
              <w:rPr>
                <w:rFonts w:ascii="Times New Roman" w:hAnsi="Times New Roman"/>
                <w:szCs w:val="20"/>
                <w:lang w:eastAsia="zh-CN"/>
              </w:rPr>
              <w:t>UE behaviour when LTE and NR V2X sidelink transmissions overlap in time is FFS</w:t>
            </w:r>
          </w:p>
          <w:p w14:paraId="5A59CF9D" w14:textId="77777777" w:rsidR="00EE4760" w:rsidRPr="00EE4760" w:rsidRDefault="00EE4760" w:rsidP="00EE4760">
            <w:pPr>
              <w:pStyle w:val="ListParagraph"/>
              <w:numPr>
                <w:ilvl w:val="1"/>
                <w:numId w:val="11"/>
              </w:numPr>
              <w:spacing w:after="180"/>
              <w:ind w:leftChars="0"/>
              <w:contextualSpacing/>
              <w:rPr>
                <w:rFonts w:ascii="Times New Roman" w:hAnsi="Times New Roman"/>
                <w:szCs w:val="20"/>
              </w:rPr>
            </w:pPr>
            <w:r w:rsidRPr="00EE4760">
              <w:rPr>
                <w:rFonts w:ascii="Times New Roman" w:hAnsi="Times New Roman"/>
                <w:szCs w:val="20"/>
                <w:lang w:eastAsia="zh-CN"/>
              </w:rPr>
              <w:t>FFS coordination details</w:t>
            </w:r>
          </w:p>
          <w:p w14:paraId="3B59F54C" w14:textId="6A0E5D55" w:rsidR="00F43AB1" w:rsidRPr="00EE4760" w:rsidRDefault="00EE4760" w:rsidP="00EE4760">
            <w:pPr>
              <w:pStyle w:val="ListParagraph"/>
              <w:numPr>
                <w:ilvl w:val="1"/>
                <w:numId w:val="11"/>
              </w:numPr>
              <w:spacing w:after="180"/>
              <w:ind w:leftChars="0"/>
              <w:contextualSpacing/>
              <w:rPr>
                <w:szCs w:val="20"/>
              </w:rPr>
            </w:pPr>
            <w:r w:rsidRPr="00EE4760">
              <w:rPr>
                <w:rFonts w:ascii="Times New Roman" w:hAnsi="Times New Roman"/>
                <w:szCs w:val="20"/>
              </w:rPr>
              <w:t>FFS UE assistance for coordination</w:t>
            </w:r>
          </w:p>
        </w:tc>
      </w:tr>
    </w:tbl>
    <w:p w14:paraId="46484BC3" w14:textId="77777777" w:rsidR="00C144FC" w:rsidRPr="00F43AB1" w:rsidRDefault="00C144FC" w:rsidP="00BC0557">
      <w:pPr>
        <w:pStyle w:val="BodyText"/>
        <w:rPr>
          <w:color w:val="auto"/>
        </w:rPr>
      </w:pPr>
    </w:p>
    <w:p w14:paraId="641F68FE" w14:textId="03F6BCC2" w:rsidR="00C144FC" w:rsidRPr="00F43AB1" w:rsidRDefault="00C144FC" w:rsidP="00BC0557">
      <w:pPr>
        <w:pStyle w:val="BodyText"/>
        <w:rPr>
          <w:color w:val="auto"/>
        </w:rPr>
      </w:pPr>
      <w:r w:rsidRPr="00F43AB1">
        <w:rPr>
          <w:color w:val="auto"/>
        </w:rPr>
        <w:t xml:space="preserve">In this contribution, we </w:t>
      </w:r>
      <w:r w:rsidR="00BA2891">
        <w:rPr>
          <w:color w:val="auto"/>
        </w:rPr>
        <w:t xml:space="preserve">first </w:t>
      </w:r>
      <w:r w:rsidR="00CD1C22">
        <w:rPr>
          <w:color w:val="auto"/>
        </w:rPr>
        <w:t xml:space="preserve">discuss </w:t>
      </w:r>
      <w:r w:rsidR="00BA2891">
        <w:rPr>
          <w:color w:val="auto"/>
        </w:rPr>
        <w:t xml:space="preserve">about the </w:t>
      </w:r>
      <w:r w:rsidR="00CD1C22">
        <w:rPr>
          <w:color w:val="auto"/>
        </w:rPr>
        <w:t>pros and cons of potentially using TDM or FDM type solutions</w:t>
      </w:r>
      <w:r w:rsidRPr="00F43AB1">
        <w:rPr>
          <w:color w:val="auto"/>
        </w:rPr>
        <w:t xml:space="preserve"> </w:t>
      </w:r>
      <w:r w:rsidR="00CD1C22">
        <w:rPr>
          <w:color w:val="auto"/>
        </w:rPr>
        <w:t>for multiplexing</w:t>
      </w:r>
      <w:r w:rsidRPr="00F43AB1">
        <w:rPr>
          <w:color w:val="auto"/>
        </w:rPr>
        <w:t xml:space="preserve"> LTE-V2X and NR-V2X </w:t>
      </w:r>
      <w:r w:rsidR="00BA2891">
        <w:rPr>
          <w:color w:val="auto"/>
        </w:rPr>
        <w:t xml:space="preserve">sidelink </w:t>
      </w:r>
      <w:r w:rsidRPr="00F43AB1">
        <w:rPr>
          <w:color w:val="auto"/>
        </w:rPr>
        <w:t>transmissions</w:t>
      </w:r>
      <w:r w:rsidR="00FB2DB2">
        <w:rPr>
          <w:color w:val="auto"/>
        </w:rPr>
        <w:t>, and identify some of possible TDM mechanisms and FDM power sharing schemes assuming different levels of coordination of LTE-V2X and NR-V2X operations within a same UE</w:t>
      </w:r>
      <w:r w:rsidRPr="00F43AB1">
        <w:rPr>
          <w:color w:val="auto"/>
        </w:rPr>
        <w:t>.</w:t>
      </w:r>
    </w:p>
    <w:p w14:paraId="7A5370C9" w14:textId="610A778B" w:rsidR="00B04603" w:rsidRPr="00BC0557" w:rsidRDefault="00B04603" w:rsidP="00BC0557"/>
    <w:p w14:paraId="2DDFB004" w14:textId="77777777" w:rsidR="00BC0557" w:rsidRPr="00BC0557" w:rsidRDefault="00BC0557" w:rsidP="00BC0557">
      <w:pPr>
        <w:spacing w:after="120"/>
        <w:rPr>
          <w:b/>
          <w:sz w:val="22"/>
        </w:rPr>
      </w:pPr>
      <w:r w:rsidRPr="00BC0557">
        <w:rPr>
          <w:b/>
          <w:sz w:val="22"/>
        </w:rPr>
        <w:t>2. Discussion</w:t>
      </w:r>
    </w:p>
    <w:p w14:paraId="032C2BC6" w14:textId="3956B751" w:rsidR="00246872" w:rsidRDefault="00246872" w:rsidP="00CD1C22">
      <w:pPr>
        <w:spacing w:after="120"/>
        <w:rPr>
          <w:color w:val="000000" w:themeColor="text1"/>
        </w:rPr>
      </w:pPr>
      <w:r>
        <w:rPr>
          <w:color w:val="000000" w:themeColor="text1"/>
        </w:rPr>
        <w:t xml:space="preserve">For the potential solutions for intra-UE coexistence in terms of TDM </w:t>
      </w:r>
      <w:r w:rsidR="00CD1C22">
        <w:rPr>
          <w:color w:val="000000" w:themeColor="text1"/>
        </w:rPr>
        <w:t>or</w:t>
      </w:r>
      <w:r>
        <w:rPr>
          <w:color w:val="000000" w:themeColor="text1"/>
        </w:rPr>
        <w:t xml:space="preserve"> FDM </w:t>
      </w:r>
      <w:r w:rsidR="001D6BAF">
        <w:rPr>
          <w:color w:val="000000" w:themeColor="text1"/>
        </w:rPr>
        <w:t xml:space="preserve">coordination </w:t>
      </w:r>
      <w:r>
        <w:rPr>
          <w:color w:val="000000" w:themeColor="text1"/>
        </w:rPr>
        <w:t>between LTE</w:t>
      </w:r>
      <w:r w:rsidR="00CD1C22">
        <w:rPr>
          <w:color w:val="000000" w:themeColor="text1"/>
        </w:rPr>
        <w:t>-</w:t>
      </w:r>
      <w:r>
        <w:rPr>
          <w:color w:val="000000" w:themeColor="text1"/>
        </w:rPr>
        <w:t>V2X and NR</w:t>
      </w:r>
      <w:r w:rsidR="00CD1C22">
        <w:rPr>
          <w:color w:val="000000" w:themeColor="text1"/>
        </w:rPr>
        <w:t>-</w:t>
      </w:r>
      <w:r>
        <w:rPr>
          <w:color w:val="000000" w:themeColor="text1"/>
        </w:rPr>
        <w:t xml:space="preserve">V2X sidelink transmissions, some analysis </w:t>
      </w:r>
      <w:r w:rsidR="00CD1C22">
        <w:rPr>
          <w:color w:val="000000" w:themeColor="text1"/>
        </w:rPr>
        <w:t>is</w:t>
      </w:r>
      <w:r>
        <w:rPr>
          <w:color w:val="000000" w:themeColor="text1"/>
        </w:rPr>
        <w:t xml:space="preserve"> provided below.</w:t>
      </w:r>
      <w:r w:rsidR="00274E92">
        <w:rPr>
          <w:color w:val="000000" w:themeColor="text1"/>
        </w:rPr>
        <w:t xml:space="preserve"> Note that, th</w:t>
      </w:r>
      <w:r w:rsidR="006A4FB5">
        <w:rPr>
          <w:color w:val="000000" w:themeColor="text1"/>
        </w:rPr>
        <w:t>is</w:t>
      </w:r>
      <w:r w:rsidR="00274E92">
        <w:rPr>
          <w:color w:val="000000" w:themeColor="text1"/>
        </w:rPr>
        <w:t xml:space="preserve"> analysis does not assume any particular TDM</w:t>
      </w:r>
      <w:r w:rsidR="006A4FB5">
        <w:rPr>
          <w:color w:val="000000" w:themeColor="text1"/>
        </w:rPr>
        <w:t xml:space="preserve"> and </w:t>
      </w:r>
      <w:r w:rsidR="00274E92">
        <w:rPr>
          <w:color w:val="000000" w:themeColor="text1"/>
        </w:rPr>
        <w:t xml:space="preserve">FDM solution in mind. It is purely </w:t>
      </w:r>
      <w:r w:rsidR="006A4FB5">
        <w:rPr>
          <w:color w:val="000000" w:themeColor="text1"/>
        </w:rPr>
        <w:t xml:space="preserve">based on </w:t>
      </w:r>
      <w:r w:rsidR="00274E92">
        <w:rPr>
          <w:color w:val="000000" w:themeColor="text1"/>
        </w:rPr>
        <w:t>fundamental comparison</w:t>
      </w:r>
      <w:r w:rsidR="006A4FB5">
        <w:rPr>
          <w:color w:val="000000" w:themeColor="text1"/>
        </w:rPr>
        <w:t xml:space="preserve"> between them.</w:t>
      </w:r>
    </w:p>
    <w:p w14:paraId="7191E288" w14:textId="35F3412C" w:rsidR="00246872" w:rsidRPr="006B164D" w:rsidRDefault="00CD1C22" w:rsidP="00CD1C22">
      <w:pPr>
        <w:rPr>
          <w:color w:val="000000" w:themeColor="text1"/>
          <w:u w:val="single"/>
        </w:rPr>
      </w:pPr>
      <w:r w:rsidRPr="006B164D">
        <w:rPr>
          <w:color w:val="000000" w:themeColor="text1"/>
          <w:u w:val="single"/>
        </w:rPr>
        <w:t xml:space="preserve">TDM </w:t>
      </w:r>
      <w:r w:rsidR="00233380">
        <w:rPr>
          <w:color w:val="000000" w:themeColor="text1"/>
          <w:u w:val="single"/>
        </w:rPr>
        <w:t>between</w:t>
      </w:r>
      <w:r w:rsidRPr="006B164D">
        <w:rPr>
          <w:color w:val="000000" w:themeColor="text1"/>
          <w:u w:val="single"/>
        </w:rPr>
        <w:t xml:space="preserve"> LTE- and NR-V2X transmission</w:t>
      </w:r>
      <w:r w:rsidR="00204464">
        <w:rPr>
          <w:color w:val="000000" w:themeColor="text1"/>
          <w:u w:val="single"/>
        </w:rPr>
        <w:t>s</w:t>
      </w:r>
      <w:r w:rsidRPr="006B164D">
        <w:rPr>
          <w:color w:val="000000" w:themeColor="text1"/>
          <w:u w:val="single"/>
        </w:rPr>
        <w:t xml:space="preserve"> (no simultaneous Tx)</w:t>
      </w:r>
    </w:p>
    <w:p w14:paraId="7F0480EB" w14:textId="159216B3" w:rsidR="00CD1C22" w:rsidRPr="006B164D" w:rsidRDefault="00CD1C22" w:rsidP="00CD1C22">
      <w:pPr>
        <w:pStyle w:val="ListParagraph"/>
        <w:numPr>
          <w:ilvl w:val="0"/>
          <w:numId w:val="2"/>
        </w:numPr>
        <w:ind w:leftChars="0"/>
        <w:rPr>
          <w:rFonts w:ascii="Arial" w:hAnsi="Arial" w:cs="Arial"/>
          <w:color w:val="000000" w:themeColor="text1"/>
          <w:sz w:val="21"/>
          <w:szCs w:val="21"/>
        </w:rPr>
      </w:pPr>
      <w:r w:rsidRPr="006B164D">
        <w:rPr>
          <w:rFonts w:ascii="Arial" w:hAnsi="Arial" w:cs="Arial"/>
          <w:color w:val="000000" w:themeColor="text1"/>
          <w:sz w:val="21"/>
          <w:szCs w:val="21"/>
        </w:rPr>
        <w:t>Pros</w:t>
      </w:r>
      <w:r w:rsidR="006B164D">
        <w:rPr>
          <w:rFonts w:ascii="Arial" w:hAnsi="Arial" w:cs="Arial"/>
          <w:color w:val="000000" w:themeColor="text1"/>
          <w:sz w:val="21"/>
          <w:szCs w:val="21"/>
        </w:rPr>
        <w:t>:</w:t>
      </w:r>
    </w:p>
    <w:p w14:paraId="27115D0F" w14:textId="77777777" w:rsidR="006B164D" w:rsidRPr="006B164D" w:rsidRDefault="006B164D" w:rsidP="006B164D">
      <w:pPr>
        <w:pStyle w:val="ListParagraph"/>
        <w:numPr>
          <w:ilvl w:val="1"/>
          <w:numId w:val="2"/>
        </w:numPr>
        <w:ind w:leftChars="0" w:left="1134"/>
        <w:rPr>
          <w:rFonts w:ascii="Arial" w:hAnsi="Arial" w:cs="Arial"/>
          <w:color w:val="000000" w:themeColor="text1"/>
          <w:sz w:val="21"/>
          <w:szCs w:val="21"/>
        </w:rPr>
      </w:pPr>
      <w:r w:rsidRPr="006B164D">
        <w:rPr>
          <w:rFonts w:ascii="Arial" w:hAnsi="Arial" w:cs="Arial"/>
          <w:color w:val="000000" w:themeColor="text1"/>
          <w:sz w:val="21"/>
          <w:szCs w:val="21"/>
        </w:rPr>
        <w:t>No adjacent channel leakage issue due to low Tx-Rx antenna isolation</w:t>
      </w:r>
    </w:p>
    <w:p w14:paraId="602BDD7E" w14:textId="77777777" w:rsidR="006B164D" w:rsidRPr="006B164D" w:rsidRDefault="006B164D" w:rsidP="006B164D">
      <w:pPr>
        <w:pStyle w:val="ListParagraph"/>
        <w:numPr>
          <w:ilvl w:val="1"/>
          <w:numId w:val="2"/>
        </w:numPr>
        <w:ind w:leftChars="0" w:left="1134"/>
        <w:rPr>
          <w:rFonts w:ascii="Arial" w:hAnsi="Arial" w:cs="Arial"/>
          <w:color w:val="000000" w:themeColor="text1"/>
          <w:sz w:val="21"/>
          <w:szCs w:val="21"/>
        </w:rPr>
      </w:pPr>
      <w:r w:rsidRPr="006B164D">
        <w:rPr>
          <w:rFonts w:ascii="Arial" w:hAnsi="Arial" w:cs="Arial"/>
          <w:color w:val="000000" w:themeColor="text1"/>
          <w:sz w:val="21"/>
          <w:szCs w:val="21"/>
        </w:rPr>
        <w:lastRenderedPageBreak/>
        <w:t>No power limitation issue due to Tx separation in time</w:t>
      </w:r>
    </w:p>
    <w:p w14:paraId="33CE9E23" w14:textId="2C4A59CE" w:rsidR="006B164D" w:rsidRPr="006B164D" w:rsidRDefault="006B164D" w:rsidP="006B164D">
      <w:pPr>
        <w:pStyle w:val="ListParagraph"/>
        <w:numPr>
          <w:ilvl w:val="1"/>
          <w:numId w:val="2"/>
        </w:numPr>
        <w:ind w:leftChars="0" w:left="1134"/>
        <w:rPr>
          <w:rFonts w:ascii="Arial" w:hAnsi="Arial" w:cs="Arial"/>
          <w:color w:val="000000" w:themeColor="text1"/>
          <w:sz w:val="21"/>
          <w:szCs w:val="21"/>
        </w:rPr>
      </w:pPr>
      <w:r w:rsidRPr="006B164D">
        <w:rPr>
          <w:rFonts w:ascii="Arial" w:hAnsi="Arial" w:cs="Arial"/>
          <w:color w:val="000000" w:themeColor="text1"/>
          <w:sz w:val="21"/>
          <w:szCs w:val="21"/>
        </w:rPr>
        <w:t>No or less issue of Tx/Rx chain limitation</w:t>
      </w:r>
    </w:p>
    <w:p w14:paraId="44335A9A" w14:textId="207D88C7" w:rsidR="00CD1C22" w:rsidRPr="006B164D" w:rsidRDefault="00CD1C22" w:rsidP="00CD1C22">
      <w:pPr>
        <w:pStyle w:val="ListParagraph"/>
        <w:numPr>
          <w:ilvl w:val="0"/>
          <w:numId w:val="2"/>
        </w:numPr>
        <w:ind w:leftChars="0"/>
        <w:rPr>
          <w:rFonts w:ascii="Arial" w:hAnsi="Arial" w:cs="Arial"/>
          <w:color w:val="000000" w:themeColor="text1"/>
          <w:sz w:val="21"/>
          <w:szCs w:val="21"/>
        </w:rPr>
      </w:pPr>
      <w:r w:rsidRPr="006B164D">
        <w:rPr>
          <w:rFonts w:ascii="Arial" w:hAnsi="Arial" w:cs="Arial"/>
          <w:color w:val="000000" w:themeColor="text1"/>
          <w:sz w:val="21"/>
          <w:szCs w:val="21"/>
        </w:rPr>
        <w:t>Cons</w:t>
      </w:r>
      <w:r w:rsidR="006B164D" w:rsidRPr="006B164D">
        <w:rPr>
          <w:rFonts w:ascii="Arial" w:hAnsi="Arial" w:cs="Arial"/>
          <w:color w:val="000000" w:themeColor="text1"/>
          <w:sz w:val="21"/>
          <w:szCs w:val="21"/>
        </w:rPr>
        <w:t>:</w:t>
      </w:r>
    </w:p>
    <w:p w14:paraId="5AB12859" w14:textId="06CBED95" w:rsidR="006B164D" w:rsidRPr="006B164D" w:rsidRDefault="006B164D" w:rsidP="006B164D">
      <w:pPr>
        <w:pStyle w:val="ListParagraph"/>
        <w:numPr>
          <w:ilvl w:val="1"/>
          <w:numId w:val="2"/>
        </w:numPr>
        <w:ind w:leftChars="0" w:left="1134"/>
        <w:rPr>
          <w:rFonts w:ascii="Arial" w:hAnsi="Arial" w:cs="Arial"/>
          <w:color w:val="000000" w:themeColor="text1"/>
          <w:sz w:val="21"/>
          <w:szCs w:val="21"/>
        </w:rPr>
      </w:pPr>
      <w:r w:rsidRPr="006B164D">
        <w:rPr>
          <w:rFonts w:ascii="Arial" w:hAnsi="Arial" w:cs="Arial"/>
          <w:color w:val="000000" w:themeColor="text1"/>
          <w:sz w:val="21"/>
          <w:szCs w:val="21"/>
        </w:rPr>
        <w:t>Potential risk of not meeting latency requirement for aperiodic messages</w:t>
      </w:r>
      <w:r w:rsidR="00204464">
        <w:rPr>
          <w:rFonts w:ascii="Arial" w:hAnsi="Arial" w:cs="Arial"/>
          <w:color w:val="000000" w:themeColor="text1"/>
          <w:sz w:val="21"/>
          <w:szCs w:val="21"/>
        </w:rPr>
        <w:t xml:space="preserve"> – due to restricted Tx timing opportunity</w:t>
      </w:r>
    </w:p>
    <w:p w14:paraId="5965C236" w14:textId="633EA048" w:rsidR="006B164D" w:rsidRPr="006B164D" w:rsidRDefault="003B0B70" w:rsidP="006B164D">
      <w:pPr>
        <w:pStyle w:val="ListParagraph"/>
        <w:numPr>
          <w:ilvl w:val="1"/>
          <w:numId w:val="2"/>
        </w:numPr>
        <w:ind w:leftChars="0" w:left="1134"/>
        <w:rPr>
          <w:rFonts w:ascii="Arial" w:hAnsi="Arial" w:cs="Arial"/>
          <w:color w:val="000000" w:themeColor="text1"/>
          <w:sz w:val="21"/>
          <w:szCs w:val="21"/>
        </w:rPr>
      </w:pPr>
      <w:r>
        <w:rPr>
          <w:rFonts w:ascii="Arial" w:hAnsi="Arial" w:cs="Arial"/>
          <w:color w:val="000000" w:themeColor="text1"/>
          <w:sz w:val="21"/>
          <w:szCs w:val="21"/>
        </w:rPr>
        <w:t>Tight</w:t>
      </w:r>
      <w:r w:rsidR="006B164D" w:rsidRPr="006B164D">
        <w:rPr>
          <w:rFonts w:ascii="Arial" w:hAnsi="Arial" w:cs="Arial"/>
          <w:color w:val="000000" w:themeColor="text1"/>
          <w:sz w:val="21"/>
          <w:szCs w:val="21"/>
        </w:rPr>
        <w:t xml:space="preserve"> coordination</w:t>
      </w:r>
      <w:r w:rsidR="00BA2891">
        <w:rPr>
          <w:rFonts w:ascii="Arial" w:hAnsi="Arial" w:cs="Arial"/>
          <w:color w:val="000000" w:themeColor="text1"/>
          <w:sz w:val="21"/>
          <w:szCs w:val="21"/>
        </w:rPr>
        <w:t>/information exchange</w:t>
      </w:r>
      <w:r w:rsidR="006B164D" w:rsidRPr="006B164D">
        <w:rPr>
          <w:rFonts w:ascii="Arial" w:hAnsi="Arial" w:cs="Arial"/>
          <w:color w:val="000000" w:themeColor="text1"/>
          <w:sz w:val="21"/>
          <w:szCs w:val="21"/>
        </w:rPr>
        <w:t xml:space="preserve"> </w:t>
      </w:r>
      <w:r w:rsidR="00BA2891">
        <w:rPr>
          <w:rFonts w:ascii="Arial" w:hAnsi="Arial" w:cs="Arial"/>
          <w:color w:val="000000" w:themeColor="text1"/>
          <w:sz w:val="21"/>
          <w:szCs w:val="21"/>
        </w:rPr>
        <w:t xml:space="preserve">may be </w:t>
      </w:r>
      <w:r w:rsidR="00204464">
        <w:rPr>
          <w:rFonts w:ascii="Arial" w:hAnsi="Arial" w:cs="Arial"/>
          <w:color w:val="000000" w:themeColor="text1"/>
          <w:sz w:val="21"/>
          <w:szCs w:val="21"/>
        </w:rPr>
        <w:t xml:space="preserve">needed </w:t>
      </w:r>
      <w:r w:rsidR="006B164D" w:rsidRPr="006B164D">
        <w:rPr>
          <w:rFonts w:ascii="Arial" w:hAnsi="Arial" w:cs="Arial"/>
          <w:color w:val="000000" w:themeColor="text1"/>
          <w:sz w:val="21"/>
          <w:szCs w:val="21"/>
        </w:rPr>
        <w:t xml:space="preserve">between LTE sidelink and NR sidelink transmissions </w:t>
      </w:r>
      <w:r w:rsidR="00BA2891">
        <w:rPr>
          <w:rFonts w:ascii="Arial" w:hAnsi="Arial" w:cs="Arial"/>
          <w:color w:val="000000" w:themeColor="text1"/>
          <w:sz w:val="21"/>
          <w:szCs w:val="21"/>
        </w:rPr>
        <w:t xml:space="preserve">for short time-scale coordination </w:t>
      </w:r>
      <w:r w:rsidR="006B164D" w:rsidRPr="006B164D">
        <w:rPr>
          <w:rFonts w:ascii="Arial" w:hAnsi="Arial" w:cs="Arial"/>
          <w:color w:val="000000" w:themeColor="text1"/>
          <w:sz w:val="21"/>
          <w:szCs w:val="21"/>
        </w:rPr>
        <w:t>–inter-RAT communication delay (within same BS or UE)</w:t>
      </w:r>
      <w:r w:rsidR="00BA2891">
        <w:rPr>
          <w:rFonts w:ascii="Arial" w:hAnsi="Arial" w:cs="Arial"/>
          <w:color w:val="000000" w:themeColor="text1"/>
          <w:sz w:val="21"/>
          <w:szCs w:val="21"/>
        </w:rPr>
        <w:t xml:space="preserve"> should also be considered</w:t>
      </w:r>
    </w:p>
    <w:p w14:paraId="2FD87054" w14:textId="5FBC0E4A" w:rsidR="006B164D" w:rsidRPr="006B164D" w:rsidRDefault="006B164D" w:rsidP="006B164D">
      <w:pPr>
        <w:pStyle w:val="ListParagraph"/>
        <w:numPr>
          <w:ilvl w:val="1"/>
          <w:numId w:val="2"/>
        </w:numPr>
        <w:ind w:leftChars="0" w:left="1134"/>
        <w:rPr>
          <w:rFonts w:ascii="Arial" w:hAnsi="Arial" w:cs="Arial"/>
          <w:color w:val="000000" w:themeColor="text1"/>
          <w:sz w:val="21"/>
          <w:szCs w:val="21"/>
        </w:rPr>
      </w:pPr>
      <w:r w:rsidRPr="006B164D">
        <w:rPr>
          <w:rFonts w:ascii="Arial" w:hAnsi="Arial" w:cs="Arial"/>
          <w:color w:val="000000" w:themeColor="text1"/>
          <w:sz w:val="21"/>
          <w:szCs w:val="21"/>
        </w:rPr>
        <w:t>Synchronous carriers between LTE V2X and NR V2X operations – same synchronization source</w:t>
      </w:r>
      <w:r w:rsidR="00274E92">
        <w:rPr>
          <w:rFonts w:ascii="Arial" w:hAnsi="Arial" w:cs="Arial"/>
          <w:color w:val="000000" w:themeColor="text1"/>
          <w:sz w:val="21"/>
          <w:szCs w:val="21"/>
        </w:rPr>
        <w:t xml:space="preserve"> would likely be required</w:t>
      </w:r>
    </w:p>
    <w:p w14:paraId="1D5A10C6" w14:textId="77777777" w:rsidR="006B164D" w:rsidRPr="006B164D" w:rsidRDefault="006B164D" w:rsidP="006B164D">
      <w:pPr>
        <w:pStyle w:val="ListParagraph"/>
        <w:numPr>
          <w:ilvl w:val="1"/>
          <w:numId w:val="2"/>
        </w:numPr>
        <w:ind w:leftChars="0" w:left="1134"/>
        <w:rPr>
          <w:rFonts w:ascii="Arial" w:hAnsi="Arial" w:cs="Arial"/>
          <w:color w:val="000000" w:themeColor="text1"/>
          <w:sz w:val="21"/>
          <w:szCs w:val="21"/>
        </w:rPr>
      </w:pPr>
      <w:r w:rsidRPr="006B164D">
        <w:rPr>
          <w:rFonts w:ascii="Arial" w:hAnsi="Arial" w:cs="Arial"/>
          <w:color w:val="000000" w:themeColor="text1"/>
          <w:sz w:val="21"/>
          <w:szCs w:val="21"/>
        </w:rPr>
        <w:t>Difference in LTE-subframe and NR-slot length due to different SCS</w:t>
      </w:r>
    </w:p>
    <w:p w14:paraId="23422FA2" w14:textId="77777777" w:rsidR="006B164D" w:rsidRPr="006B164D" w:rsidRDefault="006B164D" w:rsidP="006B164D">
      <w:pPr>
        <w:pStyle w:val="ListParagraph"/>
        <w:numPr>
          <w:ilvl w:val="2"/>
          <w:numId w:val="2"/>
        </w:numPr>
        <w:ind w:leftChars="0" w:left="1701"/>
        <w:rPr>
          <w:rFonts w:ascii="Arial" w:hAnsi="Arial" w:cs="Arial"/>
          <w:color w:val="000000" w:themeColor="text1"/>
          <w:sz w:val="21"/>
          <w:szCs w:val="21"/>
        </w:rPr>
      </w:pPr>
      <w:r w:rsidRPr="006B164D">
        <w:rPr>
          <w:rFonts w:ascii="Arial" w:hAnsi="Arial" w:cs="Arial"/>
          <w:color w:val="000000" w:themeColor="text1"/>
          <w:sz w:val="21"/>
          <w:szCs w:val="21"/>
        </w:rPr>
        <w:t>Time gap needed for carrier switching (intra-band / inter-band / FR1/FR2 switching) – RAN4 issue</w:t>
      </w:r>
    </w:p>
    <w:p w14:paraId="35C99170" w14:textId="77777777" w:rsidR="006B164D" w:rsidRPr="006B164D" w:rsidRDefault="006B164D" w:rsidP="006B164D">
      <w:pPr>
        <w:rPr>
          <w:color w:val="000000" w:themeColor="text1"/>
        </w:rPr>
      </w:pPr>
    </w:p>
    <w:p w14:paraId="3EE5F4B0" w14:textId="0109D032" w:rsidR="00CD1C22" w:rsidRPr="006B164D" w:rsidRDefault="00CD1C22" w:rsidP="00CD1C22">
      <w:pPr>
        <w:rPr>
          <w:color w:val="000000" w:themeColor="text1"/>
          <w:u w:val="single"/>
        </w:rPr>
      </w:pPr>
      <w:r w:rsidRPr="006B164D">
        <w:rPr>
          <w:color w:val="000000" w:themeColor="text1"/>
          <w:u w:val="single"/>
        </w:rPr>
        <w:t xml:space="preserve">FDM </w:t>
      </w:r>
      <w:r w:rsidR="00233380">
        <w:rPr>
          <w:color w:val="000000" w:themeColor="text1"/>
          <w:u w:val="single"/>
        </w:rPr>
        <w:t>between</w:t>
      </w:r>
      <w:r w:rsidRPr="006B164D">
        <w:rPr>
          <w:color w:val="000000" w:themeColor="text1"/>
          <w:u w:val="single"/>
        </w:rPr>
        <w:t xml:space="preserve"> LTE- and NR-V2X transmission</w:t>
      </w:r>
      <w:r w:rsidR="00204464">
        <w:rPr>
          <w:color w:val="000000" w:themeColor="text1"/>
          <w:u w:val="single"/>
        </w:rPr>
        <w:t>s</w:t>
      </w:r>
      <w:r w:rsidRPr="006B164D">
        <w:rPr>
          <w:color w:val="000000" w:themeColor="text1"/>
          <w:u w:val="single"/>
        </w:rPr>
        <w:t xml:space="preserve"> (</w:t>
      </w:r>
      <w:r w:rsidR="00204464">
        <w:rPr>
          <w:color w:val="000000" w:themeColor="text1"/>
          <w:u w:val="single"/>
        </w:rPr>
        <w:t>simultaneous Tx in separate channel</w:t>
      </w:r>
      <w:r w:rsidRPr="006B164D">
        <w:rPr>
          <w:color w:val="000000" w:themeColor="text1"/>
          <w:u w:val="single"/>
        </w:rPr>
        <w:t>)</w:t>
      </w:r>
    </w:p>
    <w:p w14:paraId="7401A230" w14:textId="0AF4F32B" w:rsidR="00246872" w:rsidRPr="006B164D" w:rsidRDefault="00CD1C22" w:rsidP="00CD1C22">
      <w:pPr>
        <w:pStyle w:val="ListParagraph"/>
        <w:numPr>
          <w:ilvl w:val="0"/>
          <w:numId w:val="2"/>
        </w:numPr>
        <w:ind w:leftChars="0"/>
        <w:rPr>
          <w:rFonts w:ascii="Arial" w:hAnsi="Arial" w:cs="Arial"/>
          <w:color w:val="000000" w:themeColor="text1"/>
          <w:sz w:val="21"/>
          <w:szCs w:val="21"/>
        </w:rPr>
      </w:pPr>
      <w:r w:rsidRPr="006B164D">
        <w:rPr>
          <w:rFonts w:ascii="Arial" w:hAnsi="Arial" w:cs="Arial"/>
          <w:color w:val="000000" w:themeColor="text1"/>
          <w:sz w:val="21"/>
          <w:szCs w:val="21"/>
        </w:rPr>
        <w:t>Pros</w:t>
      </w:r>
      <w:r w:rsidR="006B164D">
        <w:rPr>
          <w:rFonts w:ascii="Arial" w:hAnsi="Arial" w:cs="Arial"/>
          <w:color w:val="000000" w:themeColor="text1"/>
          <w:sz w:val="21"/>
          <w:szCs w:val="21"/>
        </w:rPr>
        <w:t>:</w:t>
      </w:r>
    </w:p>
    <w:p w14:paraId="07DEF24E" w14:textId="13D7260B" w:rsidR="006B164D" w:rsidRPr="006B164D" w:rsidRDefault="006B164D" w:rsidP="006B164D">
      <w:pPr>
        <w:pStyle w:val="ListParagraph"/>
        <w:numPr>
          <w:ilvl w:val="1"/>
          <w:numId w:val="2"/>
        </w:numPr>
        <w:ind w:leftChars="0" w:left="1134"/>
        <w:rPr>
          <w:rFonts w:ascii="Arial" w:hAnsi="Arial" w:cs="Arial"/>
          <w:color w:val="000000" w:themeColor="text1"/>
          <w:sz w:val="21"/>
          <w:szCs w:val="21"/>
        </w:rPr>
      </w:pPr>
      <w:r w:rsidRPr="006B164D">
        <w:rPr>
          <w:rFonts w:ascii="Arial" w:hAnsi="Arial" w:cs="Arial"/>
          <w:color w:val="000000" w:themeColor="text1"/>
          <w:sz w:val="21"/>
          <w:szCs w:val="21"/>
        </w:rPr>
        <w:t>Independent scheduling / resource selection without inter-RAT consideration or coordination</w:t>
      </w:r>
      <w:r w:rsidR="00204464">
        <w:rPr>
          <w:rFonts w:ascii="Arial" w:hAnsi="Arial" w:cs="Arial"/>
          <w:color w:val="000000" w:themeColor="text1"/>
          <w:sz w:val="21"/>
          <w:szCs w:val="21"/>
        </w:rPr>
        <w:t xml:space="preserve"> (no half-duplexing limitation)</w:t>
      </w:r>
      <w:r w:rsidRPr="006B164D">
        <w:rPr>
          <w:rFonts w:ascii="Arial" w:hAnsi="Arial" w:cs="Arial"/>
          <w:color w:val="000000" w:themeColor="text1"/>
          <w:sz w:val="21"/>
          <w:szCs w:val="21"/>
        </w:rPr>
        <w:t>, for non-adjacent channel case</w:t>
      </w:r>
    </w:p>
    <w:p w14:paraId="135815B4" w14:textId="32F2008B" w:rsidR="006B164D" w:rsidRPr="006B164D" w:rsidRDefault="00204464" w:rsidP="006B164D">
      <w:pPr>
        <w:pStyle w:val="ListParagraph"/>
        <w:numPr>
          <w:ilvl w:val="1"/>
          <w:numId w:val="2"/>
        </w:numPr>
        <w:ind w:leftChars="0" w:left="1134"/>
        <w:rPr>
          <w:rFonts w:ascii="Arial" w:hAnsi="Arial" w:cs="Arial"/>
          <w:color w:val="000000" w:themeColor="text1"/>
          <w:sz w:val="21"/>
          <w:szCs w:val="21"/>
        </w:rPr>
      </w:pPr>
      <w:r>
        <w:rPr>
          <w:rFonts w:ascii="Arial" w:hAnsi="Arial" w:cs="Arial"/>
          <w:color w:val="000000" w:themeColor="text1"/>
          <w:sz w:val="21"/>
          <w:szCs w:val="21"/>
        </w:rPr>
        <w:t>A</w:t>
      </w:r>
      <w:r w:rsidR="006B164D" w:rsidRPr="006B164D">
        <w:rPr>
          <w:rFonts w:ascii="Arial" w:hAnsi="Arial" w:cs="Arial"/>
          <w:color w:val="000000" w:themeColor="text1"/>
          <w:sz w:val="21"/>
          <w:szCs w:val="21"/>
        </w:rPr>
        <w:t xml:space="preserve">synchronous </w:t>
      </w:r>
      <w:r>
        <w:rPr>
          <w:rFonts w:ascii="Arial" w:hAnsi="Arial" w:cs="Arial"/>
          <w:color w:val="000000" w:themeColor="text1"/>
          <w:sz w:val="21"/>
          <w:szCs w:val="21"/>
        </w:rPr>
        <w:t xml:space="preserve">operation between LTE-V2X and NR-V2X </w:t>
      </w:r>
      <w:r w:rsidR="006B164D" w:rsidRPr="006B164D">
        <w:rPr>
          <w:rFonts w:ascii="Arial" w:hAnsi="Arial" w:cs="Arial"/>
          <w:color w:val="000000" w:themeColor="text1"/>
          <w:sz w:val="21"/>
          <w:szCs w:val="21"/>
        </w:rPr>
        <w:t xml:space="preserve">– </w:t>
      </w:r>
      <w:r>
        <w:rPr>
          <w:rFonts w:ascii="Arial" w:hAnsi="Arial" w:cs="Arial"/>
          <w:color w:val="000000" w:themeColor="text1"/>
          <w:sz w:val="21"/>
          <w:szCs w:val="21"/>
        </w:rPr>
        <w:t>possible to</w:t>
      </w:r>
      <w:r w:rsidR="006B164D" w:rsidRPr="006B164D">
        <w:rPr>
          <w:rFonts w:ascii="Arial" w:hAnsi="Arial" w:cs="Arial"/>
          <w:color w:val="000000" w:themeColor="text1"/>
          <w:sz w:val="21"/>
          <w:szCs w:val="21"/>
        </w:rPr>
        <w:t xml:space="preserve"> </w:t>
      </w:r>
      <w:r>
        <w:rPr>
          <w:rFonts w:ascii="Arial" w:hAnsi="Arial" w:cs="Arial"/>
          <w:color w:val="000000" w:themeColor="text1"/>
          <w:sz w:val="21"/>
          <w:szCs w:val="21"/>
        </w:rPr>
        <w:t>use</w:t>
      </w:r>
      <w:r w:rsidR="006B164D" w:rsidRPr="006B164D">
        <w:rPr>
          <w:rFonts w:ascii="Arial" w:hAnsi="Arial" w:cs="Arial"/>
          <w:color w:val="000000" w:themeColor="text1"/>
          <w:sz w:val="21"/>
          <w:szCs w:val="21"/>
        </w:rPr>
        <w:t xml:space="preserve"> different synchronization source</w:t>
      </w:r>
      <w:r>
        <w:rPr>
          <w:rFonts w:ascii="Arial" w:hAnsi="Arial" w:cs="Arial"/>
          <w:color w:val="000000" w:themeColor="text1"/>
          <w:sz w:val="21"/>
          <w:szCs w:val="21"/>
        </w:rPr>
        <w:t>s</w:t>
      </w:r>
    </w:p>
    <w:p w14:paraId="54EE0088" w14:textId="722166ED" w:rsidR="00CD1C22" w:rsidRPr="006B164D" w:rsidRDefault="00CD1C22" w:rsidP="00CD1C22">
      <w:pPr>
        <w:pStyle w:val="ListParagraph"/>
        <w:numPr>
          <w:ilvl w:val="0"/>
          <w:numId w:val="2"/>
        </w:numPr>
        <w:ind w:leftChars="0"/>
        <w:rPr>
          <w:rFonts w:ascii="Arial" w:hAnsi="Arial" w:cs="Arial"/>
          <w:color w:val="000000" w:themeColor="text1"/>
          <w:sz w:val="21"/>
          <w:szCs w:val="21"/>
        </w:rPr>
      </w:pPr>
      <w:r w:rsidRPr="006B164D">
        <w:rPr>
          <w:rFonts w:ascii="Arial" w:hAnsi="Arial" w:cs="Arial"/>
          <w:color w:val="000000" w:themeColor="text1"/>
          <w:sz w:val="21"/>
          <w:szCs w:val="21"/>
        </w:rPr>
        <w:t>Cons</w:t>
      </w:r>
      <w:r w:rsidR="006B164D" w:rsidRPr="006B164D">
        <w:rPr>
          <w:rFonts w:ascii="Arial" w:hAnsi="Arial" w:cs="Arial"/>
          <w:color w:val="000000" w:themeColor="text1"/>
          <w:sz w:val="21"/>
          <w:szCs w:val="21"/>
        </w:rPr>
        <w:t>:</w:t>
      </w:r>
    </w:p>
    <w:p w14:paraId="0F3E6B40" w14:textId="77777777" w:rsidR="006B164D" w:rsidRPr="006B164D" w:rsidRDefault="006B164D" w:rsidP="006B164D">
      <w:pPr>
        <w:pStyle w:val="ListParagraph"/>
        <w:numPr>
          <w:ilvl w:val="1"/>
          <w:numId w:val="2"/>
        </w:numPr>
        <w:ind w:leftChars="0" w:left="1134"/>
        <w:rPr>
          <w:rFonts w:ascii="Arial" w:hAnsi="Arial" w:cs="Arial"/>
          <w:color w:val="000000" w:themeColor="text1"/>
          <w:sz w:val="21"/>
          <w:szCs w:val="21"/>
        </w:rPr>
      </w:pPr>
      <w:r w:rsidRPr="006B164D">
        <w:rPr>
          <w:rFonts w:ascii="Arial" w:hAnsi="Arial" w:cs="Arial"/>
          <w:color w:val="000000" w:themeColor="text1"/>
          <w:sz w:val="21"/>
          <w:szCs w:val="21"/>
        </w:rPr>
        <w:t>Half-duplex limitation for the case of adjacent channel</w:t>
      </w:r>
    </w:p>
    <w:p w14:paraId="68A51DBC" w14:textId="4EC37052" w:rsidR="006B164D" w:rsidRPr="006B164D" w:rsidRDefault="006B164D" w:rsidP="006B164D">
      <w:pPr>
        <w:pStyle w:val="ListParagraph"/>
        <w:numPr>
          <w:ilvl w:val="1"/>
          <w:numId w:val="2"/>
        </w:numPr>
        <w:ind w:leftChars="0" w:left="1134"/>
        <w:rPr>
          <w:rFonts w:ascii="Arial" w:hAnsi="Arial" w:cs="Arial"/>
          <w:color w:val="000000" w:themeColor="text1"/>
          <w:sz w:val="21"/>
          <w:szCs w:val="21"/>
        </w:rPr>
      </w:pPr>
      <w:r w:rsidRPr="006B164D">
        <w:rPr>
          <w:rFonts w:ascii="Arial" w:hAnsi="Arial" w:cs="Arial"/>
          <w:color w:val="000000" w:themeColor="text1"/>
          <w:sz w:val="21"/>
          <w:szCs w:val="21"/>
        </w:rPr>
        <w:t>Power sharing and power limitation issue in simultaneous Tx</w:t>
      </w:r>
    </w:p>
    <w:p w14:paraId="4038FEC4" w14:textId="3AB8E816" w:rsidR="006B164D" w:rsidRPr="006B164D" w:rsidRDefault="006B164D" w:rsidP="006B164D">
      <w:pPr>
        <w:pStyle w:val="ListParagraph"/>
        <w:numPr>
          <w:ilvl w:val="1"/>
          <w:numId w:val="2"/>
        </w:numPr>
        <w:ind w:leftChars="0" w:left="1134"/>
        <w:rPr>
          <w:rFonts w:ascii="Arial" w:hAnsi="Arial" w:cs="Arial"/>
          <w:color w:val="000000" w:themeColor="text1"/>
          <w:sz w:val="21"/>
          <w:szCs w:val="21"/>
        </w:rPr>
      </w:pPr>
      <w:r w:rsidRPr="006B164D">
        <w:rPr>
          <w:rFonts w:ascii="Arial" w:hAnsi="Arial" w:cs="Arial"/>
          <w:color w:val="000000" w:themeColor="text1"/>
          <w:sz w:val="21"/>
          <w:szCs w:val="21"/>
        </w:rPr>
        <w:t>Tx/Rx chain sharing between carrier</w:t>
      </w:r>
      <w:r w:rsidR="006A4FB5">
        <w:rPr>
          <w:rFonts w:ascii="Arial" w:hAnsi="Arial" w:cs="Arial"/>
          <w:color w:val="000000" w:themeColor="text1"/>
          <w:sz w:val="21"/>
          <w:szCs w:val="21"/>
        </w:rPr>
        <w:t>s</w:t>
      </w:r>
    </w:p>
    <w:p w14:paraId="324C2364" w14:textId="77777777" w:rsidR="00CD1C22" w:rsidRDefault="00CD1C22" w:rsidP="00BC0557">
      <w:pPr>
        <w:rPr>
          <w:color w:val="000000" w:themeColor="text1"/>
        </w:rPr>
      </w:pPr>
    </w:p>
    <w:p w14:paraId="571C7675" w14:textId="77FB4E54" w:rsidR="001728C1" w:rsidRDefault="003B0B70" w:rsidP="00233380">
      <w:pPr>
        <w:spacing w:after="120"/>
        <w:rPr>
          <w:color w:val="000000" w:themeColor="text1"/>
        </w:rPr>
      </w:pPr>
      <w:r>
        <w:rPr>
          <w:color w:val="000000" w:themeColor="text1"/>
        </w:rPr>
        <w:t>From the above pros and cons analysis, it is clear neither solution approach is perfect. It is observed that in</w:t>
      </w:r>
      <w:r w:rsidR="00354CC5">
        <w:rPr>
          <w:color w:val="000000" w:themeColor="text1"/>
        </w:rPr>
        <w:t xml:space="preserve"> the</w:t>
      </w:r>
      <w:r>
        <w:rPr>
          <w:color w:val="000000" w:themeColor="text1"/>
        </w:rPr>
        <w:t xml:space="preserve"> TDM coordination </w:t>
      </w:r>
      <w:r w:rsidR="00354CC5">
        <w:rPr>
          <w:color w:val="000000" w:themeColor="text1"/>
        </w:rPr>
        <w:t>approach</w:t>
      </w:r>
      <w:r>
        <w:rPr>
          <w:color w:val="000000" w:themeColor="text1"/>
        </w:rPr>
        <w:t xml:space="preserve">, </w:t>
      </w:r>
      <w:r w:rsidR="00784E37">
        <w:rPr>
          <w:color w:val="000000" w:themeColor="text1"/>
        </w:rPr>
        <w:t xml:space="preserve">most of the cons or disadvantages </w:t>
      </w:r>
      <w:r w:rsidR="006A4FB5">
        <w:rPr>
          <w:color w:val="000000" w:themeColor="text1"/>
        </w:rPr>
        <w:t xml:space="preserve">are </w:t>
      </w:r>
      <w:r w:rsidR="00204464">
        <w:rPr>
          <w:color w:val="000000" w:themeColor="text1"/>
        </w:rPr>
        <w:t>re</w:t>
      </w:r>
      <w:r w:rsidR="006A4FB5">
        <w:rPr>
          <w:color w:val="000000" w:themeColor="text1"/>
        </w:rPr>
        <w:t xml:space="preserve">solvable or can be accounted for. </w:t>
      </w:r>
      <w:r w:rsidR="00354CC5">
        <w:rPr>
          <w:color w:val="000000" w:themeColor="text1"/>
        </w:rPr>
        <w:t xml:space="preserve">For example, employing a </w:t>
      </w:r>
      <w:r w:rsidR="00216862">
        <w:rPr>
          <w:color w:val="000000" w:themeColor="text1"/>
        </w:rPr>
        <w:t>larger</w:t>
      </w:r>
      <w:r w:rsidR="00354CC5">
        <w:rPr>
          <w:color w:val="000000" w:themeColor="text1"/>
        </w:rPr>
        <w:t xml:space="preserve"> </w:t>
      </w:r>
      <w:r w:rsidR="00216862">
        <w:rPr>
          <w:color w:val="000000" w:themeColor="text1"/>
        </w:rPr>
        <w:t>subcarrier spacing</w:t>
      </w:r>
      <w:r w:rsidR="00354CC5">
        <w:rPr>
          <w:color w:val="000000" w:themeColor="text1"/>
        </w:rPr>
        <w:t xml:space="preserve"> would allow more Tx opportunities within a latency timeframe, </w:t>
      </w:r>
      <w:r w:rsidR="00C50B1E">
        <w:rPr>
          <w:color w:val="000000" w:themeColor="text1"/>
        </w:rPr>
        <w:t>allowing</w:t>
      </w:r>
      <w:r w:rsidR="00354CC5">
        <w:rPr>
          <w:color w:val="000000" w:themeColor="text1"/>
        </w:rPr>
        <w:t xml:space="preserve"> additional </w:t>
      </w:r>
      <w:r w:rsidR="00C50B1E">
        <w:rPr>
          <w:color w:val="000000" w:themeColor="text1"/>
        </w:rPr>
        <w:t xml:space="preserve">small </w:t>
      </w:r>
      <w:r w:rsidR="00354CC5">
        <w:rPr>
          <w:color w:val="000000" w:themeColor="text1"/>
        </w:rPr>
        <w:t xml:space="preserve">time for </w:t>
      </w:r>
      <w:r w:rsidR="00216862">
        <w:rPr>
          <w:color w:val="000000" w:themeColor="text1"/>
        </w:rPr>
        <w:t>close</w:t>
      </w:r>
      <w:r w:rsidR="00354CC5">
        <w:rPr>
          <w:color w:val="000000" w:themeColor="text1"/>
        </w:rPr>
        <w:t xml:space="preserve"> </w:t>
      </w:r>
      <w:r w:rsidR="00216862">
        <w:rPr>
          <w:color w:val="000000" w:themeColor="text1"/>
        </w:rPr>
        <w:t xml:space="preserve">inter-RAT </w:t>
      </w:r>
      <w:r w:rsidR="00354CC5">
        <w:rPr>
          <w:color w:val="000000" w:themeColor="text1"/>
        </w:rPr>
        <w:t xml:space="preserve">coordination and carrier switching, </w:t>
      </w:r>
      <w:r w:rsidR="00C50B1E">
        <w:rPr>
          <w:color w:val="000000" w:themeColor="text1"/>
        </w:rPr>
        <w:t>and design a unified synchronization procedure between LTE</w:t>
      </w:r>
      <w:r w:rsidR="000A5226">
        <w:rPr>
          <w:color w:val="000000" w:themeColor="text1"/>
        </w:rPr>
        <w:t>-V2X</w:t>
      </w:r>
      <w:r w:rsidR="00C50B1E">
        <w:rPr>
          <w:color w:val="000000" w:themeColor="text1"/>
        </w:rPr>
        <w:t xml:space="preserve"> and N</w:t>
      </w:r>
      <w:r w:rsidR="000A5226">
        <w:rPr>
          <w:color w:val="000000" w:themeColor="text1"/>
        </w:rPr>
        <w:t>R-V2X</w:t>
      </w:r>
      <w:r w:rsidR="00C50B1E">
        <w:rPr>
          <w:color w:val="000000" w:themeColor="text1"/>
        </w:rPr>
        <w:t>.</w:t>
      </w:r>
      <w:r w:rsidR="00233380">
        <w:rPr>
          <w:color w:val="000000" w:themeColor="text1"/>
        </w:rPr>
        <w:t xml:space="preserve"> </w:t>
      </w:r>
      <w:r w:rsidR="006A4FB5">
        <w:rPr>
          <w:color w:val="000000" w:themeColor="text1"/>
        </w:rPr>
        <w:t xml:space="preserve">On the other hand, the cons or disadvantages </w:t>
      </w:r>
      <w:r w:rsidR="00354CC5">
        <w:rPr>
          <w:color w:val="000000" w:themeColor="text1"/>
        </w:rPr>
        <w:t>of</w:t>
      </w:r>
      <w:r w:rsidR="006A4FB5">
        <w:rPr>
          <w:color w:val="000000" w:themeColor="text1"/>
        </w:rPr>
        <w:t xml:space="preserve"> the FDM coordination </w:t>
      </w:r>
      <w:r w:rsidR="00354CC5">
        <w:rPr>
          <w:color w:val="000000" w:themeColor="text1"/>
        </w:rPr>
        <w:t>approach are related to physical</w:t>
      </w:r>
      <w:r w:rsidR="00204464">
        <w:rPr>
          <w:color w:val="000000" w:themeColor="text1"/>
        </w:rPr>
        <w:t xml:space="preserve"> </w:t>
      </w:r>
      <w:r w:rsidR="00354CC5">
        <w:rPr>
          <w:color w:val="000000" w:themeColor="text1"/>
        </w:rPr>
        <w:t>/</w:t>
      </w:r>
      <w:r w:rsidR="00204464">
        <w:rPr>
          <w:color w:val="000000" w:themeColor="text1"/>
        </w:rPr>
        <w:t xml:space="preserve"> </w:t>
      </w:r>
      <w:r w:rsidR="00354CC5">
        <w:rPr>
          <w:color w:val="000000" w:themeColor="text1"/>
        </w:rPr>
        <w:t xml:space="preserve">fundamental limitations </w:t>
      </w:r>
      <w:r w:rsidR="00204464">
        <w:rPr>
          <w:color w:val="000000" w:themeColor="text1"/>
        </w:rPr>
        <w:t>that</w:t>
      </w:r>
      <w:r w:rsidR="00354CC5">
        <w:rPr>
          <w:color w:val="000000" w:themeColor="text1"/>
        </w:rPr>
        <w:t xml:space="preserve"> can’t be </w:t>
      </w:r>
      <w:r w:rsidR="00204464">
        <w:rPr>
          <w:color w:val="000000" w:themeColor="text1"/>
        </w:rPr>
        <w:t>re</w:t>
      </w:r>
      <w:r w:rsidR="00354CC5">
        <w:rPr>
          <w:color w:val="000000" w:themeColor="text1"/>
        </w:rPr>
        <w:t>solved without sacrificing performance degradation in either transmission range</w:t>
      </w:r>
      <w:r w:rsidR="00233380">
        <w:rPr>
          <w:color w:val="000000" w:themeColor="text1"/>
        </w:rPr>
        <w:t>,</w:t>
      </w:r>
      <w:r w:rsidR="00354CC5">
        <w:rPr>
          <w:color w:val="000000" w:themeColor="text1"/>
        </w:rPr>
        <w:t xml:space="preserve"> data rate</w:t>
      </w:r>
      <w:r w:rsidR="00233380">
        <w:rPr>
          <w:color w:val="000000" w:themeColor="text1"/>
        </w:rPr>
        <w:t>, or PRR</w:t>
      </w:r>
      <w:r w:rsidR="00354CC5">
        <w:rPr>
          <w:color w:val="000000" w:themeColor="text1"/>
        </w:rPr>
        <w:t xml:space="preserve">. </w:t>
      </w:r>
      <w:r w:rsidR="00233380">
        <w:rPr>
          <w:color w:val="000000" w:themeColor="text1"/>
        </w:rPr>
        <w:t xml:space="preserve">Having pointed these out, </w:t>
      </w:r>
      <w:r w:rsidR="001728C1">
        <w:rPr>
          <w:color w:val="000000" w:themeColor="text1"/>
        </w:rPr>
        <w:t xml:space="preserve">However, if multi-carrier operation with simultaneous transmission is unavoidable or necessary to be supported (e.g. </w:t>
      </w:r>
      <w:r w:rsidR="00233380">
        <w:rPr>
          <w:color w:val="000000" w:themeColor="text1"/>
        </w:rPr>
        <w:t xml:space="preserve">due to </w:t>
      </w:r>
      <w:r w:rsidR="001728C1">
        <w:rPr>
          <w:color w:val="000000" w:themeColor="text1"/>
        </w:rPr>
        <w:t>carrier aggregation</w:t>
      </w:r>
      <w:r w:rsidR="00233380">
        <w:rPr>
          <w:color w:val="000000" w:themeColor="text1"/>
        </w:rPr>
        <w:t>, HARQ re-Tx within latency timeframe</w:t>
      </w:r>
      <w:r w:rsidR="001728C1">
        <w:rPr>
          <w:color w:val="000000" w:themeColor="text1"/>
        </w:rPr>
        <w:t>), the limitation of Tx power and Tx/Rx chains would at least need to be taken into consideration.</w:t>
      </w:r>
    </w:p>
    <w:p w14:paraId="0AE36565" w14:textId="2BC14FB5" w:rsidR="00246872" w:rsidRDefault="00246872" w:rsidP="00BC0557">
      <w:pPr>
        <w:rPr>
          <w:color w:val="000000" w:themeColor="text1"/>
        </w:rPr>
      </w:pPr>
    </w:p>
    <w:p w14:paraId="3E0820AF" w14:textId="56CD8B7C" w:rsidR="001728C1" w:rsidRPr="00485DEA" w:rsidRDefault="001728C1" w:rsidP="00BC0557">
      <w:pPr>
        <w:rPr>
          <w:b/>
          <w:i/>
          <w:color w:val="000000" w:themeColor="text1"/>
        </w:rPr>
      </w:pPr>
      <w:r w:rsidRPr="00485DEA">
        <w:rPr>
          <w:b/>
          <w:i/>
          <w:color w:val="000000" w:themeColor="text1"/>
        </w:rPr>
        <w:t>Observation 1:</w:t>
      </w:r>
      <w:r w:rsidR="00233380" w:rsidRPr="00485DEA">
        <w:rPr>
          <w:b/>
          <w:i/>
          <w:color w:val="000000" w:themeColor="text1"/>
        </w:rPr>
        <w:t xml:space="preserve"> Based on our pros/</w:t>
      </w:r>
      <w:proofErr w:type="gramStart"/>
      <w:r w:rsidR="00233380" w:rsidRPr="00485DEA">
        <w:rPr>
          <w:b/>
          <w:i/>
          <w:color w:val="000000" w:themeColor="text1"/>
        </w:rPr>
        <w:t>cons</w:t>
      </w:r>
      <w:proofErr w:type="gramEnd"/>
      <w:r w:rsidR="00233380" w:rsidRPr="00485DEA">
        <w:rPr>
          <w:b/>
          <w:i/>
          <w:color w:val="000000" w:themeColor="text1"/>
        </w:rPr>
        <w:t xml:space="preserve"> analysis, it seems most of the cons / disadvantages associated with TDM solution approach are resolvable, wh</w:t>
      </w:r>
      <w:r w:rsidR="00485DEA" w:rsidRPr="00485DEA">
        <w:rPr>
          <w:b/>
          <w:i/>
          <w:color w:val="000000" w:themeColor="text1"/>
        </w:rPr>
        <w:t>ile</w:t>
      </w:r>
      <w:r w:rsidR="00233380" w:rsidRPr="00485DEA">
        <w:rPr>
          <w:b/>
          <w:i/>
          <w:color w:val="000000" w:themeColor="text1"/>
        </w:rPr>
        <w:t xml:space="preserve"> the FDM solution approach would suffer from some physical / fundamental limitations.</w:t>
      </w:r>
    </w:p>
    <w:p w14:paraId="64D8A6B6" w14:textId="66807885" w:rsidR="001728C1" w:rsidRPr="00485DEA" w:rsidRDefault="001728C1" w:rsidP="00BC0557">
      <w:pPr>
        <w:rPr>
          <w:b/>
          <w:i/>
          <w:color w:val="000000" w:themeColor="text1"/>
        </w:rPr>
      </w:pPr>
    </w:p>
    <w:p w14:paraId="699C6F70" w14:textId="47921B83" w:rsidR="001728C1" w:rsidRPr="00485DEA" w:rsidRDefault="001728C1" w:rsidP="00BC0557">
      <w:pPr>
        <w:rPr>
          <w:b/>
          <w:i/>
          <w:color w:val="000000" w:themeColor="text1"/>
        </w:rPr>
      </w:pPr>
      <w:r w:rsidRPr="00485DEA">
        <w:rPr>
          <w:b/>
          <w:i/>
          <w:color w:val="000000" w:themeColor="text1"/>
        </w:rPr>
        <w:t>Observation 2:</w:t>
      </w:r>
      <w:r w:rsidR="00233380" w:rsidRPr="00485DEA">
        <w:rPr>
          <w:b/>
          <w:i/>
          <w:color w:val="000000" w:themeColor="text1"/>
        </w:rPr>
        <w:t xml:space="preserve"> In either TDM or FDM solution approach, </w:t>
      </w:r>
      <w:r w:rsidR="00485DEA" w:rsidRPr="00485DEA">
        <w:rPr>
          <w:b/>
          <w:i/>
          <w:color w:val="000000" w:themeColor="text1"/>
        </w:rPr>
        <w:t>the limitation of total Tx power and number of Tx/Rx chains could still need to be considered for the case of intra-RAT sidelink.</w:t>
      </w:r>
    </w:p>
    <w:p w14:paraId="22DF98E9" w14:textId="76F9E34F" w:rsidR="001728C1" w:rsidRPr="00485DEA" w:rsidRDefault="001728C1" w:rsidP="00BC0557">
      <w:pPr>
        <w:rPr>
          <w:b/>
          <w:i/>
          <w:color w:val="000000" w:themeColor="text1"/>
        </w:rPr>
      </w:pPr>
    </w:p>
    <w:p w14:paraId="23BA46D9" w14:textId="77777777" w:rsidR="00216862" w:rsidRDefault="00216862" w:rsidP="00BC0557">
      <w:pPr>
        <w:rPr>
          <w:color w:val="000000" w:themeColor="text1"/>
        </w:rPr>
      </w:pPr>
    </w:p>
    <w:p w14:paraId="143DFB0F" w14:textId="5B43B02F" w:rsidR="00216862" w:rsidRPr="00AB4FF8" w:rsidRDefault="00216862" w:rsidP="00216862">
      <w:pPr>
        <w:spacing w:after="120"/>
        <w:rPr>
          <w:b/>
          <w:sz w:val="22"/>
        </w:rPr>
      </w:pPr>
      <w:r w:rsidRPr="00AB4FF8">
        <w:rPr>
          <w:b/>
          <w:sz w:val="22"/>
        </w:rPr>
        <w:t xml:space="preserve">2.1 </w:t>
      </w:r>
      <w:r>
        <w:rPr>
          <w:b/>
          <w:sz w:val="22"/>
        </w:rPr>
        <w:t>TDM mechanism</w:t>
      </w:r>
    </w:p>
    <w:p w14:paraId="28D36399" w14:textId="7FFA2028" w:rsidR="00B11B40" w:rsidRPr="00DD3EC9" w:rsidRDefault="00B11B40" w:rsidP="00B11B40">
      <w:pPr>
        <w:spacing w:before="240" w:after="120"/>
        <w:rPr>
          <w:color w:val="000000" w:themeColor="text1"/>
        </w:rPr>
      </w:pPr>
      <w:r w:rsidRPr="00DD3EC9">
        <w:rPr>
          <w:color w:val="000000" w:themeColor="text1"/>
        </w:rPr>
        <w:t xml:space="preserve">For any of TDM </w:t>
      </w:r>
      <w:r w:rsidR="00DD3EC9" w:rsidRPr="00DD3EC9">
        <w:rPr>
          <w:color w:val="000000" w:themeColor="text1"/>
        </w:rPr>
        <w:t>solutions</w:t>
      </w:r>
      <w:r w:rsidRPr="00DD3EC9">
        <w:rPr>
          <w:color w:val="000000" w:themeColor="text1"/>
        </w:rPr>
        <w:t xml:space="preserve">, </w:t>
      </w:r>
      <w:r w:rsidR="00855FFD" w:rsidRPr="00DD3EC9">
        <w:rPr>
          <w:color w:val="000000" w:themeColor="text1"/>
        </w:rPr>
        <w:t>with or without coordination between LTE and NR-V2X operations, the alignment between LTE subframes and NR slots (slot-level alignment) is at least needed to avoid resource wastage from partial-slot overlap. However, if the TDM mechanism is just to prevent overlapping or simultaneous LTE and NR V2X sidelink transmissions, DFN-level alignment may not be entirely necessary</w:t>
      </w:r>
      <w:r w:rsidR="00577A9B" w:rsidRPr="00DD3EC9">
        <w:rPr>
          <w:color w:val="000000" w:themeColor="text1"/>
        </w:rPr>
        <w:t xml:space="preserve"> as it is more relevant for the purpose of carrier synchronization</w:t>
      </w:r>
      <w:r w:rsidR="00855FFD" w:rsidRPr="00DD3EC9">
        <w:rPr>
          <w:color w:val="000000" w:themeColor="text1"/>
        </w:rPr>
        <w:t>.</w:t>
      </w:r>
    </w:p>
    <w:p w14:paraId="033F3717" w14:textId="14791B34" w:rsidR="00DD3EC9" w:rsidRPr="00DD3EC9" w:rsidRDefault="00DD3EC9" w:rsidP="00B11B40">
      <w:pPr>
        <w:spacing w:before="240" w:after="120"/>
        <w:rPr>
          <w:b/>
          <w:i/>
          <w:color w:val="000000" w:themeColor="text1"/>
        </w:rPr>
      </w:pPr>
      <w:r w:rsidRPr="00DD3EC9">
        <w:rPr>
          <w:b/>
          <w:i/>
          <w:color w:val="000000" w:themeColor="text1"/>
        </w:rPr>
        <w:t>Observation 3: Slot-level alignment should be at least needed for TDM transmission of LTE subframes and NR slots.</w:t>
      </w:r>
    </w:p>
    <w:p w14:paraId="28D51A6F" w14:textId="24120FB6" w:rsidR="00216862" w:rsidRPr="005B52F3" w:rsidRDefault="00216862" w:rsidP="00216862">
      <w:pPr>
        <w:spacing w:before="240" w:after="120"/>
        <w:rPr>
          <w:b/>
          <w:i/>
          <w:u w:val="single"/>
        </w:rPr>
      </w:pPr>
      <w:r>
        <w:rPr>
          <w:b/>
          <w:i/>
          <w:u w:val="single"/>
        </w:rPr>
        <w:t>Resource pool partitioning</w:t>
      </w:r>
      <w:r w:rsidR="00577A9B">
        <w:rPr>
          <w:b/>
          <w:i/>
          <w:u w:val="single"/>
        </w:rPr>
        <w:t xml:space="preserve"> / network scheduling</w:t>
      </w:r>
      <w:r w:rsidR="00ED5635">
        <w:rPr>
          <w:b/>
          <w:i/>
          <w:u w:val="single"/>
        </w:rPr>
        <w:t xml:space="preserve"> </w:t>
      </w:r>
      <w:r>
        <w:rPr>
          <w:b/>
          <w:i/>
          <w:u w:val="single"/>
        </w:rPr>
        <w:t>(no inter-RAT coordination)</w:t>
      </w:r>
    </w:p>
    <w:p w14:paraId="4E54D939" w14:textId="38AAC183" w:rsidR="00577A9B" w:rsidRDefault="00ED5635" w:rsidP="00216862">
      <w:r>
        <w:lastRenderedPageBreak/>
        <w:t xml:space="preserve">The simplest TDM mechanism is resource pool partitioning between LTE-V2X and NR-V2X </w:t>
      </w:r>
      <w:r w:rsidR="00353A59">
        <w:t xml:space="preserve">operations </w:t>
      </w:r>
      <w:r>
        <w:t xml:space="preserve">by network configuring </w:t>
      </w:r>
      <w:r w:rsidR="00577A9B">
        <w:t xml:space="preserve">or pre-configuring orthogonal Tx pools to ensure their transmissions are never overlapped. This can be seen as a </w:t>
      </w:r>
      <w:proofErr w:type="gramStart"/>
      <w:r w:rsidR="00577A9B">
        <w:t>long term</w:t>
      </w:r>
      <w:proofErr w:type="gramEnd"/>
      <w:r w:rsidR="00577A9B">
        <w:t xml:space="preserve"> time scale coordination. Alternatively, the network BS performs resource selection and scheduling to the UE for both LTE (mode 3) and NR V2X (mode 1) transmissions. This can be seen as a </w:t>
      </w:r>
      <w:proofErr w:type="gramStart"/>
      <w:r w:rsidR="00577A9B">
        <w:t>short term</w:t>
      </w:r>
      <w:proofErr w:type="gramEnd"/>
      <w:r w:rsidR="00577A9B">
        <w:t xml:space="preserve"> time scale coordination.</w:t>
      </w:r>
    </w:p>
    <w:p w14:paraId="1C4D6DB8" w14:textId="447A9141" w:rsidR="00216862" w:rsidRDefault="00577A9B" w:rsidP="00216862">
      <w:r>
        <w:t xml:space="preserve">For either cases, </w:t>
      </w:r>
      <w:r w:rsidR="00DD3EC9">
        <w:t>TDM between LTE and NR V2X transmissions</w:t>
      </w:r>
      <w:r>
        <w:t xml:space="preserve"> can be supported without any need of inter-RAT coordination within a UE and specification impact.</w:t>
      </w:r>
    </w:p>
    <w:p w14:paraId="02D1D143" w14:textId="0B3FC86B" w:rsidR="00216862" w:rsidRDefault="00216862" w:rsidP="00216862">
      <w:pPr>
        <w:rPr>
          <w:color w:val="000000" w:themeColor="text1"/>
        </w:rPr>
      </w:pPr>
    </w:p>
    <w:p w14:paraId="28F87AC1" w14:textId="57867D42" w:rsidR="00DD3EC9" w:rsidRPr="00DD3EC9" w:rsidRDefault="00DD3EC9" w:rsidP="00216862">
      <w:pPr>
        <w:rPr>
          <w:b/>
          <w:i/>
          <w:color w:val="000000" w:themeColor="text1"/>
        </w:rPr>
      </w:pPr>
      <w:r>
        <w:rPr>
          <w:b/>
          <w:i/>
          <w:color w:val="000000" w:themeColor="text1"/>
        </w:rPr>
        <w:t>Observation</w:t>
      </w:r>
      <w:r w:rsidRPr="00DD3EC9">
        <w:rPr>
          <w:b/>
          <w:i/>
          <w:color w:val="000000" w:themeColor="text1"/>
        </w:rPr>
        <w:t xml:space="preserve"> </w:t>
      </w:r>
      <w:r>
        <w:rPr>
          <w:b/>
          <w:i/>
          <w:color w:val="000000" w:themeColor="text1"/>
        </w:rPr>
        <w:t>4</w:t>
      </w:r>
      <w:r w:rsidRPr="00DD3EC9">
        <w:rPr>
          <w:b/>
          <w:i/>
          <w:color w:val="000000" w:themeColor="text1"/>
        </w:rPr>
        <w:t xml:space="preserve">: For TDM </w:t>
      </w:r>
      <w:r>
        <w:rPr>
          <w:b/>
          <w:i/>
          <w:color w:val="000000" w:themeColor="text1"/>
        </w:rPr>
        <w:t>between LTE and NR V2X transmissions</w:t>
      </w:r>
      <w:r w:rsidRPr="00DD3EC9">
        <w:rPr>
          <w:b/>
          <w:i/>
          <w:color w:val="000000" w:themeColor="text1"/>
        </w:rPr>
        <w:t xml:space="preserve">, </w:t>
      </w:r>
      <w:r>
        <w:rPr>
          <w:b/>
          <w:i/>
          <w:color w:val="000000" w:themeColor="text1"/>
        </w:rPr>
        <w:t>the simplest solutions are resource pool partitioning and network scheduling without any need of any intra-RAT coordination within a UE.</w:t>
      </w:r>
    </w:p>
    <w:p w14:paraId="4A95B910" w14:textId="77777777" w:rsidR="00DD3EC9" w:rsidRDefault="00DD3EC9" w:rsidP="00216862">
      <w:pPr>
        <w:rPr>
          <w:color w:val="000000" w:themeColor="text1"/>
        </w:rPr>
      </w:pPr>
    </w:p>
    <w:p w14:paraId="2F8AC47B" w14:textId="6BD9DA13" w:rsidR="00216862" w:rsidRPr="00AB4FF8" w:rsidRDefault="00216862" w:rsidP="00216862">
      <w:pPr>
        <w:spacing w:after="120"/>
        <w:rPr>
          <w:b/>
          <w:sz w:val="22"/>
        </w:rPr>
      </w:pPr>
      <w:r w:rsidRPr="00AB4FF8">
        <w:rPr>
          <w:b/>
          <w:sz w:val="22"/>
        </w:rPr>
        <w:t xml:space="preserve">2.1 </w:t>
      </w:r>
      <w:r>
        <w:rPr>
          <w:b/>
          <w:sz w:val="22"/>
        </w:rPr>
        <w:t>FDM power sharing schemes</w:t>
      </w:r>
    </w:p>
    <w:p w14:paraId="79A06571" w14:textId="65DB95DC" w:rsidR="00216862" w:rsidRPr="005B52F3" w:rsidRDefault="00ED5635" w:rsidP="00216862">
      <w:pPr>
        <w:spacing w:before="240" w:after="120"/>
        <w:rPr>
          <w:b/>
          <w:i/>
          <w:u w:val="single"/>
        </w:rPr>
      </w:pPr>
      <w:r>
        <w:rPr>
          <w:b/>
          <w:i/>
          <w:u w:val="single"/>
        </w:rPr>
        <w:t>Fixed split ratio</w:t>
      </w:r>
      <w:r w:rsidR="00353A59">
        <w:rPr>
          <w:b/>
          <w:i/>
          <w:u w:val="single"/>
        </w:rPr>
        <w:t xml:space="preserve"> power allocation (no inter-RAT coordination)</w:t>
      </w:r>
    </w:p>
    <w:p w14:paraId="609AD92F" w14:textId="4022F875" w:rsidR="00216862" w:rsidRDefault="00DD3EC9" w:rsidP="00216862">
      <w:pPr>
        <w:rPr>
          <w:color w:val="000000" w:themeColor="text1"/>
        </w:rPr>
      </w:pPr>
      <w:r>
        <w:rPr>
          <w:color w:val="000000" w:themeColor="text1"/>
        </w:rPr>
        <w:t>The simplest mechanism of power sharing</w:t>
      </w:r>
      <w:r w:rsidR="00C52858">
        <w:rPr>
          <w:color w:val="000000" w:themeColor="text1"/>
        </w:rPr>
        <w:t xml:space="preserve"> is to defined or (pre-)configured a fixed split ratio of power (e.g. 50/50, 60/40, 70/30 and etc)</w:t>
      </w:r>
      <w:r w:rsidR="00C52858" w:rsidRPr="00C52858">
        <w:rPr>
          <w:color w:val="000000" w:themeColor="text1"/>
        </w:rPr>
        <w:t xml:space="preserve"> </w:t>
      </w:r>
      <w:r w:rsidR="00C52858">
        <w:rPr>
          <w:color w:val="000000" w:themeColor="text1"/>
        </w:rPr>
        <w:t xml:space="preserve">between LTE and NR V2X transmissions. For V2X transmissions in each RAT, the UE is strictly limited to allocate Tx power that does not exceed the pre-defined or (pre-)configured amount of ratio. For example, 60% of </w:t>
      </w:r>
      <w:proofErr w:type="spellStart"/>
      <w:r w:rsidR="00C52858">
        <w:rPr>
          <w:color w:val="000000" w:themeColor="text1"/>
        </w:rPr>
        <w:t>Pcmax</w:t>
      </w:r>
      <w:proofErr w:type="spellEnd"/>
      <w:r w:rsidR="00C52858">
        <w:rPr>
          <w:color w:val="000000" w:themeColor="text1"/>
        </w:rPr>
        <w:t xml:space="preserve"> for LTE-V2X and 40% of </w:t>
      </w:r>
      <w:proofErr w:type="spellStart"/>
      <w:r w:rsidR="00C52858">
        <w:rPr>
          <w:color w:val="000000" w:themeColor="text1"/>
        </w:rPr>
        <w:t>Pcmax</w:t>
      </w:r>
      <w:proofErr w:type="spellEnd"/>
      <w:r w:rsidR="00C52858">
        <w:rPr>
          <w:color w:val="000000" w:themeColor="text1"/>
        </w:rPr>
        <w:t xml:space="preserve"> for NR-V2X. In this solution, it does not require any inter-RAT coordination or information exchange within a UE.</w:t>
      </w:r>
    </w:p>
    <w:p w14:paraId="575D783B" w14:textId="6542DBCC" w:rsidR="00ED5635" w:rsidRPr="005B52F3" w:rsidRDefault="00353A59" w:rsidP="00ED5635">
      <w:pPr>
        <w:spacing w:before="240" w:after="120"/>
        <w:rPr>
          <w:b/>
          <w:i/>
          <w:u w:val="single"/>
        </w:rPr>
      </w:pPr>
      <w:r>
        <w:rPr>
          <w:b/>
          <w:i/>
          <w:u w:val="single"/>
        </w:rPr>
        <w:t>Reserved power allocation (</w:t>
      </w:r>
      <w:r w:rsidR="00C52858">
        <w:rPr>
          <w:b/>
          <w:i/>
          <w:u w:val="single"/>
        </w:rPr>
        <w:t xml:space="preserve">with / without </w:t>
      </w:r>
      <w:r>
        <w:rPr>
          <w:b/>
          <w:i/>
          <w:u w:val="single"/>
        </w:rPr>
        <w:t>coordination needed)</w:t>
      </w:r>
    </w:p>
    <w:p w14:paraId="37DA5377" w14:textId="23163BE3" w:rsidR="00ED5635" w:rsidRDefault="00160785" w:rsidP="008E50DE">
      <w:pPr>
        <w:spacing w:after="120"/>
      </w:pPr>
      <w:r>
        <w:t xml:space="preserve">A different mechanism of </w:t>
      </w:r>
      <w:r w:rsidR="00233469">
        <w:t xml:space="preserve">sharing UE’s total available power or </w:t>
      </w:r>
      <w:r w:rsidR="00D44A28">
        <w:t xml:space="preserve">the </w:t>
      </w:r>
      <w:r w:rsidR="00233469">
        <w:t>maximum configured output power is to (pre-)configure a minimum Tx power that is reserved for either LTE or NR V2X. This reserved amount of power is to guarantee V2X transmissions in either LTE or NR will be available at all time. In other words, the other RAT will get up to max</w:t>
      </w:r>
      <w:r w:rsidR="00D44A28">
        <w:t>imum</w:t>
      </w:r>
      <w:r w:rsidR="00233469">
        <w:t xml:space="preserve"> of </w:t>
      </w:r>
      <w:r w:rsidR="00D44A28">
        <w:t xml:space="preserve">the </w:t>
      </w:r>
      <w:r w:rsidR="00233469">
        <w:t xml:space="preserve">remaining power. For example, if 60% of </w:t>
      </w:r>
      <w:proofErr w:type="spellStart"/>
      <w:r w:rsidR="00233469">
        <w:t>Pcmax</w:t>
      </w:r>
      <w:proofErr w:type="spellEnd"/>
      <w:r w:rsidR="00233469">
        <w:t xml:space="preserve"> is reserved for LTE V2X transmissions, this means the UE can allocate up to only 40% of </w:t>
      </w:r>
      <w:proofErr w:type="spellStart"/>
      <w:r w:rsidR="00233469">
        <w:t>Pcmax</w:t>
      </w:r>
      <w:proofErr w:type="spellEnd"/>
      <w:r w:rsidR="00233469">
        <w:t xml:space="preserve"> for NR</w:t>
      </w:r>
      <w:r w:rsidR="00D44A28">
        <w:t xml:space="preserve"> V2X</w:t>
      </w:r>
      <w:r w:rsidR="00233469">
        <w:t xml:space="preserve"> transmissions. </w:t>
      </w:r>
      <w:r w:rsidR="008E50DE">
        <w:t>As such, this ensures a certain Tx reliability can be achieved within a target communication range.</w:t>
      </w:r>
    </w:p>
    <w:p w14:paraId="27042E83" w14:textId="0C571091" w:rsidR="008E50DE" w:rsidRDefault="008E50DE" w:rsidP="00ED5635">
      <w:pPr>
        <w:rPr>
          <w:color w:val="000000" w:themeColor="text1"/>
        </w:rPr>
      </w:pPr>
      <w:r>
        <w:rPr>
          <w:color w:val="000000" w:themeColor="text1"/>
        </w:rPr>
        <w:t>If inter-RAT coordination is possible</w:t>
      </w:r>
      <w:r w:rsidR="007A1C98">
        <w:rPr>
          <w:color w:val="000000" w:themeColor="text1"/>
        </w:rPr>
        <w:t xml:space="preserve"> (e.g. Tx timing and power usage information are exchanged between RATs within a UE), dynamic boosting of allocating additional power to a high priority RAT or high priority packets can be performed if there is no overlapping transmissions or unused remaining power on the other RAT.</w:t>
      </w:r>
    </w:p>
    <w:p w14:paraId="4DC0C283" w14:textId="0D7B121E" w:rsidR="00ED5635" w:rsidRPr="005B52F3" w:rsidRDefault="00353A59" w:rsidP="00ED5635">
      <w:pPr>
        <w:spacing w:before="240" w:after="120"/>
        <w:rPr>
          <w:b/>
          <w:i/>
          <w:u w:val="single"/>
        </w:rPr>
      </w:pPr>
      <w:r>
        <w:rPr>
          <w:b/>
          <w:i/>
          <w:u w:val="single"/>
        </w:rPr>
        <w:t xml:space="preserve">Priority-based power allocation (within </w:t>
      </w:r>
      <w:r w:rsidR="00DD3EC9">
        <w:rPr>
          <w:b/>
          <w:i/>
          <w:u w:val="single"/>
        </w:rPr>
        <w:t>NR-V2X</w:t>
      </w:r>
      <w:r>
        <w:rPr>
          <w:b/>
          <w:i/>
          <w:u w:val="single"/>
        </w:rPr>
        <w:t>)</w:t>
      </w:r>
    </w:p>
    <w:p w14:paraId="76F303F6" w14:textId="7816940B" w:rsidR="00ED5635" w:rsidRDefault="008F2A9F" w:rsidP="00ED5635">
      <w:pPr>
        <w:rPr>
          <w:color w:val="000000" w:themeColor="text1"/>
        </w:rPr>
      </w:pPr>
      <w:r>
        <w:rPr>
          <w:color w:val="000000" w:themeColor="text1"/>
        </w:rPr>
        <w:t xml:space="preserve">Lastly, within NR-V2X </w:t>
      </w:r>
      <w:r w:rsidR="001F006C">
        <w:rPr>
          <w:color w:val="000000" w:themeColor="text1"/>
        </w:rPr>
        <w:t xml:space="preserve">transmissions, different Tx power levels can be further allocated according to message priority. This can be used to ensure high priority messages are protected and be given sufficient amount of Tx power. For example, </w:t>
      </w:r>
      <w:r w:rsidR="0031500A">
        <w:rPr>
          <w:color w:val="000000" w:themeColor="text1"/>
        </w:rPr>
        <w:t>50% of power for priority level 6, 60% for level 5, 70% for level 4, 80% for level 3 and etc.</w:t>
      </w:r>
      <w:r w:rsidR="00B81921">
        <w:rPr>
          <w:color w:val="000000" w:themeColor="text1"/>
        </w:rPr>
        <w:t xml:space="preserve"> Furthermore, by defining this minimum amount of Tx power per priority level, this can be used as part of resource selection criteria.</w:t>
      </w:r>
    </w:p>
    <w:p w14:paraId="399D8178" w14:textId="77777777" w:rsidR="00B26E5A" w:rsidRDefault="00B26E5A" w:rsidP="00ED5635">
      <w:pPr>
        <w:rPr>
          <w:color w:val="000000" w:themeColor="text1"/>
        </w:rPr>
      </w:pPr>
    </w:p>
    <w:p w14:paraId="463DE27F" w14:textId="15187A60" w:rsidR="00187D96" w:rsidRDefault="00187D96" w:rsidP="00ED5635">
      <w:pPr>
        <w:rPr>
          <w:b/>
          <w:i/>
          <w:color w:val="000000" w:themeColor="text1"/>
        </w:rPr>
      </w:pPr>
      <w:r w:rsidRPr="00B26E5A">
        <w:rPr>
          <w:b/>
          <w:i/>
          <w:color w:val="000000" w:themeColor="text1"/>
        </w:rPr>
        <w:t>Ob</w:t>
      </w:r>
      <w:r w:rsidR="00B26E5A" w:rsidRPr="00B26E5A">
        <w:rPr>
          <w:b/>
          <w:i/>
          <w:color w:val="000000" w:themeColor="text1"/>
        </w:rPr>
        <w:t>servation 5:</w:t>
      </w:r>
      <w:r w:rsidR="008F2A9F">
        <w:rPr>
          <w:b/>
          <w:i/>
          <w:color w:val="000000" w:themeColor="text1"/>
        </w:rPr>
        <w:t xml:space="preserve"> </w:t>
      </w:r>
      <w:r w:rsidR="00B81921">
        <w:rPr>
          <w:b/>
          <w:i/>
          <w:color w:val="000000" w:themeColor="text1"/>
        </w:rPr>
        <w:t xml:space="preserve">Fixed power split based and reserved </w:t>
      </w:r>
      <w:proofErr w:type="gramStart"/>
      <w:r w:rsidR="00B81921">
        <w:rPr>
          <w:b/>
          <w:i/>
          <w:color w:val="000000" w:themeColor="text1"/>
        </w:rPr>
        <w:t>power based</w:t>
      </w:r>
      <w:proofErr w:type="gramEnd"/>
      <w:r w:rsidR="00B81921">
        <w:rPr>
          <w:b/>
          <w:i/>
          <w:color w:val="000000" w:themeColor="text1"/>
        </w:rPr>
        <w:t xml:space="preserve"> schemes are two possible power allocation methods that can be considered for FDM between LTE and NR V2X transmissions without needing any inter-RAT coordination within a UE.</w:t>
      </w:r>
    </w:p>
    <w:p w14:paraId="671B70AA" w14:textId="22BE2804" w:rsidR="00B81921" w:rsidRDefault="00B81921" w:rsidP="00ED5635">
      <w:pPr>
        <w:rPr>
          <w:b/>
          <w:i/>
          <w:color w:val="000000" w:themeColor="text1"/>
        </w:rPr>
      </w:pPr>
    </w:p>
    <w:p w14:paraId="7411D766" w14:textId="44D55A4D" w:rsidR="00B81921" w:rsidRPr="00B26E5A" w:rsidRDefault="00B81921" w:rsidP="00ED5635">
      <w:pPr>
        <w:rPr>
          <w:b/>
          <w:i/>
          <w:color w:val="000000" w:themeColor="text1"/>
        </w:rPr>
      </w:pPr>
      <w:r>
        <w:rPr>
          <w:b/>
          <w:i/>
          <w:color w:val="000000" w:themeColor="text1"/>
        </w:rPr>
        <w:t xml:space="preserve">Observation 6: If inter-RAT coordination </w:t>
      </w:r>
      <w:r w:rsidR="00BE1BFA">
        <w:rPr>
          <w:b/>
          <w:i/>
          <w:color w:val="000000" w:themeColor="text1"/>
        </w:rPr>
        <w:t xml:space="preserve">of Tx power usage </w:t>
      </w:r>
      <w:r>
        <w:rPr>
          <w:b/>
          <w:i/>
          <w:color w:val="000000" w:themeColor="text1"/>
        </w:rPr>
        <w:t xml:space="preserve">within a UE can be achieved, </w:t>
      </w:r>
      <w:r w:rsidR="00BE1BFA">
        <w:rPr>
          <w:b/>
          <w:i/>
          <w:color w:val="000000" w:themeColor="text1"/>
        </w:rPr>
        <w:t xml:space="preserve">reserved power based and </w:t>
      </w:r>
      <w:proofErr w:type="gramStart"/>
      <w:r w:rsidR="00BE1BFA">
        <w:rPr>
          <w:b/>
          <w:i/>
          <w:color w:val="000000" w:themeColor="text1"/>
        </w:rPr>
        <w:t>priority based</w:t>
      </w:r>
      <w:proofErr w:type="gramEnd"/>
      <w:r w:rsidR="00BE1BFA">
        <w:rPr>
          <w:b/>
          <w:i/>
          <w:color w:val="000000" w:themeColor="text1"/>
        </w:rPr>
        <w:t xml:space="preserve"> schemes can be considered to further enhance utilisation of UE total available power.</w:t>
      </w:r>
    </w:p>
    <w:p w14:paraId="2881BD0A" w14:textId="77777777" w:rsidR="00216862" w:rsidRDefault="00216862" w:rsidP="00BC0557">
      <w:pPr>
        <w:rPr>
          <w:color w:val="000000" w:themeColor="text1"/>
        </w:rPr>
      </w:pPr>
    </w:p>
    <w:p w14:paraId="3A91C9E1" w14:textId="77777777" w:rsidR="00BC0557" w:rsidRPr="00BC0557" w:rsidRDefault="00BC0557" w:rsidP="00BC0557">
      <w:pPr>
        <w:spacing w:after="120"/>
        <w:rPr>
          <w:b/>
          <w:sz w:val="22"/>
        </w:rPr>
      </w:pPr>
      <w:r w:rsidRPr="00BC0557">
        <w:rPr>
          <w:b/>
          <w:sz w:val="22"/>
        </w:rPr>
        <w:t>3. Conclusion</w:t>
      </w:r>
    </w:p>
    <w:p w14:paraId="05FA8798" w14:textId="00C6F8F2" w:rsidR="00BC0557" w:rsidRPr="00485DEA" w:rsidRDefault="00BC0557" w:rsidP="00BC0557">
      <w:pPr>
        <w:rPr>
          <w:iCs/>
          <w:color w:val="000000" w:themeColor="text1"/>
        </w:rPr>
      </w:pPr>
      <w:r w:rsidRPr="00485DEA">
        <w:rPr>
          <w:color w:val="000000" w:themeColor="text1"/>
        </w:rPr>
        <w:t xml:space="preserve">In this contribution, we </w:t>
      </w:r>
      <w:r w:rsidR="00485DEA" w:rsidRPr="00485DEA">
        <w:rPr>
          <w:color w:val="000000" w:themeColor="text1"/>
        </w:rPr>
        <w:t>discussed about the pros and cons of potentially using TDM or FDM type solutions for multiplexing LTE-V2X and NR-V2X transmissions</w:t>
      </w:r>
      <w:r w:rsidRPr="00485DEA">
        <w:rPr>
          <w:color w:val="000000" w:themeColor="text1"/>
        </w:rPr>
        <w:t xml:space="preserve">. </w:t>
      </w:r>
      <w:r w:rsidRPr="00485DEA">
        <w:rPr>
          <w:iCs/>
          <w:color w:val="000000" w:themeColor="text1"/>
        </w:rPr>
        <w:t xml:space="preserve">In summary, we have the following </w:t>
      </w:r>
      <w:r w:rsidR="005E3ADE" w:rsidRPr="00485DEA">
        <w:rPr>
          <w:iCs/>
          <w:color w:val="000000" w:themeColor="text1"/>
        </w:rPr>
        <w:t>observations and conclusion</w:t>
      </w:r>
      <w:r w:rsidRPr="00485DEA">
        <w:rPr>
          <w:iCs/>
          <w:color w:val="000000" w:themeColor="text1"/>
        </w:rPr>
        <w:t>:</w:t>
      </w:r>
    </w:p>
    <w:p w14:paraId="512F0864" w14:textId="1461D612" w:rsidR="005E3ADE" w:rsidRDefault="005E3ADE" w:rsidP="00BC0557">
      <w:pPr>
        <w:rPr>
          <w:iCs/>
          <w:color w:val="FF0000"/>
        </w:rPr>
      </w:pPr>
    </w:p>
    <w:p w14:paraId="5B2659C6" w14:textId="77777777" w:rsidR="00485DEA" w:rsidRPr="00485DEA" w:rsidRDefault="00485DEA" w:rsidP="00485DEA">
      <w:pPr>
        <w:rPr>
          <w:b/>
          <w:i/>
          <w:color w:val="000000" w:themeColor="text1"/>
        </w:rPr>
      </w:pPr>
      <w:r w:rsidRPr="00485DEA">
        <w:rPr>
          <w:b/>
          <w:i/>
          <w:color w:val="000000" w:themeColor="text1"/>
        </w:rPr>
        <w:t>Observation 1: Based on our pros/</w:t>
      </w:r>
      <w:proofErr w:type="gramStart"/>
      <w:r w:rsidRPr="00485DEA">
        <w:rPr>
          <w:b/>
          <w:i/>
          <w:color w:val="000000" w:themeColor="text1"/>
        </w:rPr>
        <w:t>cons</w:t>
      </w:r>
      <w:proofErr w:type="gramEnd"/>
      <w:r w:rsidRPr="00485DEA">
        <w:rPr>
          <w:b/>
          <w:i/>
          <w:color w:val="000000" w:themeColor="text1"/>
        </w:rPr>
        <w:t xml:space="preserve"> analysis, it seems most of the cons / disadvantages associated with TDM solution approach are resolvable, while the FDM solution approach would suffer from some physical / fundamental limitations.</w:t>
      </w:r>
    </w:p>
    <w:p w14:paraId="694EE854" w14:textId="77777777" w:rsidR="00485DEA" w:rsidRPr="00485DEA" w:rsidRDefault="00485DEA" w:rsidP="00485DEA">
      <w:pPr>
        <w:rPr>
          <w:b/>
          <w:i/>
          <w:color w:val="000000" w:themeColor="text1"/>
        </w:rPr>
      </w:pPr>
    </w:p>
    <w:p w14:paraId="1333D1D5" w14:textId="77777777" w:rsidR="00485DEA" w:rsidRPr="00485DEA" w:rsidRDefault="00485DEA" w:rsidP="00485DEA">
      <w:pPr>
        <w:rPr>
          <w:b/>
          <w:i/>
          <w:color w:val="000000" w:themeColor="text1"/>
        </w:rPr>
      </w:pPr>
      <w:r w:rsidRPr="00485DEA">
        <w:rPr>
          <w:b/>
          <w:i/>
          <w:color w:val="000000" w:themeColor="text1"/>
        </w:rPr>
        <w:t>Observation 2: In either TDM or FDM solution approach, the limitation of total Tx power and number of Tx/Rx chains could still need to be considered for the case of intra-RAT sidelink.</w:t>
      </w:r>
    </w:p>
    <w:p w14:paraId="4605A0C2" w14:textId="77777777" w:rsidR="00485DEA" w:rsidRPr="00485DEA" w:rsidRDefault="00485DEA" w:rsidP="00485DEA">
      <w:pPr>
        <w:rPr>
          <w:b/>
          <w:i/>
          <w:color w:val="000000" w:themeColor="text1"/>
        </w:rPr>
      </w:pPr>
    </w:p>
    <w:p w14:paraId="60F51E26" w14:textId="7E43BDAC" w:rsidR="00485DEA" w:rsidRDefault="00BE1BFA" w:rsidP="00485DEA">
      <w:pPr>
        <w:rPr>
          <w:b/>
          <w:i/>
          <w:color w:val="000000" w:themeColor="text1"/>
        </w:rPr>
      </w:pPr>
      <w:r w:rsidRPr="00DD3EC9">
        <w:rPr>
          <w:b/>
          <w:i/>
          <w:color w:val="000000" w:themeColor="text1"/>
        </w:rPr>
        <w:t>Observation 3: Slot-level alignment should be at least needed for TDM transmission of LTE subframes and NR slots.</w:t>
      </w:r>
    </w:p>
    <w:p w14:paraId="07D07349" w14:textId="2F265DAA" w:rsidR="00BE1BFA" w:rsidRDefault="00BE1BFA" w:rsidP="00485DEA">
      <w:pPr>
        <w:rPr>
          <w:b/>
          <w:i/>
          <w:color w:val="000000" w:themeColor="text1"/>
        </w:rPr>
      </w:pPr>
    </w:p>
    <w:p w14:paraId="6DE3FF4C" w14:textId="6CA73AD3" w:rsidR="00BE1BFA" w:rsidRDefault="00BE1BFA" w:rsidP="00485DEA">
      <w:pPr>
        <w:rPr>
          <w:b/>
          <w:i/>
          <w:color w:val="000000" w:themeColor="text1"/>
        </w:rPr>
      </w:pPr>
      <w:r>
        <w:rPr>
          <w:b/>
          <w:i/>
          <w:color w:val="000000" w:themeColor="text1"/>
        </w:rPr>
        <w:t>Observation</w:t>
      </w:r>
      <w:r w:rsidRPr="00DD3EC9">
        <w:rPr>
          <w:b/>
          <w:i/>
          <w:color w:val="000000" w:themeColor="text1"/>
        </w:rPr>
        <w:t xml:space="preserve"> </w:t>
      </w:r>
      <w:r>
        <w:rPr>
          <w:b/>
          <w:i/>
          <w:color w:val="000000" w:themeColor="text1"/>
        </w:rPr>
        <w:t>4</w:t>
      </w:r>
      <w:r w:rsidRPr="00DD3EC9">
        <w:rPr>
          <w:b/>
          <w:i/>
          <w:color w:val="000000" w:themeColor="text1"/>
        </w:rPr>
        <w:t xml:space="preserve">: For TDM </w:t>
      </w:r>
      <w:r>
        <w:rPr>
          <w:b/>
          <w:i/>
          <w:color w:val="000000" w:themeColor="text1"/>
        </w:rPr>
        <w:t>between LTE and NR V2X transmissions</w:t>
      </w:r>
      <w:r w:rsidRPr="00DD3EC9">
        <w:rPr>
          <w:b/>
          <w:i/>
          <w:color w:val="000000" w:themeColor="text1"/>
        </w:rPr>
        <w:t xml:space="preserve">, </w:t>
      </w:r>
      <w:r>
        <w:rPr>
          <w:b/>
          <w:i/>
          <w:color w:val="000000" w:themeColor="text1"/>
        </w:rPr>
        <w:t>the simplest solutions are resource pool partitioning and network scheduling without any need of any intra-RAT coordination within a UE.</w:t>
      </w:r>
    </w:p>
    <w:p w14:paraId="6688B32D" w14:textId="254EAF60" w:rsidR="00BE1BFA" w:rsidRDefault="00BE1BFA" w:rsidP="00485DEA">
      <w:pPr>
        <w:rPr>
          <w:b/>
          <w:i/>
          <w:color w:val="000000" w:themeColor="text1"/>
        </w:rPr>
      </w:pPr>
    </w:p>
    <w:p w14:paraId="7F49B54B" w14:textId="77777777" w:rsidR="00BE1BFA" w:rsidRDefault="00BE1BFA" w:rsidP="00BE1BFA">
      <w:pPr>
        <w:rPr>
          <w:b/>
          <w:i/>
          <w:color w:val="000000" w:themeColor="text1"/>
        </w:rPr>
      </w:pPr>
      <w:r w:rsidRPr="00B26E5A">
        <w:rPr>
          <w:b/>
          <w:i/>
          <w:color w:val="000000" w:themeColor="text1"/>
        </w:rPr>
        <w:t>Observation 5:</w:t>
      </w:r>
      <w:r>
        <w:rPr>
          <w:b/>
          <w:i/>
          <w:color w:val="000000" w:themeColor="text1"/>
        </w:rPr>
        <w:t xml:space="preserve"> Fixed power split based and reserved </w:t>
      </w:r>
      <w:proofErr w:type="gramStart"/>
      <w:r>
        <w:rPr>
          <w:b/>
          <w:i/>
          <w:color w:val="000000" w:themeColor="text1"/>
        </w:rPr>
        <w:t>power based</w:t>
      </w:r>
      <w:proofErr w:type="gramEnd"/>
      <w:r>
        <w:rPr>
          <w:b/>
          <w:i/>
          <w:color w:val="000000" w:themeColor="text1"/>
        </w:rPr>
        <w:t xml:space="preserve"> schemes are two possible power allocation methods that can be considered for FDM between LTE and NR V2X transmissions without needing any inter-RAT coordination within a UE.</w:t>
      </w:r>
    </w:p>
    <w:p w14:paraId="49BCF3BC" w14:textId="77777777" w:rsidR="00BE1BFA" w:rsidRDefault="00BE1BFA" w:rsidP="00BE1BFA">
      <w:pPr>
        <w:rPr>
          <w:b/>
          <w:i/>
          <w:color w:val="000000" w:themeColor="text1"/>
        </w:rPr>
      </w:pPr>
    </w:p>
    <w:p w14:paraId="56AAAA2D" w14:textId="408B15CD" w:rsidR="00BE1BFA" w:rsidRDefault="00BE1BFA" w:rsidP="00BE1BFA">
      <w:pPr>
        <w:rPr>
          <w:b/>
          <w:i/>
          <w:color w:val="000000" w:themeColor="text1"/>
        </w:rPr>
      </w:pPr>
      <w:r>
        <w:rPr>
          <w:b/>
          <w:i/>
          <w:color w:val="000000" w:themeColor="text1"/>
        </w:rPr>
        <w:t xml:space="preserve">Observation 6: If inter-RAT coordination of Tx power usage within a UE can be achieved, reserved power based and </w:t>
      </w:r>
      <w:proofErr w:type="gramStart"/>
      <w:r>
        <w:rPr>
          <w:b/>
          <w:i/>
          <w:color w:val="000000" w:themeColor="text1"/>
        </w:rPr>
        <w:t>priority based</w:t>
      </w:r>
      <w:proofErr w:type="gramEnd"/>
      <w:r>
        <w:rPr>
          <w:b/>
          <w:i/>
          <w:color w:val="000000" w:themeColor="text1"/>
        </w:rPr>
        <w:t xml:space="preserve"> schemes can be considered to further enhance utilisation of UE total available power.</w:t>
      </w:r>
    </w:p>
    <w:p w14:paraId="32D03F00" w14:textId="77777777" w:rsidR="00BE1BFA" w:rsidRPr="00485DEA" w:rsidRDefault="00BE1BFA" w:rsidP="00BE1BFA">
      <w:pPr>
        <w:rPr>
          <w:b/>
          <w:i/>
          <w:color w:val="000000" w:themeColor="text1"/>
        </w:rPr>
      </w:pPr>
    </w:p>
    <w:p w14:paraId="2453B69F" w14:textId="7730974D" w:rsidR="00BC0557" w:rsidRDefault="00BC0557" w:rsidP="00BC0557"/>
    <w:p w14:paraId="37E830A0" w14:textId="77777777" w:rsidR="00BC0557" w:rsidRPr="00BC0557" w:rsidRDefault="00BC0557" w:rsidP="00BC0557">
      <w:pPr>
        <w:spacing w:after="120"/>
        <w:rPr>
          <w:b/>
          <w:sz w:val="22"/>
        </w:rPr>
      </w:pPr>
      <w:r w:rsidRPr="00BC0557">
        <w:rPr>
          <w:b/>
          <w:sz w:val="22"/>
        </w:rPr>
        <w:t>4. References</w:t>
      </w:r>
    </w:p>
    <w:p w14:paraId="619E2E02" w14:textId="42509B58" w:rsidR="00BC0557" w:rsidRPr="00511BDE" w:rsidRDefault="00BC0557" w:rsidP="00BC0557">
      <w:pPr>
        <w:spacing w:after="60"/>
        <w:rPr>
          <w:color w:val="000000" w:themeColor="text1"/>
        </w:rPr>
      </w:pPr>
      <w:r w:rsidRPr="00511BDE">
        <w:rPr>
          <w:color w:val="000000" w:themeColor="text1"/>
        </w:rPr>
        <w:t>[1] RAN1#94 Chairman’s notes</w:t>
      </w:r>
      <w:r w:rsidR="00511BDE" w:rsidRPr="00511BDE">
        <w:rPr>
          <w:color w:val="000000" w:themeColor="text1"/>
        </w:rPr>
        <w:t xml:space="preserve"> (final version)</w:t>
      </w:r>
    </w:p>
    <w:p w14:paraId="1E2950F2" w14:textId="3C713B37" w:rsidR="00BC0557" w:rsidRDefault="00BC0557" w:rsidP="00BC0557">
      <w:pPr>
        <w:spacing w:after="60"/>
      </w:pPr>
      <w:r>
        <w:t xml:space="preserve">[2] </w:t>
      </w:r>
      <w:hyperlink r:id="rId7" w:history="1">
        <w:r w:rsidR="007069E1" w:rsidRPr="0031286C">
          <w:rPr>
            <w:rStyle w:val="Hyperlink"/>
          </w:rPr>
          <w:t>RP-182111</w:t>
        </w:r>
      </w:hyperlink>
      <w:r w:rsidR="007069E1">
        <w:t>, “</w:t>
      </w:r>
      <w:r w:rsidR="007069E1" w:rsidRPr="007069E1">
        <w:t>Revised SID: Study on NR V2X</w:t>
      </w:r>
      <w:r w:rsidR="007069E1">
        <w:t>”, LGE, RAN#81, September 2018</w:t>
      </w:r>
    </w:p>
    <w:sectPr w:rsidR="00BC055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FFBD9" w14:textId="77777777" w:rsidR="004B48FA" w:rsidRDefault="004B48FA" w:rsidP="00511BDE">
      <w:r>
        <w:separator/>
      </w:r>
    </w:p>
  </w:endnote>
  <w:endnote w:type="continuationSeparator" w:id="0">
    <w:p w14:paraId="09A00E51" w14:textId="77777777" w:rsidR="004B48FA" w:rsidRDefault="004B48FA" w:rsidP="0051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D606A" w14:textId="287D5A20" w:rsidR="00511BDE" w:rsidRPr="00511BDE" w:rsidRDefault="00511BDE">
    <w:pPr>
      <w:pStyle w:val="Footer"/>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Pr="00511BDE">
          <w:rPr>
            <w:rFonts w:ascii="Times New Roman" w:hAnsi="Times New Roman" w:cs="Times New Roman"/>
            <w:noProof/>
            <w:sz w:val="20"/>
          </w:rPr>
          <w:t>2</w:t>
        </w:r>
        <w:r w:rsidRPr="00511BDE">
          <w:rPr>
            <w:rFonts w:ascii="Times New Roman" w:hAnsi="Times New Roman" w:cs="Times New Roman"/>
            <w:noProof/>
            <w:sz w:val="20"/>
          </w:rPr>
          <w:fldChar w:fldCharType="end"/>
        </w:r>
      </w:sdtContent>
    </w:sdt>
  </w:p>
  <w:p w14:paraId="0EB60F99" w14:textId="77777777" w:rsidR="00511BDE" w:rsidRDefault="00511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E9218" w14:textId="77777777" w:rsidR="004B48FA" w:rsidRDefault="004B48FA" w:rsidP="00511BDE">
      <w:r>
        <w:separator/>
      </w:r>
    </w:p>
  </w:footnote>
  <w:footnote w:type="continuationSeparator" w:id="0">
    <w:p w14:paraId="5827DFDA" w14:textId="77777777" w:rsidR="004B48FA" w:rsidRDefault="004B48FA" w:rsidP="0051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83E5794"/>
    <w:multiLevelType w:val="hybridMultilevel"/>
    <w:tmpl w:val="3A067DD4"/>
    <w:lvl w:ilvl="0" w:tplc="04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6"/>
  </w:num>
  <w:num w:numId="4">
    <w:abstractNumId w:val="3"/>
  </w:num>
  <w:num w:numId="5">
    <w:abstractNumId w:val="1"/>
  </w:num>
  <w:num w:numId="6">
    <w:abstractNumId w:val="3"/>
  </w:num>
  <w:num w:numId="7">
    <w:abstractNumId w:val="3"/>
  </w:num>
  <w:num w:numId="8">
    <w:abstractNumId w:val="3"/>
  </w:num>
  <w:num w:numId="9">
    <w:abstractNumId w:val="3"/>
  </w:num>
  <w:num w:numId="10">
    <w:abstractNumId w:val="0"/>
  </w:num>
  <w:num w:numId="11">
    <w:abstractNumId w:val="4"/>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36438"/>
    <w:rsid w:val="000416C0"/>
    <w:rsid w:val="00096409"/>
    <w:rsid w:val="000A5226"/>
    <w:rsid w:val="00160785"/>
    <w:rsid w:val="001652D6"/>
    <w:rsid w:val="00167A4E"/>
    <w:rsid w:val="001728C1"/>
    <w:rsid w:val="00185DDA"/>
    <w:rsid w:val="00187D96"/>
    <w:rsid w:val="001C4A2A"/>
    <w:rsid w:val="001D6BAF"/>
    <w:rsid w:val="001F006C"/>
    <w:rsid w:val="00204464"/>
    <w:rsid w:val="00216862"/>
    <w:rsid w:val="002241E8"/>
    <w:rsid w:val="002256E9"/>
    <w:rsid w:val="00233380"/>
    <w:rsid w:val="00233469"/>
    <w:rsid w:val="00246872"/>
    <w:rsid w:val="00274E92"/>
    <w:rsid w:val="002A09BD"/>
    <w:rsid w:val="002A6143"/>
    <w:rsid w:val="00311E4D"/>
    <w:rsid w:val="0031286C"/>
    <w:rsid w:val="0031500A"/>
    <w:rsid w:val="00351C4E"/>
    <w:rsid w:val="00353A59"/>
    <w:rsid w:val="00354CC5"/>
    <w:rsid w:val="00390468"/>
    <w:rsid w:val="003B0B70"/>
    <w:rsid w:val="0045688F"/>
    <w:rsid w:val="00472914"/>
    <w:rsid w:val="00482D43"/>
    <w:rsid w:val="00485DEA"/>
    <w:rsid w:val="004919B6"/>
    <w:rsid w:val="004B48FA"/>
    <w:rsid w:val="00511BDE"/>
    <w:rsid w:val="00577A9B"/>
    <w:rsid w:val="00594422"/>
    <w:rsid w:val="005E3141"/>
    <w:rsid w:val="005E3ADE"/>
    <w:rsid w:val="006251B5"/>
    <w:rsid w:val="006A4FB5"/>
    <w:rsid w:val="006B164D"/>
    <w:rsid w:val="007069E1"/>
    <w:rsid w:val="00737AC9"/>
    <w:rsid w:val="00756A23"/>
    <w:rsid w:val="00784E37"/>
    <w:rsid w:val="007A1C98"/>
    <w:rsid w:val="007A787E"/>
    <w:rsid w:val="007B1CB6"/>
    <w:rsid w:val="0081533E"/>
    <w:rsid w:val="008466AB"/>
    <w:rsid w:val="00855FFD"/>
    <w:rsid w:val="0086720B"/>
    <w:rsid w:val="008E50DE"/>
    <w:rsid w:val="008F2A9F"/>
    <w:rsid w:val="008F7418"/>
    <w:rsid w:val="00923CFE"/>
    <w:rsid w:val="009C3461"/>
    <w:rsid w:val="009C79F1"/>
    <w:rsid w:val="009D7E42"/>
    <w:rsid w:val="00A00856"/>
    <w:rsid w:val="00A45305"/>
    <w:rsid w:val="00A559E1"/>
    <w:rsid w:val="00A70327"/>
    <w:rsid w:val="00AC5E18"/>
    <w:rsid w:val="00B04309"/>
    <w:rsid w:val="00B04603"/>
    <w:rsid w:val="00B11B40"/>
    <w:rsid w:val="00B26E5A"/>
    <w:rsid w:val="00B81921"/>
    <w:rsid w:val="00BA1AAB"/>
    <w:rsid w:val="00BA2891"/>
    <w:rsid w:val="00BB1780"/>
    <w:rsid w:val="00BB1DD1"/>
    <w:rsid w:val="00BC0557"/>
    <w:rsid w:val="00BE0A7F"/>
    <w:rsid w:val="00BE1BFA"/>
    <w:rsid w:val="00BE4F07"/>
    <w:rsid w:val="00C03599"/>
    <w:rsid w:val="00C144FC"/>
    <w:rsid w:val="00C352D1"/>
    <w:rsid w:val="00C426A0"/>
    <w:rsid w:val="00C50B1E"/>
    <w:rsid w:val="00C52858"/>
    <w:rsid w:val="00CD1C22"/>
    <w:rsid w:val="00D12DF2"/>
    <w:rsid w:val="00D44A28"/>
    <w:rsid w:val="00D715A7"/>
    <w:rsid w:val="00D751B7"/>
    <w:rsid w:val="00DC1F83"/>
    <w:rsid w:val="00DD3EC9"/>
    <w:rsid w:val="00E23402"/>
    <w:rsid w:val="00E926B4"/>
    <w:rsid w:val="00E96E5D"/>
    <w:rsid w:val="00ED5635"/>
    <w:rsid w:val="00EE4760"/>
    <w:rsid w:val="00F43AB1"/>
    <w:rsid w:val="00F5580C"/>
    <w:rsid w:val="00F71CBF"/>
    <w:rsid w:val="00FB2DB2"/>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E96E5D"/>
    <w:pPr>
      <w:widowControl w:val="0"/>
      <w:numPr>
        <w:numId w:val="4"/>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E96E5D"/>
    <w:pPr>
      <w:keepNext/>
      <w:widowControl w:val="0"/>
      <w:numPr>
        <w:ilvl w:val="1"/>
        <w:numId w:val="4"/>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E96E5D"/>
    <w:pPr>
      <w:keepNext/>
      <w:numPr>
        <w:ilvl w:val="2"/>
        <w:numId w:val="4"/>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E96E5D"/>
    <w:pPr>
      <w:numPr>
        <w:ilvl w:val="3"/>
      </w:numPr>
      <w:outlineLvl w:val="3"/>
    </w:pPr>
    <w:rPr>
      <w:i/>
    </w:rPr>
  </w:style>
  <w:style w:type="paragraph" w:styleId="Heading5">
    <w:name w:val="heading 5"/>
    <w:basedOn w:val="Heading4"/>
    <w:next w:val="Normal"/>
    <w:link w:val="Heading5Char"/>
    <w:uiPriority w:val="9"/>
    <w:qFormat/>
    <w:rsid w:val="00E96E5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E96E5D"/>
    <w:pPr>
      <w:numPr>
        <w:ilvl w:val="5"/>
        <w:numId w:val="4"/>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E96E5D"/>
    <w:pPr>
      <w:numPr>
        <w:ilvl w:val="6"/>
        <w:numId w:val="4"/>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E96E5D"/>
    <w:pPr>
      <w:numPr>
        <w:ilvl w:val="7"/>
        <w:numId w:val="4"/>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E96E5D"/>
    <w:pPr>
      <w:numPr>
        <w:ilvl w:val="8"/>
        <w:numId w:val="4"/>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511BDE"/>
    <w:pPr>
      <w:tabs>
        <w:tab w:val="center" w:pos="4513"/>
        <w:tab w:val="right" w:pos="9026"/>
      </w:tabs>
    </w:pPr>
  </w:style>
  <w:style w:type="character" w:customStyle="1" w:styleId="FooterChar">
    <w:name w:val="Footer Char"/>
    <w:basedOn w:val="DefaultParagraphFont"/>
    <w:link w:val="Footer"/>
    <w:uiPriority w:val="99"/>
    <w:rsid w:val="00511BDE"/>
    <w:rPr>
      <w:rFonts w:ascii="Arial" w:eastAsia="SimSun" w:hAnsi="Arial" w:cs="Arial"/>
      <w:sz w:val="21"/>
      <w:szCs w:val="21"/>
      <w:lang w:val="en-GB"/>
    </w:rPr>
  </w:style>
  <w:style w:type="table" w:styleId="TableGrid">
    <w:name w:val="Table Grid"/>
    <w:basedOn w:val="TableNormal"/>
    <w:uiPriority w:val="39"/>
    <w:rsid w:val="00F43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F43AB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F43AB1"/>
    <w:rPr>
      <w:rFonts w:ascii="Times" w:eastAsia="Batang" w:hAnsi="Times" w:cs="Times New Roman"/>
      <w:sz w:val="20"/>
      <w:szCs w:val="24"/>
      <w:lang w:val="en-GB" w:eastAsia="x-none"/>
    </w:rPr>
  </w:style>
  <w:style w:type="paragraph" w:styleId="Caption">
    <w:name w:val="caption"/>
    <w:basedOn w:val="Normal"/>
    <w:next w:val="Normal"/>
    <w:uiPriority w:val="35"/>
    <w:unhideWhenUsed/>
    <w:qFormat/>
    <w:rsid w:val="007069E1"/>
    <w:pPr>
      <w:spacing w:after="200"/>
    </w:pPr>
    <w:rPr>
      <w:i/>
      <w:iCs/>
      <w:color w:val="44546A" w:themeColor="text2"/>
      <w:sz w:val="18"/>
      <w:szCs w:val="18"/>
    </w:rPr>
  </w:style>
  <w:style w:type="character" w:styleId="Hyperlink">
    <w:name w:val="Hyperlink"/>
    <w:basedOn w:val="DefaultParagraphFont"/>
    <w:uiPriority w:val="99"/>
    <w:unhideWhenUsed/>
    <w:rsid w:val="0031286C"/>
    <w:rPr>
      <w:color w:val="0563C1" w:themeColor="hyperlink"/>
      <w:u w:val="single"/>
    </w:rPr>
  </w:style>
  <w:style w:type="character" w:styleId="UnresolvedMention">
    <w:name w:val="Unresolved Mention"/>
    <w:basedOn w:val="DefaultParagraphFont"/>
    <w:uiPriority w:val="99"/>
    <w:semiHidden/>
    <w:unhideWhenUsed/>
    <w:rsid w:val="0031286C"/>
    <w:rPr>
      <w:color w:val="605E5C"/>
      <w:shd w:val="clear" w:color="auto" w:fill="E1DFDD"/>
    </w:rPr>
  </w:style>
  <w:style w:type="character" w:styleId="FollowedHyperlink">
    <w:name w:val="FollowedHyperlink"/>
    <w:basedOn w:val="DefaultParagraphFont"/>
    <w:uiPriority w:val="99"/>
    <w:semiHidden/>
    <w:unhideWhenUsed/>
    <w:rsid w:val="0031286C"/>
    <w:rPr>
      <w:color w:val="954F72" w:themeColor="followedHyperlink"/>
      <w:u w:val="singl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96E5D"/>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E96E5D"/>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96E5D"/>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96E5D"/>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E96E5D"/>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E96E5D"/>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E96E5D"/>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E96E5D"/>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E96E5D"/>
    <w:rPr>
      <w:rFonts w:ascii="Arial" w:eastAsia="Batang" w:hAnsi="Arial" w:cs="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81/Docs/RP-18211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TotalTime>
  <Pages>4</Pages>
  <Words>1603</Words>
  <Characters>9143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Discussion on coexistence in NR-V2X</vt:lpstr>
    </vt:vector>
  </TitlesOfParts>
  <Company>Guangdong OPPO Mobile Telecom</Company>
  <LinksUpToDate>false</LinksUpToDate>
  <CharactersWithSpaces>10725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coexistence in NR-V2X</dc:title>
  <dc:subject>NR-V2X Coexistence</dc:subject>
  <dc:creator>Kevin.Lin@oppo.com</dc:creator>
  <cp:keywords/>
  <dc:description>Final version for submission</dc:description>
  <cp:lastModifiedBy>Kevin Lin</cp:lastModifiedBy>
  <cp:revision>17</cp:revision>
  <dcterms:created xsi:type="dcterms:W3CDTF">2018-10-25T08:00:00Z</dcterms:created>
  <dcterms:modified xsi:type="dcterms:W3CDTF">2018-11-01T02:49:00Z</dcterms:modified>
</cp:coreProperties>
</file>