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ACD59" w14:textId="12B0D130" w:rsidR="00BC0557" w:rsidRPr="00BC0557" w:rsidRDefault="00BC0557" w:rsidP="00BC0557">
      <w:pPr>
        <w:pStyle w:val="Header"/>
        <w:tabs>
          <w:tab w:val="clear" w:pos="4153"/>
          <w:tab w:val="clear" w:pos="8306"/>
          <w:tab w:val="right" w:pos="9026"/>
        </w:tabs>
        <w:rPr>
          <w:b/>
          <w:sz w:val="24"/>
        </w:rPr>
      </w:pPr>
      <w:bookmarkStart w:id="0" w:name="_Hlk512609091"/>
      <w:bookmarkStart w:id="1" w:name="_GoBack"/>
      <w:bookmarkEnd w:id="1"/>
      <w:r w:rsidRPr="00BC0557">
        <w:rPr>
          <w:b/>
          <w:sz w:val="24"/>
        </w:rPr>
        <w:t>3GPP TSG-RAN WG1 Meeting #9</w:t>
      </w:r>
      <w:r w:rsidR="00C015E7">
        <w:rPr>
          <w:b/>
          <w:sz w:val="24"/>
        </w:rPr>
        <w:t>5</w:t>
      </w:r>
      <w:r w:rsidRPr="00BC0557">
        <w:rPr>
          <w:b/>
          <w:sz w:val="24"/>
        </w:rPr>
        <w:tab/>
        <w:t>R1-18</w:t>
      </w:r>
      <w:r w:rsidR="00037CDE">
        <w:rPr>
          <w:b/>
          <w:sz w:val="24"/>
        </w:rPr>
        <w:t>1</w:t>
      </w:r>
      <w:r w:rsidR="00E50ADD" w:rsidRPr="00E50ADD">
        <w:rPr>
          <w:b/>
          <w:color w:val="000000" w:themeColor="text1"/>
          <w:sz w:val="24"/>
        </w:rPr>
        <w:t>2829</w:t>
      </w:r>
    </w:p>
    <w:p w14:paraId="2D04BE87" w14:textId="05499E88" w:rsidR="00BC0557" w:rsidRPr="00BC0557" w:rsidRDefault="00464909" w:rsidP="00BC0557">
      <w:pPr>
        <w:pStyle w:val="Header"/>
        <w:rPr>
          <w:b/>
          <w:sz w:val="24"/>
        </w:rPr>
      </w:pPr>
      <w:r>
        <w:rPr>
          <w:b/>
          <w:sz w:val="24"/>
        </w:rPr>
        <w:t>Spokane</w:t>
      </w:r>
      <w:r w:rsidR="00BC0557" w:rsidRPr="00BC0557">
        <w:rPr>
          <w:b/>
          <w:sz w:val="24"/>
        </w:rPr>
        <w:t xml:space="preserve">, </w:t>
      </w:r>
      <w:r>
        <w:rPr>
          <w:b/>
          <w:sz w:val="24"/>
        </w:rPr>
        <w:t>USA</w:t>
      </w:r>
      <w:r w:rsidR="00BC0557" w:rsidRPr="00BC0557">
        <w:rPr>
          <w:b/>
          <w:sz w:val="24"/>
        </w:rPr>
        <w:t xml:space="preserve">, </w:t>
      </w:r>
      <w:r>
        <w:rPr>
          <w:b/>
          <w:sz w:val="24"/>
        </w:rPr>
        <w:t>12</w:t>
      </w:r>
      <w:r w:rsidR="00BC0557" w:rsidRPr="00BC0557">
        <w:rPr>
          <w:b/>
          <w:sz w:val="24"/>
        </w:rPr>
        <w:t xml:space="preserve"> – </w:t>
      </w:r>
      <w:r w:rsidR="00BC0557">
        <w:rPr>
          <w:b/>
          <w:sz w:val="24"/>
        </w:rPr>
        <w:t>1</w:t>
      </w:r>
      <w:r>
        <w:rPr>
          <w:b/>
          <w:sz w:val="24"/>
        </w:rPr>
        <w:t>6</w:t>
      </w:r>
      <w:r w:rsidR="00BC0557" w:rsidRPr="00BC0557">
        <w:rPr>
          <w:b/>
          <w:sz w:val="24"/>
        </w:rPr>
        <w:t xml:space="preserve"> </w:t>
      </w:r>
      <w:r>
        <w:rPr>
          <w:b/>
          <w:sz w:val="24"/>
        </w:rPr>
        <w:t>November</w:t>
      </w:r>
      <w:r w:rsidR="00BC0557" w:rsidRPr="00BC0557">
        <w:rPr>
          <w:b/>
          <w:sz w:val="24"/>
        </w:rPr>
        <w:t xml:space="preserve"> 2018</w:t>
      </w:r>
    </w:p>
    <w:bookmarkEnd w:id="0"/>
    <w:p w14:paraId="2A0E09CD" w14:textId="77777777" w:rsidR="00BC0557" w:rsidRDefault="00BC0557" w:rsidP="00BC0557"/>
    <w:p w14:paraId="779ABF42" w14:textId="389E1EF1" w:rsidR="00BC0557" w:rsidRPr="00A13926" w:rsidRDefault="00BC0557" w:rsidP="00BC0557">
      <w:pPr>
        <w:tabs>
          <w:tab w:val="left" w:pos="1701"/>
        </w:tabs>
        <w:spacing w:after="60"/>
        <w:rPr>
          <w:bCs/>
          <w:color w:val="000000" w:themeColor="text1"/>
        </w:rPr>
      </w:pPr>
      <w:r w:rsidRPr="00BC0557">
        <w:rPr>
          <w:b/>
          <w:sz w:val="22"/>
        </w:rPr>
        <w:t>Agenda item:</w:t>
      </w:r>
      <w:r w:rsidRPr="00EF0FD5">
        <w:tab/>
      </w:r>
      <w:r w:rsidRPr="00A13926">
        <w:rPr>
          <w:color w:val="000000" w:themeColor="text1"/>
        </w:rPr>
        <w:t>7.2.4.4</w:t>
      </w:r>
    </w:p>
    <w:p w14:paraId="06A83340" w14:textId="3C35FE00" w:rsidR="00BC0557" w:rsidRPr="00A13926" w:rsidRDefault="00BC0557" w:rsidP="00BC0557">
      <w:pPr>
        <w:tabs>
          <w:tab w:val="left" w:pos="1701"/>
        </w:tabs>
        <w:spacing w:after="60"/>
        <w:rPr>
          <w:bCs/>
          <w:color w:val="000000" w:themeColor="text1"/>
        </w:rPr>
      </w:pPr>
      <w:r w:rsidRPr="00A13926">
        <w:rPr>
          <w:b/>
          <w:color w:val="000000" w:themeColor="text1"/>
          <w:sz w:val="22"/>
        </w:rPr>
        <w:t>Title:</w:t>
      </w:r>
      <w:r w:rsidRPr="00A13926">
        <w:rPr>
          <w:b/>
          <w:color w:val="000000" w:themeColor="text1"/>
        </w:rPr>
        <w:tab/>
      </w:r>
      <w:r w:rsidRPr="00A13926">
        <w:rPr>
          <w:color w:val="000000" w:themeColor="text1"/>
        </w:rPr>
        <w:t xml:space="preserve">Discussion on </w:t>
      </w:r>
      <w:r w:rsidR="002A4A8E" w:rsidRPr="00A13926">
        <w:rPr>
          <w:color w:val="000000" w:themeColor="text1"/>
        </w:rPr>
        <w:t>QoS management</w:t>
      </w:r>
      <w:r w:rsidRPr="00A13926">
        <w:rPr>
          <w:color w:val="000000" w:themeColor="text1"/>
        </w:rPr>
        <w:t xml:space="preserve"> in NR-V2X</w:t>
      </w:r>
    </w:p>
    <w:p w14:paraId="7DC2E3DB" w14:textId="77777777"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13D3F590" w14:textId="0C96EA91" w:rsidR="00BC0557" w:rsidRPr="002F5695" w:rsidRDefault="00BC0557" w:rsidP="00BC0557">
      <w:pPr>
        <w:pStyle w:val="BodyText"/>
        <w:rPr>
          <w:color w:val="auto"/>
        </w:rPr>
      </w:pPr>
      <w:r w:rsidRPr="002F5695">
        <w:rPr>
          <w:color w:val="auto"/>
        </w:rPr>
        <w:t>In RAN</w:t>
      </w:r>
      <w:r w:rsidR="00FA1AA1" w:rsidRPr="002F5695">
        <w:rPr>
          <w:color w:val="auto"/>
        </w:rPr>
        <w:t>1</w:t>
      </w:r>
      <w:r w:rsidRPr="002F5695">
        <w:rPr>
          <w:color w:val="auto"/>
        </w:rPr>
        <w:t>#</w:t>
      </w:r>
      <w:r w:rsidR="00FA1AA1" w:rsidRPr="002F5695">
        <w:rPr>
          <w:color w:val="auto"/>
        </w:rPr>
        <w:t>94</w:t>
      </w:r>
      <w:r w:rsidR="00920A71">
        <w:rPr>
          <w:color w:val="auto"/>
        </w:rPr>
        <w:t>bis</w:t>
      </w:r>
      <w:r w:rsidRPr="002F5695">
        <w:rPr>
          <w:color w:val="auto"/>
        </w:rPr>
        <w:t xml:space="preserve"> meeting, </w:t>
      </w:r>
      <w:r w:rsidR="00FA1AA1" w:rsidRPr="002F5695">
        <w:rPr>
          <w:color w:val="auto"/>
        </w:rPr>
        <w:t>QoS management for NR-V2X was discussed and the following agreement was reached and captured in [1]:</w:t>
      </w:r>
    </w:p>
    <w:p w14:paraId="6238AC85" w14:textId="333F47C1" w:rsidR="00FA1AA1" w:rsidRPr="002F5695" w:rsidRDefault="00FA1AA1" w:rsidP="00BC0557">
      <w:pPr>
        <w:pStyle w:val="BodyText"/>
        <w:rPr>
          <w:color w:val="auto"/>
        </w:rPr>
      </w:pPr>
    </w:p>
    <w:tbl>
      <w:tblPr>
        <w:tblStyle w:val="TableGrid"/>
        <w:tblW w:w="0" w:type="auto"/>
        <w:tblLook w:val="04A0" w:firstRow="1" w:lastRow="0" w:firstColumn="1" w:lastColumn="0" w:noHBand="0" w:noVBand="1"/>
      </w:tblPr>
      <w:tblGrid>
        <w:gridCol w:w="9016"/>
      </w:tblGrid>
      <w:tr w:rsidR="002F5695" w:rsidRPr="002F5695" w14:paraId="2C684061" w14:textId="77777777" w:rsidTr="00FA1AA1">
        <w:tc>
          <w:tcPr>
            <w:tcW w:w="9016" w:type="dxa"/>
          </w:tcPr>
          <w:p w14:paraId="5A6080A7" w14:textId="77777777" w:rsidR="009F0CF0" w:rsidRPr="009F0CF0" w:rsidRDefault="009F0CF0" w:rsidP="009F0CF0">
            <w:pPr>
              <w:rPr>
                <w:rFonts w:ascii="Times New Roman" w:hAnsi="Times New Roman" w:cs="Times New Roman"/>
                <w:b/>
                <w:sz w:val="22"/>
                <w:lang w:eastAsia="x-none"/>
              </w:rPr>
            </w:pPr>
            <w:r w:rsidRPr="009F0CF0">
              <w:rPr>
                <w:rFonts w:ascii="Times New Roman" w:hAnsi="Times New Roman" w:cs="Times New Roman"/>
                <w:b/>
                <w:sz w:val="22"/>
                <w:highlight w:val="green"/>
                <w:lang w:eastAsia="x-none"/>
              </w:rPr>
              <w:t>Agreements</w:t>
            </w:r>
            <w:r w:rsidRPr="009F0CF0">
              <w:rPr>
                <w:rFonts w:ascii="Times New Roman" w:hAnsi="Times New Roman" w:cs="Times New Roman"/>
                <w:b/>
                <w:sz w:val="22"/>
                <w:lang w:eastAsia="x-none"/>
              </w:rPr>
              <w:t>:</w:t>
            </w:r>
          </w:p>
          <w:p w14:paraId="43347650" w14:textId="77777777" w:rsidR="009F0CF0" w:rsidRPr="009F0CF0" w:rsidRDefault="009F0CF0" w:rsidP="009F0CF0">
            <w:pPr>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RAN1 studies further how to use </w:t>
            </w:r>
          </w:p>
          <w:p w14:paraId="4EABA744" w14:textId="77777777" w:rsidR="009F0CF0" w:rsidRPr="009F0CF0" w:rsidRDefault="009F0CF0" w:rsidP="009F0CF0">
            <w:pPr>
              <w:numPr>
                <w:ilvl w:val="0"/>
                <w:numId w:val="4"/>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priority, </w:t>
            </w:r>
          </w:p>
          <w:p w14:paraId="2A3CAB21" w14:textId="77777777" w:rsidR="009F0CF0" w:rsidRPr="009F0CF0" w:rsidRDefault="009F0CF0" w:rsidP="009F0CF0">
            <w:pPr>
              <w:numPr>
                <w:ilvl w:val="0"/>
                <w:numId w:val="4"/>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latency,</w:t>
            </w:r>
          </w:p>
          <w:p w14:paraId="747DD924" w14:textId="77777777" w:rsidR="009F0CF0" w:rsidRPr="009F0CF0" w:rsidRDefault="009F0CF0" w:rsidP="009F0CF0">
            <w:pPr>
              <w:numPr>
                <w:ilvl w:val="0"/>
                <w:numId w:val="4"/>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reliability,</w:t>
            </w:r>
          </w:p>
          <w:p w14:paraId="1B003736" w14:textId="77777777" w:rsidR="009F0CF0" w:rsidRPr="009F0CF0" w:rsidRDefault="009F0CF0" w:rsidP="009F0CF0">
            <w:pPr>
              <w:numPr>
                <w:ilvl w:val="0"/>
                <w:numId w:val="4"/>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minimum required communication range (as defined by higher layers) if agreed to use</w:t>
            </w:r>
          </w:p>
          <w:p w14:paraId="7252D347" w14:textId="77777777" w:rsidR="009F0CF0" w:rsidRPr="009F0CF0" w:rsidRDefault="009F0CF0" w:rsidP="009F0CF0">
            <w:pPr>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in the physical layer aspects of at least </w:t>
            </w:r>
          </w:p>
          <w:p w14:paraId="6E8041A0" w14:textId="77777777" w:rsidR="009F0CF0" w:rsidRPr="009F0CF0" w:rsidRDefault="009F0CF0" w:rsidP="009F0CF0">
            <w:pPr>
              <w:numPr>
                <w:ilvl w:val="0"/>
                <w:numId w:val="3"/>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resource allocation and </w:t>
            </w:r>
          </w:p>
          <w:p w14:paraId="49629AA0" w14:textId="77777777" w:rsidR="009F0CF0" w:rsidRPr="009F0CF0" w:rsidRDefault="009F0CF0" w:rsidP="009F0CF0">
            <w:pPr>
              <w:numPr>
                <w:ilvl w:val="0"/>
                <w:numId w:val="3"/>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congestion control and </w:t>
            </w:r>
          </w:p>
          <w:p w14:paraId="66D2BD92" w14:textId="77777777" w:rsidR="009F0CF0" w:rsidRPr="009F0CF0" w:rsidRDefault="009F0CF0" w:rsidP="009F0CF0">
            <w:pPr>
              <w:numPr>
                <w:ilvl w:val="0"/>
                <w:numId w:val="3"/>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resolution of in-device coexistence issues and </w:t>
            </w:r>
          </w:p>
          <w:p w14:paraId="116009E5" w14:textId="77C3A95E" w:rsidR="00FA1AA1" w:rsidRPr="009F0CF0" w:rsidRDefault="009F0CF0" w:rsidP="009F0CF0">
            <w:pPr>
              <w:numPr>
                <w:ilvl w:val="0"/>
                <w:numId w:val="3"/>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power control</w:t>
            </w:r>
          </w:p>
        </w:tc>
      </w:tr>
    </w:tbl>
    <w:p w14:paraId="61B5676D" w14:textId="074DB21E" w:rsidR="00FA1AA1" w:rsidRPr="002F5695" w:rsidRDefault="00FA1AA1" w:rsidP="00BC0557">
      <w:pPr>
        <w:pStyle w:val="BodyText"/>
        <w:rPr>
          <w:color w:val="auto"/>
        </w:rPr>
      </w:pPr>
    </w:p>
    <w:p w14:paraId="4AB6E37E" w14:textId="6487A62B" w:rsidR="00FA1AA1" w:rsidRPr="002F5695" w:rsidRDefault="00FA1AA1" w:rsidP="00BC0557">
      <w:pPr>
        <w:pStyle w:val="BodyText"/>
        <w:rPr>
          <w:color w:val="auto"/>
        </w:rPr>
      </w:pPr>
      <w:r w:rsidRPr="002F5695">
        <w:rPr>
          <w:color w:val="auto"/>
        </w:rPr>
        <w:t xml:space="preserve">In this contribution, we discuss about </w:t>
      </w:r>
      <w:r w:rsidR="00203716" w:rsidRPr="002F5695">
        <w:rPr>
          <w:color w:val="auto"/>
        </w:rPr>
        <w:t>some possible techniques that could be adopted in NR-V2X to support these QoS-related parameters.</w:t>
      </w:r>
    </w:p>
    <w:p w14:paraId="7A5370C9" w14:textId="610A778B" w:rsidR="00B04603" w:rsidRPr="00BC0557" w:rsidRDefault="00B04603" w:rsidP="00BC0557"/>
    <w:p w14:paraId="2DDFB004" w14:textId="77777777" w:rsidR="00BC0557" w:rsidRPr="00BC0557" w:rsidRDefault="00BC0557" w:rsidP="00BC0557">
      <w:pPr>
        <w:spacing w:after="120"/>
        <w:rPr>
          <w:b/>
          <w:sz w:val="22"/>
        </w:rPr>
      </w:pPr>
      <w:r w:rsidRPr="00BC0557">
        <w:rPr>
          <w:b/>
          <w:sz w:val="22"/>
        </w:rPr>
        <w:t>2. Discussion</w:t>
      </w:r>
    </w:p>
    <w:p w14:paraId="75805116" w14:textId="01091B17" w:rsidR="00E3149F" w:rsidRPr="007F008D" w:rsidRDefault="00BC0557" w:rsidP="00FA08F8">
      <w:pPr>
        <w:spacing w:after="120"/>
      </w:pPr>
      <w:r w:rsidRPr="007F008D">
        <w:t xml:space="preserve">In LTE-V2X, </w:t>
      </w:r>
      <w:r w:rsidR="00E3149F" w:rsidRPr="007F008D">
        <w:t xml:space="preserve">a </w:t>
      </w:r>
      <w:r w:rsidR="002A4F9C" w:rsidRPr="007F008D">
        <w:t xml:space="preserve">priority </w:t>
      </w:r>
      <w:r w:rsidR="00E3149F" w:rsidRPr="007F008D">
        <w:t>level (PPPP) is assigned to each packet when it is generated by the higher layer</w:t>
      </w:r>
      <w:r w:rsidR="004D3E2E" w:rsidRPr="007F008D">
        <w:t xml:space="preserve"> and this information is passed to PHY and encoded as part of SCI. Then during the sensing-based resource selection procedure, other UEs will retrieve and take into consideration of this information (along with PSSCH-RSRP measurements) when performing resource exclusion. </w:t>
      </w:r>
      <w:r w:rsidR="001E413C" w:rsidRPr="007F008D">
        <w:t>To certain degree, packets with higher priority are protected in a sense that their SL resources that have already been reserved will most likely be excluded from selection by other UEs. However, if there are no reserved SL resources for high priority packets and resource pool is heavily congested, there is no guarantee that the packets will be transmitted. In our companion paper [</w:t>
      </w:r>
      <w:r w:rsidR="00F87954" w:rsidRPr="007F008D">
        <w:t>3</w:t>
      </w:r>
      <w:r w:rsidR="001E413C" w:rsidRPr="007F008D">
        <w:t xml:space="preserve">], it is proposed to introduce resource pre-emption </w:t>
      </w:r>
      <w:r w:rsidR="00F87954" w:rsidRPr="007F008D">
        <w:t>to ensure higher priority message TBs are transmitted.</w:t>
      </w:r>
    </w:p>
    <w:p w14:paraId="5561052A" w14:textId="38C3123F" w:rsidR="00F87954" w:rsidRPr="007F008D" w:rsidRDefault="00F87954" w:rsidP="007F008D">
      <w:pPr>
        <w:rPr>
          <w:b/>
          <w:i/>
        </w:rPr>
      </w:pPr>
      <w:r w:rsidRPr="007F008D">
        <w:rPr>
          <w:b/>
          <w:i/>
        </w:rPr>
        <w:t>Proposal 1: To ensure high priority packets are transmitted in NR-V2X, resource pre-emption by reservation in [3] should be considered and studied further.</w:t>
      </w:r>
    </w:p>
    <w:p w14:paraId="2E9FD268" w14:textId="3346BE95" w:rsidR="00F87954" w:rsidRDefault="00F87954" w:rsidP="007F008D">
      <w:pPr>
        <w:rPr>
          <w:color w:val="FF0000"/>
        </w:rPr>
      </w:pPr>
    </w:p>
    <w:p w14:paraId="3C0A20F0" w14:textId="6370E37E" w:rsidR="007F008D" w:rsidRPr="00501C3F" w:rsidRDefault="007F008D" w:rsidP="00FA08F8">
      <w:pPr>
        <w:spacing w:after="120"/>
      </w:pPr>
      <w:r w:rsidRPr="00501C3F">
        <w:t xml:space="preserve">For the latency aspect, the above described assigned PPPP level assigned to each packet is also mapped to a packet delay budget at the higher layer and this information is passed down to PHY for determining the T2 value </w:t>
      </w:r>
      <w:r w:rsidR="008E58F8" w:rsidRPr="00501C3F">
        <w:t>during</w:t>
      </w:r>
      <w:r w:rsidRPr="00501C3F">
        <w:t xml:space="preserve"> resource selection </w:t>
      </w:r>
      <w:r w:rsidR="008E58F8" w:rsidRPr="00501C3F">
        <w:t xml:space="preserve">procedure </w:t>
      </w:r>
      <w:r w:rsidRPr="00501C3F">
        <w:t xml:space="preserve">to ensure latency requirement of the packet is met. </w:t>
      </w:r>
      <w:r w:rsidR="008E58F8" w:rsidRPr="00501C3F">
        <w:t xml:space="preserve">For NR-V2X, </w:t>
      </w:r>
      <w:r w:rsidR="00501C3F" w:rsidRPr="00501C3F">
        <w:t>larger SCS than LTE-V2X can be and most likely will be defined, and this will provide more Tx opportunities for the transmitting UE to select SL resources. And thus, higher chance of latency requirement being met, even when T2 is tight.</w:t>
      </w:r>
    </w:p>
    <w:p w14:paraId="72F666E8" w14:textId="5AAD6C93" w:rsidR="00501C3F" w:rsidRPr="007F008D" w:rsidRDefault="00501C3F" w:rsidP="00501C3F">
      <w:pPr>
        <w:rPr>
          <w:b/>
          <w:i/>
        </w:rPr>
      </w:pPr>
      <w:r w:rsidRPr="007F008D">
        <w:rPr>
          <w:b/>
          <w:i/>
        </w:rPr>
        <w:t xml:space="preserve">Proposal </w:t>
      </w:r>
      <w:r>
        <w:rPr>
          <w:b/>
          <w:i/>
        </w:rPr>
        <w:t>2</w:t>
      </w:r>
      <w:r w:rsidRPr="007F008D">
        <w:rPr>
          <w:b/>
          <w:i/>
        </w:rPr>
        <w:t xml:space="preserve">: </w:t>
      </w:r>
      <w:r>
        <w:rPr>
          <w:b/>
          <w:i/>
        </w:rPr>
        <w:t>For high priority / low latency packets, RAN2/1 should consider to map them to NR carriers with larger SCS.</w:t>
      </w:r>
    </w:p>
    <w:p w14:paraId="04396272" w14:textId="77777777" w:rsidR="004A0109" w:rsidRDefault="004A0109" w:rsidP="004A0109">
      <w:pPr>
        <w:rPr>
          <w:color w:val="FF0000"/>
        </w:rPr>
      </w:pPr>
    </w:p>
    <w:p w14:paraId="77381536" w14:textId="3E2A3C01" w:rsidR="00501C3F" w:rsidRPr="004A0109" w:rsidRDefault="00501C3F" w:rsidP="004A0109">
      <w:pPr>
        <w:spacing w:after="60"/>
      </w:pPr>
      <w:r w:rsidRPr="004A0109">
        <w:t xml:space="preserve">In LTE-V2X, reliability of transmitted packets </w:t>
      </w:r>
      <w:r w:rsidR="004A0109" w:rsidRPr="004A0109">
        <w:t>is</w:t>
      </w:r>
      <w:r w:rsidRPr="004A0109">
        <w:t xml:space="preserve"> achieved in PHY by combination of autonomous retransmission of data TBs, selection of MCS level and resource size (sub-channels), </w:t>
      </w:r>
      <w:r w:rsidR="004A0109">
        <w:t xml:space="preserve">sensing + </w:t>
      </w:r>
      <w:r w:rsidR="004A0109">
        <w:lastRenderedPageBreak/>
        <w:t xml:space="preserve">SPS, </w:t>
      </w:r>
      <w:r w:rsidRPr="004A0109">
        <w:t xml:space="preserve">packet duplication (if CA is supported) and transparent </w:t>
      </w:r>
      <w:proofErr w:type="spellStart"/>
      <w:r w:rsidRPr="004A0109">
        <w:t>TxD</w:t>
      </w:r>
      <w:proofErr w:type="spellEnd"/>
      <w:r w:rsidRPr="004A0109">
        <w:t xml:space="preserve"> (if supported). </w:t>
      </w:r>
      <w:r w:rsidR="004A0109" w:rsidRPr="004A0109">
        <w:t xml:space="preserve">However, for advanced V2X use cases that need to be supported by NR-V2X, much stringent / higher reliability requirements are defined in [2]. Below are a list of possible </w:t>
      </w:r>
      <w:r w:rsidR="004A0109">
        <w:t xml:space="preserve">additional </w:t>
      </w:r>
      <w:r w:rsidR="004A0109" w:rsidRPr="004A0109">
        <w:t>techniques or schemes that could be considered and studied for NR-V2X.</w:t>
      </w:r>
    </w:p>
    <w:p w14:paraId="358164AF" w14:textId="5DD22C89" w:rsidR="00714633" w:rsidRPr="004A0109" w:rsidRDefault="004A0109" w:rsidP="004A0109">
      <w:pPr>
        <w:pStyle w:val="ListParagraph"/>
        <w:numPr>
          <w:ilvl w:val="0"/>
          <w:numId w:val="1"/>
        </w:numPr>
        <w:spacing w:after="60"/>
        <w:ind w:leftChars="0"/>
        <w:rPr>
          <w:rFonts w:ascii="Arial" w:hAnsi="Arial" w:cs="Arial"/>
          <w:sz w:val="21"/>
          <w:szCs w:val="21"/>
        </w:rPr>
      </w:pPr>
      <w:r>
        <w:rPr>
          <w:rFonts w:ascii="Arial" w:hAnsi="Arial" w:cs="Arial"/>
          <w:sz w:val="21"/>
          <w:szCs w:val="21"/>
        </w:rPr>
        <w:t>V</w:t>
      </w:r>
      <w:r w:rsidR="00714633" w:rsidRPr="004A0109">
        <w:rPr>
          <w:rFonts w:ascii="Arial" w:hAnsi="Arial" w:cs="Arial"/>
          <w:sz w:val="21"/>
          <w:szCs w:val="21"/>
        </w:rPr>
        <w:t>ariable retransmission</w:t>
      </w:r>
      <w:r>
        <w:rPr>
          <w:rFonts w:ascii="Arial" w:hAnsi="Arial" w:cs="Arial"/>
          <w:sz w:val="21"/>
          <w:szCs w:val="21"/>
        </w:rPr>
        <w:t>s</w:t>
      </w:r>
      <w:r w:rsidR="00714633" w:rsidRPr="004A0109">
        <w:rPr>
          <w:rFonts w:ascii="Arial" w:hAnsi="Arial" w:cs="Arial"/>
          <w:sz w:val="21"/>
          <w:szCs w:val="21"/>
        </w:rPr>
        <w:t>, matching to appropriate MCS level</w:t>
      </w:r>
      <w:r>
        <w:rPr>
          <w:rFonts w:ascii="Arial" w:hAnsi="Arial" w:cs="Arial"/>
          <w:sz w:val="21"/>
          <w:szCs w:val="21"/>
        </w:rPr>
        <w:t xml:space="preserve"> and target reliability</w:t>
      </w:r>
    </w:p>
    <w:p w14:paraId="30A12D9D" w14:textId="103903EE" w:rsidR="00714633" w:rsidRPr="004A0109" w:rsidRDefault="00714633" w:rsidP="004A0109">
      <w:pPr>
        <w:pStyle w:val="ListParagraph"/>
        <w:numPr>
          <w:ilvl w:val="0"/>
          <w:numId w:val="1"/>
        </w:numPr>
        <w:spacing w:after="60"/>
        <w:ind w:leftChars="0"/>
        <w:rPr>
          <w:rFonts w:ascii="Arial" w:hAnsi="Arial" w:cs="Arial"/>
          <w:sz w:val="21"/>
          <w:szCs w:val="21"/>
        </w:rPr>
      </w:pPr>
      <w:r w:rsidRPr="004A0109">
        <w:rPr>
          <w:rFonts w:ascii="Arial" w:hAnsi="Arial" w:cs="Arial"/>
          <w:sz w:val="21"/>
          <w:szCs w:val="21"/>
        </w:rPr>
        <w:t>HARQ and CQI feedback</w:t>
      </w:r>
    </w:p>
    <w:p w14:paraId="02987DD5" w14:textId="5B1C9EB0" w:rsidR="00714633" w:rsidRPr="004A0109" w:rsidRDefault="00714633" w:rsidP="004A0109">
      <w:pPr>
        <w:pStyle w:val="ListParagraph"/>
        <w:numPr>
          <w:ilvl w:val="0"/>
          <w:numId w:val="1"/>
        </w:numPr>
        <w:spacing w:after="60"/>
        <w:ind w:leftChars="0"/>
        <w:rPr>
          <w:rFonts w:ascii="Arial" w:hAnsi="Arial" w:cs="Arial"/>
          <w:sz w:val="21"/>
          <w:szCs w:val="21"/>
        </w:rPr>
      </w:pPr>
      <w:r w:rsidRPr="004A0109">
        <w:rPr>
          <w:rFonts w:ascii="Arial" w:hAnsi="Arial" w:cs="Arial"/>
          <w:sz w:val="21"/>
          <w:szCs w:val="21"/>
        </w:rPr>
        <w:t>Sensing + pre-emption</w:t>
      </w:r>
    </w:p>
    <w:p w14:paraId="67262CDD" w14:textId="09D9120B" w:rsidR="00383817" w:rsidRPr="004A0109" w:rsidRDefault="00383817" w:rsidP="004A0109">
      <w:pPr>
        <w:pStyle w:val="ListParagraph"/>
        <w:numPr>
          <w:ilvl w:val="0"/>
          <w:numId w:val="1"/>
        </w:numPr>
        <w:spacing w:after="120"/>
        <w:ind w:leftChars="0"/>
        <w:rPr>
          <w:rFonts w:ascii="Arial" w:hAnsi="Arial" w:cs="Arial"/>
          <w:sz w:val="21"/>
          <w:szCs w:val="21"/>
        </w:rPr>
      </w:pPr>
      <w:r w:rsidRPr="004A0109">
        <w:rPr>
          <w:rFonts w:ascii="Arial" w:hAnsi="Arial" w:cs="Arial"/>
          <w:sz w:val="21"/>
          <w:szCs w:val="21"/>
        </w:rPr>
        <w:t xml:space="preserve">MIMO precoding / Beamforming / </w:t>
      </w:r>
      <w:proofErr w:type="spellStart"/>
      <w:r w:rsidRPr="004A0109">
        <w:rPr>
          <w:rFonts w:ascii="Arial" w:hAnsi="Arial" w:cs="Arial"/>
          <w:sz w:val="21"/>
          <w:szCs w:val="21"/>
        </w:rPr>
        <w:t>TxD</w:t>
      </w:r>
      <w:proofErr w:type="spellEnd"/>
    </w:p>
    <w:p w14:paraId="5469881C" w14:textId="353C85C9" w:rsidR="004A0109" w:rsidRPr="004A0109" w:rsidRDefault="004A0109" w:rsidP="004A0109">
      <w:pPr>
        <w:rPr>
          <w:b/>
          <w:i/>
        </w:rPr>
      </w:pPr>
      <w:r w:rsidRPr="003E610F">
        <w:rPr>
          <w:b/>
          <w:i/>
        </w:rPr>
        <w:t xml:space="preserve">Proposal 3: To achieve </w:t>
      </w:r>
      <w:r w:rsidR="003E610F" w:rsidRPr="003E610F">
        <w:rPr>
          <w:b/>
          <w:i/>
        </w:rPr>
        <w:t>high</w:t>
      </w:r>
      <w:r w:rsidRPr="003E610F">
        <w:rPr>
          <w:b/>
          <w:i/>
        </w:rPr>
        <w:t xml:space="preserve"> reliability requirement</w:t>
      </w:r>
      <w:r w:rsidR="003E610F" w:rsidRPr="003E610F">
        <w:rPr>
          <w:b/>
          <w:i/>
        </w:rPr>
        <w:t>s</w:t>
      </w:r>
      <w:r w:rsidRPr="003E610F">
        <w:rPr>
          <w:b/>
          <w:i/>
        </w:rPr>
        <w:t xml:space="preserve"> </w:t>
      </w:r>
      <w:r w:rsidR="003E610F" w:rsidRPr="003E610F">
        <w:rPr>
          <w:b/>
          <w:i/>
        </w:rPr>
        <w:t>of advanced V2X use cases</w:t>
      </w:r>
      <w:r w:rsidRPr="003E610F">
        <w:rPr>
          <w:b/>
          <w:i/>
        </w:rPr>
        <w:t xml:space="preserve">, </w:t>
      </w:r>
      <w:r w:rsidR="003E610F" w:rsidRPr="003E610F">
        <w:rPr>
          <w:b/>
          <w:i/>
        </w:rPr>
        <w:t xml:space="preserve">RAN1 should consider and study additional PHY techniques such as variable retransmissions, HARQ and CQI feedback, sensing + pre-emption, and MIMO precoding / beamforming / </w:t>
      </w:r>
      <w:proofErr w:type="spellStart"/>
      <w:r w:rsidR="003E610F" w:rsidRPr="003E610F">
        <w:rPr>
          <w:b/>
          <w:i/>
        </w:rPr>
        <w:t>TxD</w:t>
      </w:r>
      <w:proofErr w:type="spellEnd"/>
      <w:r w:rsidR="003E610F" w:rsidRPr="003E610F">
        <w:rPr>
          <w:b/>
          <w:i/>
        </w:rPr>
        <w:t>.</w:t>
      </w:r>
    </w:p>
    <w:p w14:paraId="6795E3EB" w14:textId="5C250063" w:rsidR="004A0109" w:rsidRDefault="004A0109" w:rsidP="004A0109">
      <w:pPr>
        <w:rPr>
          <w:color w:val="FF0000"/>
        </w:rPr>
      </w:pPr>
    </w:p>
    <w:p w14:paraId="128CCFCD" w14:textId="728B34BC" w:rsidR="004A0109" w:rsidRPr="006C78D3" w:rsidRDefault="003E610F" w:rsidP="006C78D3">
      <w:pPr>
        <w:spacing w:after="120"/>
      </w:pPr>
      <w:r w:rsidRPr="006C78D3">
        <w:t xml:space="preserve">In order to </w:t>
      </w:r>
      <w:r w:rsidR="00A74A34" w:rsidRPr="006C78D3">
        <w:t xml:space="preserve">support </w:t>
      </w:r>
      <w:r w:rsidRPr="006C78D3">
        <w:t xml:space="preserve">some of advanced V2X use cases, it is required for NR-V2X to </w:t>
      </w:r>
      <w:r w:rsidR="00A74A34" w:rsidRPr="006C78D3">
        <w:t>perform</w:t>
      </w:r>
      <w:r w:rsidRPr="006C78D3">
        <w:t xml:space="preserve"> high data rate transmissions [2]. </w:t>
      </w:r>
      <w:r w:rsidR="00A74A34" w:rsidRPr="006C78D3">
        <w:t xml:space="preserve">In LTE-V2X, multi-carrier operation such as carrier aggregation and the use of 64QAM were </w:t>
      </w:r>
      <w:r w:rsidR="006C78D3" w:rsidRPr="006C78D3">
        <w:t xml:space="preserve">the </w:t>
      </w:r>
      <w:r w:rsidR="00A74A34" w:rsidRPr="006C78D3">
        <w:t xml:space="preserve">two techniques </w:t>
      </w:r>
      <w:r w:rsidR="006C78D3" w:rsidRPr="006C78D3">
        <w:t>introduced in Rel-15 in attempt to support higher data rate transmissions. For NR-V2X, beside the obvious that larger channel BW and bigger sub-channel size can be provided in FR2 to support high data rate transmissions, other techniques that could be studied especially for FR1 include even higher modulation order (e.g. 256QAM in very good geometry) and multi-layer MIMO transmission.</w:t>
      </w:r>
    </w:p>
    <w:p w14:paraId="0F2A9EF7" w14:textId="3B11855B" w:rsidR="006C78D3" w:rsidRPr="004A0109" w:rsidRDefault="006C78D3" w:rsidP="006C78D3">
      <w:pPr>
        <w:rPr>
          <w:b/>
          <w:i/>
        </w:rPr>
      </w:pPr>
      <w:r w:rsidRPr="003E610F">
        <w:rPr>
          <w:b/>
          <w:i/>
        </w:rPr>
        <w:t xml:space="preserve">Proposal </w:t>
      </w:r>
      <w:r>
        <w:rPr>
          <w:b/>
          <w:i/>
        </w:rPr>
        <w:t>4</w:t>
      </w:r>
      <w:r w:rsidRPr="003E610F">
        <w:rPr>
          <w:b/>
          <w:i/>
        </w:rPr>
        <w:t xml:space="preserve">: To achieve high </w:t>
      </w:r>
      <w:r>
        <w:rPr>
          <w:b/>
          <w:i/>
        </w:rPr>
        <w:t>data rate transmissions especially in FR1, RAN1 should consider to investigate high modulation order (e.g. 256QAM in very good geometry) and multi-layer MIMO transmission.</w:t>
      </w:r>
    </w:p>
    <w:p w14:paraId="71211616" w14:textId="77777777" w:rsidR="006C78D3" w:rsidRDefault="006C78D3" w:rsidP="006C78D3">
      <w:pPr>
        <w:rPr>
          <w:color w:val="FF0000"/>
        </w:rPr>
      </w:pPr>
    </w:p>
    <w:p w14:paraId="07743C9B" w14:textId="50340BAB" w:rsidR="004A26CE" w:rsidRPr="00120019" w:rsidRDefault="004A26CE" w:rsidP="00905F1D">
      <w:pPr>
        <w:spacing w:after="120"/>
      </w:pPr>
      <w:r w:rsidRPr="00120019">
        <w:t xml:space="preserve">In [2], minimum required communication range (in meters) is often specified for many of the advanced V2X use cases. </w:t>
      </w:r>
      <w:r w:rsidR="00905F1D" w:rsidRPr="00120019">
        <w:t>To reach the required communication range, the NR sidelink transmission also needs to satisfy all other required targets at the same time such as data rate, reliability, latency and transmission rate. Therefore, all previously mentioned techniques are all equally applicable here to achieve the target communication range. There are perhaps two techniques that stand out more than others, in particular, beamforming/</w:t>
      </w:r>
      <w:proofErr w:type="spellStart"/>
      <w:r w:rsidR="00905F1D" w:rsidRPr="00120019">
        <w:t>TxD</w:t>
      </w:r>
      <w:proofErr w:type="spellEnd"/>
      <w:r w:rsidR="00905F1D" w:rsidRPr="00120019">
        <w:t xml:space="preserve"> and also power control.</w:t>
      </w:r>
    </w:p>
    <w:p w14:paraId="231A3367" w14:textId="41E45E32" w:rsidR="00905F1D" w:rsidRDefault="00905F1D" w:rsidP="006C78D3">
      <w:pPr>
        <w:rPr>
          <w:color w:val="FF0000"/>
        </w:rPr>
      </w:pPr>
      <w:r w:rsidRPr="003E610F">
        <w:rPr>
          <w:b/>
          <w:i/>
        </w:rPr>
        <w:t xml:space="preserve">Proposal </w:t>
      </w:r>
      <w:r>
        <w:rPr>
          <w:b/>
          <w:i/>
        </w:rPr>
        <w:t>5</w:t>
      </w:r>
      <w:r w:rsidRPr="003E610F">
        <w:rPr>
          <w:b/>
          <w:i/>
        </w:rPr>
        <w:t xml:space="preserve">: </w:t>
      </w:r>
      <w:r w:rsidR="00120019" w:rsidRPr="003E610F">
        <w:rPr>
          <w:b/>
          <w:i/>
        </w:rPr>
        <w:t xml:space="preserve">To achieve </w:t>
      </w:r>
      <w:r w:rsidR="00120019">
        <w:rPr>
          <w:b/>
          <w:i/>
        </w:rPr>
        <w:t xml:space="preserve">target communication range for advanced V2X use cases, beamforming, </w:t>
      </w:r>
      <w:proofErr w:type="spellStart"/>
      <w:r w:rsidR="00120019">
        <w:rPr>
          <w:b/>
          <w:i/>
        </w:rPr>
        <w:t>TxD</w:t>
      </w:r>
      <w:proofErr w:type="spellEnd"/>
      <w:r w:rsidR="00120019">
        <w:rPr>
          <w:b/>
          <w:i/>
        </w:rPr>
        <w:t xml:space="preserve"> and power control techniques should be investigated in RAN1.</w:t>
      </w:r>
    </w:p>
    <w:p w14:paraId="64376E87" w14:textId="77777777" w:rsidR="00905F1D" w:rsidRDefault="00905F1D" w:rsidP="00BC0557">
      <w:pPr>
        <w:spacing w:after="120"/>
        <w:rPr>
          <w:b/>
          <w:sz w:val="22"/>
        </w:rPr>
      </w:pPr>
    </w:p>
    <w:p w14:paraId="3A91C9E1" w14:textId="37E195AA" w:rsidR="00BC0557" w:rsidRPr="00BC0557" w:rsidRDefault="00BC0557" w:rsidP="00BC0557">
      <w:pPr>
        <w:spacing w:after="120"/>
        <w:rPr>
          <w:b/>
          <w:sz w:val="22"/>
        </w:rPr>
      </w:pPr>
      <w:r w:rsidRPr="00BC0557">
        <w:rPr>
          <w:b/>
          <w:sz w:val="22"/>
        </w:rPr>
        <w:t>3. Conclusion</w:t>
      </w:r>
    </w:p>
    <w:p w14:paraId="05FA8798" w14:textId="007D88DA" w:rsidR="00BC0557" w:rsidRPr="009E0397" w:rsidRDefault="00BC0557" w:rsidP="00BC0557">
      <w:pPr>
        <w:rPr>
          <w:iCs/>
        </w:rPr>
      </w:pPr>
      <w:r w:rsidRPr="009E0397">
        <w:t xml:space="preserve">In this contribution, </w:t>
      </w:r>
      <w:r w:rsidR="009E0397" w:rsidRPr="009E0397">
        <w:t>we discussed about some possible techniques that could be studied further in RAN1 for NR-V2X to support these QoS-related parameters</w:t>
      </w:r>
      <w:r w:rsidRPr="009E0397">
        <w:t xml:space="preserve">. </w:t>
      </w:r>
      <w:r w:rsidRPr="009E0397">
        <w:rPr>
          <w:iCs/>
        </w:rPr>
        <w:t>In summary, we have the following proposals:</w:t>
      </w:r>
    </w:p>
    <w:p w14:paraId="6AF7B416" w14:textId="3BC4A63B" w:rsidR="009E0397" w:rsidRDefault="009E0397" w:rsidP="00BC0557">
      <w:pPr>
        <w:rPr>
          <w:iCs/>
          <w:color w:val="FF0000"/>
        </w:rPr>
      </w:pPr>
    </w:p>
    <w:p w14:paraId="0229FC94" w14:textId="7AE70FDB" w:rsidR="009E0397" w:rsidRDefault="009E0397" w:rsidP="00BC0557">
      <w:pPr>
        <w:rPr>
          <w:b/>
          <w:i/>
        </w:rPr>
      </w:pPr>
      <w:r w:rsidRPr="007F008D">
        <w:rPr>
          <w:b/>
          <w:i/>
        </w:rPr>
        <w:t>Proposal 1: To ensure high priority packets are transmitted in NR-V2X, resource pre-emption by reservation in [3] should be considered and studied further.</w:t>
      </w:r>
    </w:p>
    <w:p w14:paraId="0D58449D" w14:textId="77777777" w:rsidR="009E0397" w:rsidRPr="00D715A7" w:rsidRDefault="009E0397" w:rsidP="00BC0557">
      <w:pPr>
        <w:rPr>
          <w:iCs/>
          <w:color w:val="FF0000"/>
        </w:rPr>
      </w:pPr>
    </w:p>
    <w:p w14:paraId="2453B69F" w14:textId="651C22C6" w:rsidR="00BC0557" w:rsidRDefault="009E0397" w:rsidP="00BC0557">
      <w:pPr>
        <w:rPr>
          <w:b/>
          <w:i/>
        </w:rPr>
      </w:pPr>
      <w:r w:rsidRPr="007F008D">
        <w:rPr>
          <w:b/>
          <w:i/>
        </w:rPr>
        <w:t xml:space="preserve">Proposal </w:t>
      </w:r>
      <w:r>
        <w:rPr>
          <w:b/>
          <w:i/>
        </w:rPr>
        <w:t>2</w:t>
      </w:r>
      <w:r w:rsidRPr="007F008D">
        <w:rPr>
          <w:b/>
          <w:i/>
        </w:rPr>
        <w:t xml:space="preserve">: </w:t>
      </w:r>
      <w:r>
        <w:rPr>
          <w:b/>
          <w:i/>
        </w:rPr>
        <w:t>For high priority / low latency packets, RAN2/1 should consider to map them to NR carriers with larger SCS.</w:t>
      </w:r>
    </w:p>
    <w:p w14:paraId="036EFE58" w14:textId="77777777" w:rsidR="009E0397" w:rsidRDefault="009E0397" w:rsidP="00BC0557">
      <w:pPr>
        <w:rPr>
          <w:b/>
          <w:i/>
        </w:rPr>
      </w:pPr>
    </w:p>
    <w:p w14:paraId="2D59B25B" w14:textId="77777777" w:rsidR="009E0397" w:rsidRPr="004A0109" w:rsidRDefault="009E0397" w:rsidP="009E0397">
      <w:pPr>
        <w:rPr>
          <w:b/>
          <w:i/>
        </w:rPr>
      </w:pPr>
      <w:r w:rsidRPr="003E610F">
        <w:rPr>
          <w:b/>
          <w:i/>
        </w:rPr>
        <w:t xml:space="preserve">Proposal 3: To achieve high reliability requirements of advanced V2X use cases, RAN1 should consider and study additional PHY techniques such as variable retransmissions, HARQ and CQI feedback, sensing + pre-emption, and MIMO precoding / beamforming / </w:t>
      </w:r>
      <w:proofErr w:type="spellStart"/>
      <w:r w:rsidRPr="003E610F">
        <w:rPr>
          <w:b/>
          <w:i/>
        </w:rPr>
        <w:t>TxD</w:t>
      </w:r>
      <w:proofErr w:type="spellEnd"/>
      <w:r w:rsidRPr="003E610F">
        <w:rPr>
          <w:b/>
          <w:i/>
        </w:rPr>
        <w:t>.</w:t>
      </w:r>
    </w:p>
    <w:p w14:paraId="3FF12317" w14:textId="20DBF1E3" w:rsidR="009E0397" w:rsidRDefault="009E0397" w:rsidP="00BC0557"/>
    <w:p w14:paraId="30DB64B6" w14:textId="7328552C" w:rsidR="009E0397" w:rsidRDefault="009E0397" w:rsidP="00BC0557">
      <w:pPr>
        <w:rPr>
          <w:b/>
          <w:i/>
        </w:rPr>
      </w:pPr>
      <w:r w:rsidRPr="003E610F">
        <w:rPr>
          <w:b/>
          <w:i/>
        </w:rPr>
        <w:t xml:space="preserve">Proposal </w:t>
      </w:r>
      <w:r>
        <w:rPr>
          <w:b/>
          <w:i/>
        </w:rPr>
        <w:t>4</w:t>
      </w:r>
      <w:r w:rsidRPr="003E610F">
        <w:rPr>
          <w:b/>
          <w:i/>
        </w:rPr>
        <w:t xml:space="preserve">: To achieve high </w:t>
      </w:r>
      <w:r>
        <w:rPr>
          <w:b/>
          <w:i/>
        </w:rPr>
        <w:t>data rate transmissions especially in FR1, RAN1 should consider to investigate high modulation order (e.g. 256QAM in very good geometry) and multi-layer MIMO transmission.</w:t>
      </w:r>
    </w:p>
    <w:p w14:paraId="6D588014" w14:textId="57DB3607" w:rsidR="009E0397" w:rsidRDefault="009E0397" w:rsidP="00BC0557"/>
    <w:p w14:paraId="0FB48EE0" w14:textId="2EA23DE7" w:rsidR="009E0397" w:rsidRDefault="009E0397" w:rsidP="00BC0557">
      <w:r w:rsidRPr="003E610F">
        <w:rPr>
          <w:b/>
          <w:i/>
        </w:rPr>
        <w:t xml:space="preserve">Proposal </w:t>
      </w:r>
      <w:r>
        <w:rPr>
          <w:b/>
          <w:i/>
        </w:rPr>
        <w:t>5</w:t>
      </w:r>
      <w:r w:rsidRPr="003E610F">
        <w:rPr>
          <w:b/>
          <w:i/>
        </w:rPr>
        <w:t xml:space="preserve">: To achieve </w:t>
      </w:r>
      <w:r>
        <w:rPr>
          <w:b/>
          <w:i/>
        </w:rPr>
        <w:t xml:space="preserve">target communication range for advanced V2X use cases, beamforming, </w:t>
      </w:r>
      <w:proofErr w:type="spellStart"/>
      <w:r>
        <w:rPr>
          <w:b/>
          <w:i/>
        </w:rPr>
        <w:t>TxD</w:t>
      </w:r>
      <w:proofErr w:type="spellEnd"/>
      <w:r>
        <w:rPr>
          <w:b/>
          <w:i/>
        </w:rPr>
        <w:t xml:space="preserve"> and power control techniques should be investigated in RAN1.</w:t>
      </w:r>
    </w:p>
    <w:p w14:paraId="7DE51172" w14:textId="77777777" w:rsidR="009E0397" w:rsidRDefault="009E0397" w:rsidP="00BC0557"/>
    <w:p w14:paraId="37E830A0" w14:textId="77777777" w:rsidR="00BC0557" w:rsidRPr="00BC0557" w:rsidRDefault="00BC0557" w:rsidP="00BC0557">
      <w:pPr>
        <w:spacing w:after="120"/>
        <w:rPr>
          <w:b/>
          <w:sz w:val="22"/>
        </w:rPr>
      </w:pPr>
      <w:r w:rsidRPr="00BC0557">
        <w:rPr>
          <w:b/>
          <w:sz w:val="22"/>
        </w:rPr>
        <w:t>4. References</w:t>
      </w:r>
    </w:p>
    <w:p w14:paraId="619E2E02" w14:textId="70D58B15" w:rsidR="00BC0557" w:rsidRPr="00C15BA1" w:rsidRDefault="00BC0557" w:rsidP="00BC0557">
      <w:pPr>
        <w:spacing w:after="60"/>
        <w:rPr>
          <w:color w:val="000000" w:themeColor="text1"/>
        </w:rPr>
      </w:pPr>
      <w:r w:rsidRPr="00C15BA1">
        <w:rPr>
          <w:color w:val="000000" w:themeColor="text1"/>
        </w:rPr>
        <w:t>[1] RAN1#94 Chairman’s notes</w:t>
      </w:r>
      <w:r w:rsidR="00C15BA1" w:rsidRPr="00C15BA1">
        <w:rPr>
          <w:color w:val="000000" w:themeColor="text1"/>
        </w:rPr>
        <w:t xml:space="preserve"> (final version)</w:t>
      </w:r>
    </w:p>
    <w:p w14:paraId="1E2950F2" w14:textId="6616D88D" w:rsidR="00BC0557" w:rsidRDefault="00BC0557" w:rsidP="00BC0557">
      <w:pPr>
        <w:spacing w:after="60"/>
      </w:pPr>
      <w:r>
        <w:t xml:space="preserve">[2] </w:t>
      </w:r>
      <w:r w:rsidR="00E3149F" w:rsidRPr="00E3149F">
        <w:t>3GPP TS22.186, “Enhancement of 3GPP support for V2X scenarios”, V15.3.0, June 2018</w:t>
      </w:r>
    </w:p>
    <w:p w14:paraId="157E7730" w14:textId="566474A6" w:rsidR="00F87954" w:rsidRDefault="00F87954" w:rsidP="00BC0557">
      <w:pPr>
        <w:spacing w:after="60"/>
      </w:pPr>
      <w:r>
        <w:t xml:space="preserve">[3] </w:t>
      </w:r>
      <w:r w:rsidRPr="00D64A63">
        <w:rPr>
          <w:color w:val="000000" w:themeColor="text1"/>
        </w:rPr>
        <w:t>R1-18</w:t>
      </w:r>
      <w:r w:rsidR="00037CDE" w:rsidRPr="00D64A63">
        <w:rPr>
          <w:color w:val="000000" w:themeColor="text1"/>
        </w:rPr>
        <w:t>1</w:t>
      </w:r>
      <w:r w:rsidR="00D64A63" w:rsidRPr="00D64A63">
        <w:rPr>
          <w:color w:val="000000" w:themeColor="text1"/>
        </w:rPr>
        <w:t>2827</w:t>
      </w:r>
      <w:r>
        <w:t>, “</w:t>
      </w:r>
      <w:r w:rsidRPr="00F87954">
        <w:t>Discussion on mode 2 resource allocation in NR-V2X</w:t>
      </w:r>
      <w:r>
        <w:t>”, RAN1#9</w:t>
      </w:r>
      <w:r w:rsidR="00BE51EF">
        <w:t>5</w:t>
      </w:r>
      <w:r>
        <w:t>, OPPO</w:t>
      </w:r>
    </w:p>
    <w:sectPr w:rsidR="00F87954">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E4D34" w14:textId="77777777" w:rsidR="00001E66" w:rsidRDefault="00001E66" w:rsidP="00C15BA1">
      <w:r>
        <w:separator/>
      </w:r>
    </w:p>
  </w:endnote>
  <w:endnote w:type="continuationSeparator" w:id="0">
    <w:p w14:paraId="4D9F0AF8" w14:textId="77777777" w:rsidR="00001E66" w:rsidRDefault="00001E66" w:rsidP="00C1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39A7A" w14:textId="24634764" w:rsidR="00C15BA1" w:rsidRPr="00C15BA1" w:rsidRDefault="00C15BA1">
    <w:pPr>
      <w:pStyle w:val="Footer"/>
      <w:jc w:val="center"/>
      <w:rPr>
        <w:rFonts w:ascii="Times New Roman" w:hAnsi="Times New Roman" w:cs="Times New Roman"/>
        <w:sz w:val="20"/>
      </w:rPr>
    </w:pPr>
    <w:r w:rsidRPr="00C15BA1">
      <w:rPr>
        <w:rFonts w:ascii="Times New Roman" w:hAnsi="Times New Roman" w:cs="Times New Roman"/>
        <w:sz w:val="20"/>
      </w:rPr>
      <w:t xml:space="preserve">Page </w:t>
    </w:r>
    <w:sdt>
      <w:sdtPr>
        <w:rPr>
          <w:rFonts w:ascii="Times New Roman" w:hAnsi="Times New Roman" w:cs="Times New Roman"/>
          <w:sz w:val="20"/>
        </w:rPr>
        <w:id w:val="-1987769957"/>
        <w:docPartObj>
          <w:docPartGallery w:val="Page Numbers (Bottom of Page)"/>
          <w:docPartUnique/>
        </w:docPartObj>
      </w:sdtPr>
      <w:sdtEndPr>
        <w:rPr>
          <w:noProof/>
        </w:rPr>
      </w:sdtEndPr>
      <w:sdtContent>
        <w:r w:rsidRPr="00C15BA1">
          <w:rPr>
            <w:rFonts w:ascii="Times New Roman" w:hAnsi="Times New Roman" w:cs="Times New Roman"/>
            <w:sz w:val="20"/>
          </w:rPr>
          <w:fldChar w:fldCharType="begin"/>
        </w:r>
        <w:r w:rsidRPr="00C15BA1">
          <w:rPr>
            <w:rFonts w:ascii="Times New Roman" w:hAnsi="Times New Roman" w:cs="Times New Roman"/>
            <w:sz w:val="20"/>
          </w:rPr>
          <w:instrText xml:space="preserve"> PAGE   \* MERGEFORMAT </w:instrText>
        </w:r>
        <w:r w:rsidRPr="00C15BA1">
          <w:rPr>
            <w:rFonts w:ascii="Times New Roman" w:hAnsi="Times New Roman" w:cs="Times New Roman"/>
            <w:sz w:val="20"/>
          </w:rPr>
          <w:fldChar w:fldCharType="separate"/>
        </w:r>
        <w:r w:rsidRPr="00C15BA1">
          <w:rPr>
            <w:rFonts w:ascii="Times New Roman" w:hAnsi="Times New Roman" w:cs="Times New Roman"/>
            <w:noProof/>
            <w:sz w:val="20"/>
          </w:rPr>
          <w:t>2</w:t>
        </w:r>
        <w:r w:rsidRPr="00C15BA1">
          <w:rPr>
            <w:rFonts w:ascii="Times New Roman" w:hAnsi="Times New Roman" w:cs="Times New Roman"/>
            <w:noProof/>
            <w:sz w:val="20"/>
          </w:rPr>
          <w:fldChar w:fldCharType="end"/>
        </w:r>
      </w:sdtContent>
    </w:sdt>
  </w:p>
  <w:p w14:paraId="58803B56" w14:textId="77777777" w:rsidR="00C15BA1" w:rsidRDefault="00C15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E00D8" w14:textId="77777777" w:rsidR="00001E66" w:rsidRDefault="00001E66" w:rsidP="00C15BA1">
      <w:r>
        <w:separator/>
      </w:r>
    </w:p>
  </w:footnote>
  <w:footnote w:type="continuationSeparator" w:id="0">
    <w:p w14:paraId="38CD41B9" w14:textId="77777777" w:rsidR="00001E66" w:rsidRDefault="00001E66" w:rsidP="00C15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1FB6B58"/>
    <w:multiLevelType w:val="hybridMultilevel"/>
    <w:tmpl w:val="A7CA6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1E66"/>
    <w:rsid w:val="00037CDE"/>
    <w:rsid w:val="000D01FD"/>
    <w:rsid w:val="00120019"/>
    <w:rsid w:val="001E413C"/>
    <w:rsid w:val="00203716"/>
    <w:rsid w:val="0021293C"/>
    <w:rsid w:val="00265E0C"/>
    <w:rsid w:val="002A4A8E"/>
    <w:rsid w:val="002A4F9C"/>
    <w:rsid w:val="002F5695"/>
    <w:rsid w:val="00307B0C"/>
    <w:rsid w:val="00337649"/>
    <w:rsid w:val="00383817"/>
    <w:rsid w:val="003E610F"/>
    <w:rsid w:val="00464909"/>
    <w:rsid w:val="004737F0"/>
    <w:rsid w:val="004A0109"/>
    <w:rsid w:val="004A26CE"/>
    <w:rsid w:val="004D3E2E"/>
    <w:rsid w:val="00501C3F"/>
    <w:rsid w:val="00566027"/>
    <w:rsid w:val="00571946"/>
    <w:rsid w:val="006109DD"/>
    <w:rsid w:val="00622761"/>
    <w:rsid w:val="00655F92"/>
    <w:rsid w:val="006C78D3"/>
    <w:rsid w:val="00714633"/>
    <w:rsid w:val="007425F1"/>
    <w:rsid w:val="007F008D"/>
    <w:rsid w:val="008037AC"/>
    <w:rsid w:val="00823DE1"/>
    <w:rsid w:val="008E58F8"/>
    <w:rsid w:val="00905F1D"/>
    <w:rsid w:val="00920A71"/>
    <w:rsid w:val="009E0397"/>
    <w:rsid w:val="009F0CF0"/>
    <w:rsid w:val="00A13926"/>
    <w:rsid w:val="00A74A34"/>
    <w:rsid w:val="00B04603"/>
    <w:rsid w:val="00B42524"/>
    <w:rsid w:val="00BC0557"/>
    <w:rsid w:val="00BE51EF"/>
    <w:rsid w:val="00C015E7"/>
    <w:rsid w:val="00C15BA1"/>
    <w:rsid w:val="00D64A63"/>
    <w:rsid w:val="00D715A7"/>
    <w:rsid w:val="00DA0DAB"/>
    <w:rsid w:val="00DA1B85"/>
    <w:rsid w:val="00E3149F"/>
    <w:rsid w:val="00E50ADD"/>
    <w:rsid w:val="00EC2033"/>
    <w:rsid w:val="00F87954"/>
    <w:rsid w:val="00FA08F8"/>
    <w:rsid w:val="00FA1AA1"/>
    <w:rsid w:val="00FA7EA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C15BA1"/>
    <w:pPr>
      <w:tabs>
        <w:tab w:val="center" w:pos="4513"/>
        <w:tab w:val="right" w:pos="9026"/>
      </w:tabs>
    </w:pPr>
  </w:style>
  <w:style w:type="character" w:customStyle="1" w:styleId="FooterChar">
    <w:name w:val="Footer Char"/>
    <w:basedOn w:val="DefaultParagraphFont"/>
    <w:link w:val="Footer"/>
    <w:uiPriority w:val="99"/>
    <w:rsid w:val="00C15BA1"/>
    <w:rPr>
      <w:rFonts w:ascii="Arial" w:eastAsia="SimSun" w:hAnsi="Arial" w:cs="Arial"/>
      <w:sz w:val="21"/>
      <w:szCs w:val="21"/>
      <w:lang w:val="en-GB"/>
    </w:rPr>
  </w:style>
  <w:style w:type="table" w:styleId="TableGrid">
    <w:name w:val="Table Grid"/>
    <w:basedOn w:val="TableNormal"/>
    <w:uiPriority w:val="39"/>
    <w:rsid w:val="00FA1A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FA1AA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
    <w:link w:val="ListParagraph"/>
    <w:uiPriority w:val="34"/>
    <w:qFormat/>
    <w:rsid w:val="00FA1AA1"/>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Discussion on QoS management in NR-V2X</vt:lpstr>
    </vt:vector>
  </TitlesOfParts>
  <Company>Guangdong OPPO Mobile Telecom</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QoS management in NR-V2X</dc:title>
  <dc:subject>NR-V2X QoS</dc:subject>
  <dc:creator>Kevin Lin</dc:creator>
  <cp:keywords/>
  <dc:description>Final version for submission</dc:description>
  <cp:lastModifiedBy>Kevin Lin</cp:lastModifiedBy>
  <cp:revision>9</cp:revision>
  <dcterms:created xsi:type="dcterms:W3CDTF">2018-10-25T07:55:00Z</dcterms:created>
  <dcterms:modified xsi:type="dcterms:W3CDTF">2018-11-01T02:52:00Z</dcterms:modified>
</cp:coreProperties>
</file>