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9801C9" w14:textId="24D6CCD6" w:rsidR="00A648A4" w:rsidRDefault="00A648A4" w:rsidP="00A648A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1312" behindDoc="0" locked="1" layoutInCell="1" allowOverlap="1" wp14:anchorId="3596D5E2" wp14:editId="1F27963C">
                <wp:simplePos x="0" y="0"/>
                <wp:positionH relativeFrom="column">
                  <wp:posOffset>0</wp:posOffset>
                </wp:positionH>
                <wp:positionV relativeFrom="paragraph">
                  <wp:posOffset>0</wp:posOffset>
                </wp:positionV>
                <wp:extent cx="635" cy="635"/>
                <wp:effectExtent l="9525" t="9525" r="8890" b="8890"/>
                <wp:wrapNone/>
                <wp:docPr id="6" name="任意多边形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C2964" id="任意多边形 6"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Wyr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UGR3QOy7Htmlo9cH3qcjHLxuJH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nKFsqz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A11AC2">
        <w:rPr>
          <w:b/>
          <w:kern w:val="2"/>
          <w:lang w:eastAsia="zh-CN"/>
        </w:rPr>
        <w:t>95</w:t>
      </w:r>
      <w:r w:rsidRPr="00CF195E">
        <w:rPr>
          <w:b/>
          <w:kern w:val="2"/>
          <w:lang w:eastAsia="zh-CN"/>
        </w:rPr>
        <w:tab/>
        <w:t>R1-</w:t>
      </w:r>
      <w:r w:rsidR="0029660E" w:rsidRPr="00881184">
        <w:rPr>
          <w:b/>
          <w:kern w:val="2"/>
          <w:lang w:eastAsia="zh-CN"/>
        </w:rPr>
        <w:t>18</w:t>
      </w:r>
      <w:r w:rsidR="0029660E">
        <w:rPr>
          <w:b/>
          <w:kern w:val="2"/>
          <w:lang w:eastAsia="zh-CN"/>
        </w:rPr>
        <w:t>12693</w:t>
      </w:r>
    </w:p>
    <w:p w14:paraId="6B364C3C" w14:textId="330FDC5D" w:rsidR="00BF16B1" w:rsidRPr="00CF195E" w:rsidRDefault="00A11AC2" w:rsidP="00A648A4">
      <w:pPr>
        <w:tabs>
          <w:tab w:val="right" w:pos="9216"/>
        </w:tabs>
        <w:jc w:val="left"/>
        <w:rPr>
          <w:b/>
          <w:kern w:val="2"/>
          <w:lang w:eastAsia="zh-CN"/>
        </w:rPr>
      </w:pPr>
      <w:r w:rsidRPr="00337E56">
        <w:rPr>
          <w:b/>
          <w:kern w:val="2"/>
          <w:lang w:eastAsia="zh-CN"/>
        </w:rPr>
        <w:t>Spokane, USA, November 12 – 16, 2018</w:t>
      </w:r>
      <w:r w:rsidR="00337E56">
        <w:rPr>
          <w:b/>
          <w:noProof/>
          <w:kern w:val="2"/>
          <w:lang w:eastAsia="zh-CN"/>
        </w:rPr>
        <mc:AlternateContent>
          <mc:Choice Requires="wps">
            <w:drawing>
              <wp:anchor distT="0" distB="0" distL="114300" distR="114300" simplePos="0" relativeHeight="251657216" behindDoc="0" locked="1" layoutInCell="1" allowOverlap="1" wp14:anchorId="54D19166" wp14:editId="41CC059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6188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D179402" w14:textId="77777777" w:rsidR="009C0564" w:rsidRPr="00CF195E" w:rsidRDefault="009C0564" w:rsidP="00CF195E">
      <w:pPr>
        <w:pBdr>
          <w:top w:val="single" w:sz="4" w:space="1" w:color="auto"/>
        </w:pBdr>
        <w:spacing w:after="0"/>
        <w:jc w:val="left"/>
        <w:rPr>
          <w:b/>
          <w:kern w:val="2"/>
          <w:sz w:val="16"/>
          <w:szCs w:val="16"/>
          <w:lang w:eastAsia="zh-CN"/>
        </w:rPr>
      </w:pPr>
    </w:p>
    <w:p w14:paraId="2C95CE18" w14:textId="67CA17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02600">
        <w:rPr>
          <w:b/>
          <w:kern w:val="2"/>
          <w:lang w:eastAsia="zh-CN"/>
        </w:rPr>
        <w:t>6</w:t>
      </w:r>
      <w:r w:rsidR="00C33C62">
        <w:rPr>
          <w:b/>
          <w:kern w:val="2"/>
          <w:lang w:eastAsia="zh-CN"/>
        </w:rPr>
        <w:t>.2.5</w:t>
      </w:r>
    </w:p>
    <w:p w14:paraId="0A103F7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D4EC5">
        <w:rPr>
          <w:rFonts w:hint="eastAsia"/>
          <w:b/>
          <w:kern w:val="2"/>
          <w:lang w:eastAsia="zh-CN"/>
        </w:rPr>
        <w:t xml:space="preserve">, </w:t>
      </w:r>
      <w:r w:rsidR="003A148B">
        <w:rPr>
          <w:b/>
          <w:lang w:eastAsia="zh-CN"/>
        </w:rPr>
        <w:t>HiSilicon</w:t>
      </w:r>
    </w:p>
    <w:p w14:paraId="2C609745" w14:textId="5191FE58"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33C62" w:rsidRPr="00C33C62">
        <w:rPr>
          <w:b/>
          <w:kern w:val="2"/>
          <w:lang w:eastAsia="zh-CN"/>
        </w:rPr>
        <w:t>Discussion on remaining issues on introduction of wideband PRG size</w:t>
      </w:r>
    </w:p>
    <w:p w14:paraId="10980B6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3F975DC" w14:textId="77777777" w:rsidR="009C0564" w:rsidRPr="00CF195E" w:rsidRDefault="009C0564" w:rsidP="00CF195E">
      <w:pPr>
        <w:pBdr>
          <w:bottom w:val="single" w:sz="4" w:space="1" w:color="auto"/>
        </w:pBdr>
        <w:spacing w:after="0"/>
        <w:jc w:val="left"/>
        <w:rPr>
          <w:b/>
          <w:kern w:val="2"/>
          <w:sz w:val="16"/>
          <w:szCs w:val="16"/>
          <w:lang w:eastAsia="zh-CN"/>
        </w:rPr>
      </w:pPr>
    </w:p>
    <w:p w14:paraId="042B48CD" w14:textId="77777777" w:rsidR="00EE499A" w:rsidRPr="00EE499A" w:rsidRDefault="009C0564" w:rsidP="00EE499A">
      <w:pPr>
        <w:pStyle w:val="1"/>
      </w:pPr>
      <w:bookmarkStart w:id="0" w:name="_Ref124589705"/>
      <w:bookmarkStart w:id="1" w:name="_Ref129681862"/>
      <w:r w:rsidRPr="00CF195E">
        <w:t>Introduction</w:t>
      </w:r>
      <w:bookmarkEnd w:id="0"/>
      <w:bookmarkEnd w:id="1"/>
    </w:p>
    <w:p w14:paraId="5CEF3C19" w14:textId="567120A6" w:rsidR="00C33C62" w:rsidRDefault="0040302D" w:rsidP="00C33C62">
      <w:pPr>
        <w:rPr>
          <w:rFonts w:eastAsiaTheme="minorEastAsia"/>
          <w:lang w:eastAsia="zh-CN"/>
        </w:rPr>
      </w:pPr>
      <w:bookmarkStart w:id="2" w:name="_Ref129681832"/>
      <w:r>
        <w:rPr>
          <w:rFonts w:eastAsiaTheme="minorEastAsia" w:hint="eastAsia"/>
          <w:lang w:eastAsia="zh-CN"/>
        </w:rPr>
        <w:t>At RAN</w:t>
      </w:r>
      <w:r w:rsidR="00C33C62">
        <w:rPr>
          <w:rFonts w:eastAsiaTheme="minorEastAsia"/>
          <w:lang w:eastAsia="zh-CN"/>
        </w:rPr>
        <w:t>1</w:t>
      </w:r>
      <w:r w:rsidR="00C33C62">
        <w:rPr>
          <w:rFonts w:eastAsiaTheme="minorEastAsia" w:hint="eastAsia"/>
          <w:lang w:eastAsia="zh-CN"/>
        </w:rPr>
        <w:t>#94bis meeting,</w:t>
      </w:r>
      <w:r>
        <w:rPr>
          <w:rFonts w:eastAsiaTheme="minorEastAsia" w:hint="eastAsia"/>
          <w:lang w:eastAsia="zh-CN"/>
        </w:rPr>
        <w:t xml:space="preserve"> </w:t>
      </w:r>
      <w:r w:rsidR="00C33C62">
        <w:rPr>
          <w:rFonts w:eastAsiaTheme="minorEastAsia"/>
          <w:lang w:eastAsia="zh-CN"/>
        </w:rPr>
        <w:t xml:space="preserve">the following agreement </w:t>
      </w:r>
      <w:r w:rsidR="00E940C2">
        <w:rPr>
          <w:rFonts w:eastAsiaTheme="minorEastAsia"/>
          <w:lang w:eastAsia="zh-CN"/>
        </w:rPr>
        <w:t xml:space="preserve">was </w:t>
      </w:r>
      <w:r w:rsidR="00C33C62">
        <w:rPr>
          <w:rFonts w:eastAsiaTheme="minorEastAsia"/>
          <w:lang w:eastAsia="zh-CN"/>
        </w:rPr>
        <w:t>achieved regarding PRG size</w:t>
      </w:r>
      <w:r w:rsidR="00AC644B">
        <w:rPr>
          <w:rFonts w:eastAsiaTheme="minorEastAsia"/>
          <w:lang w:eastAsia="zh-CN"/>
        </w:rPr>
        <w:t xml:space="preserve"> [1]</w:t>
      </w:r>
      <w:r w:rsidR="00C33C62">
        <w:rPr>
          <w:rFonts w:eastAsiaTheme="minorEastAsia"/>
          <w:lang w:eastAsia="zh-CN"/>
        </w:rPr>
        <w:t xml:space="preserve">, </w:t>
      </w:r>
    </w:p>
    <w:p w14:paraId="403D032F" w14:textId="77777777" w:rsidR="00C33C62" w:rsidRPr="00C1142C" w:rsidRDefault="00C33C62" w:rsidP="00C33C62">
      <w:pPr>
        <w:ind w:leftChars="100" w:left="220"/>
        <w:rPr>
          <w:i/>
          <w:lang w:eastAsia="x-none"/>
        </w:rPr>
      </w:pPr>
      <w:r w:rsidRPr="00C1142C">
        <w:rPr>
          <w:i/>
          <w:highlight w:val="green"/>
          <w:lang w:eastAsia="x-none"/>
        </w:rPr>
        <w:t>Agreement:</w:t>
      </w:r>
    </w:p>
    <w:p w14:paraId="7FB004C0" w14:textId="77777777" w:rsidR="00C33C62" w:rsidRPr="00C1142C" w:rsidRDefault="00C33C62" w:rsidP="00C33C62">
      <w:pPr>
        <w:numPr>
          <w:ilvl w:val="0"/>
          <w:numId w:val="41"/>
        </w:numPr>
        <w:autoSpaceDE/>
        <w:autoSpaceDN/>
        <w:adjustRightInd/>
        <w:snapToGrid/>
        <w:spacing w:after="0"/>
        <w:ind w:leftChars="264" w:left="941"/>
        <w:jc w:val="left"/>
        <w:rPr>
          <w:i/>
          <w:lang w:eastAsia="x-none"/>
        </w:rPr>
      </w:pPr>
      <w:r w:rsidRPr="00C1142C">
        <w:rPr>
          <w:i/>
          <w:lang w:eastAsia="x-none"/>
        </w:rPr>
        <w:t>Introduce a higher layer parameter to indicate whether the PRG size is the whole scheduled bandwidth.</w:t>
      </w:r>
    </w:p>
    <w:p w14:paraId="1EB3426C" w14:textId="77777777" w:rsidR="00C33C62" w:rsidRPr="00C1142C" w:rsidRDefault="00C33C62" w:rsidP="00C33C62">
      <w:pPr>
        <w:numPr>
          <w:ilvl w:val="0"/>
          <w:numId w:val="41"/>
        </w:numPr>
        <w:autoSpaceDE/>
        <w:autoSpaceDN/>
        <w:adjustRightInd/>
        <w:snapToGrid/>
        <w:spacing w:after="0"/>
        <w:ind w:leftChars="264" w:left="941"/>
        <w:jc w:val="left"/>
        <w:rPr>
          <w:i/>
          <w:lang w:eastAsia="x-none"/>
        </w:rPr>
      </w:pPr>
      <w:r w:rsidRPr="00C1142C">
        <w:rPr>
          <w:i/>
          <w:lang w:eastAsia="x-none"/>
        </w:rPr>
        <w:t>Introduce an optional UE capability to indicate whether it can support PRG size of whole scheduled bandwidth.</w:t>
      </w:r>
    </w:p>
    <w:p w14:paraId="5E07E8B2" w14:textId="77777777" w:rsidR="00C33C62" w:rsidRPr="00C1142C" w:rsidRDefault="00C33C62" w:rsidP="00C33C62">
      <w:pPr>
        <w:numPr>
          <w:ilvl w:val="1"/>
          <w:numId w:val="41"/>
        </w:numPr>
        <w:autoSpaceDE/>
        <w:autoSpaceDN/>
        <w:adjustRightInd/>
        <w:snapToGrid/>
        <w:spacing w:after="0"/>
        <w:ind w:leftChars="591" w:left="1660"/>
        <w:jc w:val="left"/>
        <w:rPr>
          <w:i/>
          <w:lang w:eastAsia="x-none"/>
        </w:rPr>
      </w:pPr>
      <w:r w:rsidRPr="00C1142C">
        <w:rPr>
          <w:i/>
          <w:lang w:eastAsia="x-none"/>
        </w:rPr>
        <w:t>FFS: Details of UE capability</w:t>
      </w:r>
    </w:p>
    <w:p w14:paraId="7076EF18" w14:textId="77777777" w:rsidR="00C33C62" w:rsidRPr="00C1142C" w:rsidRDefault="00C33C62" w:rsidP="00C33C62">
      <w:pPr>
        <w:numPr>
          <w:ilvl w:val="0"/>
          <w:numId w:val="41"/>
        </w:numPr>
        <w:autoSpaceDE/>
        <w:autoSpaceDN/>
        <w:adjustRightInd/>
        <w:snapToGrid/>
        <w:spacing w:after="0"/>
        <w:ind w:leftChars="264" w:left="941"/>
        <w:jc w:val="left"/>
        <w:rPr>
          <w:i/>
          <w:lang w:eastAsia="x-none"/>
        </w:rPr>
      </w:pPr>
      <w:r w:rsidRPr="00C1142C">
        <w:rPr>
          <w:i/>
          <w:lang w:eastAsia="x-none"/>
        </w:rPr>
        <w:t>Note: This does not introduce any new or additional RAN4 UE requirements</w:t>
      </w:r>
    </w:p>
    <w:p w14:paraId="1DBA44B8" w14:textId="77777777" w:rsidR="00C33C62" w:rsidRDefault="00C33C62" w:rsidP="00C33C62">
      <w:pPr>
        <w:rPr>
          <w:rFonts w:eastAsiaTheme="minorEastAsia"/>
          <w:lang w:eastAsia="zh-CN"/>
        </w:rPr>
      </w:pPr>
    </w:p>
    <w:p w14:paraId="1DBF6448" w14:textId="13B141B3" w:rsidR="00C33C62" w:rsidRPr="00C33C62" w:rsidRDefault="00224276" w:rsidP="00C33C62">
      <w:pPr>
        <w:rPr>
          <w:rFonts w:eastAsiaTheme="minorEastAsia"/>
          <w:lang w:eastAsia="zh-CN"/>
        </w:rPr>
      </w:pPr>
      <w:r>
        <w:rPr>
          <w:rFonts w:eastAsiaTheme="minorEastAsia"/>
          <w:lang w:eastAsia="zh-CN"/>
        </w:rPr>
        <w:t>In this contribution, the remaining issues of PRG size are discussed, such as relation between PRG configuration and CSI reporting, and details of UE capability.</w:t>
      </w:r>
    </w:p>
    <w:p w14:paraId="430E0825" w14:textId="77777777" w:rsidR="0040302D" w:rsidRPr="00780D8E" w:rsidRDefault="0040302D" w:rsidP="0040302D">
      <w:pPr>
        <w:pStyle w:val="1"/>
        <w:rPr>
          <w:rFonts w:eastAsiaTheme="minorEastAsia"/>
          <w:lang w:eastAsia="zh-CN"/>
        </w:rPr>
      </w:pPr>
      <w:r>
        <w:rPr>
          <w:rFonts w:eastAsiaTheme="minorEastAsia"/>
          <w:lang w:eastAsia="zh-CN"/>
        </w:rPr>
        <w:t>Discussion</w:t>
      </w:r>
    </w:p>
    <w:p w14:paraId="0B3A0287" w14:textId="0C5461A5" w:rsidR="00A10623" w:rsidRDefault="00C33C62" w:rsidP="005A7B94">
      <w:pPr>
        <w:rPr>
          <w:lang w:eastAsia="zh-CN"/>
        </w:rPr>
      </w:pPr>
      <w:r>
        <w:rPr>
          <w:lang w:eastAsia="zh-CN"/>
        </w:rPr>
        <w:t xml:space="preserve">It was agreed to introduce </w:t>
      </w:r>
      <w:r w:rsidR="00224276">
        <w:rPr>
          <w:lang w:eastAsia="zh-CN"/>
        </w:rPr>
        <w:t xml:space="preserve">a </w:t>
      </w:r>
      <w:r>
        <w:rPr>
          <w:lang w:eastAsia="zh-CN"/>
        </w:rPr>
        <w:t>higher layer parameter to indicat</w:t>
      </w:r>
      <w:r w:rsidR="00640C83">
        <w:rPr>
          <w:lang w:eastAsia="zh-CN"/>
        </w:rPr>
        <w:t>e</w:t>
      </w:r>
      <w:r>
        <w:rPr>
          <w:lang w:eastAsia="zh-CN"/>
        </w:rPr>
        <w:t xml:space="preserve"> whether</w:t>
      </w:r>
      <w:r w:rsidR="00C3005D">
        <w:rPr>
          <w:lang w:eastAsia="zh-CN"/>
        </w:rPr>
        <w:t xml:space="preserve"> the PRG size is the whole schedul</w:t>
      </w:r>
      <w:r>
        <w:rPr>
          <w:lang w:eastAsia="zh-CN"/>
        </w:rPr>
        <w:t xml:space="preserve">ed bandwidth. </w:t>
      </w:r>
      <w:r w:rsidR="003B1DC0">
        <w:rPr>
          <w:lang w:eastAsia="zh-CN"/>
        </w:rPr>
        <w:t>With the introduced configuration, o</w:t>
      </w:r>
      <w:r w:rsidR="00C3005D">
        <w:rPr>
          <w:lang w:eastAsia="zh-CN"/>
        </w:rPr>
        <w:t xml:space="preserve">ne issue is whether </w:t>
      </w:r>
      <w:r w:rsidR="005A7B94">
        <w:rPr>
          <w:lang w:eastAsia="zh-CN"/>
        </w:rPr>
        <w:t xml:space="preserve">there is any impacts between </w:t>
      </w:r>
      <w:r w:rsidR="00C3005D">
        <w:rPr>
          <w:lang w:eastAsia="zh-CN"/>
        </w:rPr>
        <w:t xml:space="preserve">wideband PRG configuration </w:t>
      </w:r>
      <w:r w:rsidR="005A7B94">
        <w:rPr>
          <w:lang w:eastAsia="zh-CN"/>
        </w:rPr>
        <w:t>and</w:t>
      </w:r>
      <w:r w:rsidR="00C3005D">
        <w:rPr>
          <w:lang w:eastAsia="zh-CN"/>
        </w:rPr>
        <w:t xml:space="preserve"> </w:t>
      </w:r>
      <w:r w:rsidR="00640C83">
        <w:rPr>
          <w:lang w:eastAsia="zh-CN"/>
        </w:rPr>
        <w:t xml:space="preserve">CSI </w:t>
      </w:r>
      <w:r w:rsidR="00C3005D">
        <w:rPr>
          <w:lang w:eastAsia="zh-CN"/>
        </w:rPr>
        <w:t>reporting</w:t>
      </w:r>
      <w:r w:rsidR="004D7863">
        <w:rPr>
          <w:lang w:eastAsia="zh-CN"/>
        </w:rPr>
        <w:t xml:space="preserve"> configuration (wideband/subband)</w:t>
      </w:r>
      <w:r w:rsidR="00C3005D">
        <w:rPr>
          <w:lang w:eastAsia="zh-CN"/>
        </w:rPr>
        <w:t xml:space="preserve">. </w:t>
      </w:r>
      <w:r w:rsidR="006D6C6D">
        <w:rPr>
          <w:lang w:eastAsia="zh-CN"/>
        </w:rPr>
        <w:t>Another remaining</w:t>
      </w:r>
      <w:r w:rsidR="00C3005D">
        <w:rPr>
          <w:lang w:eastAsia="zh-CN"/>
        </w:rPr>
        <w:t xml:space="preserve"> issue is how a UE report</w:t>
      </w:r>
      <w:r w:rsidR="00A10623">
        <w:rPr>
          <w:lang w:eastAsia="zh-CN"/>
        </w:rPr>
        <w:t>s</w:t>
      </w:r>
      <w:r w:rsidR="00C3005D">
        <w:rPr>
          <w:lang w:eastAsia="zh-CN"/>
        </w:rPr>
        <w:t xml:space="preserve"> its capability</w:t>
      </w:r>
      <w:r w:rsidR="00A10623">
        <w:rPr>
          <w:lang w:eastAsia="zh-CN"/>
        </w:rPr>
        <w:t xml:space="preserve"> of supporting wideband PRG.</w:t>
      </w:r>
    </w:p>
    <w:p w14:paraId="473F508D" w14:textId="1C329DAF" w:rsidR="00C3005D" w:rsidRPr="00A10623" w:rsidRDefault="008E75AB" w:rsidP="0040302D">
      <w:pPr>
        <w:rPr>
          <w:b/>
          <w:u w:val="single"/>
          <w:lang w:eastAsia="zh-CN"/>
        </w:rPr>
      </w:pPr>
      <w:r>
        <w:rPr>
          <w:rFonts w:eastAsiaTheme="minorEastAsia"/>
          <w:b/>
          <w:u w:val="single"/>
          <w:lang w:eastAsia="zh-CN"/>
        </w:rPr>
        <w:t>Impacts</w:t>
      </w:r>
      <w:r w:rsidRPr="00A10623">
        <w:rPr>
          <w:rFonts w:eastAsiaTheme="minorEastAsia"/>
          <w:b/>
          <w:u w:val="single"/>
          <w:lang w:eastAsia="zh-CN"/>
        </w:rPr>
        <w:t xml:space="preserve"> </w:t>
      </w:r>
      <w:r w:rsidR="00A10623" w:rsidRPr="00A10623">
        <w:rPr>
          <w:rFonts w:eastAsiaTheme="minorEastAsia"/>
          <w:b/>
          <w:u w:val="single"/>
          <w:lang w:eastAsia="zh-CN"/>
        </w:rPr>
        <w:t>between PRG configuration and CSI reporting</w:t>
      </w:r>
    </w:p>
    <w:p w14:paraId="39E09349" w14:textId="201035E2" w:rsidR="00C3005D" w:rsidRDefault="00C3005D" w:rsidP="0040302D">
      <w:pPr>
        <w:rPr>
          <w:lang w:eastAsia="zh-CN"/>
        </w:rPr>
      </w:pPr>
      <w:r>
        <w:rPr>
          <w:lang w:eastAsia="zh-CN"/>
        </w:rPr>
        <w:t xml:space="preserve">In legacy LTE, PRG size is </w:t>
      </w:r>
      <w:r w:rsidR="00A10623">
        <w:rPr>
          <w:lang w:eastAsia="zh-CN"/>
        </w:rPr>
        <w:t>1/2/3</w:t>
      </w:r>
      <w:r w:rsidR="00881175">
        <w:rPr>
          <w:lang w:eastAsia="zh-CN"/>
        </w:rPr>
        <w:t xml:space="preserve"> RB(s) depending on system bandwidth. </w:t>
      </w:r>
      <w:r w:rsidR="00C7189C">
        <w:rPr>
          <w:lang w:eastAsia="zh-CN"/>
        </w:rPr>
        <w:t xml:space="preserve">And </w:t>
      </w:r>
      <w:r w:rsidR="00881175">
        <w:rPr>
          <w:lang w:eastAsia="zh-CN"/>
        </w:rPr>
        <w:t xml:space="preserve">the type of PMI reporting can be </w:t>
      </w:r>
      <w:r w:rsidR="00C7189C">
        <w:rPr>
          <w:lang w:eastAsia="zh-CN"/>
        </w:rPr>
        <w:t xml:space="preserve">RRC configured to be </w:t>
      </w:r>
      <w:r w:rsidR="00881175">
        <w:rPr>
          <w:lang w:eastAsia="zh-CN"/>
        </w:rPr>
        <w:t xml:space="preserve">wideband, subband, or </w:t>
      </w:r>
      <w:r w:rsidR="003A2AD6">
        <w:rPr>
          <w:lang w:eastAsia="zh-CN"/>
        </w:rPr>
        <w:t xml:space="preserve">no PMI. No matter in LTE or NR, CSI reporting is to provide the reference for PDSCH link adaptation and scheduling. </w:t>
      </w:r>
      <w:r w:rsidR="004C4314">
        <w:rPr>
          <w:lang w:eastAsia="zh-CN"/>
        </w:rPr>
        <w:t>The eNB requires the CSI reporting to determine the PRG size. Therefore, it is required to have the flexibility to independently configure PRG size and CSI reporting. Therefore, we have following proposal:</w:t>
      </w:r>
    </w:p>
    <w:p w14:paraId="37019427" w14:textId="330F8B78" w:rsidR="003A2AD6" w:rsidRPr="00A50516" w:rsidRDefault="00A50516" w:rsidP="0040302D">
      <w:pPr>
        <w:rPr>
          <w:b/>
          <w:lang w:eastAsia="zh-CN"/>
        </w:rPr>
      </w:pPr>
      <w:r w:rsidRPr="00A50516">
        <w:rPr>
          <w:b/>
          <w:lang w:eastAsia="zh-CN"/>
        </w:rPr>
        <w:t>Proposal</w:t>
      </w:r>
      <w:r w:rsidR="00D24C61">
        <w:rPr>
          <w:b/>
          <w:lang w:eastAsia="zh-CN"/>
        </w:rPr>
        <w:t xml:space="preserve"> </w:t>
      </w:r>
      <w:r w:rsidRPr="00A50516">
        <w:rPr>
          <w:b/>
          <w:lang w:eastAsia="zh-CN"/>
        </w:rPr>
        <w:t xml:space="preserve">1: </w:t>
      </w:r>
      <w:r w:rsidR="00D24C61">
        <w:rPr>
          <w:b/>
          <w:lang w:eastAsia="zh-CN"/>
        </w:rPr>
        <w:t>Support independent configuration of wideband PRG size and CSI reporting type (wideband/subband)</w:t>
      </w:r>
      <w:r w:rsidR="00E53F19">
        <w:rPr>
          <w:b/>
          <w:lang w:eastAsia="zh-CN"/>
        </w:rPr>
        <w:t>.</w:t>
      </w:r>
      <w:bookmarkStart w:id="3" w:name="_GoBack"/>
      <w:bookmarkEnd w:id="3"/>
    </w:p>
    <w:p w14:paraId="5F084A12" w14:textId="77777777" w:rsidR="00A10623" w:rsidRDefault="00A10623" w:rsidP="0040302D">
      <w:pPr>
        <w:rPr>
          <w:lang w:eastAsia="zh-CN"/>
        </w:rPr>
      </w:pPr>
    </w:p>
    <w:p w14:paraId="5B46A645" w14:textId="48F49D70" w:rsidR="0040302D" w:rsidRPr="00A50516" w:rsidRDefault="00A50516" w:rsidP="0040302D">
      <w:pPr>
        <w:rPr>
          <w:rFonts w:eastAsiaTheme="minorEastAsia"/>
          <w:b/>
          <w:u w:val="single"/>
          <w:lang w:eastAsia="zh-CN"/>
        </w:rPr>
      </w:pPr>
      <w:r w:rsidRPr="00A50516">
        <w:rPr>
          <w:rFonts w:eastAsiaTheme="minorEastAsia"/>
          <w:b/>
          <w:u w:val="single"/>
          <w:lang w:eastAsia="zh-CN"/>
        </w:rPr>
        <w:t>UE capability reporting</w:t>
      </w:r>
    </w:p>
    <w:p w14:paraId="40658FEA" w14:textId="56DCB438" w:rsidR="0040302D" w:rsidRDefault="000B2E16" w:rsidP="0040302D">
      <w:pPr>
        <w:rPr>
          <w:lang w:eastAsia="zh-CN"/>
        </w:rPr>
      </w:pPr>
      <w:r w:rsidRPr="000B2E16">
        <w:rPr>
          <w:rFonts w:hint="eastAsia"/>
          <w:lang w:eastAsia="zh-CN"/>
        </w:rPr>
        <w:t xml:space="preserve">The </w:t>
      </w:r>
      <w:r>
        <w:rPr>
          <w:lang w:eastAsia="zh-CN"/>
        </w:rPr>
        <w:t xml:space="preserve">other issue related to supporting wideband PRG size is the UE capability reporting. One </w:t>
      </w:r>
      <w:r w:rsidR="00D36DC3">
        <w:rPr>
          <w:lang w:eastAsia="zh-CN"/>
        </w:rPr>
        <w:t>aspect</w:t>
      </w:r>
      <w:r>
        <w:rPr>
          <w:lang w:eastAsia="zh-CN"/>
        </w:rPr>
        <w:t xml:space="preserve"> is whether this capability is per band reporting. </w:t>
      </w:r>
      <w:r w:rsidR="00D20925">
        <w:rPr>
          <w:lang w:eastAsia="zh-CN"/>
        </w:rPr>
        <w:t xml:space="preserve">It is known that </w:t>
      </w:r>
      <w:r w:rsidR="00D36DC3">
        <w:rPr>
          <w:lang w:eastAsia="zh-CN"/>
        </w:rPr>
        <w:t xml:space="preserve">the </w:t>
      </w:r>
      <w:r w:rsidR="00D20925">
        <w:rPr>
          <w:lang w:eastAsia="zh-CN"/>
        </w:rPr>
        <w:t xml:space="preserve">features that </w:t>
      </w:r>
      <w:r w:rsidR="00EE55C5">
        <w:rPr>
          <w:lang w:eastAsia="zh-CN"/>
        </w:rPr>
        <w:t xml:space="preserve">are </w:t>
      </w:r>
      <w:r w:rsidR="00D20925">
        <w:rPr>
          <w:lang w:eastAsia="zh-CN"/>
        </w:rPr>
        <w:t>impact</w:t>
      </w:r>
      <w:r w:rsidR="00EE55C5">
        <w:rPr>
          <w:lang w:eastAsia="zh-CN"/>
        </w:rPr>
        <w:t>ed by</w:t>
      </w:r>
      <w:r w:rsidR="00D20925">
        <w:rPr>
          <w:lang w:eastAsia="zh-CN"/>
        </w:rPr>
        <w:t xml:space="preserve"> RF usually need to </w:t>
      </w:r>
      <w:r w:rsidR="00640C83">
        <w:rPr>
          <w:lang w:eastAsia="zh-CN"/>
        </w:rPr>
        <w:t xml:space="preserve">be </w:t>
      </w:r>
      <w:r w:rsidR="00D20925">
        <w:rPr>
          <w:lang w:eastAsia="zh-CN"/>
        </w:rPr>
        <w:t>report</w:t>
      </w:r>
      <w:r w:rsidR="00640C83">
        <w:rPr>
          <w:lang w:eastAsia="zh-CN"/>
        </w:rPr>
        <w:t>ed</w:t>
      </w:r>
      <w:r w:rsidR="00D20925">
        <w:rPr>
          <w:lang w:eastAsia="zh-CN"/>
        </w:rPr>
        <w:t xml:space="preserve"> per band. </w:t>
      </w:r>
      <w:r w:rsidR="0015361C">
        <w:rPr>
          <w:lang w:eastAsia="zh-CN"/>
        </w:rPr>
        <w:t>Supporting wideband PRG</w:t>
      </w:r>
      <w:r w:rsidR="00746850">
        <w:rPr>
          <w:lang w:eastAsia="zh-CN"/>
        </w:rPr>
        <w:t xml:space="preserve"> size</w:t>
      </w:r>
      <w:r w:rsidR="0015361C">
        <w:rPr>
          <w:lang w:eastAsia="zh-CN"/>
        </w:rPr>
        <w:t xml:space="preserve"> </w:t>
      </w:r>
      <w:r w:rsidR="00D36DC3">
        <w:rPr>
          <w:lang w:eastAsia="zh-CN"/>
        </w:rPr>
        <w:t>only impacts the baseband computation for channel estimation, and is not related to RF operation</w:t>
      </w:r>
      <w:r w:rsidR="0015361C">
        <w:rPr>
          <w:lang w:eastAsia="zh-CN"/>
        </w:rPr>
        <w:t xml:space="preserve">. </w:t>
      </w:r>
      <w:r w:rsidR="00D36DC3">
        <w:rPr>
          <w:lang w:eastAsia="zh-CN"/>
        </w:rPr>
        <w:t>Therefore, there is no need to indicate UE capability on wideband PRG size per band of band combination.</w:t>
      </w:r>
      <w:r w:rsidR="0015361C">
        <w:rPr>
          <w:lang w:eastAsia="zh-CN"/>
        </w:rPr>
        <w:t xml:space="preserve"> </w:t>
      </w:r>
    </w:p>
    <w:p w14:paraId="301AC314" w14:textId="3F35D037" w:rsidR="0015361C" w:rsidRDefault="0015361C" w:rsidP="0040302D">
      <w:pPr>
        <w:rPr>
          <w:b/>
          <w:lang w:eastAsia="zh-CN"/>
        </w:rPr>
      </w:pPr>
      <w:r w:rsidRPr="0015361C">
        <w:rPr>
          <w:b/>
          <w:lang w:eastAsia="zh-CN"/>
        </w:rPr>
        <w:t>Observation</w:t>
      </w:r>
      <w:r w:rsidR="00A93563">
        <w:rPr>
          <w:b/>
          <w:lang w:eastAsia="zh-CN"/>
        </w:rPr>
        <w:t xml:space="preserve"> 1</w:t>
      </w:r>
      <w:r w:rsidRPr="0015361C">
        <w:rPr>
          <w:b/>
          <w:lang w:eastAsia="zh-CN"/>
        </w:rPr>
        <w:t xml:space="preserve">: </w:t>
      </w:r>
      <w:r w:rsidR="0044431B">
        <w:rPr>
          <w:b/>
          <w:lang w:eastAsia="zh-CN"/>
        </w:rPr>
        <w:t>Supporting w</w:t>
      </w:r>
      <w:r>
        <w:rPr>
          <w:b/>
          <w:lang w:eastAsia="zh-CN"/>
        </w:rPr>
        <w:t>ideband PRG</w:t>
      </w:r>
      <w:r w:rsidR="0044431B">
        <w:rPr>
          <w:b/>
          <w:lang w:eastAsia="zh-CN"/>
        </w:rPr>
        <w:t xml:space="preserve"> size</w:t>
      </w:r>
      <w:r>
        <w:rPr>
          <w:b/>
          <w:lang w:eastAsia="zh-CN"/>
        </w:rPr>
        <w:t xml:space="preserve"> </w:t>
      </w:r>
      <w:r w:rsidR="00CC0B0F">
        <w:rPr>
          <w:b/>
          <w:lang w:eastAsia="zh-CN"/>
        </w:rPr>
        <w:t xml:space="preserve">is related to channel estimation in baseband, and </w:t>
      </w:r>
      <w:r w:rsidR="00916967">
        <w:rPr>
          <w:b/>
          <w:lang w:eastAsia="zh-CN"/>
        </w:rPr>
        <w:t>is not impacted by</w:t>
      </w:r>
      <w:r w:rsidR="00CC0B0F">
        <w:rPr>
          <w:b/>
          <w:lang w:eastAsia="zh-CN"/>
        </w:rPr>
        <w:t xml:space="preserve"> RF</w:t>
      </w:r>
      <w:r>
        <w:rPr>
          <w:b/>
          <w:lang w:eastAsia="zh-CN"/>
        </w:rPr>
        <w:t>.</w:t>
      </w:r>
    </w:p>
    <w:p w14:paraId="2275DAE6" w14:textId="42080E3A" w:rsidR="0015361C" w:rsidRDefault="0015361C" w:rsidP="0040302D">
      <w:pPr>
        <w:rPr>
          <w:lang w:eastAsia="zh-CN"/>
        </w:rPr>
      </w:pPr>
      <w:r>
        <w:rPr>
          <w:lang w:eastAsia="zh-CN"/>
        </w:rPr>
        <w:t xml:space="preserve">Another </w:t>
      </w:r>
      <w:r w:rsidR="00237502">
        <w:rPr>
          <w:lang w:eastAsia="zh-CN"/>
        </w:rPr>
        <w:t xml:space="preserve">aspect </w:t>
      </w:r>
      <w:r>
        <w:rPr>
          <w:lang w:eastAsia="zh-CN"/>
        </w:rPr>
        <w:t xml:space="preserve">about UE capability reporting is whether TM9 and TM10 have different capability on supporting </w:t>
      </w:r>
      <w:r w:rsidR="00F75D34">
        <w:rPr>
          <w:lang w:eastAsia="zh-CN"/>
        </w:rPr>
        <w:t>wideband PRG</w:t>
      </w:r>
      <w:r w:rsidR="005F6A4C">
        <w:rPr>
          <w:lang w:eastAsia="zh-CN"/>
        </w:rPr>
        <w:t xml:space="preserve"> size</w:t>
      </w:r>
      <w:r w:rsidR="00F75D34">
        <w:rPr>
          <w:lang w:eastAsia="zh-CN"/>
        </w:rPr>
        <w:t xml:space="preserve">. In our view, the difference between TM9 and TM10 is </w:t>
      </w:r>
      <w:r w:rsidR="00237502">
        <w:rPr>
          <w:lang w:eastAsia="zh-CN"/>
        </w:rPr>
        <w:t xml:space="preserve">the </w:t>
      </w:r>
      <w:r w:rsidR="00F75D34">
        <w:rPr>
          <w:lang w:eastAsia="zh-CN"/>
        </w:rPr>
        <w:t xml:space="preserve">support of CoMP related features. For instance, in TM10, UE can be configured with more than one CSI process, CSI-IM can be configured for interference measurement, and QCL can be configured and </w:t>
      </w:r>
      <w:r w:rsidR="00746850">
        <w:rPr>
          <w:lang w:eastAsia="zh-CN"/>
        </w:rPr>
        <w:t>dynamically</w:t>
      </w:r>
      <w:r w:rsidR="00F75D34">
        <w:rPr>
          <w:lang w:eastAsia="zh-CN"/>
        </w:rPr>
        <w:t xml:space="preserve"> </w:t>
      </w:r>
      <w:r w:rsidR="00F75D34">
        <w:rPr>
          <w:lang w:eastAsia="zh-CN"/>
        </w:rPr>
        <w:lastRenderedPageBreak/>
        <w:t xml:space="preserve">indicated. However, </w:t>
      </w:r>
      <w:r w:rsidR="00237502">
        <w:rPr>
          <w:lang w:eastAsia="zh-CN"/>
        </w:rPr>
        <w:t>there is no factor identified to</w:t>
      </w:r>
      <w:r w:rsidR="00F75D34">
        <w:rPr>
          <w:lang w:eastAsia="zh-CN"/>
        </w:rPr>
        <w:t xml:space="preserve"> impact the capability of channel estimation utilizing the wideband PRG</w:t>
      </w:r>
      <w:r w:rsidR="00237502">
        <w:rPr>
          <w:lang w:eastAsia="zh-CN"/>
        </w:rPr>
        <w:t xml:space="preserve"> size</w:t>
      </w:r>
      <w:r w:rsidR="00F75D34">
        <w:rPr>
          <w:lang w:eastAsia="zh-CN"/>
        </w:rPr>
        <w:t xml:space="preserve">. Hence it is </w:t>
      </w:r>
      <w:r w:rsidR="00655597">
        <w:rPr>
          <w:lang w:eastAsia="zh-CN"/>
        </w:rPr>
        <w:t xml:space="preserve">not </w:t>
      </w:r>
      <w:r w:rsidR="00F75D34">
        <w:rPr>
          <w:lang w:eastAsia="zh-CN"/>
        </w:rPr>
        <w:t>necessary to separately report the capability of wideband PRG</w:t>
      </w:r>
      <w:r w:rsidR="00655597">
        <w:rPr>
          <w:lang w:eastAsia="zh-CN"/>
        </w:rPr>
        <w:t xml:space="preserve"> size</w:t>
      </w:r>
      <w:r w:rsidR="00F75D34">
        <w:rPr>
          <w:lang w:eastAsia="zh-CN"/>
        </w:rPr>
        <w:t xml:space="preserve"> for TM9 and TM10.</w:t>
      </w:r>
    </w:p>
    <w:p w14:paraId="1302B601" w14:textId="55A5427A" w:rsidR="00F75D34" w:rsidRDefault="00F75D34" w:rsidP="00F75D34">
      <w:pPr>
        <w:rPr>
          <w:b/>
          <w:lang w:eastAsia="zh-CN"/>
        </w:rPr>
      </w:pPr>
      <w:r w:rsidRPr="0015361C">
        <w:rPr>
          <w:b/>
          <w:lang w:eastAsia="zh-CN"/>
        </w:rPr>
        <w:t>Observation</w:t>
      </w:r>
      <w:r w:rsidR="00A93563">
        <w:rPr>
          <w:b/>
          <w:lang w:eastAsia="zh-CN"/>
        </w:rPr>
        <w:t xml:space="preserve"> 2</w:t>
      </w:r>
      <w:r w:rsidRPr="0015361C">
        <w:rPr>
          <w:b/>
          <w:lang w:eastAsia="zh-CN"/>
        </w:rPr>
        <w:t xml:space="preserve">: </w:t>
      </w:r>
      <w:r>
        <w:rPr>
          <w:b/>
          <w:lang w:eastAsia="zh-CN"/>
        </w:rPr>
        <w:t xml:space="preserve">Differences between TM9 and TM10 do not motivate </w:t>
      </w:r>
      <w:r w:rsidR="00E13751">
        <w:rPr>
          <w:b/>
          <w:lang w:eastAsia="zh-CN"/>
        </w:rPr>
        <w:t xml:space="preserve">the </w:t>
      </w:r>
      <w:r>
        <w:rPr>
          <w:b/>
          <w:lang w:eastAsia="zh-CN"/>
        </w:rPr>
        <w:t>separate reporting</w:t>
      </w:r>
      <w:r w:rsidR="00E13751">
        <w:rPr>
          <w:b/>
          <w:lang w:eastAsia="zh-CN"/>
        </w:rPr>
        <w:t xml:space="preserve"> of</w:t>
      </w:r>
      <w:r>
        <w:rPr>
          <w:b/>
          <w:lang w:eastAsia="zh-CN"/>
        </w:rPr>
        <w:t xml:space="preserve"> the capability </w:t>
      </w:r>
      <w:r w:rsidR="00E13751">
        <w:rPr>
          <w:b/>
          <w:lang w:eastAsia="zh-CN"/>
        </w:rPr>
        <w:t xml:space="preserve">to </w:t>
      </w:r>
      <w:r>
        <w:rPr>
          <w:b/>
          <w:lang w:eastAsia="zh-CN"/>
        </w:rPr>
        <w:t>support wideband PRG</w:t>
      </w:r>
      <w:r w:rsidR="005F6A4C">
        <w:rPr>
          <w:b/>
          <w:lang w:eastAsia="zh-CN"/>
        </w:rPr>
        <w:t xml:space="preserve"> size</w:t>
      </w:r>
      <w:r>
        <w:rPr>
          <w:b/>
          <w:lang w:eastAsia="zh-CN"/>
        </w:rPr>
        <w:t>.</w:t>
      </w:r>
    </w:p>
    <w:p w14:paraId="0C039F85" w14:textId="6B823195" w:rsidR="000B2E16" w:rsidRPr="00F75D34" w:rsidRDefault="00F75D34" w:rsidP="0040302D">
      <w:pPr>
        <w:rPr>
          <w:lang w:eastAsia="zh-CN"/>
        </w:rPr>
      </w:pPr>
      <w:r w:rsidRPr="00F75D34">
        <w:rPr>
          <w:lang w:eastAsia="zh-CN"/>
        </w:rPr>
        <w:t xml:space="preserve">Based on the above discussion, we have </w:t>
      </w:r>
    </w:p>
    <w:p w14:paraId="7950ABC1" w14:textId="0F3C58F0" w:rsidR="00F75D34" w:rsidRDefault="00F75D34" w:rsidP="00F75D34">
      <w:pPr>
        <w:rPr>
          <w:b/>
          <w:lang w:eastAsia="zh-CN"/>
        </w:rPr>
      </w:pPr>
      <w:r>
        <w:rPr>
          <w:b/>
          <w:lang w:eastAsia="zh-CN"/>
        </w:rPr>
        <w:t>Proposal</w:t>
      </w:r>
      <w:r w:rsidR="006D619D">
        <w:rPr>
          <w:b/>
          <w:lang w:eastAsia="zh-CN"/>
        </w:rPr>
        <w:t xml:space="preserve"> 2</w:t>
      </w:r>
      <w:r>
        <w:rPr>
          <w:b/>
          <w:lang w:eastAsia="zh-CN"/>
        </w:rPr>
        <w:t>: The capability of supporting wideband PRG</w:t>
      </w:r>
      <w:r w:rsidR="006D619D">
        <w:rPr>
          <w:b/>
          <w:lang w:eastAsia="zh-CN"/>
        </w:rPr>
        <w:t xml:space="preserve"> size</w:t>
      </w:r>
      <w:r>
        <w:rPr>
          <w:b/>
          <w:lang w:eastAsia="zh-CN"/>
        </w:rPr>
        <w:t xml:space="preserve"> is reported per UE.</w:t>
      </w:r>
    </w:p>
    <w:p w14:paraId="6277653C" w14:textId="77777777" w:rsidR="00A50516" w:rsidRPr="001260C9" w:rsidRDefault="00A50516" w:rsidP="0040302D">
      <w:pPr>
        <w:rPr>
          <w:b/>
        </w:rPr>
      </w:pPr>
    </w:p>
    <w:p w14:paraId="134EDE99" w14:textId="77777777" w:rsidR="0040302D" w:rsidRDefault="0040302D" w:rsidP="0040302D">
      <w:pPr>
        <w:pStyle w:val="1"/>
        <w:tabs>
          <w:tab w:val="clear" w:pos="432"/>
        </w:tabs>
      </w:pPr>
      <w:bookmarkStart w:id="4" w:name="_Ref124589665"/>
      <w:bookmarkStart w:id="5" w:name="_Ref71620620"/>
      <w:bookmarkStart w:id="6" w:name="_Ref124671424"/>
      <w:r>
        <w:t>Conclusion</w:t>
      </w:r>
    </w:p>
    <w:p w14:paraId="53BE5E36" w14:textId="0C8FB754" w:rsidR="0040302D" w:rsidRDefault="0040302D" w:rsidP="0040302D">
      <w:pPr>
        <w:rPr>
          <w:lang w:eastAsia="zh-CN"/>
        </w:rPr>
      </w:pPr>
      <w:r>
        <w:rPr>
          <w:lang w:eastAsia="zh-CN"/>
        </w:rPr>
        <w:t>T</w:t>
      </w:r>
      <w:r>
        <w:rPr>
          <w:rFonts w:hint="eastAsia"/>
          <w:lang w:eastAsia="zh-CN"/>
        </w:rPr>
        <w:t xml:space="preserve">his </w:t>
      </w:r>
      <w:r>
        <w:rPr>
          <w:lang w:eastAsia="zh-CN"/>
        </w:rPr>
        <w:t xml:space="preserve">contribution mainly discusses </w:t>
      </w:r>
      <w:r w:rsidR="00D86701">
        <w:rPr>
          <w:lang w:eastAsia="zh-CN"/>
        </w:rPr>
        <w:t>the rem</w:t>
      </w:r>
      <w:r w:rsidR="00D86701" w:rsidRPr="00D86701">
        <w:rPr>
          <w:lang w:eastAsia="zh-CN"/>
        </w:rPr>
        <w:t>aining i</w:t>
      </w:r>
      <w:r w:rsidR="00D86701">
        <w:rPr>
          <w:lang w:eastAsia="zh-CN"/>
        </w:rPr>
        <w:t xml:space="preserve">ssues of </w:t>
      </w:r>
      <w:r w:rsidR="00D86701" w:rsidRPr="00D86701">
        <w:rPr>
          <w:lang w:eastAsia="zh-CN"/>
        </w:rPr>
        <w:t>introduction of wideband PRG size</w:t>
      </w:r>
      <w:r w:rsidR="00D86701">
        <w:rPr>
          <w:rFonts w:hint="eastAsia"/>
          <w:lang w:eastAsia="zh-CN"/>
        </w:rPr>
        <w:t xml:space="preserve">. </w:t>
      </w:r>
      <w:r w:rsidR="00D86701">
        <w:rPr>
          <w:lang w:eastAsia="zh-CN"/>
        </w:rPr>
        <w:t xml:space="preserve">We have the following </w:t>
      </w:r>
      <w:r w:rsidR="00CE7499">
        <w:rPr>
          <w:lang w:eastAsia="zh-CN"/>
        </w:rPr>
        <w:t xml:space="preserve">observations and </w:t>
      </w:r>
      <w:r w:rsidR="00D86701">
        <w:rPr>
          <w:lang w:eastAsia="zh-CN"/>
        </w:rPr>
        <w:t>proposal</w:t>
      </w:r>
      <w:r w:rsidR="00CE7499">
        <w:rPr>
          <w:lang w:eastAsia="zh-CN"/>
        </w:rPr>
        <w:t>s</w:t>
      </w:r>
      <w:r w:rsidR="00773A8B">
        <w:rPr>
          <w:lang w:eastAsia="zh-CN"/>
        </w:rPr>
        <w:t>:</w:t>
      </w:r>
    </w:p>
    <w:p w14:paraId="0078BC3B" w14:textId="063CC510" w:rsidR="00CE7499" w:rsidRDefault="00D54913" w:rsidP="0040302D">
      <w:pPr>
        <w:rPr>
          <w:b/>
          <w:lang w:eastAsia="zh-CN"/>
        </w:rPr>
      </w:pPr>
      <w:r w:rsidRPr="0015361C">
        <w:rPr>
          <w:b/>
          <w:lang w:eastAsia="zh-CN"/>
        </w:rPr>
        <w:t>Observation</w:t>
      </w:r>
      <w:r>
        <w:rPr>
          <w:b/>
          <w:lang w:eastAsia="zh-CN"/>
        </w:rPr>
        <w:t xml:space="preserve"> 1</w:t>
      </w:r>
      <w:r w:rsidRPr="0015361C">
        <w:rPr>
          <w:b/>
          <w:lang w:eastAsia="zh-CN"/>
        </w:rPr>
        <w:t xml:space="preserve">: </w:t>
      </w:r>
      <w:r>
        <w:rPr>
          <w:b/>
          <w:lang w:eastAsia="zh-CN"/>
        </w:rPr>
        <w:t>Supporting wideband PRG size is related to channel estimation in baseband, and is not impacted by RF.</w:t>
      </w:r>
    </w:p>
    <w:p w14:paraId="76A6EB43" w14:textId="2F1C3035" w:rsidR="00A93563" w:rsidRDefault="00D54913" w:rsidP="0040302D">
      <w:pPr>
        <w:rPr>
          <w:b/>
          <w:lang w:eastAsia="zh-CN"/>
        </w:rPr>
      </w:pPr>
      <w:r w:rsidRPr="0015361C">
        <w:rPr>
          <w:b/>
          <w:lang w:eastAsia="zh-CN"/>
        </w:rPr>
        <w:t>Observation</w:t>
      </w:r>
      <w:r>
        <w:rPr>
          <w:b/>
          <w:lang w:eastAsia="zh-CN"/>
        </w:rPr>
        <w:t xml:space="preserve"> 2</w:t>
      </w:r>
      <w:r w:rsidRPr="0015361C">
        <w:rPr>
          <w:b/>
          <w:lang w:eastAsia="zh-CN"/>
        </w:rPr>
        <w:t xml:space="preserve">: </w:t>
      </w:r>
      <w:r>
        <w:rPr>
          <w:b/>
          <w:lang w:eastAsia="zh-CN"/>
        </w:rPr>
        <w:t>Differences between TM9 and TM10 do not motivate the separate reporting of the capability to support wideband PRG size.</w:t>
      </w:r>
    </w:p>
    <w:p w14:paraId="1531065A" w14:textId="77777777" w:rsidR="00A93563" w:rsidRDefault="00A93563" w:rsidP="0040302D">
      <w:pPr>
        <w:rPr>
          <w:lang w:eastAsia="zh-CN"/>
        </w:rPr>
      </w:pPr>
    </w:p>
    <w:p w14:paraId="3EB7C1CD" w14:textId="157B75D5" w:rsidR="00773A8B" w:rsidRDefault="00D54913" w:rsidP="0040302D">
      <w:pPr>
        <w:rPr>
          <w:lang w:eastAsia="zh-CN"/>
        </w:rPr>
      </w:pPr>
      <w:r w:rsidRPr="00A50516">
        <w:rPr>
          <w:b/>
          <w:lang w:eastAsia="zh-CN"/>
        </w:rPr>
        <w:t>Proposal</w:t>
      </w:r>
      <w:r>
        <w:rPr>
          <w:b/>
          <w:lang w:eastAsia="zh-CN"/>
        </w:rPr>
        <w:t xml:space="preserve"> </w:t>
      </w:r>
      <w:r w:rsidRPr="00A50516">
        <w:rPr>
          <w:b/>
          <w:lang w:eastAsia="zh-CN"/>
        </w:rPr>
        <w:t xml:space="preserve">1: </w:t>
      </w:r>
      <w:r>
        <w:rPr>
          <w:b/>
          <w:lang w:eastAsia="zh-CN"/>
        </w:rPr>
        <w:t>Support independent configuration of wideband PRG size and CSI reporting type (wideband/subband)</w:t>
      </w:r>
      <w:r w:rsidRPr="00A50516">
        <w:rPr>
          <w:b/>
          <w:lang w:eastAsia="zh-CN"/>
        </w:rPr>
        <w:t>.</w:t>
      </w:r>
    </w:p>
    <w:p w14:paraId="2D3BBED3" w14:textId="67B5093F" w:rsidR="00D86701" w:rsidRDefault="00D54913" w:rsidP="00D86701">
      <w:pPr>
        <w:rPr>
          <w:b/>
          <w:lang w:eastAsia="zh-CN"/>
        </w:rPr>
      </w:pPr>
      <w:r>
        <w:rPr>
          <w:b/>
          <w:lang w:eastAsia="zh-CN"/>
        </w:rPr>
        <w:t>Proposal 2: The capability of supporting wideband PRG size is reported per UE.</w:t>
      </w:r>
    </w:p>
    <w:p w14:paraId="5EC75009" w14:textId="77777777" w:rsidR="0040302D" w:rsidRPr="00D74FC7" w:rsidRDefault="0040302D" w:rsidP="0040302D">
      <w:pPr>
        <w:rPr>
          <w:b/>
          <w:lang w:eastAsia="zh-CN"/>
        </w:rPr>
      </w:pPr>
    </w:p>
    <w:p w14:paraId="1F5663DB" w14:textId="77777777" w:rsidR="0040302D" w:rsidRPr="00CF195E" w:rsidRDefault="0040302D" w:rsidP="0040302D">
      <w:pPr>
        <w:pStyle w:val="1"/>
        <w:numPr>
          <w:ilvl w:val="0"/>
          <w:numId w:val="0"/>
        </w:numPr>
        <w:ind w:left="432" w:hanging="432"/>
      </w:pPr>
      <w:r w:rsidRPr="00CF195E">
        <w:t>References</w:t>
      </w:r>
    </w:p>
    <w:bookmarkEnd w:id="4"/>
    <w:bookmarkEnd w:id="5"/>
    <w:bookmarkEnd w:id="6"/>
    <w:p w14:paraId="50418254" w14:textId="28EBAB5E" w:rsidR="0040302D" w:rsidRPr="00383517" w:rsidRDefault="0040302D" w:rsidP="0040302D">
      <w:pPr>
        <w:pStyle w:val="References"/>
        <w:rPr>
          <w:szCs w:val="20"/>
        </w:rPr>
      </w:pPr>
      <w:r>
        <w:rPr>
          <w:snapToGrid w:val="0"/>
          <w:szCs w:val="20"/>
          <w:lang w:val="en-GB"/>
        </w:rPr>
        <w:t xml:space="preserve">Chairman's Notes RAN1 94bis, </w:t>
      </w:r>
      <w:r>
        <w:rPr>
          <w:szCs w:val="20"/>
        </w:rPr>
        <w:t>3GPP TSG RAN WG1 Meeting #94bis,</w:t>
      </w:r>
      <w:r w:rsidRPr="00675479">
        <w:rPr>
          <w:szCs w:val="20"/>
        </w:rPr>
        <w:t xml:space="preserve"> </w:t>
      </w:r>
      <w:r w:rsidRPr="00383517">
        <w:rPr>
          <w:szCs w:val="20"/>
        </w:rPr>
        <w:t>Chengdu, China, October 8th – 12th, 2018</w:t>
      </w:r>
    </w:p>
    <w:bookmarkEnd w:id="2"/>
    <w:p w14:paraId="2B577188" w14:textId="77777777" w:rsidR="00032EC5" w:rsidRDefault="00032EC5" w:rsidP="006B1FD5"/>
    <w:sectPr w:rsidR="00032EC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37AB8" w14:textId="77777777" w:rsidR="00D73FF8" w:rsidRDefault="00D73FF8">
      <w:r>
        <w:separator/>
      </w:r>
    </w:p>
  </w:endnote>
  <w:endnote w:type="continuationSeparator" w:id="0">
    <w:p w14:paraId="2F09B711" w14:textId="77777777" w:rsidR="00D73FF8" w:rsidRDefault="00D7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EA28" w14:textId="77777777" w:rsidR="00D73FF8" w:rsidRDefault="00D73FF8">
      <w:r>
        <w:separator/>
      </w:r>
    </w:p>
  </w:footnote>
  <w:footnote w:type="continuationSeparator" w:id="0">
    <w:p w14:paraId="250853E6" w14:textId="77777777" w:rsidR="00D73FF8" w:rsidRDefault="00D73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3BC6BFF"/>
    <w:multiLevelType w:val="hybridMultilevel"/>
    <w:tmpl w:val="AF3A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400A3"/>
    <w:multiLevelType w:val="hybridMultilevel"/>
    <w:tmpl w:val="613A7C12"/>
    <w:lvl w:ilvl="0" w:tplc="604CB49A">
      <w:start w:val="3"/>
      <w:numFmt w:val="bullet"/>
      <w:lvlText w:val="-"/>
      <w:lvlJc w:val="left"/>
      <w:pPr>
        <w:ind w:left="1145" w:hanging="360"/>
      </w:pPr>
      <w:rPr>
        <w:rFonts w:ascii="Times New Roman" w:eastAsia="Malgun Gothic" w:hAnsi="Times New Roman" w:cs="Times New Roman" w:hint="default"/>
        <w:lang w:val="en-US"/>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85952"/>
    <w:multiLevelType w:val="hybridMultilevel"/>
    <w:tmpl w:val="EB4C8632"/>
    <w:lvl w:ilvl="0" w:tplc="D2B4FA9E">
      <w:start w:val="1"/>
      <w:numFmt w:val="bullet"/>
      <w:lvlText w:val="•"/>
      <w:lvlJc w:val="left"/>
      <w:pPr>
        <w:tabs>
          <w:tab w:val="num" w:pos="720"/>
        </w:tabs>
        <w:ind w:left="720" w:hanging="360"/>
      </w:pPr>
      <w:rPr>
        <w:rFonts w:ascii="Arial" w:hAnsi="Arial" w:hint="default"/>
      </w:rPr>
    </w:lvl>
    <w:lvl w:ilvl="1" w:tplc="36A6E10C">
      <w:start w:val="273"/>
      <w:numFmt w:val="bullet"/>
      <w:lvlText w:val="–"/>
      <w:lvlJc w:val="left"/>
      <w:pPr>
        <w:tabs>
          <w:tab w:val="num" w:pos="1440"/>
        </w:tabs>
        <w:ind w:left="1440" w:hanging="360"/>
      </w:pPr>
      <w:rPr>
        <w:rFonts w:ascii="Arial" w:hAnsi="Arial" w:hint="default"/>
      </w:rPr>
    </w:lvl>
    <w:lvl w:ilvl="2" w:tplc="2D30EB48">
      <w:start w:val="273"/>
      <w:numFmt w:val="bullet"/>
      <w:lvlText w:val="•"/>
      <w:lvlJc w:val="left"/>
      <w:pPr>
        <w:tabs>
          <w:tab w:val="num" w:pos="2160"/>
        </w:tabs>
        <w:ind w:left="2160" w:hanging="360"/>
      </w:pPr>
      <w:rPr>
        <w:rFonts w:ascii="Arial" w:hAnsi="Arial" w:hint="default"/>
      </w:rPr>
    </w:lvl>
    <w:lvl w:ilvl="3" w:tplc="CC580770">
      <w:start w:val="273"/>
      <w:numFmt w:val="bullet"/>
      <w:lvlText w:val="–"/>
      <w:lvlJc w:val="left"/>
      <w:pPr>
        <w:tabs>
          <w:tab w:val="num" w:pos="2880"/>
        </w:tabs>
        <w:ind w:left="2880" w:hanging="360"/>
      </w:pPr>
      <w:rPr>
        <w:rFonts w:ascii="Arial" w:hAnsi="Arial" w:hint="default"/>
      </w:rPr>
    </w:lvl>
    <w:lvl w:ilvl="4" w:tplc="BCDA79DC">
      <w:start w:val="1"/>
      <w:numFmt w:val="bullet"/>
      <w:lvlText w:val="•"/>
      <w:lvlJc w:val="left"/>
      <w:pPr>
        <w:tabs>
          <w:tab w:val="num" w:pos="3600"/>
        </w:tabs>
        <w:ind w:left="3600" w:hanging="360"/>
      </w:pPr>
      <w:rPr>
        <w:rFonts w:ascii="Arial" w:hAnsi="Arial" w:hint="default"/>
      </w:rPr>
    </w:lvl>
    <w:lvl w:ilvl="5" w:tplc="8F32016E" w:tentative="1">
      <w:start w:val="1"/>
      <w:numFmt w:val="bullet"/>
      <w:lvlText w:val="•"/>
      <w:lvlJc w:val="left"/>
      <w:pPr>
        <w:tabs>
          <w:tab w:val="num" w:pos="4320"/>
        </w:tabs>
        <w:ind w:left="4320" w:hanging="360"/>
      </w:pPr>
      <w:rPr>
        <w:rFonts w:ascii="Arial" w:hAnsi="Arial" w:hint="default"/>
      </w:rPr>
    </w:lvl>
    <w:lvl w:ilvl="6" w:tplc="4E9C374A" w:tentative="1">
      <w:start w:val="1"/>
      <w:numFmt w:val="bullet"/>
      <w:lvlText w:val="•"/>
      <w:lvlJc w:val="left"/>
      <w:pPr>
        <w:tabs>
          <w:tab w:val="num" w:pos="5040"/>
        </w:tabs>
        <w:ind w:left="5040" w:hanging="360"/>
      </w:pPr>
      <w:rPr>
        <w:rFonts w:ascii="Arial" w:hAnsi="Arial" w:hint="default"/>
      </w:rPr>
    </w:lvl>
    <w:lvl w:ilvl="7" w:tplc="868E7518" w:tentative="1">
      <w:start w:val="1"/>
      <w:numFmt w:val="bullet"/>
      <w:lvlText w:val="•"/>
      <w:lvlJc w:val="left"/>
      <w:pPr>
        <w:tabs>
          <w:tab w:val="num" w:pos="5760"/>
        </w:tabs>
        <w:ind w:left="5760" w:hanging="360"/>
      </w:pPr>
      <w:rPr>
        <w:rFonts w:ascii="Arial" w:hAnsi="Arial" w:hint="default"/>
      </w:rPr>
    </w:lvl>
    <w:lvl w:ilvl="8" w:tplc="81E0F8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6A08FD"/>
    <w:multiLevelType w:val="hybridMultilevel"/>
    <w:tmpl w:val="0EB817FE"/>
    <w:lvl w:ilvl="0" w:tplc="D5662AEE">
      <w:start w:val="1"/>
      <w:numFmt w:val="bullet"/>
      <w:lvlText w:val="•"/>
      <w:lvlJc w:val="left"/>
      <w:pPr>
        <w:tabs>
          <w:tab w:val="num" w:pos="720"/>
        </w:tabs>
        <w:ind w:left="720" w:hanging="360"/>
      </w:pPr>
      <w:rPr>
        <w:rFonts w:ascii="Arial" w:hAnsi="Arial" w:hint="default"/>
      </w:rPr>
    </w:lvl>
    <w:lvl w:ilvl="1" w:tplc="67D4B6EE">
      <w:start w:val="273"/>
      <w:numFmt w:val="bullet"/>
      <w:lvlText w:val="–"/>
      <w:lvlJc w:val="left"/>
      <w:pPr>
        <w:tabs>
          <w:tab w:val="num" w:pos="1440"/>
        </w:tabs>
        <w:ind w:left="1440" w:hanging="360"/>
      </w:pPr>
      <w:rPr>
        <w:rFonts w:ascii="Arial" w:hAnsi="Arial" w:hint="default"/>
      </w:rPr>
    </w:lvl>
    <w:lvl w:ilvl="2" w:tplc="5E1A8FA4">
      <w:start w:val="273"/>
      <w:numFmt w:val="bullet"/>
      <w:lvlText w:val="•"/>
      <w:lvlJc w:val="left"/>
      <w:pPr>
        <w:tabs>
          <w:tab w:val="num" w:pos="2160"/>
        </w:tabs>
        <w:ind w:left="2160" w:hanging="360"/>
      </w:pPr>
      <w:rPr>
        <w:rFonts w:ascii="Arial" w:hAnsi="Arial" w:hint="default"/>
      </w:rPr>
    </w:lvl>
    <w:lvl w:ilvl="3" w:tplc="326255F6" w:tentative="1">
      <w:start w:val="1"/>
      <w:numFmt w:val="bullet"/>
      <w:lvlText w:val="•"/>
      <w:lvlJc w:val="left"/>
      <w:pPr>
        <w:tabs>
          <w:tab w:val="num" w:pos="2880"/>
        </w:tabs>
        <w:ind w:left="2880" w:hanging="360"/>
      </w:pPr>
      <w:rPr>
        <w:rFonts w:ascii="Arial" w:hAnsi="Arial" w:hint="default"/>
      </w:rPr>
    </w:lvl>
    <w:lvl w:ilvl="4" w:tplc="32C07928" w:tentative="1">
      <w:start w:val="1"/>
      <w:numFmt w:val="bullet"/>
      <w:lvlText w:val="•"/>
      <w:lvlJc w:val="left"/>
      <w:pPr>
        <w:tabs>
          <w:tab w:val="num" w:pos="3600"/>
        </w:tabs>
        <w:ind w:left="3600" w:hanging="360"/>
      </w:pPr>
      <w:rPr>
        <w:rFonts w:ascii="Arial" w:hAnsi="Arial" w:hint="default"/>
      </w:rPr>
    </w:lvl>
    <w:lvl w:ilvl="5" w:tplc="4E64D4FA" w:tentative="1">
      <w:start w:val="1"/>
      <w:numFmt w:val="bullet"/>
      <w:lvlText w:val="•"/>
      <w:lvlJc w:val="left"/>
      <w:pPr>
        <w:tabs>
          <w:tab w:val="num" w:pos="4320"/>
        </w:tabs>
        <w:ind w:left="4320" w:hanging="360"/>
      </w:pPr>
      <w:rPr>
        <w:rFonts w:ascii="Arial" w:hAnsi="Arial" w:hint="default"/>
      </w:rPr>
    </w:lvl>
    <w:lvl w:ilvl="6" w:tplc="0D968E20" w:tentative="1">
      <w:start w:val="1"/>
      <w:numFmt w:val="bullet"/>
      <w:lvlText w:val="•"/>
      <w:lvlJc w:val="left"/>
      <w:pPr>
        <w:tabs>
          <w:tab w:val="num" w:pos="5040"/>
        </w:tabs>
        <w:ind w:left="5040" w:hanging="360"/>
      </w:pPr>
      <w:rPr>
        <w:rFonts w:ascii="Arial" w:hAnsi="Arial" w:hint="default"/>
      </w:rPr>
    </w:lvl>
    <w:lvl w:ilvl="7" w:tplc="C87AAD98" w:tentative="1">
      <w:start w:val="1"/>
      <w:numFmt w:val="bullet"/>
      <w:lvlText w:val="•"/>
      <w:lvlJc w:val="left"/>
      <w:pPr>
        <w:tabs>
          <w:tab w:val="num" w:pos="5760"/>
        </w:tabs>
        <w:ind w:left="5760" w:hanging="360"/>
      </w:pPr>
      <w:rPr>
        <w:rFonts w:ascii="Arial" w:hAnsi="Arial" w:hint="default"/>
      </w:rPr>
    </w:lvl>
    <w:lvl w:ilvl="8" w:tplc="21FC1C3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3155D3"/>
    <w:multiLevelType w:val="hybridMultilevel"/>
    <w:tmpl w:val="4A005FF2"/>
    <w:lvl w:ilvl="0" w:tplc="8A149062">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775EF7"/>
    <w:multiLevelType w:val="hybridMultilevel"/>
    <w:tmpl w:val="BBAA1E3C"/>
    <w:lvl w:ilvl="0" w:tplc="8A149062">
      <w:start w:val="1"/>
      <w:numFmt w:val="bullet"/>
      <w:lvlText w:val="•"/>
      <w:lvlJc w:val="left"/>
      <w:pPr>
        <w:tabs>
          <w:tab w:val="num" w:pos="720"/>
        </w:tabs>
        <w:ind w:left="720" w:hanging="360"/>
      </w:pPr>
      <w:rPr>
        <w:rFonts w:ascii="Arial" w:hAnsi="Arial" w:hint="default"/>
      </w:rPr>
    </w:lvl>
    <w:lvl w:ilvl="1" w:tplc="89783346">
      <w:start w:val="234"/>
      <w:numFmt w:val="bullet"/>
      <w:lvlText w:val="–"/>
      <w:lvlJc w:val="left"/>
      <w:pPr>
        <w:tabs>
          <w:tab w:val="num" w:pos="1440"/>
        </w:tabs>
        <w:ind w:left="1440" w:hanging="360"/>
      </w:pPr>
      <w:rPr>
        <w:rFonts w:ascii="Arial" w:hAnsi="Arial" w:hint="default"/>
      </w:rPr>
    </w:lvl>
    <w:lvl w:ilvl="2" w:tplc="6ABAFA52">
      <w:start w:val="234"/>
      <w:numFmt w:val="bullet"/>
      <w:lvlText w:val="•"/>
      <w:lvlJc w:val="left"/>
      <w:pPr>
        <w:tabs>
          <w:tab w:val="num" w:pos="2160"/>
        </w:tabs>
        <w:ind w:left="2160" w:hanging="360"/>
      </w:pPr>
      <w:rPr>
        <w:rFonts w:ascii="Arial" w:hAnsi="Arial" w:hint="default"/>
      </w:rPr>
    </w:lvl>
    <w:lvl w:ilvl="3" w:tplc="9CF6F1CE">
      <w:start w:val="1"/>
      <w:numFmt w:val="bullet"/>
      <w:lvlText w:val="•"/>
      <w:lvlJc w:val="left"/>
      <w:pPr>
        <w:tabs>
          <w:tab w:val="num" w:pos="2880"/>
        </w:tabs>
        <w:ind w:left="2880" w:hanging="360"/>
      </w:pPr>
      <w:rPr>
        <w:rFonts w:ascii="Arial" w:hAnsi="Arial" w:hint="default"/>
      </w:rPr>
    </w:lvl>
    <w:lvl w:ilvl="4" w:tplc="0CB6E1A8" w:tentative="1">
      <w:start w:val="1"/>
      <w:numFmt w:val="bullet"/>
      <w:lvlText w:val="•"/>
      <w:lvlJc w:val="left"/>
      <w:pPr>
        <w:tabs>
          <w:tab w:val="num" w:pos="3600"/>
        </w:tabs>
        <w:ind w:left="3600" w:hanging="360"/>
      </w:pPr>
      <w:rPr>
        <w:rFonts w:ascii="Arial" w:hAnsi="Arial" w:hint="default"/>
      </w:rPr>
    </w:lvl>
    <w:lvl w:ilvl="5" w:tplc="878C9E78" w:tentative="1">
      <w:start w:val="1"/>
      <w:numFmt w:val="bullet"/>
      <w:lvlText w:val="•"/>
      <w:lvlJc w:val="left"/>
      <w:pPr>
        <w:tabs>
          <w:tab w:val="num" w:pos="4320"/>
        </w:tabs>
        <w:ind w:left="4320" w:hanging="360"/>
      </w:pPr>
      <w:rPr>
        <w:rFonts w:ascii="Arial" w:hAnsi="Arial" w:hint="default"/>
      </w:rPr>
    </w:lvl>
    <w:lvl w:ilvl="6" w:tplc="E620F16C" w:tentative="1">
      <w:start w:val="1"/>
      <w:numFmt w:val="bullet"/>
      <w:lvlText w:val="•"/>
      <w:lvlJc w:val="left"/>
      <w:pPr>
        <w:tabs>
          <w:tab w:val="num" w:pos="5040"/>
        </w:tabs>
        <w:ind w:left="5040" w:hanging="360"/>
      </w:pPr>
      <w:rPr>
        <w:rFonts w:ascii="Arial" w:hAnsi="Arial" w:hint="default"/>
      </w:rPr>
    </w:lvl>
    <w:lvl w:ilvl="7" w:tplc="54000E14" w:tentative="1">
      <w:start w:val="1"/>
      <w:numFmt w:val="bullet"/>
      <w:lvlText w:val="•"/>
      <w:lvlJc w:val="left"/>
      <w:pPr>
        <w:tabs>
          <w:tab w:val="num" w:pos="5760"/>
        </w:tabs>
        <w:ind w:left="5760" w:hanging="360"/>
      </w:pPr>
      <w:rPr>
        <w:rFonts w:ascii="Arial" w:hAnsi="Arial" w:hint="default"/>
      </w:rPr>
    </w:lvl>
    <w:lvl w:ilvl="8" w:tplc="893E7EF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2"/>
  </w:num>
  <w:num w:numId="3">
    <w:abstractNumId w:val="21"/>
  </w:num>
  <w:num w:numId="4">
    <w:abstractNumId w:val="18"/>
  </w:num>
  <w:num w:numId="5">
    <w:abstractNumId w:val="12"/>
  </w:num>
  <w:num w:numId="6">
    <w:abstractNumId w:val="34"/>
  </w:num>
  <w:num w:numId="7">
    <w:abstractNumId w:val="19"/>
  </w:num>
  <w:num w:numId="8">
    <w:abstractNumId w:val="27"/>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4"/>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3"/>
  </w:num>
  <w:num w:numId="32">
    <w:abstractNumId w:val="20"/>
  </w:num>
  <w:num w:numId="33">
    <w:abstractNumId w:val="26"/>
  </w:num>
  <w:num w:numId="34">
    <w:abstractNumId w:val="36"/>
  </w:num>
  <w:num w:numId="35">
    <w:abstractNumId w:val="35"/>
  </w:num>
  <w:num w:numId="36">
    <w:abstractNumId w:val="21"/>
  </w:num>
  <w:num w:numId="37">
    <w:abstractNumId w:val="21"/>
  </w:num>
  <w:num w:numId="38">
    <w:abstractNumId w:val="11"/>
  </w:num>
  <w:num w:numId="39">
    <w:abstractNumId w:val="33"/>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7FA"/>
    <w:rsid w:val="00002020"/>
    <w:rsid w:val="000020F6"/>
    <w:rsid w:val="000025B1"/>
    <w:rsid w:val="00002893"/>
    <w:rsid w:val="000033A3"/>
    <w:rsid w:val="00003605"/>
    <w:rsid w:val="00003C56"/>
    <w:rsid w:val="00003EC2"/>
    <w:rsid w:val="000040A9"/>
    <w:rsid w:val="0000458E"/>
    <w:rsid w:val="00004E70"/>
    <w:rsid w:val="000072B6"/>
    <w:rsid w:val="00007813"/>
    <w:rsid w:val="00007EFE"/>
    <w:rsid w:val="000109E6"/>
    <w:rsid w:val="00011F67"/>
    <w:rsid w:val="00012862"/>
    <w:rsid w:val="000128E6"/>
    <w:rsid w:val="000156EC"/>
    <w:rsid w:val="00015EFB"/>
    <w:rsid w:val="000165E2"/>
    <w:rsid w:val="000172BE"/>
    <w:rsid w:val="00017A47"/>
    <w:rsid w:val="00017D8A"/>
    <w:rsid w:val="00023388"/>
    <w:rsid w:val="00023425"/>
    <w:rsid w:val="00023A7D"/>
    <w:rsid w:val="000241BE"/>
    <w:rsid w:val="000242F2"/>
    <w:rsid w:val="00026D4B"/>
    <w:rsid w:val="000275C6"/>
    <w:rsid w:val="00027AD6"/>
    <w:rsid w:val="0003024C"/>
    <w:rsid w:val="00031A93"/>
    <w:rsid w:val="00031ADB"/>
    <w:rsid w:val="00032056"/>
    <w:rsid w:val="000328CA"/>
    <w:rsid w:val="00032E40"/>
    <w:rsid w:val="00032EC5"/>
    <w:rsid w:val="0003376B"/>
    <w:rsid w:val="00034676"/>
    <w:rsid w:val="000346E6"/>
    <w:rsid w:val="000352B3"/>
    <w:rsid w:val="0004023E"/>
    <w:rsid w:val="0004024B"/>
    <w:rsid w:val="0004182B"/>
    <w:rsid w:val="00041C57"/>
    <w:rsid w:val="000434B7"/>
    <w:rsid w:val="000435E4"/>
    <w:rsid w:val="00046796"/>
    <w:rsid w:val="000467FD"/>
    <w:rsid w:val="00046AAF"/>
    <w:rsid w:val="00047225"/>
    <w:rsid w:val="00047E60"/>
    <w:rsid w:val="00051658"/>
    <w:rsid w:val="00052AD2"/>
    <w:rsid w:val="00052BFA"/>
    <w:rsid w:val="000530DF"/>
    <w:rsid w:val="00054E0C"/>
    <w:rsid w:val="0005541D"/>
    <w:rsid w:val="00055D3D"/>
    <w:rsid w:val="000565C8"/>
    <w:rsid w:val="00057DC8"/>
    <w:rsid w:val="0006040D"/>
    <w:rsid w:val="000612E1"/>
    <w:rsid w:val="000614FE"/>
    <w:rsid w:val="00063B65"/>
    <w:rsid w:val="00065D38"/>
    <w:rsid w:val="00067DD1"/>
    <w:rsid w:val="00070447"/>
    <w:rsid w:val="000706E7"/>
    <w:rsid w:val="00070EF8"/>
    <w:rsid w:val="00071192"/>
    <w:rsid w:val="000713A7"/>
    <w:rsid w:val="000721C3"/>
    <w:rsid w:val="00072A80"/>
    <w:rsid w:val="000731A0"/>
    <w:rsid w:val="000736C1"/>
    <w:rsid w:val="00073797"/>
    <w:rsid w:val="00073DEC"/>
    <w:rsid w:val="000740E1"/>
    <w:rsid w:val="000745AA"/>
    <w:rsid w:val="00074E86"/>
    <w:rsid w:val="00076097"/>
    <w:rsid w:val="00076541"/>
    <w:rsid w:val="000772F4"/>
    <w:rsid w:val="000776EB"/>
    <w:rsid w:val="000823B0"/>
    <w:rsid w:val="0008335B"/>
    <w:rsid w:val="00083379"/>
    <w:rsid w:val="00083587"/>
    <w:rsid w:val="00083838"/>
    <w:rsid w:val="00083B6A"/>
    <w:rsid w:val="00084E1B"/>
    <w:rsid w:val="00085E04"/>
    <w:rsid w:val="00086800"/>
    <w:rsid w:val="00087913"/>
    <w:rsid w:val="000902DC"/>
    <w:rsid w:val="000911AE"/>
    <w:rsid w:val="00093697"/>
    <w:rsid w:val="00093D42"/>
    <w:rsid w:val="00093DD0"/>
    <w:rsid w:val="00094A16"/>
    <w:rsid w:val="00094DE6"/>
    <w:rsid w:val="00096356"/>
    <w:rsid w:val="0009638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2E16"/>
    <w:rsid w:val="000B3342"/>
    <w:rsid w:val="000B51FA"/>
    <w:rsid w:val="000B5905"/>
    <w:rsid w:val="000B5975"/>
    <w:rsid w:val="000B6410"/>
    <w:rsid w:val="000B6E2C"/>
    <w:rsid w:val="000B76C5"/>
    <w:rsid w:val="000B7A10"/>
    <w:rsid w:val="000C115D"/>
    <w:rsid w:val="000C1535"/>
    <w:rsid w:val="000C252B"/>
    <w:rsid w:val="000C2FBD"/>
    <w:rsid w:val="000C3B0C"/>
    <w:rsid w:val="000C422D"/>
    <w:rsid w:val="000C5F91"/>
    <w:rsid w:val="000C6025"/>
    <w:rsid w:val="000D0565"/>
    <w:rsid w:val="000D0BA0"/>
    <w:rsid w:val="000D0E4E"/>
    <w:rsid w:val="000D113C"/>
    <w:rsid w:val="000D12D1"/>
    <w:rsid w:val="000D159A"/>
    <w:rsid w:val="000D1796"/>
    <w:rsid w:val="000D2067"/>
    <w:rsid w:val="000D22CC"/>
    <w:rsid w:val="000D36AE"/>
    <w:rsid w:val="000D38A1"/>
    <w:rsid w:val="000D4C4E"/>
    <w:rsid w:val="000D4EC5"/>
    <w:rsid w:val="000D5077"/>
    <w:rsid w:val="000D5362"/>
    <w:rsid w:val="000D57F8"/>
    <w:rsid w:val="000D5851"/>
    <w:rsid w:val="000D5C60"/>
    <w:rsid w:val="000D71E2"/>
    <w:rsid w:val="000D73A5"/>
    <w:rsid w:val="000E07D6"/>
    <w:rsid w:val="000E1380"/>
    <w:rsid w:val="000E18DF"/>
    <w:rsid w:val="000E2ED9"/>
    <w:rsid w:val="000E59A0"/>
    <w:rsid w:val="000E6371"/>
    <w:rsid w:val="000E6A69"/>
    <w:rsid w:val="000E7A84"/>
    <w:rsid w:val="000F15BC"/>
    <w:rsid w:val="000F180A"/>
    <w:rsid w:val="000F1C92"/>
    <w:rsid w:val="000F2E89"/>
    <w:rsid w:val="000F2EEE"/>
    <w:rsid w:val="000F3697"/>
    <w:rsid w:val="000F3DF7"/>
    <w:rsid w:val="000F5A63"/>
    <w:rsid w:val="000F7F58"/>
    <w:rsid w:val="00100128"/>
    <w:rsid w:val="00100FF3"/>
    <w:rsid w:val="001026CA"/>
    <w:rsid w:val="00102B2D"/>
    <w:rsid w:val="001043C2"/>
    <w:rsid w:val="001043E1"/>
    <w:rsid w:val="00104500"/>
    <w:rsid w:val="0010505A"/>
    <w:rsid w:val="00105CC7"/>
    <w:rsid w:val="00107779"/>
    <w:rsid w:val="001078C2"/>
    <w:rsid w:val="00107E1C"/>
    <w:rsid w:val="00110243"/>
    <w:rsid w:val="001112C4"/>
    <w:rsid w:val="00111444"/>
    <w:rsid w:val="00111723"/>
    <w:rsid w:val="001129B5"/>
    <w:rsid w:val="00112BE6"/>
    <w:rsid w:val="001141E3"/>
    <w:rsid w:val="001144DF"/>
    <w:rsid w:val="0011498F"/>
    <w:rsid w:val="0011557B"/>
    <w:rsid w:val="00117C85"/>
    <w:rsid w:val="00120B13"/>
    <w:rsid w:val="00124D84"/>
    <w:rsid w:val="001250DD"/>
    <w:rsid w:val="00125733"/>
    <w:rsid w:val="001263AA"/>
    <w:rsid w:val="00130779"/>
    <w:rsid w:val="001307A1"/>
    <w:rsid w:val="001321D3"/>
    <w:rsid w:val="00132DB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6D6"/>
    <w:rsid w:val="00151619"/>
    <w:rsid w:val="00152835"/>
    <w:rsid w:val="0015361C"/>
    <w:rsid w:val="001538F3"/>
    <w:rsid w:val="00153D4C"/>
    <w:rsid w:val="00154AAD"/>
    <w:rsid w:val="001559FA"/>
    <w:rsid w:val="00156374"/>
    <w:rsid w:val="001577D8"/>
    <w:rsid w:val="00157FC3"/>
    <w:rsid w:val="00160739"/>
    <w:rsid w:val="001623C3"/>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736"/>
    <w:rsid w:val="00181FC1"/>
    <w:rsid w:val="00183034"/>
    <w:rsid w:val="001830F7"/>
    <w:rsid w:val="00183EE6"/>
    <w:rsid w:val="0018588A"/>
    <w:rsid w:val="00187252"/>
    <w:rsid w:val="00190561"/>
    <w:rsid w:val="00191C91"/>
    <w:rsid w:val="00192DD9"/>
    <w:rsid w:val="0019354E"/>
    <w:rsid w:val="00194339"/>
    <w:rsid w:val="00194848"/>
    <w:rsid w:val="001958EA"/>
    <w:rsid w:val="00195E0E"/>
    <w:rsid w:val="001A057A"/>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2635"/>
    <w:rsid w:val="001C3EE9"/>
    <w:rsid w:val="001C3FA4"/>
    <w:rsid w:val="001C40F9"/>
    <w:rsid w:val="001C4400"/>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276"/>
    <w:rsid w:val="00224952"/>
    <w:rsid w:val="00224DD2"/>
    <w:rsid w:val="00225A6A"/>
    <w:rsid w:val="00225AC7"/>
    <w:rsid w:val="00225ACC"/>
    <w:rsid w:val="00231307"/>
    <w:rsid w:val="00231C25"/>
    <w:rsid w:val="00231C6F"/>
    <w:rsid w:val="00232A90"/>
    <w:rsid w:val="00234151"/>
    <w:rsid w:val="00234F8C"/>
    <w:rsid w:val="00235542"/>
    <w:rsid w:val="002369B0"/>
    <w:rsid w:val="00236AD8"/>
    <w:rsid w:val="00237502"/>
    <w:rsid w:val="002401F5"/>
    <w:rsid w:val="00240E54"/>
    <w:rsid w:val="002451C5"/>
    <w:rsid w:val="00245F1F"/>
    <w:rsid w:val="0024663B"/>
    <w:rsid w:val="00247103"/>
    <w:rsid w:val="00250067"/>
    <w:rsid w:val="002516DE"/>
    <w:rsid w:val="00251F81"/>
    <w:rsid w:val="00252BE0"/>
    <w:rsid w:val="00253588"/>
    <w:rsid w:val="00253E2D"/>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19FC"/>
    <w:rsid w:val="00272B03"/>
    <w:rsid w:val="002733E2"/>
    <w:rsid w:val="00274C77"/>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60E"/>
    <w:rsid w:val="00297778"/>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4C6B"/>
    <w:rsid w:val="002D5738"/>
    <w:rsid w:val="002D5E53"/>
    <w:rsid w:val="002E0319"/>
    <w:rsid w:val="002E179B"/>
    <w:rsid w:val="002E1C9E"/>
    <w:rsid w:val="002E257B"/>
    <w:rsid w:val="002E3C65"/>
    <w:rsid w:val="002E3F5B"/>
    <w:rsid w:val="002E4362"/>
    <w:rsid w:val="002E4C3A"/>
    <w:rsid w:val="002E63D9"/>
    <w:rsid w:val="002E640E"/>
    <w:rsid w:val="002F03E9"/>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2CA6"/>
    <w:rsid w:val="00323D6B"/>
    <w:rsid w:val="00326957"/>
    <w:rsid w:val="00326AE2"/>
    <w:rsid w:val="00331426"/>
    <w:rsid w:val="0033171D"/>
    <w:rsid w:val="00331FC3"/>
    <w:rsid w:val="003336B3"/>
    <w:rsid w:val="00335B75"/>
    <w:rsid w:val="00335D8C"/>
    <w:rsid w:val="00336072"/>
    <w:rsid w:val="003363A1"/>
    <w:rsid w:val="00337E56"/>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A11"/>
    <w:rsid w:val="003548D8"/>
    <w:rsid w:val="003554CA"/>
    <w:rsid w:val="00360232"/>
    <w:rsid w:val="003602E0"/>
    <w:rsid w:val="00360D01"/>
    <w:rsid w:val="00361C48"/>
    <w:rsid w:val="00362569"/>
    <w:rsid w:val="003636CD"/>
    <w:rsid w:val="0036487C"/>
    <w:rsid w:val="00365411"/>
    <w:rsid w:val="00365C66"/>
    <w:rsid w:val="00365FA2"/>
    <w:rsid w:val="00366C69"/>
    <w:rsid w:val="00367441"/>
    <w:rsid w:val="00367B1D"/>
    <w:rsid w:val="00370E4F"/>
    <w:rsid w:val="00371215"/>
    <w:rsid w:val="0037269F"/>
    <w:rsid w:val="00372F0D"/>
    <w:rsid w:val="00374059"/>
    <w:rsid w:val="0037535B"/>
    <w:rsid w:val="0037552D"/>
    <w:rsid w:val="003756DB"/>
    <w:rsid w:val="003770BB"/>
    <w:rsid w:val="0037771A"/>
    <w:rsid w:val="003802DC"/>
    <w:rsid w:val="00380E4E"/>
    <w:rsid w:val="00380FBF"/>
    <w:rsid w:val="00382A43"/>
    <w:rsid w:val="00382D60"/>
    <w:rsid w:val="00382F29"/>
    <w:rsid w:val="00383517"/>
    <w:rsid w:val="00383C8D"/>
    <w:rsid w:val="003852FB"/>
    <w:rsid w:val="00385429"/>
    <w:rsid w:val="00385B05"/>
    <w:rsid w:val="00386382"/>
    <w:rsid w:val="003865EF"/>
    <w:rsid w:val="00386BA9"/>
    <w:rsid w:val="00387CCC"/>
    <w:rsid w:val="00390017"/>
    <w:rsid w:val="003901A3"/>
    <w:rsid w:val="0039072F"/>
    <w:rsid w:val="003938CB"/>
    <w:rsid w:val="003940CE"/>
    <w:rsid w:val="00397C1D"/>
    <w:rsid w:val="003A148B"/>
    <w:rsid w:val="003A180F"/>
    <w:rsid w:val="003A18DD"/>
    <w:rsid w:val="003A1FC0"/>
    <w:rsid w:val="003A20C8"/>
    <w:rsid w:val="003A2AD6"/>
    <w:rsid w:val="003A2C29"/>
    <w:rsid w:val="003A2EC3"/>
    <w:rsid w:val="003A36F2"/>
    <w:rsid w:val="003A3D39"/>
    <w:rsid w:val="003A3EC7"/>
    <w:rsid w:val="003A40B4"/>
    <w:rsid w:val="003A7834"/>
    <w:rsid w:val="003B0B5B"/>
    <w:rsid w:val="003B0E79"/>
    <w:rsid w:val="003B19A2"/>
    <w:rsid w:val="003B1DC0"/>
    <w:rsid w:val="003B2A90"/>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439C"/>
    <w:rsid w:val="003C5441"/>
    <w:rsid w:val="003C5E6B"/>
    <w:rsid w:val="003C75AD"/>
    <w:rsid w:val="003C7AD7"/>
    <w:rsid w:val="003C7F0E"/>
    <w:rsid w:val="003D0FC3"/>
    <w:rsid w:val="003D2C1D"/>
    <w:rsid w:val="003D2C34"/>
    <w:rsid w:val="003D2D01"/>
    <w:rsid w:val="003D3DDD"/>
    <w:rsid w:val="003D5CBF"/>
    <w:rsid w:val="003D66D2"/>
    <w:rsid w:val="003E07AE"/>
    <w:rsid w:val="003E14FC"/>
    <w:rsid w:val="003E2976"/>
    <w:rsid w:val="003E38B4"/>
    <w:rsid w:val="003E4858"/>
    <w:rsid w:val="003E6316"/>
    <w:rsid w:val="003E6884"/>
    <w:rsid w:val="003E6AC5"/>
    <w:rsid w:val="003F0096"/>
    <w:rsid w:val="003F0850"/>
    <w:rsid w:val="003F0D12"/>
    <w:rsid w:val="003F160C"/>
    <w:rsid w:val="003F324F"/>
    <w:rsid w:val="003F33BC"/>
    <w:rsid w:val="003F3D4E"/>
    <w:rsid w:val="003F477E"/>
    <w:rsid w:val="003F5693"/>
    <w:rsid w:val="003F6CD2"/>
    <w:rsid w:val="003F788D"/>
    <w:rsid w:val="0040126E"/>
    <w:rsid w:val="004020D4"/>
    <w:rsid w:val="004021B6"/>
    <w:rsid w:val="0040302D"/>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21C4"/>
    <w:rsid w:val="00432657"/>
    <w:rsid w:val="004330F4"/>
    <w:rsid w:val="00433590"/>
    <w:rsid w:val="0043393D"/>
    <w:rsid w:val="004344C7"/>
    <w:rsid w:val="00435274"/>
    <w:rsid w:val="004352AD"/>
    <w:rsid w:val="0043545D"/>
    <w:rsid w:val="00435FE2"/>
    <w:rsid w:val="00436E2F"/>
    <w:rsid w:val="00436EAB"/>
    <w:rsid w:val="0044431B"/>
    <w:rsid w:val="004461D9"/>
    <w:rsid w:val="00446AC6"/>
    <w:rsid w:val="0044759B"/>
    <w:rsid w:val="00447F54"/>
    <w:rsid w:val="00450B7E"/>
    <w:rsid w:val="0045136B"/>
    <w:rsid w:val="00451C7E"/>
    <w:rsid w:val="00453BB6"/>
    <w:rsid w:val="00453CAA"/>
    <w:rsid w:val="00455113"/>
    <w:rsid w:val="00455BD7"/>
    <w:rsid w:val="00456421"/>
    <w:rsid w:val="00456DAB"/>
    <w:rsid w:val="00460CC3"/>
    <w:rsid w:val="00460E86"/>
    <w:rsid w:val="004646B4"/>
    <w:rsid w:val="00464A88"/>
    <w:rsid w:val="004651A0"/>
    <w:rsid w:val="00466532"/>
    <w:rsid w:val="00467488"/>
    <w:rsid w:val="0047083E"/>
    <w:rsid w:val="00470EB5"/>
    <w:rsid w:val="00470F1E"/>
    <w:rsid w:val="0047286B"/>
    <w:rsid w:val="00472E27"/>
    <w:rsid w:val="00473BB5"/>
    <w:rsid w:val="00474220"/>
    <w:rsid w:val="004752D3"/>
    <w:rsid w:val="004754E1"/>
    <w:rsid w:val="00475CE0"/>
    <w:rsid w:val="00476827"/>
    <w:rsid w:val="00476BD4"/>
    <w:rsid w:val="00477C35"/>
    <w:rsid w:val="00480988"/>
    <w:rsid w:val="00480E05"/>
    <w:rsid w:val="00482BBE"/>
    <w:rsid w:val="00483A12"/>
    <w:rsid w:val="004846EB"/>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068"/>
    <w:rsid w:val="00497370"/>
    <w:rsid w:val="004A0F39"/>
    <w:rsid w:val="004A251F"/>
    <w:rsid w:val="004A3BF1"/>
    <w:rsid w:val="004A3E42"/>
    <w:rsid w:val="004A445D"/>
    <w:rsid w:val="004A4715"/>
    <w:rsid w:val="004A4FF9"/>
    <w:rsid w:val="004A5046"/>
    <w:rsid w:val="004A565E"/>
    <w:rsid w:val="004A5DF3"/>
    <w:rsid w:val="004A6134"/>
    <w:rsid w:val="004A7092"/>
    <w:rsid w:val="004B4278"/>
    <w:rsid w:val="004B49E6"/>
    <w:rsid w:val="004B4D69"/>
    <w:rsid w:val="004B4FE6"/>
    <w:rsid w:val="004B5B47"/>
    <w:rsid w:val="004C01A8"/>
    <w:rsid w:val="004C1840"/>
    <w:rsid w:val="004C2013"/>
    <w:rsid w:val="004C24C9"/>
    <w:rsid w:val="004C31B6"/>
    <w:rsid w:val="004C4314"/>
    <w:rsid w:val="004C5319"/>
    <w:rsid w:val="004C621F"/>
    <w:rsid w:val="004C7948"/>
    <w:rsid w:val="004C7BB8"/>
    <w:rsid w:val="004C7C60"/>
    <w:rsid w:val="004D0DFE"/>
    <w:rsid w:val="004D1D91"/>
    <w:rsid w:val="004D22C3"/>
    <w:rsid w:val="004D37B2"/>
    <w:rsid w:val="004D6F4D"/>
    <w:rsid w:val="004D6F95"/>
    <w:rsid w:val="004D72FE"/>
    <w:rsid w:val="004D7863"/>
    <w:rsid w:val="004D7E91"/>
    <w:rsid w:val="004E003A"/>
    <w:rsid w:val="004E0768"/>
    <w:rsid w:val="004E1A31"/>
    <w:rsid w:val="004E20E6"/>
    <w:rsid w:val="004E2DE0"/>
    <w:rsid w:val="004E4060"/>
    <w:rsid w:val="004E409A"/>
    <w:rsid w:val="004F0FB9"/>
    <w:rsid w:val="004F2F7E"/>
    <w:rsid w:val="004F32B5"/>
    <w:rsid w:val="004F407E"/>
    <w:rsid w:val="004F5479"/>
    <w:rsid w:val="004F58FE"/>
    <w:rsid w:val="004F7528"/>
    <w:rsid w:val="004F7BCA"/>
    <w:rsid w:val="004F7D89"/>
    <w:rsid w:val="00501340"/>
    <w:rsid w:val="00501981"/>
    <w:rsid w:val="00501A85"/>
    <w:rsid w:val="00501BB3"/>
    <w:rsid w:val="005021DD"/>
    <w:rsid w:val="005026CA"/>
    <w:rsid w:val="00502B72"/>
    <w:rsid w:val="0050477D"/>
    <w:rsid w:val="00504BC1"/>
    <w:rsid w:val="00505134"/>
    <w:rsid w:val="00505BA1"/>
    <w:rsid w:val="00505C04"/>
    <w:rsid w:val="005073BC"/>
    <w:rsid w:val="00511D6F"/>
    <w:rsid w:val="00511F15"/>
    <w:rsid w:val="0051318C"/>
    <w:rsid w:val="005142CD"/>
    <w:rsid w:val="005143C9"/>
    <w:rsid w:val="005157A9"/>
    <w:rsid w:val="005173A7"/>
    <w:rsid w:val="005177E1"/>
    <w:rsid w:val="00520C0A"/>
    <w:rsid w:val="005218B6"/>
    <w:rsid w:val="00522589"/>
    <w:rsid w:val="00523013"/>
    <w:rsid w:val="00524545"/>
    <w:rsid w:val="005255BF"/>
    <w:rsid w:val="005257DE"/>
    <w:rsid w:val="00527200"/>
    <w:rsid w:val="00530157"/>
    <w:rsid w:val="00531EBE"/>
    <w:rsid w:val="00532357"/>
    <w:rsid w:val="0053292C"/>
    <w:rsid w:val="00532F8B"/>
    <w:rsid w:val="00533737"/>
    <w:rsid w:val="0053459D"/>
    <w:rsid w:val="00535B79"/>
    <w:rsid w:val="00535D7C"/>
    <w:rsid w:val="00536579"/>
    <w:rsid w:val="00536C1E"/>
    <w:rsid w:val="00537F42"/>
    <w:rsid w:val="0054343A"/>
    <w:rsid w:val="00543974"/>
    <w:rsid w:val="00543EBF"/>
    <w:rsid w:val="00544ABA"/>
    <w:rsid w:val="0054593A"/>
    <w:rsid w:val="0054665E"/>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7A3"/>
    <w:rsid w:val="005638D4"/>
    <w:rsid w:val="005656ED"/>
    <w:rsid w:val="00566544"/>
    <w:rsid w:val="00566608"/>
    <w:rsid w:val="00566C83"/>
    <w:rsid w:val="005700FE"/>
    <w:rsid w:val="00570E24"/>
    <w:rsid w:val="005711A0"/>
    <w:rsid w:val="00572760"/>
    <w:rsid w:val="005743DE"/>
    <w:rsid w:val="00574F3F"/>
    <w:rsid w:val="0057562C"/>
    <w:rsid w:val="005759F6"/>
    <w:rsid w:val="00575E3E"/>
    <w:rsid w:val="005765F5"/>
    <w:rsid w:val="00576D6C"/>
    <w:rsid w:val="00577A2E"/>
    <w:rsid w:val="00580E48"/>
    <w:rsid w:val="00580F0A"/>
    <w:rsid w:val="00581246"/>
    <w:rsid w:val="0058129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1CD6"/>
    <w:rsid w:val="005A269F"/>
    <w:rsid w:val="005A305E"/>
    <w:rsid w:val="005A30BB"/>
    <w:rsid w:val="005A3887"/>
    <w:rsid w:val="005A6BA6"/>
    <w:rsid w:val="005A7B94"/>
    <w:rsid w:val="005B0542"/>
    <w:rsid w:val="005B2225"/>
    <w:rsid w:val="005B2799"/>
    <w:rsid w:val="005B2B77"/>
    <w:rsid w:val="005B3D4A"/>
    <w:rsid w:val="005B4D87"/>
    <w:rsid w:val="005B7108"/>
    <w:rsid w:val="005B7DD1"/>
    <w:rsid w:val="005C00A0"/>
    <w:rsid w:val="005C28BC"/>
    <w:rsid w:val="005C28FA"/>
    <w:rsid w:val="005C40F4"/>
    <w:rsid w:val="005C43BE"/>
    <w:rsid w:val="005C44F3"/>
    <w:rsid w:val="005C605C"/>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4E9"/>
    <w:rsid w:val="005E234A"/>
    <w:rsid w:val="005E35CC"/>
    <w:rsid w:val="005E371E"/>
    <w:rsid w:val="005E53F9"/>
    <w:rsid w:val="005E775D"/>
    <w:rsid w:val="005F0A43"/>
    <w:rsid w:val="005F27BF"/>
    <w:rsid w:val="005F4171"/>
    <w:rsid w:val="005F46D6"/>
    <w:rsid w:val="005F4DD6"/>
    <w:rsid w:val="005F50D8"/>
    <w:rsid w:val="005F53A1"/>
    <w:rsid w:val="005F56C5"/>
    <w:rsid w:val="005F61E6"/>
    <w:rsid w:val="005F6A4C"/>
    <w:rsid w:val="005F6B77"/>
    <w:rsid w:val="005F7487"/>
    <w:rsid w:val="006002C7"/>
    <w:rsid w:val="006004CF"/>
    <w:rsid w:val="00600F95"/>
    <w:rsid w:val="00601839"/>
    <w:rsid w:val="00602759"/>
    <w:rsid w:val="0060277A"/>
    <w:rsid w:val="00602B7C"/>
    <w:rsid w:val="00603312"/>
    <w:rsid w:val="00604208"/>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BE1"/>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58A"/>
    <w:rsid w:val="00634ACF"/>
    <w:rsid w:val="00634B3D"/>
    <w:rsid w:val="00635035"/>
    <w:rsid w:val="0063580D"/>
    <w:rsid w:val="00635CAE"/>
    <w:rsid w:val="00637240"/>
    <w:rsid w:val="00640502"/>
    <w:rsid w:val="00640C83"/>
    <w:rsid w:val="00643660"/>
    <w:rsid w:val="00646A68"/>
    <w:rsid w:val="00650139"/>
    <w:rsid w:val="00652756"/>
    <w:rsid w:val="00652AD8"/>
    <w:rsid w:val="00652B79"/>
    <w:rsid w:val="006531FA"/>
    <w:rsid w:val="006533C3"/>
    <w:rsid w:val="00654068"/>
    <w:rsid w:val="00654B38"/>
    <w:rsid w:val="00654B83"/>
    <w:rsid w:val="00655061"/>
    <w:rsid w:val="0065510C"/>
    <w:rsid w:val="00655597"/>
    <w:rsid w:val="00655B63"/>
    <w:rsid w:val="00656977"/>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813"/>
    <w:rsid w:val="0068436C"/>
    <w:rsid w:val="0068545E"/>
    <w:rsid w:val="00685FD4"/>
    <w:rsid w:val="00686612"/>
    <w:rsid w:val="0068661E"/>
    <w:rsid w:val="00690A49"/>
    <w:rsid w:val="00690BB6"/>
    <w:rsid w:val="00691B30"/>
    <w:rsid w:val="00693E1F"/>
    <w:rsid w:val="00693E22"/>
    <w:rsid w:val="00693ECB"/>
    <w:rsid w:val="00694797"/>
    <w:rsid w:val="00694BA6"/>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1477"/>
    <w:rsid w:val="006C2BB5"/>
    <w:rsid w:val="006C2BEE"/>
    <w:rsid w:val="006C2C6F"/>
    <w:rsid w:val="006C3AD8"/>
    <w:rsid w:val="006C4516"/>
    <w:rsid w:val="006C455E"/>
    <w:rsid w:val="006C521F"/>
    <w:rsid w:val="006C5958"/>
    <w:rsid w:val="006C5B4F"/>
    <w:rsid w:val="006C643C"/>
    <w:rsid w:val="006C6E3A"/>
    <w:rsid w:val="006C6FD7"/>
    <w:rsid w:val="006D00DB"/>
    <w:rsid w:val="006D0361"/>
    <w:rsid w:val="006D16B0"/>
    <w:rsid w:val="006D19C6"/>
    <w:rsid w:val="006D2182"/>
    <w:rsid w:val="006D2444"/>
    <w:rsid w:val="006D254B"/>
    <w:rsid w:val="006D289B"/>
    <w:rsid w:val="006D3BE1"/>
    <w:rsid w:val="006D48FC"/>
    <w:rsid w:val="006D619D"/>
    <w:rsid w:val="006D62BC"/>
    <w:rsid w:val="006D6450"/>
    <w:rsid w:val="006D6939"/>
    <w:rsid w:val="006D6C6D"/>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541"/>
    <w:rsid w:val="006F4EC4"/>
    <w:rsid w:val="006F52E5"/>
    <w:rsid w:val="006F6066"/>
    <w:rsid w:val="006F6850"/>
    <w:rsid w:val="006F707E"/>
    <w:rsid w:val="006F7898"/>
    <w:rsid w:val="007001DC"/>
    <w:rsid w:val="007025CB"/>
    <w:rsid w:val="007034AA"/>
    <w:rsid w:val="00703C9D"/>
    <w:rsid w:val="0070490C"/>
    <w:rsid w:val="00704BAE"/>
    <w:rsid w:val="00705C38"/>
    <w:rsid w:val="00706465"/>
    <w:rsid w:val="0070695A"/>
    <w:rsid w:val="0070782D"/>
    <w:rsid w:val="0071098E"/>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27EA0"/>
    <w:rsid w:val="00731E7C"/>
    <w:rsid w:val="007329EF"/>
    <w:rsid w:val="0073327A"/>
    <w:rsid w:val="007343E0"/>
    <w:rsid w:val="00734EBE"/>
    <w:rsid w:val="00736DD8"/>
    <w:rsid w:val="0074076A"/>
    <w:rsid w:val="00741AF4"/>
    <w:rsid w:val="00741BF2"/>
    <w:rsid w:val="00741DCC"/>
    <w:rsid w:val="0074203A"/>
    <w:rsid w:val="007427B5"/>
    <w:rsid w:val="00742865"/>
    <w:rsid w:val="0074296C"/>
    <w:rsid w:val="00742C83"/>
    <w:rsid w:val="0074360F"/>
    <w:rsid w:val="00744A64"/>
    <w:rsid w:val="00744D47"/>
    <w:rsid w:val="00744EA0"/>
    <w:rsid w:val="0074638D"/>
    <w:rsid w:val="00746484"/>
    <w:rsid w:val="00746850"/>
    <w:rsid w:val="0074704F"/>
    <w:rsid w:val="00747F48"/>
    <w:rsid w:val="00747F4C"/>
    <w:rsid w:val="00750F29"/>
    <w:rsid w:val="00751089"/>
    <w:rsid w:val="00751091"/>
    <w:rsid w:val="00751B83"/>
    <w:rsid w:val="00751C8F"/>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80D"/>
    <w:rsid w:val="00772F8A"/>
    <w:rsid w:val="007739C6"/>
    <w:rsid w:val="00773A8B"/>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2F"/>
    <w:rsid w:val="00786E71"/>
    <w:rsid w:val="0079162F"/>
    <w:rsid w:val="00792E1B"/>
    <w:rsid w:val="00794924"/>
    <w:rsid w:val="007A0BC2"/>
    <w:rsid w:val="007A1F44"/>
    <w:rsid w:val="007A23FF"/>
    <w:rsid w:val="007A295B"/>
    <w:rsid w:val="007A3424"/>
    <w:rsid w:val="007A35EF"/>
    <w:rsid w:val="007A43A2"/>
    <w:rsid w:val="007A4D04"/>
    <w:rsid w:val="007A624C"/>
    <w:rsid w:val="007A7A96"/>
    <w:rsid w:val="007B03AF"/>
    <w:rsid w:val="007B1543"/>
    <w:rsid w:val="007B1AC0"/>
    <w:rsid w:val="007B270A"/>
    <w:rsid w:val="007B286C"/>
    <w:rsid w:val="007B2D3B"/>
    <w:rsid w:val="007B52CD"/>
    <w:rsid w:val="007B7DC1"/>
    <w:rsid w:val="007B7EDB"/>
    <w:rsid w:val="007C19AD"/>
    <w:rsid w:val="007C3598"/>
    <w:rsid w:val="007C3FA8"/>
    <w:rsid w:val="007C5B0B"/>
    <w:rsid w:val="007C68DA"/>
    <w:rsid w:val="007C7B4B"/>
    <w:rsid w:val="007D229A"/>
    <w:rsid w:val="007D2F44"/>
    <w:rsid w:val="007D2F4D"/>
    <w:rsid w:val="007D4178"/>
    <w:rsid w:val="007D4D33"/>
    <w:rsid w:val="007D7175"/>
    <w:rsid w:val="007E1369"/>
    <w:rsid w:val="007E1A1B"/>
    <w:rsid w:val="007E1A88"/>
    <w:rsid w:val="007E2537"/>
    <w:rsid w:val="007E4C88"/>
    <w:rsid w:val="007E585E"/>
    <w:rsid w:val="007E7DDF"/>
    <w:rsid w:val="007F11C8"/>
    <w:rsid w:val="007F1CFB"/>
    <w:rsid w:val="007F220B"/>
    <w:rsid w:val="007F27DD"/>
    <w:rsid w:val="007F33DC"/>
    <w:rsid w:val="007F684A"/>
    <w:rsid w:val="007F6880"/>
    <w:rsid w:val="007F76B4"/>
    <w:rsid w:val="008001B4"/>
    <w:rsid w:val="00800769"/>
    <w:rsid w:val="00800ED2"/>
    <w:rsid w:val="00802E74"/>
    <w:rsid w:val="00803090"/>
    <w:rsid w:val="00803098"/>
    <w:rsid w:val="008049A4"/>
    <w:rsid w:val="00804B92"/>
    <w:rsid w:val="00804E21"/>
    <w:rsid w:val="00805092"/>
    <w:rsid w:val="00806AAF"/>
    <w:rsid w:val="00806DC2"/>
    <w:rsid w:val="008070AC"/>
    <w:rsid w:val="008101FD"/>
    <w:rsid w:val="00810D8D"/>
    <w:rsid w:val="00811835"/>
    <w:rsid w:val="0081581D"/>
    <w:rsid w:val="008172BE"/>
    <w:rsid w:val="00817B71"/>
    <w:rsid w:val="00820244"/>
    <w:rsid w:val="008205DA"/>
    <w:rsid w:val="0082146C"/>
    <w:rsid w:val="008221B3"/>
    <w:rsid w:val="0082248E"/>
    <w:rsid w:val="00824FDF"/>
    <w:rsid w:val="00825125"/>
    <w:rsid w:val="008257CC"/>
    <w:rsid w:val="008274BF"/>
    <w:rsid w:val="00830DC3"/>
    <w:rsid w:val="00831555"/>
    <w:rsid w:val="00831F52"/>
    <w:rsid w:val="00832154"/>
    <w:rsid w:val="00832F5C"/>
    <w:rsid w:val="0083468C"/>
    <w:rsid w:val="008359E0"/>
    <w:rsid w:val="008376F6"/>
    <w:rsid w:val="00837D5B"/>
    <w:rsid w:val="00840607"/>
    <w:rsid w:val="00841CD2"/>
    <w:rsid w:val="00842B77"/>
    <w:rsid w:val="0084309F"/>
    <w:rsid w:val="00845C12"/>
    <w:rsid w:val="008469D9"/>
    <w:rsid w:val="00846DC0"/>
    <w:rsid w:val="008474A7"/>
    <w:rsid w:val="008506B6"/>
    <w:rsid w:val="00850933"/>
    <w:rsid w:val="00850AE0"/>
    <w:rsid w:val="008524D2"/>
    <w:rsid w:val="00852E19"/>
    <w:rsid w:val="00852F51"/>
    <w:rsid w:val="00855B4D"/>
    <w:rsid w:val="00856833"/>
    <w:rsid w:val="00856840"/>
    <w:rsid w:val="0086087C"/>
    <w:rsid w:val="00860D8E"/>
    <w:rsid w:val="0086275E"/>
    <w:rsid w:val="00864440"/>
    <w:rsid w:val="00864D76"/>
    <w:rsid w:val="008650FC"/>
    <w:rsid w:val="00865643"/>
    <w:rsid w:val="00866EB3"/>
    <w:rsid w:val="0086701A"/>
    <w:rsid w:val="00867BD2"/>
    <w:rsid w:val="008712FD"/>
    <w:rsid w:val="008716A1"/>
    <w:rsid w:val="00872D3F"/>
    <w:rsid w:val="008733E4"/>
    <w:rsid w:val="00873F15"/>
    <w:rsid w:val="00874096"/>
    <w:rsid w:val="00875698"/>
    <w:rsid w:val="008756A4"/>
    <w:rsid w:val="00875F73"/>
    <w:rsid w:val="00880F30"/>
    <w:rsid w:val="00881175"/>
    <w:rsid w:val="00881184"/>
    <w:rsid w:val="008833E8"/>
    <w:rsid w:val="00887B48"/>
    <w:rsid w:val="0089176E"/>
    <w:rsid w:val="008917E0"/>
    <w:rsid w:val="00892365"/>
    <w:rsid w:val="00892BE5"/>
    <w:rsid w:val="0089387C"/>
    <w:rsid w:val="0089444E"/>
    <w:rsid w:val="008949DF"/>
    <w:rsid w:val="008951DB"/>
    <w:rsid w:val="00895FD1"/>
    <w:rsid w:val="00896C81"/>
    <w:rsid w:val="00896D83"/>
    <w:rsid w:val="008A0AB2"/>
    <w:rsid w:val="008A0CFC"/>
    <w:rsid w:val="008A12FE"/>
    <w:rsid w:val="008A28B6"/>
    <w:rsid w:val="008A2BB1"/>
    <w:rsid w:val="008A3466"/>
    <w:rsid w:val="008A389F"/>
    <w:rsid w:val="008A3D02"/>
    <w:rsid w:val="008A5940"/>
    <w:rsid w:val="008A6E27"/>
    <w:rsid w:val="008A73B2"/>
    <w:rsid w:val="008B043F"/>
    <w:rsid w:val="008B0808"/>
    <w:rsid w:val="008B0AEC"/>
    <w:rsid w:val="008B119D"/>
    <w:rsid w:val="008B1E53"/>
    <w:rsid w:val="008B1E5B"/>
    <w:rsid w:val="008B389D"/>
    <w:rsid w:val="008B3C5C"/>
    <w:rsid w:val="008B5299"/>
    <w:rsid w:val="008B5A5F"/>
    <w:rsid w:val="008B5AB0"/>
    <w:rsid w:val="008B6054"/>
    <w:rsid w:val="008B6CBC"/>
    <w:rsid w:val="008B7B08"/>
    <w:rsid w:val="008C13F0"/>
    <w:rsid w:val="008C1F26"/>
    <w:rsid w:val="008C2A3A"/>
    <w:rsid w:val="008C2FE1"/>
    <w:rsid w:val="008C4C7E"/>
    <w:rsid w:val="008C59C0"/>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5A"/>
    <w:rsid w:val="008E75AB"/>
    <w:rsid w:val="008F0A38"/>
    <w:rsid w:val="008F0F84"/>
    <w:rsid w:val="008F1014"/>
    <w:rsid w:val="008F11C9"/>
    <w:rsid w:val="008F23D8"/>
    <w:rsid w:val="008F2FD5"/>
    <w:rsid w:val="008F37E5"/>
    <w:rsid w:val="008F48C2"/>
    <w:rsid w:val="008F5840"/>
    <w:rsid w:val="008F5EEF"/>
    <w:rsid w:val="008F66FE"/>
    <w:rsid w:val="008F6849"/>
    <w:rsid w:val="008F72CC"/>
    <w:rsid w:val="008F72CD"/>
    <w:rsid w:val="00902720"/>
    <w:rsid w:val="00903802"/>
    <w:rsid w:val="0090696D"/>
    <w:rsid w:val="00906CD6"/>
    <w:rsid w:val="00906E4D"/>
    <w:rsid w:val="00906F31"/>
    <w:rsid w:val="009078B3"/>
    <w:rsid w:val="00907A77"/>
    <w:rsid w:val="00907E00"/>
    <w:rsid w:val="0091088D"/>
    <w:rsid w:val="00910911"/>
    <w:rsid w:val="00910FC9"/>
    <w:rsid w:val="0091291A"/>
    <w:rsid w:val="00913612"/>
    <w:rsid w:val="0091366A"/>
    <w:rsid w:val="00913824"/>
    <w:rsid w:val="00915757"/>
    <w:rsid w:val="009159B3"/>
    <w:rsid w:val="00916181"/>
    <w:rsid w:val="00916967"/>
    <w:rsid w:val="009204C5"/>
    <w:rsid w:val="0092180D"/>
    <w:rsid w:val="009232C9"/>
    <w:rsid w:val="00923608"/>
    <w:rsid w:val="009238E5"/>
    <w:rsid w:val="00923F12"/>
    <w:rsid w:val="00924FF8"/>
    <w:rsid w:val="00925BA8"/>
    <w:rsid w:val="00926839"/>
    <w:rsid w:val="00926DA7"/>
    <w:rsid w:val="00927F8B"/>
    <w:rsid w:val="0093094D"/>
    <w:rsid w:val="009328C7"/>
    <w:rsid w:val="009336EC"/>
    <w:rsid w:val="00933F56"/>
    <w:rsid w:val="00934C13"/>
    <w:rsid w:val="00935228"/>
    <w:rsid w:val="009355A2"/>
    <w:rsid w:val="00935F45"/>
    <w:rsid w:val="00935F9E"/>
    <w:rsid w:val="00936126"/>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559D"/>
    <w:rsid w:val="00977BA7"/>
    <w:rsid w:val="00980517"/>
    <w:rsid w:val="0098194F"/>
    <w:rsid w:val="009826C8"/>
    <w:rsid w:val="009836E4"/>
    <w:rsid w:val="0098412F"/>
    <w:rsid w:val="00985F28"/>
    <w:rsid w:val="00986149"/>
    <w:rsid w:val="00986176"/>
    <w:rsid w:val="00986E7F"/>
    <w:rsid w:val="00987536"/>
    <w:rsid w:val="00987948"/>
    <w:rsid w:val="00990BD5"/>
    <w:rsid w:val="0099196F"/>
    <w:rsid w:val="00992B98"/>
    <w:rsid w:val="0099359F"/>
    <w:rsid w:val="0099461D"/>
    <w:rsid w:val="00994871"/>
    <w:rsid w:val="00994E08"/>
    <w:rsid w:val="009951F9"/>
    <w:rsid w:val="00995C95"/>
    <w:rsid w:val="00995E85"/>
    <w:rsid w:val="00996468"/>
    <w:rsid w:val="00996876"/>
    <w:rsid w:val="00996FFA"/>
    <w:rsid w:val="009973F1"/>
    <w:rsid w:val="009973F3"/>
    <w:rsid w:val="009A010D"/>
    <w:rsid w:val="009A0C6F"/>
    <w:rsid w:val="009A14EF"/>
    <w:rsid w:val="009A17E1"/>
    <w:rsid w:val="009A249E"/>
    <w:rsid w:val="009A2DF9"/>
    <w:rsid w:val="009A3A86"/>
    <w:rsid w:val="009A4869"/>
    <w:rsid w:val="009A6A6B"/>
    <w:rsid w:val="009B1EF9"/>
    <w:rsid w:val="009B26AC"/>
    <w:rsid w:val="009B37E2"/>
    <w:rsid w:val="009B4519"/>
    <w:rsid w:val="009B506B"/>
    <w:rsid w:val="009B57EF"/>
    <w:rsid w:val="009B5B85"/>
    <w:rsid w:val="009B7204"/>
    <w:rsid w:val="009B78B8"/>
    <w:rsid w:val="009C0074"/>
    <w:rsid w:val="009C0564"/>
    <w:rsid w:val="009C0AC3"/>
    <w:rsid w:val="009C2685"/>
    <w:rsid w:val="009C2F2A"/>
    <w:rsid w:val="009C39BC"/>
    <w:rsid w:val="009C4BC2"/>
    <w:rsid w:val="009C4D22"/>
    <w:rsid w:val="009C6FCF"/>
    <w:rsid w:val="009C7320"/>
    <w:rsid w:val="009D0729"/>
    <w:rsid w:val="009D0F66"/>
    <w:rsid w:val="009D1A06"/>
    <w:rsid w:val="009D1BA4"/>
    <w:rsid w:val="009D22E4"/>
    <w:rsid w:val="009D22F7"/>
    <w:rsid w:val="009D319C"/>
    <w:rsid w:val="009D32FD"/>
    <w:rsid w:val="009D5788"/>
    <w:rsid w:val="009D5BAB"/>
    <w:rsid w:val="009D6225"/>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E58"/>
    <w:rsid w:val="009F27AD"/>
    <w:rsid w:val="009F3FB5"/>
    <w:rsid w:val="009F4D55"/>
    <w:rsid w:val="009F521F"/>
    <w:rsid w:val="009F553C"/>
    <w:rsid w:val="009F59F8"/>
    <w:rsid w:val="009F6D87"/>
    <w:rsid w:val="00A005B0"/>
    <w:rsid w:val="00A01F17"/>
    <w:rsid w:val="00A022A5"/>
    <w:rsid w:val="00A03A22"/>
    <w:rsid w:val="00A04634"/>
    <w:rsid w:val="00A06119"/>
    <w:rsid w:val="00A07A48"/>
    <w:rsid w:val="00A10623"/>
    <w:rsid w:val="00A108EE"/>
    <w:rsid w:val="00A10BB8"/>
    <w:rsid w:val="00A11AC2"/>
    <w:rsid w:val="00A1200D"/>
    <w:rsid w:val="00A137E4"/>
    <w:rsid w:val="00A14813"/>
    <w:rsid w:val="00A1566A"/>
    <w:rsid w:val="00A165BF"/>
    <w:rsid w:val="00A172E8"/>
    <w:rsid w:val="00A179FF"/>
    <w:rsid w:val="00A20351"/>
    <w:rsid w:val="00A2181D"/>
    <w:rsid w:val="00A21A36"/>
    <w:rsid w:val="00A24BFC"/>
    <w:rsid w:val="00A24EF3"/>
    <w:rsid w:val="00A25294"/>
    <w:rsid w:val="00A254EE"/>
    <w:rsid w:val="00A25BE7"/>
    <w:rsid w:val="00A27008"/>
    <w:rsid w:val="00A27B95"/>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78E"/>
    <w:rsid w:val="00A40E36"/>
    <w:rsid w:val="00A4376F"/>
    <w:rsid w:val="00A4549F"/>
    <w:rsid w:val="00A45B9B"/>
    <w:rsid w:val="00A462FE"/>
    <w:rsid w:val="00A47F03"/>
    <w:rsid w:val="00A501C9"/>
    <w:rsid w:val="00A50506"/>
    <w:rsid w:val="00A50516"/>
    <w:rsid w:val="00A51963"/>
    <w:rsid w:val="00A53F55"/>
    <w:rsid w:val="00A5417B"/>
    <w:rsid w:val="00A54599"/>
    <w:rsid w:val="00A54A1B"/>
    <w:rsid w:val="00A54B82"/>
    <w:rsid w:val="00A569D4"/>
    <w:rsid w:val="00A57F1A"/>
    <w:rsid w:val="00A60163"/>
    <w:rsid w:val="00A6038D"/>
    <w:rsid w:val="00A60CF0"/>
    <w:rsid w:val="00A61429"/>
    <w:rsid w:val="00A61514"/>
    <w:rsid w:val="00A61645"/>
    <w:rsid w:val="00A62080"/>
    <w:rsid w:val="00A630A2"/>
    <w:rsid w:val="00A632B8"/>
    <w:rsid w:val="00A63BF3"/>
    <w:rsid w:val="00A642FA"/>
    <w:rsid w:val="00A648A4"/>
    <w:rsid w:val="00A64942"/>
    <w:rsid w:val="00A65911"/>
    <w:rsid w:val="00A6643C"/>
    <w:rsid w:val="00A669EE"/>
    <w:rsid w:val="00A67544"/>
    <w:rsid w:val="00A7075B"/>
    <w:rsid w:val="00A71CE6"/>
    <w:rsid w:val="00A71D23"/>
    <w:rsid w:val="00A7333A"/>
    <w:rsid w:val="00A73D0D"/>
    <w:rsid w:val="00A74A92"/>
    <w:rsid w:val="00A75CC1"/>
    <w:rsid w:val="00A75E88"/>
    <w:rsid w:val="00A77721"/>
    <w:rsid w:val="00A8056E"/>
    <w:rsid w:val="00A8181D"/>
    <w:rsid w:val="00A821F8"/>
    <w:rsid w:val="00A82D58"/>
    <w:rsid w:val="00A8399D"/>
    <w:rsid w:val="00A83E3D"/>
    <w:rsid w:val="00A8443A"/>
    <w:rsid w:val="00A8479C"/>
    <w:rsid w:val="00A8557B"/>
    <w:rsid w:val="00A85A05"/>
    <w:rsid w:val="00A86D63"/>
    <w:rsid w:val="00A87797"/>
    <w:rsid w:val="00A90E72"/>
    <w:rsid w:val="00A922A2"/>
    <w:rsid w:val="00A9327B"/>
    <w:rsid w:val="00A93563"/>
    <w:rsid w:val="00A93B1F"/>
    <w:rsid w:val="00A93B69"/>
    <w:rsid w:val="00A963C7"/>
    <w:rsid w:val="00AA14A9"/>
    <w:rsid w:val="00AA1626"/>
    <w:rsid w:val="00AA1C25"/>
    <w:rsid w:val="00AA3DB7"/>
    <w:rsid w:val="00AA51F5"/>
    <w:rsid w:val="00AA5E3B"/>
    <w:rsid w:val="00AA68B4"/>
    <w:rsid w:val="00AB0543"/>
    <w:rsid w:val="00AB0AC9"/>
    <w:rsid w:val="00AB185A"/>
    <w:rsid w:val="00AB1BA7"/>
    <w:rsid w:val="00AB1E04"/>
    <w:rsid w:val="00AB2586"/>
    <w:rsid w:val="00AB29CF"/>
    <w:rsid w:val="00AB3113"/>
    <w:rsid w:val="00AB348A"/>
    <w:rsid w:val="00AB3F38"/>
    <w:rsid w:val="00AB43EC"/>
    <w:rsid w:val="00AB4BF4"/>
    <w:rsid w:val="00AB5ADF"/>
    <w:rsid w:val="00AB5E57"/>
    <w:rsid w:val="00AB725F"/>
    <w:rsid w:val="00AC0705"/>
    <w:rsid w:val="00AC109B"/>
    <w:rsid w:val="00AC2288"/>
    <w:rsid w:val="00AC644B"/>
    <w:rsid w:val="00AC74DA"/>
    <w:rsid w:val="00AC7A2B"/>
    <w:rsid w:val="00AC7C25"/>
    <w:rsid w:val="00AD0A51"/>
    <w:rsid w:val="00AD0B37"/>
    <w:rsid w:val="00AD11F7"/>
    <w:rsid w:val="00AD1DB7"/>
    <w:rsid w:val="00AD202B"/>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3FEB"/>
    <w:rsid w:val="00B040B2"/>
    <w:rsid w:val="00B10558"/>
    <w:rsid w:val="00B138A1"/>
    <w:rsid w:val="00B156A9"/>
    <w:rsid w:val="00B15F83"/>
    <w:rsid w:val="00B160FF"/>
    <w:rsid w:val="00B16322"/>
    <w:rsid w:val="00B1662E"/>
    <w:rsid w:val="00B166C8"/>
    <w:rsid w:val="00B16A6F"/>
    <w:rsid w:val="00B17B74"/>
    <w:rsid w:val="00B22C0D"/>
    <w:rsid w:val="00B23AF4"/>
    <w:rsid w:val="00B23C15"/>
    <w:rsid w:val="00B25762"/>
    <w:rsid w:val="00B25B40"/>
    <w:rsid w:val="00B25FDE"/>
    <w:rsid w:val="00B26AB0"/>
    <w:rsid w:val="00B26AD2"/>
    <w:rsid w:val="00B26CA2"/>
    <w:rsid w:val="00B27F5E"/>
    <w:rsid w:val="00B30B4E"/>
    <w:rsid w:val="00B31246"/>
    <w:rsid w:val="00B326FF"/>
    <w:rsid w:val="00B340AA"/>
    <w:rsid w:val="00B34A9F"/>
    <w:rsid w:val="00B34B80"/>
    <w:rsid w:val="00B35CDA"/>
    <w:rsid w:val="00B37D97"/>
    <w:rsid w:val="00B4118A"/>
    <w:rsid w:val="00B411BD"/>
    <w:rsid w:val="00B41559"/>
    <w:rsid w:val="00B418E8"/>
    <w:rsid w:val="00B42285"/>
    <w:rsid w:val="00B4274B"/>
    <w:rsid w:val="00B43229"/>
    <w:rsid w:val="00B435B1"/>
    <w:rsid w:val="00B4367F"/>
    <w:rsid w:val="00B438BA"/>
    <w:rsid w:val="00B44F99"/>
    <w:rsid w:val="00B45876"/>
    <w:rsid w:val="00B479C2"/>
    <w:rsid w:val="00B51542"/>
    <w:rsid w:val="00B51D1D"/>
    <w:rsid w:val="00B5310E"/>
    <w:rsid w:val="00B54ACC"/>
    <w:rsid w:val="00B54DCB"/>
    <w:rsid w:val="00B55AC2"/>
    <w:rsid w:val="00B55FD5"/>
    <w:rsid w:val="00B560C9"/>
    <w:rsid w:val="00B56533"/>
    <w:rsid w:val="00B56CFC"/>
    <w:rsid w:val="00B57777"/>
    <w:rsid w:val="00B57A17"/>
    <w:rsid w:val="00B61686"/>
    <w:rsid w:val="00B61BE2"/>
    <w:rsid w:val="00B6266F"/>
    <w:rsid w:val="00B62E0B"/>
    <w:rsid w:val="00B63C32"/>
    <w:rsid w:val="00B64434"/>
    <w:rsid w:val="00B67FDE"/>
    <w:rsid w:val="00B711CE"/>
    <w:rsid w:val="00B71DC8"/>
    <w:rsid w:val="00B721C0"/>
    <w:rsid w:val="00B73623"/>
    <w:rsid w:val="00B746C6"/>
    <w:rsid w:val="00B756F1"/>
    <w:rsid w:val="00B7604C"/>
    <w:rsid w:val="00B7652C"/>
    <w:rsid w:val="00B766BF"/>
    <w:rsid w:val="00B76FA6"/>
    <w:rsid w:val="00B80910"/>
    <w:rsid w:val="00B818F4"/>
    <w:rsid w:val="00B81A1C"/>
    <w:rsid w:val="00B81BC9"/>
    <w:rsid w:val="00B8222F"/>
    <w:rsid w:val="00B82615"/>
    <w:rsid w:val="00B82ECF"/>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0F1"/>
    <w:rsid w:val="00B97260"/>
    <w:rsid w:val="00B97A69"/>
    <w:rsid w:val="00BA0632"/>
    <w:rsid w:val="00BA0AAA"/>
    <w:rsid w:val="00BA0DFB"/>
    <w:rsid w:val="00BA0F1C"/>
    <w:rsid w:val="00BA2FEF"/>
    <w:rsid w:val="00BA3F6A"/>
    <w:rsid w:val="00BA6FA0"/>
    <w:rsid w:val="00BB1548"/>
    <w:rsid w:val="00BB1CE7"/>
    <w:rsid w:val="00BB2FD3"/>
    <w:rsid w:val="00BB2FDF"/>
    <w:rsid w:val="00BB2FFF"/>
    <w:rsid w:val="00BB5FCB"/>
    <w:rsid w:val="00BB604B"/>
    <w:rsid w:val="00BB6B93"/>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3C5C"/>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6B1"/>
    <w:rsid w:val="00BF19CE"/>
    <w:rsid w:val="00BF2B6F"/>
    <w:rsid w:val="00BF351A"/>
    <w:rsid w:val="00BF3914"/>
    <w:rsid w:val="00BF3E73"/>
    <w:rsid w:val="00BF49B1"/>
    <w:rsid w:val="00BF5552"/>
    <w:rsid w:val="00BF73F2"/>
    <w:rsid w:val="00C01671"/>
    <w:rsid w:val="00C02419"/>
    <w:rsid w:val="00C02766"/>
    <w:rsid w:val="00C03EE8"/>
    <w:rsid w:val="00C0409E"/>
    <w:rsid w:val="00C05BEC"/>
    <w:rsid w:val="00C06E7D"/>
    <w:rsid w:val="00C1112B"/>
    <w:rsid w:val="00C1142C"/>
    <w:rsid w:val="00C11A88"/>
    <w:rsid w:val="00C12012"/>
    <w:rsid w:val="00C12874"/>
    <w:rsid w:val="00C12BC1"/>
    <w:rsid w:val="00C13BDA"/>
    <w:rsid w:val="00C13FFD"/>
    <w:rsid w:val="00C14632"/>
    <w:rsid w:val="00C16C30"/>
    <w:rsid w:val="00C20A00"/>
    <w:rsid w:val="00C21673"/>
    <w:rsid w:val="00C21C7A"/>
    <w:rsid w:val="00C23130"/>
    <w:rsid w:val="00C23E58"/>
    <w:rsid w:val="00C2544C"/>
    <w:rsid w:val="00C255A5"/>
    <w:rsid w:val="00C2584B"/>
    <w:rsid w:val="00C25942"/>
    <w:rsid w:val="00C25DD9"/>
    <w:rsid w:val="00C2663F"/>
    <w:rsid w:val="00C26DB8"/>
    <w:rsid w:val="00C3005D"/>
    <w:rsid w:val="00C31279"/>
    <w:rsid w:val="00C338FF"/>
    <w:rsid w:val="00C33C62"/>
    <w:rsid w:val="00C3400F"/>
    <w:rsid w:val="00C34012"/>
    <w:rsid w:val="00C34B64"/>
    <w:rsid w:val="00C34C36"/>
    <w:rsid w:val="00C352B3"/>
    <w:rsid w:val="00C3654C"/>
    <w:rsid w:val="00C36BF5"/>
    <w:rsid w:val="00C36DBC"/>
    <w:rsid w:val="00C376BA"/>
    <w:rsid w:val="00C40373"/>
    <w:rsid w:val="00C4082D"/>
    <w:rsid w:val="00C40AE6"/>
    <w:rsid w:val="00C411AF"/>
    <w:rsid w:val="00C4138D"/>
    <w:rsid w:val="00C419E0"/>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5A5"/>
    <w:rsid w:val="00C62CD5"/>
    <w:rsid w:val="00C636E6"/>
    <w:rsid w:val="00C639D6"/>
    <w:rsid w:val="00C63F8E"/>
    <w:rsid w:val="00C647FB"/>
    <w:rsid w:val="00C654E0"/>
    <w:rsid w:val="00C67EAB"/>
    <w:rsid w:val="00C70DFF"/>
    <w:rsid w:val="00C7189C"/>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2E3F"/>
    <w:rsid w:val="00CA3CDD"/>
    <w:rsid w:val="00CA403B"/>
    <w:rsid w:val="00CA505A"/>
    <w:rsid w:val="00CA59DD"/>
    <w:rsid w:val="00CB008E"/>
    <w:rsid w:val="00CB01FA"/>
    <w:rsid w:val="00CB0737"/>
    <w:rsid w:val="00CB097A"/>
    <w:rsid w:val="00CB26EC"/>
    <w:rsid w:val="00CB2D2A"/>
    <w:rsid w:val="00CB4601"/>
    <w:rsid w:val="00CB5B1E"/>
    <w:rsid w:val="00CB787A"/>
    <w:rsid w:val="00CC0B0F"/>
    <w:rsid w:val="00CC0C4A"/>
    <w:rsid w:val="00CC143B"/>
    <w:rsid w:val="00CC17F0"/>
    <w:rsid w:val="00CC1853"/>
    <w:rsid w:val="00CC1AB1"/>
    <w:rsid w:val="00CC1FAE"/>
    <w:rsid w:val="00CC2212"/>
    <w:rsid w:val="00CC3A23"/>
    <w:rsid w:val="00CC737C"/>
    <w:rsid w:val="00CD087D"/>
    <w:rsid w:val="00CD0F5D"/>
    <w:rsid w:val="00CD1C0B"/>
    <w:rsid w:val="00CD239A"/>
    <w:rsid w:val="00CD4C94"/>
    <w:rsid w:val="00CD5041"/>
    <w:rsid w:val="00CD5512"/>
    <w:rsid w:val="00CD6E3D"/>
    <w:rsid w:val="00CD71AB"/>
    <w:rsid w:val="00CE0109"/>
    <w:rsid w:val="00CE106C"/>
    <w:rsid w:val="00CE1FC5"/>
    <w:rsid w:val="00CE3541"/>
    <w:rsid w:val="00CE46E5"/>
    <w:rsid w:val="00CE485A"/>
    <w:rsid w:val="00CE5279"/>
    <w:rsid w:val="00CE5A78"/>
    <w:rsid w:val="00CE6617"/>
    <w:rsid w:val="00CE7499"/>
    <w:rsid w:val="00CE78AE"/>
    <w:rsid w:val="00CE7E62"/>
    <w:rsid w:val="00CF195E"/>
    <w:rsid w:val="00CF19DA"/>
    <w:rsid w:val="00CF1C7F"/>
    <w:rsid w:val="00CF1CC0"/>
    <w:rsid w:val="00CF24F8"/>
    <w:rsid w:val="00CF2653"/>
    <w:rsid w:val="00CF4247"/>
    <w:rsid w:val="00CF5263"/>
    <w:rsid w:val="00CF60B5"/>
    <w:rsid w:val="00D004FA"/>
    <w:rsid w:val="00D0190B"/>
    <w:rsid w:val="00D01B21"/>
    <w:rsid w:val="00D01E2F"/>
    <w:rsid w:val="00D03102"/>
    <w:rsid w:val="00D03727"/>
    <w:rsid w:val="00D0378A"/>
    <w:rsid w:val="00D04D24"/>
    <w:rsid w:val="00D05132"/>
    <w:rsid w:val="00D05EA9"/>
    <w:rsid w:val="00D071F8"/>
    <w:rsid w:val="00D07252"/>
    <w:rsid w:val="00D074F4"/>
    <w:rsid w:val="00D07CE1"/>
    <w:rsid w:val="00D1026A"/>
    <w:rsid w:val="00D107CF"/>
    <w:rsid w:val="00D1179E"/>
    <w:rsid w:val="00D11B0B"/>
    <w:rsid w:val="00D12293"/>
    <w:rsid w:val="00D14236"/>
    <w:rsid w:val="00D14553"/>
    <w:rsid w:val="00D14DB1"/>
    <w:rsid w:val="00D15F43"/>
    <w:rsid w:val="00D16E87"/>
    <w:rsid w:val="00D2058B"/>
    <w:rsid w:val="00D20925"/>
    <w:rsid w:val="00D20B8B"/>
    <w:rsid w:val="00D2162C"/>
    <w:rsid w:val="00D21A3C"/>
    <w:rsid w:val="00D233F1"/>
    <w:rsid w:val="00D24C61"/>
    <w:rsid w:val="00D256F8"/>
    <w:rsid w:val="00D25CDD"/>
    <w:rsid w:val="00D2685C"/>
    <w:rsid w:val="00D26A3B"/>
    <w:rsid w:val="00D302FD"/>
    <w:rsid w:val="00D3038A"/>
    <w:rsid w:val="00D3098D"/>
    <w:rsid w:val="00D31A02"/>
    <w:rsid w:val="00D3323C"/>
    <w:rsid w:val="00D33456"/>
    <w:rsid w:val="00D3396F"/>
    <w:rsid w:val="00D33D4D"/>
    <w:rsid w:val="00D34A0B"/>
    <w:rsid w:val="00D36234"/>
    <w:rsid w:val="00D36371"/>
    <w:rsid w:val="00D36DC3"/>
    <w:rsid w:val="00D42363"/>
    <w:rsid w:val="00D43572"/>
    <w:rsid w:val="00D43794"/>
    <w:rsid w:val="00D437D8"/>
    <w:rsid w:val="00D44994"/>
    <w:rsid w:val="00D45DF3"/>
    <w:rsid w:val="00D46174"/>
    <w:rsid w:val="00D47DD0"/>
    <w:rsid w:val="00D50183"/>
    <w:rsid w:val="00D51D12"/>
    <w:rsid w:val="00D5227B"/>
    <w:rsid w:val="00D5362B"/>
    <w:rsid w:val="00D54913"/>
    <w:rsid w:val="00D55072"/>
    <w:rsid w:val="00D551B5"/>
    <w:rsid w:val="00D55BF5"/>
    <w:rsid w:val="00D56DB2"/>
    <w:rsid w:val="00D5747F"/>
    <w:rsid w:val="00D57495"/>
    <w:rsid w:val="00D574FA"/>
    <w:rsid w:val="00D60C8D"/>
    <w:rsid w:val="00D61374"/>
    <w:rsid w:val="00D61583"/>
    <w:rsid w:val="00D6168A"/>
    <w:rsid w:val="00D616A5"/>
    <w:rsid w:val="00D61FF0"/>
    <w:rsid w:val="00D6211D"/>
    <w:rsid w:val="00D62C97"/>
    <w:rsid w:val="00D63517"/>
    <w:rsid w:val="00D63B75"/>
    <w:rsid w:val="00D65354"/>
    <w:rsid w:val="00D659B1"/>
    <w:rsid w:val="00D66E18"/>
    <w:rsid w:val="00D66F5A"/>
    <w:rsid w:val="00D6734D"/>
    <w:rsid w:val="00D679CF"/>
    <w:rsid w:val="00D679D3"/>
    <w:rsid w:val="00D7356F"/>
    <w:rsid w:val="00D73587"/>
    <w:rsid w:val="00D73EBB"/>
    <w:rsid w:val="00D73FF8"/>
    <w:rsid w:val="00D751FB"/>
    <w:rsid w:val="00D754D6"/>
    <w:rsid w:val="00D761AA"/>
    <w:rsid w:val="00D76FAE"/>
    <w:rsid w:val="00D777D7"/>
    <w:rsid w:val="00D80AB8"/>
    <w:rsid w:val="00D815E0"/>
    <w:rsid w:val="00D81792"/>
    <w:rsid w:val="00D819B1"/>
    <w:rsid w:val="00D81ECB"/>
    <w:rsid w:val="00D82494"/>
    <w:rsid w:val="00D83AE9"/>
    <w:rsid w:val="00D857B8"/>
    <w:rsid w:val="00D86701"/>
    <w:rsid w:val="00D87175"/>
    <w:rsid w:val="00D87ABF"/>
    <w:rsid w:val="00D90CD3"/>
    <w:rsid w:val="00D919E6"/>
    <w:rsid w:val="00D91BE1"/>
    <w:rsid w:val="00D92C29"/>
    <w:rsid w:val="00D936E2"/>
    <w:rsid w:val="00D95104"/>
    <w:rsid w:val="00D9546F"/>
    <w:rsid w:val="00D95600"/>
    <w:rsid w:val="00D9683C"/>
    <w:rsid w:val="00D97884"/>
    <w:rsid w:val="00DA0A7F"/>
    <w:rsid w:val="00DA1C31"/>
    <w:rsid w:val="00DA20BC"/>
    <w:rsid w:val="00DA2ED7"/>
    <w:rsid w:val="00DA33E9"/>
    <w:rsid w:val="00DA3E7A"/>
    <w:rsid w:val="00DA430C"/>
    <w:rsid w:val="00DA615D"/>
    <w:rsid w:val="00DA6598"/>
    <w:rsid w:val="00DA6C0F"/>
    <w:rsid w:val="00DA702F"/>
    <w:rsid w:val="00DA7F8A"/>
    <w:rsid w:val="00DB0176"/>
    <w:rsid w:val="00DB0404"/>
    <w:rsid w:val="00DB11F8"/>
    <w:rsid w:val="00DB18F8"/>
    <w:rsid w:val="00DB1F2A"/>
    <w:rsid w:val="00DB297F"/>
    <w:rsid w:val="00DB2CE1"/>
    <w:rsid w:val="00DB3153"/>
    <w:rsid w:val="00DB317A"/>
    <w:rsid w:val="00DB3B82"/>
    <w:rsid w:val="00DB485D"/>
    <w:rsid w:val="00DC1327"/>
    <w:rsid w:val="00DC1350"/>
    <w:rsid w:val="00DC18F1"/>
    <w:rsid w:val="00DC212E"/>
    <w:rsid w:val="00DC28D2"/>
    <w:rsid w:val="00DC3237"/>
    <w:rsid w:val="00DC41A4"/>
    <w:rsid w:val="00DC5672"/>
    <w:rsid w:val="00DC60A2"/>
    <w:rsid w:val="00DC6600"/>
    <w:rsid w:val="00DC67BD"/>
    <w:rsid w:val="00DC6924"/>
    <w:rsid w:val="00DC71F2"/>
    <w:rsid w:val="00DD1B9D"/>
    <w:rsid w:val="00DD2025"/>
    <w:rsid w:val="00DD22EA"/>
    <w:rsid w:val="00DD23A0"/>
    <w:rsid w:val="00DD3EF5"/>
    <w:rsid w:val="00DD427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DF7AEB"/>
    <w:rsid w:val="00E002F1"/>
    <w:rsid w:val="00E0082C"/>
    <w:rsid w:val="00E0177A"/>
    <w:rsid w:val="00E01DAA"/>
    <w:rsid w:val="00E023E5"/>
    <w:rsid w:val="00E02432"/>
    <w:rsid w:val="00E02600"/>
    <w:rsid w:val="00E03D9D"/>
    <w:rsid w:val="00E03F7B"/>
    <w:rsid w:val="00E04022"/>
    <w:rsid w:val="00E0728F"/>
    <w:rsid w:val="00E0755C"/>
    <w:rsid w:val="00E13751"/>
    <w:rsid w:val="00E14A7E"/>
    <w:rsid w:val="00E151E1"/>
    <w:rsid w:val="00E16A65"/>
    <w:rsid w:val="00E17619"/>
    <w:rsid w:val="00E17805"/>
    <w:rsid w:val="00E20F79"/>
    <w:rsid w:val="00E21278"/>
    <w:rsid w:val="00E22454"/>
    <w:rsid w:val="00E22CCD"/>
    <w:rsid w:val="00E23A11"/>
    <w:rsid w:val="00E23FB7"/>
    <w:rsid w:val="00E24A27"/>
    <w:rsid w:val="00E25F89"/>
    <w:rsid w:val="00E27AA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19"/>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118"/>
    <w:rsid w:val="00E80514"/>
    <w:rsid w:val="00E80E5B"/>
    <w:rsid w:val="00E816C5"/>
    <w:rsid w:val="00E81CE0"/>
    <w:rsid w:val="00E81E7C"/>
    <w:rsid w:val="00E8224D"/>
    <w:rsid w:val="00E84A92"/>
    <w:rsid w:val="00E8519F"/>
    <w:rsid w:val="00E85CC3"/>
    <w:rsid w:val="00E8644A"/>
    <w:rsid w:val="00E86E45"/>
    <w:rsid w:val="00E90279"/>
    <w:rsid w:val="00E90635"/>
    <w:rsid w:val="00E909A1"/>
    <w:rsid w:val="00E90BFF"/>
    <w:rsid w:val="00E916F2"/>
    <w:rsid w:val="00E91F04"/>
    <w:rsid w:val="00E91F35"/>
    <w:rsid w:val="00E92109"/>
    <w:rsid w:val="00E92B02"/>
    <w:rsid w:val="00E940C2"/>
    <w:rsid w:val="00E95BA6"/>
    <w:rsid w:val="00E9666E"/>
    <w:rsid w:val="00E97648"/>
    <w:rsid w:val="00EA0267"/>
    <w:rsid w:val="00EA0E4A"/>
    <w:rsid w:val="00EA1A54"/>
    <w:rsid w:val="00EA2226"/>
    <w:rsid w:val="00EA26FC"/>
    <w:rsid w:val="00EA3B5A"/>
    <w:rsid w:val="00EA410E"/>
    <w:rsid w:val="00EA4FD1"/>
    <w:rsid w:val="00EA53C2"/>
    <w:rsid w:val="00EA5695"/>
    <w:rsid w:val="00EA5B0A"/>
    <w:rsid w:val="00EA65AD"/>
    <w:rsid w:val="00EA7FCF"/>
    <w:rsid w:val="00EB0A3D"/>
    <w:rsid w:val="00EB0CA3"/>
    <w:rsid w:val="00EB104F"/>
    <w:rsid w:val="00EB1B27"/>
    <w:rsid w:val="00EB1DA8"/>
    <w:rsid w:val="00EB29AC"/>
    <w:rsid w:val="00EB4CFF"/>
    <w:rsid w:val="00EB5476"/>
    <w:rsid w:val="00EB70B0"/>
    <w:rsid w:val="00EB7633"/>
    <w:rsid w:val="00EB7736"/>
    <w:rsid w:val="00EC2E2D"/>
    <w:rsid w:val="00EC462B"/>
    <w:rsid w:val="00EC4723"/>
    <w:rsid w:val="00EC56E0"/>
    <w:rsid w:val="00EC5D41"/>
    <w:rsid w:val="00EC5E4D"/>
    <w:rsid w:val="00EC6057"/>
    <w:rsid w:val="00EC6847"/>
    <w:rsid w:val="00EC7DB6"/>
    <w:rsid w:val="00ED12CE"/>
    <w:rsid w:val="00ED162F"/>
    <w:rsid w:val="00ED2E52"/>
    <w:rsid w:val="00ED3024"/>
    <w:rsid w:val="00ED501E"/>
    <w:rsid w:val="00ED5609"/>
    <w:rsid w:val="00ED5FE4"/>
    <w:rsid w:val="00ED71C5"/>
    <w:rsid w:val="00EE02F0"/>
    <w:rsid w:val="00EE0986"/>
    <w:rsid w:val="00EE16FA"/>
    <w:rsid w:val="00EE3C42"/>
    <w:rsid w:val="00EE3D4F"/>
    <w:rsid w:val="00EE499A"/>
    <w:rsid w:val="00EE4E6B"/>
    <w:rsid w:val="00EE534D"/>
    <w:rsid w:val="00EE5560"/>
    <w:rsid w:val="00EE55C5"/>
    <w:rsid w:val="00EE6F1E"/>
    <w:rsid w:val="00EF0348"/>
    <w:rsid w:val="00EF1F9C"/>
    <w:rsid w:val="00EF4366"/>
    <w:rsid w:val="00EF4CD6"/>
    <w:rsid w:val="00EF558B"/>
    <w:rsid w:val="00EF55A0"/>
    <w:rsid w:val="00EF63D1"/>
    <w:rsid w:val="00EF6513"/>
    <w:rsid w:val="00EF6683"/>
    <w:rsid w:val="00EF7002"/>
    <w:rsid w:val="00EF769B"/>
    <w:rsid w:val="00F027BA"/>
    <w:rsid w:val="00F034FE"/>
    <w:rsid w:val="00F03E79"/>
    <w:rsid w:val="00F0628D"/>
    <w:rsid w:val="00F06651"/>
    <w:rsid w:val="00F07DE6"/>
    <w:rsid w:val="00F1056C"/>
    <w:rsid w:val="00F107F1"/>
    <w:rsid w:val="00F10FC1"/>
    <w:rsid w:val="00F112FD"/>
    <w:rsid w:val="00F133A1"/>
    <w:rsid w:val="00F1370D"/>
    <w:rsid w:val="00F13ECD"/>
    <w:rsid w:val="00F155CE"/>
    <w:rsid w:val="00F16BF2"/>
    <w:rsid w:val="00F17195"/>
    <w:rsid w:val="00F1739B"/>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A47"/>
    <w:rsid w:val="00F41BB6"/>
    <w:rsid w:val="00F41F05"/>
    <w:rsid w:val="00F433BD"/>
    <w:rsid w:val="00F44EC5"/>
    <w:rsid w:val="00F45FB8"/>
    <w:rsid w:val="00F47498"/>
    <w:rsid w:val="00F512B2"/>
    <w:rsid w:val="00F5283D"/>
    <w:rsid w:val="00F52ABA"/>
    <w:rsid w:val="00F52BC7"/>
    <w:rsid w:val="00F53BF4"/>
    <w:rsid w:val="00F54266"/>
    <w:rsid w:val="00F55043"/>
    <w:rsid w:val="00F56DCF"/>
    <w:rsid w:val="00F56F6A"/>
    <w:rsid w:val="00F57034"/>
    <w:rsid w:val="00F60BE9"/>
    <w:rsid w:val="00F61FD8"/>
    <w:rsid w:val="00F62DBF"/>
    <w:rsid w:val="00F641FC"/>
    <w:rsid w:val="00F64515"/>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49E5"/>
    <w:rsid w:val="00F7586B"/>
    <w:rsid w:val="00F75D34"/>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3CB"/>
    <w:rsid w:val="00F97908"/>
    <w:rsid w:val="00F97B43"/>
    <w:rsid w:val="00FA07F8"/>
    <w:rsid w:val="00FA105C"/>
    <w:rsid w:val="00FA1475"/>
    <w:rsid w:val="00FA148A"/>
    <w:rsid w:val="00FA241B"/>
    <w:rsid w:val="00FA27C8"/>
    <w:rsid w:val="00FA3B76"/>
    <w:rsid w:val="00FA4D66"/>
    <w:rsid w:val="00FA5A4E"/>
    <w:rsid w:val="00FA5CCF"/>
    <w:rsid w:val="00FB0082"/>
    <w:rsid w:val="00FB0093"/>
    <w:rsid w:val="00FB0243"/>
    <w:rsid w:val="00FB1527"/>
    <w:rsid w:val="00FB2537"/>
    <w:rsid w:val="00FB2AFA"/>
    <w:rsid w:val="00FB33DC"/>
    <w:rsid w:val="00FB4338"/>
    <w:rsid w:val="00FB477E"/>
    <w:rsid w:val="00FB4C9C"/>
    <w:rsid w:val="00FB6165"/>
    <w:rsid w:val="00FB6390"/>
    <w:rsid w:val="00FC0150"/>
    <w:rsid w:val="00FC03AB"/>
    <w:rsid w:val="00FC03D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617"/>
    <w:rsid w:val="00FE7BCC"/>
    <w:rsid w:val="00FF062A"/>
    <w:rsid w:val="00FF126D"/>
    <w:rsid w:val="00FF2310"/>
    <w:rsid w:val="00FF2E73"/>
    <w:rsid w:val="00FF4AE2"/>
    <w:rsid w:val="00FF50A8"/>
    <w:rsid w:val="00FF571E"/>
    <w:rsid w:val="00FF6BB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27F77"/>
  <w15:docId w15:val="{85B3B073-1699-47ED-839D-1B6B9450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aliases w:val="Figure Heading,FH"/>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textintend3">
    <w:name w:val="text intend 3"/>
    <w:basedOn w:val="a"/>
    <w:rsid w:val="006D19C6"/>
    <w:pPr>
      <w:numPr>
        <w:numId w:val="33"/>
      </w:numPr>
      <w:overflowPunct w:val="0"/>
      <w:snapToGrid/>
      <w:textAlignment w:val="baseline"/>
    </w:pPr>
    <w:rPr>
      <w:rFonts w:eastAsia="MS Mincho"/>
      <w:sz w:val="24"/>
      <w:szCs w:val="20"/>
      <w:lang w:eastAsia="en-GB"/>
    </w:rPr>
  </w:style>
  <w:style w:type="character" w:styleId="af0">
    <w:name w:val="annotation reference"/>
    <w:semiHidden/>
    <w:rsid w:val="006D19C6"/>
    <w:rPr>
      <w:sz w:val="16"/>
    </w:rPr>
  </w:style>
  <w:style w:type="paragraph" w:styleId="af1">
    <w:name w:val="annotation text"/>
    <w:basedOn w:val="a"/>
    <w:link w:val="Char3"/>
    <w:uiPriority w:val="99"/>
    <w:rsid w:val="006D19C6"/>
    <w:pPr>
      <w:overflowPunct w:val="0"/>
      <w:snapToGrid/>
      <w:spacing w:after="180"/>
      <w:jc w:val="left"/>
      <w:textAlignment w:val="baseline"/>
    </w:pPr>
    <w:rPr>
      <w:rFonts w:eastAsia="MS Mincho"/>
      <w:sz w:val="20"/>
      <w:szCs w:val="20"/>
      <w:lang w:val="en-GB" w:eastAsia="en-GB"/>
    </w:rPr>
  </w:style>
  <w:style w:type="character" w:customStyle="1" w:styleId="Char3">
    <w:name w:val="批注文字 Char"/>
    <w:basedOn w:val="a0"/>
    <w:link w:val="af1"/>
    <w:uiPriority w:val="99"/>
    <w:rsid w:val="006D19C6"/>
    <w:rPr>
      <w:rFonts w:eastAsia="MS Mincho"/>
      <w:lang w:val="en-GB" w:eastAsia="en-GB"/>
    </w:rPr>
  </w:style>
  <w:style w:type="paragraph" w:styleId="af2">
    <w:name w:val="List Paragraph"/>
    <w:aliases w:val="- Bullets,목록 단락,リスト段落,Lista1,?? ??,?????,????"/>
    <w:basedOn w:val="a"/>
    <w:link w:val="Char4"/>
    <w:uiPriority w:val="34"/>
    <w:qFormat/>
    <w:rsid w:val="00895FD1"/>
    <w:pPr>
      <w:tabs>
        <w:tab w:val="left" w:pos="1440"/>
      </w:tabs>
      <w:autoSpaceDE/>
      <w:autoSpaceDN/>
      <w:adjustRightInd/>
      <w:snapToGrid/>
      <w:spacing w:after="0"/>
      <w:ind w:leftChars="400" w:left="840" w:hanging="1440"/>
      <w:jc w:val="left"/>
    </w:pPr>
    <w:rPr>
      <w:rFonts w:ascii="Times" w:eastAsia="Batang" w:hAnsi="Times"/>
      <w:sz w:val="20"/>
      <w:szCs w:val="24"/>
      <w:lang w:val="en-GB" w:eastAsia="x-none"/>
    </w:rPr>
  </w:style>
  <w:style w:type="character" w:customStyle="1" w:styleId="Char4">
    <w:name w:val="列出段落 Char"/>
    <w:aliases w:val="- Bullets Char,목록 단락 Char,リスト段落 Char,Lista1 Char,?? ?? Char,????? Char,???? Char"/>
    <w:link w:val="af2"/>
    <w:uiPriority w:val="34"/>
    <w:qFormat/>
    <w:rsid w:val="00895FD1"/>
    <w:rPr>
      <w:rFonts w:ascii="Times" w:eastAsia="Batang" w:hAnsi="Times"/>
      <w:szCs w:val="24"/>
      <w:lang w:val="en-GB" w:eastAsia="x-none"/>
    </w:rPr>
  </w:style>
  <w:style w:type="paragraph" w:styleId="af3">
    <w:name w:val="annotation subject"/>
    <w:basedOn w:val="af1"/>
    <w:next w:val="af1"/>
    <w:link w:val="Char5"/>
    <w:semiHidden/>
    <w:unhideWhenUsed/>
    <w:rsid w:val="00322CA6"/>
    <w:pPr>
      <w:overflowPunct/>
      <w:snapToGrid w:val="0"/>
      <w:spacing w:after="120"/>
      <w:jc w:val="both"/>
      <w:textAlignment w:val="auto"/>
    </w:pPr>
    <w:rPr>
      <w:rFonts w:eastAsia="宋体"/>
      <w:b/>
      <w:bCs/>
      <w:lang w:val="en-US" w:eastAsia="en-US"/>
    </w:rPr>
  </w:style>
  <w:style w:type="character" w:customStyle="1" w:styleId="Char5">
    <w:name w:val="批注主题 Char"/>
    <w:basedOn w:val="Char3"/>
    <w:link w:val="af3"/>
    <w:semiHidden/>
    <w:rsid w:val="00322CA6"/>
    <w:rPr>
      <w:rFonts w:eastAsia="MS Mincho"/>
      <w:b/>
      <w:bCs/>
      <w:lang w:val="en-GB" w:eastAsia="en-GB"/>
    </w:rPr>
  </w:style>
  <w:style w:type="paragraph" w:customStyle="1" w:styleId="EQ">
    <w:name w:val="EQ"/>
    <w:basedOn w:val="a"/>
    <w:next w:val="a"/>
    <w:rsid w:val="0040302D"/>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RAN1bullet2">
    <w:name w:val="RAN1 bullet2"/>
    <w:basedOn w:val="a"/>
    <w:qFormat/>
    <w:rsid w:val="0040302D"/>
    <w:pPr>
      <w:numPr>
        <w:ilvl w:val="1"/>
        <w:numId w:val="40"/>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47438B-06E1-433F-876F-428D4F8DF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628</Words>
  <Characters>3420</Characters>
  <Application>Microsoft Office Word</Application>
  <DocSecurity>0</DocSecurity>
  <Lines>65</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6</cp:revision>
  <cp:lastPrinted>2007-06-18T22:08:00Z</cp:lastPrinted>
  <dcterms:created xsi:type="dcterms:W3CDTF">2018-11-02T07:45:00Z</dcterms:created>
  <dcterms:modified xsi:type="dcterms:W3CDTF">2018-11-03T02:22:00Z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(3)OnK8xiR4XxlQ0i+mLkHmvHxJqsUlohOA2hKwe1+3lDu8ixw5CgBpXl5OWs6Yqxj7LgtP56w6
jBuvCwWHiXM7Z/TPsn0O+uK3HOn+Tx1x6PblciE2As8KNhEFBIip1BjarIN+3m8goVZWvQR6
TiUsiSIdT1F0oQboNnZ8A4LB8ad5aGr56ENy12PbKXwx+Qt6QnRHf5Wh+gV0y3hzJrhp4riM
9SaAgU764bOpQmQ8ex</vt:lpwstr>
  </property>
  <property fmtid="{D5CDD505-2E9C-101B-9397-08002B2CF9AE}" pid="13" name="_2015_ms_pID_725343_00">
    <vt:lpwstr>_2015_ms_pID_725343</vt:lpwstr>
  </property>
  <property fmtid="{D5CDD505-2E9C-101B-9397-08002B2CF9AE}" pid="14" name="_2015_ms_pID_7253431">
    <vt:lpwstr>4+h7ulVpmPWRbauaHxhdmg/PgUfghRZylN7rrzlQ3IiJpv513MILK+
OSQFAHRG31jP+gcu2Wh7yojvHo4Zpy0Brp8JJJB0vRPVjCAeBGYN5Aai/TxsLZW0C3r7Pi2O
541bqnqX2l6rrp6v+xJjK8WcSj+SQWOwReIsnQqfYpPPMC9RW/7TliuYwPeBeUPYGsdNTEq0
Ple79scWrMzDgE2cLRGxqkA5/rwTsI5/OKpY</vt:lpwstr>
  </property>
  <property fmtid="{D5CDD505-2E9C-101B-9397-08002B2CF9AE}" pid="15" name="_2015_ms_pID_7253431_00">
    <vt:lpwstr>_2015_ms_pID_7253431</vt:lpwstr>
  </property>
  <property fmtid="{D5CDD505-2E9C-101B-9397-08002B2CF9AE}" pid="16" name="_2015_ms_pID_7253432">
    <vt:lpwstr>6na4CRmgaPFV9EH+ZeqWhJ3WpwYXYxG70sUf
QxrQepnu2u/Xa6gmsNkR/J5OjETKuAoLZPIuJLvrRu9wP10R0UM=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1540883473</vt:lpwstr>
  </property>
</Properties>
</file>