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7D11E" w14:textId="06A87CB5" w:rsidR="004D52AC" w:rsidRPr="00CB3E1A" w:rsidRDefault="004D52AC" w:rsidP="004D52AC">
      <w:pPr>
        <w:pStyle w:val="Header"/>
        <w:widowControl w:val="0"/>
        <w:rPr>
          <w:rFonts w:ascii="Arial" w:hAnsi="Arial" w:cs="Arial"/>
          <w:b/>
          <w:bCs/>
          <w:lang w:eastAsia="zh-CN"/>
        </w:rPr>
      </w:pPr>
      <w:r w:rsidRPr="00E34DDA">
        <w:rPr>
          <w:rFonts w:ascii="Arial" w:hAnsi="Arial" w:cs="Arial"/>
          <w:b/>
          <w:bCs/>
          <w:lang w:val="en-GB"/>
        </w:rPr>
        <w:t xml:space="preserve">3GPP TSG RAN WG1 </w:t>
      </w:r>
      <w:r w:rsidRPr="00DE124B">
        <w:rPr>
          <w:rFonts w:ascii="Arial" w:hAnsi="Arial" w:cs="Arial"/>
          <w:b/>
          <w:bCs/>
          <w:lang w:val="en-GB"/>
        </w:rPr>
        <w:t>Meeting 9</w:t>
      </w:r>
      <w:r w:rsidR="005D55BC">
        <w:rPr>
          <w:rFonts w:ascii="Arial" w:hAnsi="Arial" w:cs="Arial"/>
          <w:b/>
          <w:bCs/>
          <w:lang w:val="en-GB"/>
        </w:rPr>
        <w:t>5</w:t>
      </w:r>
      <w:r>
        <w:rPr>
          <w:rFonts w:ascii="Arial" w:hAnsi="Arial" w:cs="Arial"/>
          <w:b/>
          <w:bCs/>
          <w:lang w:val="en-GB"/>
        </w:rPr>
        <w:t xml:space="preserve"> </w:t>
      </w:r>
      <w:r>
        <w:rPr>
          <w:rFonts w:ascii="Arial" w:hAnsi="Arial" w:cs="Arial"/>
          <w:b/>
          <w:bCs/>
        </w:rPr>
        <w:t xml:space="preserve">                                                              </w:t>
      </w:r>
      <w:r>
        <w:rPr>
          <w:rFonts w:ascii="Arial" w:hAnsi="Arial" w:cs="Arial" w:hint="eastAsia"/>
          <w:b/>
          <w:bCs/>
          <w:lang w:eastAsia="zh-CN"/>
        </w:rPr>
        <w:t xml:space="preserve">             </w:t>
      </w:r>
      <w:r w:rsidRPr="007B43AE">
        <w:rPr>
          <w:rFonts w:ascii="Arial" w:hAnsi="Arial" w:cs="Arial"/>
          <w:b/>
          <w:bCs/>
        </w:rPr>
        <w:t>R1-</w:t>
      </w:r>
      <w:r w:rsidR="00A62585" w:rsidRPr="007B43AE">
        <w:rPr>
          <w:rFonts w:ascii="Arial" w:hAnsi="Arial" w:cs="Arial"/>
          <w:b/>
          <w:bCs/>
        </w:rPr>
        <w:t>1</w:t>
      </w:r>
      <w:r w:rsidR="00A62585">
        <w:rPr>
          <w:rFonts w:ascii="Arial" w:hAnsi="Arial" w:cs="Arial"/>
          <w:b/>
          <w:bCs/>
        </w:rPr>
        <w:t>81</w:t>
      </w:r>
      <w:r w:rsidR="005D55BC">
        <w:rPr>
          <w:rFonts w:ascii="Arial" w:hAnsi="Arial" w:cs="Arial"/>
          <w:b/>
          <w:bCs/>
        </w:rPr>
        <w:t>2426</w:t>
      </w:r>
    </w:p>
    <w:p w14:paraId="5D565180" w14:textId="77777777" w:rsidR="005D55BC" w:rsidRPr="00111FEE" w:rsidRDefault="005D55BC" w:rsidP="005D55BC">
      <w:pPr>
        <w:pStyle w:val="Header"/>
        <w:widowControl w:val="0"/>
        <w:rPr>
          <w:rFonts w:ascii="Arial" w:hAnsi="Arial" w:cs="Arial" w:hint="eastAsia"/>
          <w:b/>
          <w:bCs/>
          <w:lang w:val="en-GB"/>
        </w:rPr>
      </w:pPr>
      <w:bookmarkStart w:id="0" w:name="_GoBack"/>
      <w:r>
        <w:rPr>
          <w:rFonts w:ascii="Arial" w:eastAsia="MS Mincho" w:hAnsi="Arial" w:cs="Arial"/>
          <w:b/>
          <w:bCs/>
          <w:lang w:val="en-GB" w:eastAsia="ja-JP"/>
        </w:rPr>
        <w:t>Spokane</w:t>
      </w:r>
      <w:r w:rsidRPr="0012546E">
        <w:rPr>
          <w:rFonts w:ascii="Arial" w:eastAsia="MS Mincho" w:hAnsi="Arial" w:cs="Arial"/>
          <w:b/>
          <w:bCs/>
          <w:lang w:eastAsia="ja-JP"/>
        </w:rPr>
        <w:t xml:space="preserve">, </w:t>
      </w:r>
      <w:r>
        <w:rPr>
          <w:rFonts w:ascii="Arial" w:eastAsia="MS Mincho" w:hAnsi="Arial" w:cs="Arial"/>
          <w:b/>
          <w:bCs/>
          <w:lang w:val="en-GB" w:eastAsia="ja-JP"/>
        </w:rPr>
        <w:t>US</w:t>
      </w:r>
      <w:r w:rsidRPr="0012546E">
        <w:rPr>
          <w:rFonts w:ascii="Arial" w:eastAsia="MS Mincho" w:hAnsi="Arial" w:cs="Arial"/>
          <w:b/>
          <w:bCs/>
          <w:lang w:eastAsia="ja-JP"/>
        </w:rPr>
        <w:t xml:space="preserve">, </w:t>
      </w:r>
      <w:r>
        <w:rPr>
          <w:rFonts w:ascii="Arial" w:eastAsia="MS Mincho" w:hAnsi="Arial" w:cs="Arial"/>
          <w:b/>
          <w:bCs/>
          <w:lang w:val="en-GB" w:eastAsia="ja-JP"/>
        </w:rPr>
        <w:t>November</w:t>
      </w:r>
      <w:r w:rsidRPr="0012546E">
        <w:rPr>
          <w:rFonts w:ascii="Arial" w:eastAsia="MS Mincho" w:hAnsi="Arial" w:cs="Arial"/>
          <w:b/>
          <w:bCs/>
          <w:lang w:eastAsia="ja-JP"/>
        </w:rPr>
        <w:t xml:space="preserve"> </w:t>
      </w:r>
      <w:r>
        <w:rPr>
          <w:rFonts w:ascii="Arial" w:eastAsia="MS Mincho" w:hAnsi="Arial" w:cs="Arial"/>
          <w:b/>
          <w:bCs/>
          <w:lang w:val="en-GB" w:eastAsia="ja-JP"/>
        </w:rPr>
        <w:t>12</w:t>
      </w:r>
      <w:r w:rsidRPr="0012546E">
        <w:rPr>
          <w:rFonts w:ascii="Arial" w:eastAsia="MS Mincho" w:hAnsi="Arial" w:cs="Arial"/>
          <w:b/>
          <w:bCs/>
          <w:lang w:eastAsia="ja-JP"/>
        </w:rPr>
        <w:t xml:space="preserve">th – </w:t>
      </w:r>
      <w:r>
        <w:rPr>
          <w:rFonts w:ascii="Arial" w:eastAsia="MS Mincho" w:hAnsi="Arial" w:cs="Arial"/>
          <w:b/>
          <w:bCs/>
          <w:lang w:val="en-GB" w:eastAsia="ja-JP"/>
        </w:rPr>
        <w:t>16</w:t>
      </w:r>
      <w:r w:rsidRPr="0012546E">
        <w:rPr>
          <w:rFonts w:ascii="Arial" w:eastAsia="MS Mincho" w:hAnsi="Arial" w:cs="Arial"/>
          <w:b/>
          <w:bCs/>
          <w:lang w:eastAsia="ja-JP"/>
        </w:rPr>
        <w:t>th, 2018</w:t>
      </w:r>
    </w:p>
    <w:bookmarkEnd w:id="0"/>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7.2.2.4.2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17F7BAD9"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413DB8">
        <w:rPr>
          <w:rFonts w:ascii="Arial" w:hAnsi="Arial" w:cs="Arial"/>
          <w:b/>
          <w:bCs/>
          <w:szCs w:val="20"/>
          <w:lang w:val="en-GB" w:eastAsia="zh-CN"/>
        </w:rPr>
        <w:t xml:space="preserve">Initial Access and </w:t>
      </w:r>
      <w:r w:rsidR="00DD40CB">
        <w:rPr>
          <w:rFonts w:ascii="Arial" w:hAnsi="Arial" w:cs="Arial"/>
          <w:b/>
          <w:bCs/>
          <w:szCs w:val="20"/>
          <w:lang w:val="en-GB" w:eastAsia="zh-CN"/>
        </w:rPr>
        <w:t xml:space="preserve">Diversity in </w:t>
      </w:r>
      <w:r w:rsidR="00663C14">
        <w:rPr>
          <w:rFonts w:ascii="Arial" w:hAnsi="Arial" w:cs="Arial"/>
          <w:b/>
          <w:bCs/>
          <w:szCs w:val="20"/>
          <w:lang w:val="en-GB" w:eastAsia="zh-CN"/>
        </w:rPr>
        <w:t xml:space="preserve">RACH </w:t>
      </w:r>
      <w:r w:rsidR="00DD40CB">
        <w:rPr>
          <w:rFonts w:ascii="Arial" w:hAnsi="Arial" w:cs="Arial"/>
          <w:b/>
          <w:bCs/>
          <w:szCs w:val="20"/>
          <w:lang w:val="en-GB" w:eastAsia="zh-CN"/>
        </w:rPr>
        <w:t>transmissions</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73675F25" w14:textId="4F359914" w:rsidR="00F55D4A" w:rsidRDefault="00FB6EF5" w:rsidP="00AF73F5">
      <w:pPr>
        <w:rPr>
          <w:lang w:val="en-GB" w:eastAsia="zh-CN"/>
        </w:rPr>
      </w:pPr>
      <w:r>
        <w:rPr>
          <w:lang w:val="en-GB" w:eastAsia="zh-CN"/>
        </w:rPr>
        <w:t xml:space="preserve">In RAN1#94 meeting, RAN1 made the following agreements regarding initial access and mobility in NR-U: </w:t>
      </w:r>
    </w:p>
    <w:p w14:paraId="0B44DB0A" w14:textId="77777777" w:rsidR="00513948" w:rsidRPr="00C8036A" w:rsidRDefault="00513948" w:rsidP="00513948">
      <w:pPr>
        <w:rPr>
          <w:lang w:eastAsia="x-none"/>
        </w:rPr>
      </w:pPr>
      <w:r w:rsidRPr="003F435D">
        <w:rPr>
          <w:highlight w:val="green"/>
          <w:lang w:eastAsia="x-none"/>
        </w:rPr>
        <w:t>Agreement:</w:t>
      </w:r>
    </w:p>
    <w:p w14:paraId="6B93D776" w14:textId="77777777" w:rsidR="00513948" w:rsidRPr="00C8036A" w:rsidRDefault="00513948" w:rsidP="00513948">
      <w:pPr>
        <w:numPr>
          <w:ilvl w:val="0"/>
          <w:numId w:val="33"/>
        </w:numPr>
        <w:autoSpaceDE/>
        <w:autoSpaceDN/>
        <w:adjustRightInd/>
        <w:snapToGrid/>
        <w:spacing w:after="0"/>
        <w:rPr>
          <w:lang w:eastAsia="x-none"/>
        </w:rPr>
      </w:pPr>
      <w:r>
        <w:rPr>
          <w:lang w:eastAsia="x-none"/>
        </w:rPr>
        <w:t>It is recommended to d</w:t>
      </w:r>
      <w:r w:rsidRPr="00C8036A">
        <w:rPr>
          <w:lang w:eastAsia="x-none"/>
        </w:rPr>
        <w:t xml:space="preserve">efine a mechanism to transmit SSBs dropped due to LBT failure </w:t>
      </w:r>
    </w:p>
    <w:p w14:paraId="21BDB8FD" w14:textId="77777777" w:rsidR="00513948" w:rsidRDefault="00513948" w:rsidP="00513948">
      <w:pPr>
        <w:numPr>
          <w:ilvl w:val="0"/>
          <w:numId w:val="33"/>
        </w:numPr>
        <w:autoSpaceDE/>
        <w:autoSpaceDN/>
        <w:adjustRightInd/>
        <w:snapToGrid/>
        <w:spacing w:after="0"/>
        <w:rPr>
          <w:lang w:eastAsia="x-none"/>
        </w:rPr>
      </w:pPr>
      <w:r w:rsidRPr="00C8036A">
        <w:rPr>
          <w:lang w:eastAsia="x-none"/>
        </w:rPr>
        <w:t xml:space="preserve">Following are examples of candidate mechanisms for further consideration with enhancements </w:t>
      </w:r>
      <w:r>
        <w:rPr>
          <w:lang w:eastAsia="x-none"/>
        </w:rPr>
        <w:t xml:space="preserve">or modifications </w:t>
      </w:r>
      <w:r w:rsidRPr="00C8036A">
        <w:rPr>
          <w:lang w:eastAsia="x-none"/>
        </w:rPr>
        <w:t>not precluded:</w:t>
      </w:r>
    </w:p>
    <w:p w14:paraId="066E83C7" w14:textId="77777777" w:rsidR="00513948" w:rsidRDefault="00513948" w:rsidP="00513948">
      <w:pPr>
        <w:numPr>
          <w:ilvl w:val="1"/>
          <w:numId w:val="33"/>
        </w:numPr>
        <w:autoSpaceDE/>
        <w:autoSpaceDN/>
        <w:adjustRightInd/>
        <w:snapToGrid/>
        <w:spacing w:after="0"/>
        <w:rPr>
          <w:lang w:eastAsia="x-none"/>
        </w:rPr>
      </w:pPr>
      <w:r w:rsidRPr="00C8036A">
        <w:rPr>
          <w:lang w:eastAsia="x-none"/>
        </w:rPr>
        <w:t xml:space="preserve">Alt-1: Shift SSB(s) in time to the next transmission instance </w:t>
      </w:r>
    </w:p>
    <w:p w14:paraId="58C20FCE" w14:textId="77777777" w:rsidR="00513948" w:rsidRDefault="00513948" w:rsidP="00513948">
      <w:pPr>
        <w:numPr>
          <w:ilvl w:val="1"/>
          <w:numId w:val="33"/>
        </w:numPr>
        <w:autoSpaceDE/>
        <w:autoSpaceDN/>
        <w:adjustRightInd/>
        <w:snapToGrid/>
        <w:spacing w:after="0"/>
        <w:rPr>
          <w:lang w:eastAsia="x-none"/>
        </w:rPr>
      </w:pPr>
      <w:r w:rsidRPr="00C8036A">
        <w:rPr>
          <w:lang w:eastAsia="x-none"/>
        </w:rPr>
        <w:t>Alt-2: Cyclically wrap the SSBs dropped due to LBT failure around to the end of the burst set transmission</w:t>
      </w:r>
    </w:p>
    <w:p w14:paraId="27E5399D" w14:textId="77777777" w:rsidR="00513948" w:rsidRDefault="00513948" w:rsidP="00513948">
      <w:pPr>
        <w:numPr>
          <w:ilvl w:val="1"/>
          <w:numId w:val="33"/>
        </w:numPr>
        <w:autoSpaceDE/>
        <w:autoSpaceDN/>
        <w:adjustRightInd/>
        <w:snapToGrid/>
        <w:spacing w:after="0"/>
        <w:rPr>
          <w:lang w:eastAsia="x-none"/>
        </w:rPr>
      </w:pPr>
      <w:r w:rsidRPr="00563FA6">
        <w:rPr>
          <w:lang w:eastAsia="x-none"/>
        </w:rPr>
        <w:t>Alt-3: Network to flexibly</w:t>
      </w:r>
      <w:r w:rsidRPr="00C8036A">
        <w:rPr>
          <w:lang w:eastAsia="x-none"/>
        </w:rPr>
        <w:t xml:space="preserve"> position SSB index and indicate the timing information</w:t>
      </w:r>
    </w:p>
    <w:p w14:paraId="1FE00578" w14:textId="77777777" w:rsidR="00513948" w:rsidRPr="00C8036A" w:rsidRDefault="00513948" w:rsidP="00513948">
      <w:pPr>
        <w:numPr>
          <w:ilvl w:val="1"/>
          <w:numId w:val="33"/>
        </w:numPr>
        <w:autoSpaceDE/>
        <w:autoSpaceDN/>
        <w:adjustRightInd/>
        <w:snapToGrid/>
        <w:spacing w:after="0"/>
        <w:rPr>
          <w:lang w:eastAsia="x-none"/>
        </w:rPr>
      </w:pPr>
      <w:r w:rsidRPr="00C8036A">
        <w:rPr>
          <w:lang w:eastAsia="x-none"/>
        </w:rPr>
        <w:t>Other alternatives are not precluded</w:t>
      </w:r>
    </w:p>
    <w:p w14:paraId="20201EA8" w14:textId="3BC6600E" w:rsidR="00513948" w:rsidRDefault="00513948" w:rsidP="00AF73F5">
      <w:pPr>
        <w:numPr>
          <w:ilvl w:val="0"/>
          <w:numId w:val="33"/>
        </w:numPr>
        <w:autoSpaceDE/>
        <w:autoSpaceDN/>
        <w:adjustRightInd/>
        <w:snapToGrid/>
        <w:spacing w:after="0"/>
        <w:rPr>
          <w:lang w:eastAsia="x-none"/>
        </w:rPr>
      </w:pPr>
      <w:r>
        <w:rPr>
          <w:lang w:eastAsia="x-none"/>
        </w:rPr>
        <w:t>It is recommended to d</w:t>
      </w:r>
      <w:r w:rsidRPr="00C8036A">
        <w:rPr>
          <w:lang w:eastAsia="x-none"/>
        </w:rPr>
        <w:t xml:space="preserve">efine a mechanism for UE(s) to determine the timing and QCL </w:t>
      </w:r>
      <w:r>
        <w:rPr>
          <w:lang w:eastAsia="x-none"/>
        </w:rPr>
        <w:t xml:space="preserve">assumptions </w:t>
      </w:r>
      <w:r w:rsidRPr="00C8036A">
        <w:rPr>
          <w:lang w:eastAsia="x-none"/>
        </w:rPr>
        <w:t>from the detected SSB</w:t>
      </w:r>
    </w:p>
    <w:p w14:paraId="28C983F6" w14:textId="77777777" w:rsidR="00FB6EF5" w:rsidRDefault="00FB6EF5" w:rsidP="00FB6EF5">
      <w:pPr>
        <w:rPr>
          <w:lang w:eastAsia="x-none"/>
        </w:rPr>
      </w:pPr>
      <w:r w:rsidRPr="008F623A">
        <w:rPr>
          <w:highlight w:val="green"/>
          <w:lang w:eastAsia="x-none"/>
        </w:rPr>
        <w:t>Agreement:</w:t>
      </w:r>
    </w:p>
    <w:p w14:paraId="55D841C4" w14:textId="77777777" w:rsidR="00FB6EF5" w:rsidRDefault="00FB6EF5" w:rsidP="00FB6EF5">
      <w:pPr>
        <w:numPr>
          <w:ilvl w:val="0"/>
          <w:numId w:val="34"/>
        </w:numPr>
        <w:autoSpaceDE/>
        <w:autoSpaceDN/>
        <w:adjustRightInd/>
        <w:snapToGrid/>
        <w:spacing w:after="0"/>
        <w:rPr>
          <w:lang w:eastAsia="x-none"/>
        </w:rPr>
      </w:pPr>
      <w:r>
        <w:rPr>
          <w:lang w:eastAsia="x-none"/>
        </w:rPr>
        <w:t>In some scenarios it is beneficial for the maximum RAR window size to be extended beyond 10 ms to increase robustness to DL LBT failure</w:t>
      </w:r>
    </w:p>
    <w:p w14:paraId="645FEE64" w14:textId="77777777" w:rsidR="00FB6EF5" w:rsidRDefault="00FB6EF5" w:rsidP="00FB6EF5">
      <w:pPr>
        <w:numPr>
          <w:ilvl w:val="1"/>
          <w:numId w:val="34"/>
        </w:numPr>
        <w:autoSpaceDE/>
        <w:autoSpaceDN/>
        <w:adjustRightInd/>
        <w:snapToGrid/>
        <w:spacing w:after="0"/>
        <w:rPr>
          <w:lang w:eastAsia="x-none"/>
        </w:rPr>
      </w:pPr>
      <w:r>
        <w:rPr>
          <w:lang w:eastAsia="x-none"/>
        </w:rPr>
        <w:t>FFS: Value of maximum RAR window size</w:t>
      </w:r>
    </w:p>
    <w:p w14:paraId="4A37D3B7" w14:textId="77777777" w:rsidR="00FB6EF5" w:rsidRDefault="00FB6EF5" w:rsidP="00AF73F5">
      <w:pPr>
        <w:rPr>
          <w:lang w:eastAsia="zh-CN"/>
        </w:rPr>
      </w:pPr>
    </w:p>
    <w:p w14:paraId="3014AA3E" w14:textId="1B1B79A8" w:rsidR="00AF73F5" w:rsidRPr="0000101E" w:rsidRDefault="005821BE" w:rsidP="00AF73F5">
      <w:pPr>
        <w:rPr>
          <w:lang w:val="en-GB" w:eastAsia="zh-CN"/>
        </w:rPr>
      </w:pPr>
      <w:r w:rsidRPr="009F5214">
        <w:rPr>
          <w:lang w:val="en-GB" w:eastAsia="zh-CN"/>
        </w:rPr>
        <w:t>In this document, we discuss SS/PBCH block (SSB) transmission, PDCCH monitoring occasions for SIB1 and paging, and random access in unlicensed spectrum</w:t>
      </w:r>
      <w:r w:rsidR="003F3A48">
        <w:rPr>
          <w:lang w:val="en-GB" w:eastAsia="zh-CN"/>
        </w:rPr>
        <w:t xml:space="preserve"> </w:t>
      </w:r>
      <w:r w:rsidR="00BE765E">
        <w:rPr>
          <w:lang w:val="en-GB" w:eastAsia="zh-CN"/>
        </w:rPr>
        <w:t>motivated by the opportunistic channel access characteristic of an unlicensed carrier</w:t>
      </w:r>
      <w:r w:rsidR="0000101E" w:rsidRPr="0000101E">
        <w:rPr>
          <w:lang w:val="en-GB" w:eastAsia="zh-CN"/>
        </w:rPr>
        <w:t>.</w:t>
      </w:r>
      <w:r w:rsidR="00B817F6">
        <w:rPr>
          <w:lang w:val="en-GB" w:eastAsia="zh-CN"/>
        </w:rPr>
        <w:t xml:space="preserve"> </w:t>
      </w:r>
    </w:p>
    <w:p w14:paraId="23D3E730" w14:textId="1F16D56E" w:rsidR="001463A9" w:rsidRDefault="005821BE" w:rsidP="00FE6E1F">
      <w:pPr>
        <w:pStyle w:val="Heading1"/>
      </w:pPr>
      <w:r>
        <w:t xml:space="preserve">SS/PBCH block </w:t>
      </w:r>
      <w:r w:rsidRPr="00A944F0">
        <w:t>transmission in unlicensed spectrum</w:t>
      </w:r>
    </w:p>
    <w:p w14:paraId="1358EE0A" w14:textId="77777777" w:rsidR="005821BE" w:rsidRPr="00B916EC" w:rsidRDefault="005821BE" w:rsidP="005821BE">
      <w:pPr>
        <w:rPr>
          <w:lang w:eastAsia="ja-JP"/>
        </w:rPr>
      </w:pPr>
      <w:r>
        <w:t>According to Rel-15 TS38.213 regarding NR operation in licensed spectrum, f</w:t>
      </w:r>
      <w:r w:rsidRPr="00B916EC">
        <w:t>or a half frame with SS/PBCH blocks, the first symbol indexes for candidate SS/PBCH blocks are determined according to the subcarrier spacing of SS/PBCH blocks as follows</w:t>
      </w:r>
      <w:r w:rsidRPr="00F827FD">
        <w:t xml:space="preserve">, </w:t>
      </w:r>
      <w:r w:rsidRPr="00F827FD">
        <w:rPr>
          <w:lang w:eastAsia="ja-JP"/>
        </w:rPr>
        <w:t>where index 0 corresponds to the first symbol of the first slot in a half-frame</w:t>
      </w:r>
      <w:r w:rsidRPr="00B916EC">
        <w:t xml:space="preserve">. </w:t>
      </w:r>
    </w:p>
    <w:p w14:paraId="55B0A1B1"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r w:rsidRPr="00B916EC">
        <w:t>{2, 8} + 14*n. For carrier frequencies smaller than or equal to 3 GHz, n=0, 1. For carrier frequencies larger than 3 GHz and smaller than or equal to 6 GHz, n=0, 1, 2, 3</w:t>
      </w:r>
      <w:r w:rsidRPr="00B916EC">
        <w:rPr>
          <w:lang w:eastAsia="ja-JP"/>
        </w:rPr>
        <w:t>.</w:t>
      </w:r>
    </w:p>
    <w:p w14:paraId="7437D5A5"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r w:rsidRPr="00B916EC">
        <w:t>{4, 8, 16, 20} + 28*n</w:t>
      </w:r>
      <w:r w:rsidRPr="00B916EC">
        <w:rPr>
          <w:lang w:eastAsia="ja-JP"/>
        </w:rPr>
        <w:t xml:space="preserve">. </w:t>
      </w:r>
      <w:r w:rsidRPr="00B916EC">
        <w:t>For carrier frequencies smaller than or equal to 3 GHz, n=0. For carrier frequencies larger than 3 GHz and smaller than or equal to 6 GHz, n=0, 1.</w:t>
      </w:r>
    </w:p>
    <w:p w14:paraId="1D0C0CAF" w14:textId="77777777" w:rsidR="005821BE" w:rsidRPr="00B916EC" w:rsidRDefault="005821BE" w:rsidP="005821BE">
      <w:pPr>
        <w:pStyle w:val="B1"/>
        <w:rPr>
          <w:lang w:eastAsia="ja-JP"/>
        </w:rPr>
      </w:pPr>
      <w:r>
        <w:rPr>
          <w:lang w:eastAsia="ja-JP"/>
        </w:rPr>
        <w:t>-</w:t>
      </w:r>
      <w:r>
        <w:rPr>
          <w:lang w:eastAsia="ja-JP"/>
        </w:rPr>
        <w:tab/>
      </w:r>
      <w:r w:rsidRPr="00B916EC">
        <w:rPr>
          <w:lang w:eastAsia="ja-JP"/>
        </w:rPr>
        <w:t xml:space="preserve">Case C - 30 kHz subcarrier spacing: the first symbols of the candidate SS/PBCH blocks have indexes </w:t>
      </w:r>
      <w:r w:rsidRPr="00B916EC">
        <w:t>{2, 8} + 14*n</w:t>
      </w:r>
      <w:r w:rsidRPr="00B916EC">
        <w:rPr>
          <w:lang w:eastAsia="ja-JP"/>
        </w:rPr>
        <w:t xml:space="preserve">. </w:t>
      </w:r>
      <w:r w:rsidRPr="00B916EC">
        <w:t>For carrier frequencies smaller than or equal to 3 GHz, n=0, 1. For carrier frequencies larger than 3 GHz and smaller than or equal to 6 GHz, n=0, 1, 2, 3.</w:t>
      </w:r>
    </w:p>
    <w:p w14:paraId="724F6538" w14:textId="77777777" w:rsidR="005821BE" w:rsidRPr="00B916EC" w:rsidRDefault="005821BE" w:rsidP="005821BE">
      <w:pPr>
        <w:pStyle w:val="B1"/>
        <w:rPr>
          <w:lang w:eastAsia="ja-JP"/>
        </w:rPr>
      </w:pPr>
      <w:r>
        <w:rPr>
          <w:lang w:eastAsia="ja-JP"/>
        </w:rPr>
        <w:lastRenderedPageBreak/>
        <w:t>-</w:t>
      </w:r>
      <w:r>
        <w:rPr>
          <w:lang w:eastAsia="ja-JP"/>
        </w:rPr>
        <w:tab/>
      </w:r>
      <w:r w:rsidRPr="00B916EC">
        <w:rPr>
          <w:lang w:eastAsia="ja-JP"/>
        </w:rPr>
        <w:t>Case D - 120 kHz subcarrier spacing: the first symbols of the candidate SS/PBCH blocks have indexes {</w:t>
      </w:r>
      <w:r w:rsidRPr="00B916EC">
        <w:t>4, 8, 16, 20} + 28*n. For carrier frequencies larger than 6 GHz, n=0, 1, 2, 3, 5, 6, 7, 8, 10, 11, 12, 13, 15, 16, 17, 18</w:t>
      </w:r>
      <w:r w:rsidRPr="00B916EC">
        <w:rPr>
          <w:lang w:eastAsia="ja-JP"/>
        </w:rPr>
        <w:t>.</w:t>
      </w:r>
    </w:p>
    <w:p w14:paraId="6AEB18C4" w14:textId="77777777" w:rsidR="005821BE" w:rsidRPr="00B916EC" w:rsidRDefault="005821BE" w:rsidP="005821BE">
      <w:pPr>
        <w:pStyle w:val="B1"/>
      </w:pPr>
      <w:r>
        <w:rPr>
          <w:lang w:eastAsia="ja-JP"/>
        </w:rPr>
        <w:t>-</w:t>
      </w:r>
      <w:r>
        <w:rPr>
          <w:lang w:eastAsia="ja-JP"/>
        </w:rPr>
        <w:tab/>
      </w:r>
      <w:r w:rsidRPr="00B916EC">
        <w:rPr>
          <w:lang w:eastAsia="ja-JP"/>
        </w:rPr>
        <w:t xml:space="preserve">Case E - 240 kHz subcarrier spacing: the first symbols of the candidate SS/PBCH blocks have indexes </w:t>
      </w:r>
      <w:r w:rsidRPr="00B916EC">
        <w:t>{8, 12, 16, 20, 32, 36, 40, 44} + 56*n</w:t>
      </w:r>
      <w:r w:rsidRPr="00B916EC">
        <w:rPr>
          <w:lang w:eastAsia="ja-JP"/>
        </w:rPr>
        <w:t xml:space="preserve">. </w:t>
      </w:r>
      <w:r w:rsidRPr="00B916EC">
        <w:t>For carrier frequencies larger than 6 GHz, n=0, 1, 2, 3, 5, 6, 7, 8.</w:t>
      </w:r>
    </w:p>
    <w:p w14:paraId="36EEBC83" w14:textId="614EEA18" w:rsidR="003E1B1B" w:rsidRDefault="005821BE" w:rsidP="005821BE">
      <w:pPr>
        <w:rPr>
          <w:rFonts w:eastAsia="Malgun Gothic"/>
          <w:lang w:eastAsia="zh-CN"/>
        </w:rPr>
      </w:pPr>
      <w:r>
        <w:rPr>
          <w:rFonts w:eastAsia="Malgun Gothic"/>
          <w:lang w:eastAsia="zh-CN"/>
        </w:rPr>
        <w:t>With Listen-Before-Talk (LBT) and contention based channel access (CCA) in unlicensed spectrum, gNB may have to skip or delay transmission of some SSBs of a SSB burst or the entire SSB burst.</w:t>
      </w:r>
      <w:r w:rsidR="003E1B1B">
        <w:rPr>
          <w:rFonts w:eastAsia="Malgun Gothic"/>
          <w:lang w:eastAsia="zh-CN"/>
        </w:rPr>
        <w:t xml:space="preserve"> </w:t>
      </w:r>
      <w:r w:rsidR="003D2766">
        <w:rPr>
          <w:rFonts w:eastAsia="Malgun Gothic"/>
          <w:lang w:eastAsia="zh-CN"/>
        </w:rPr>
        <w:t xml:space="preserve">With the existing SSB burst pattern, shifting the entire SSB burst in time provides consistency among SSBs of the SSB burst in terms of </w:t>
      </w:r>
      <w:r w:rsidR="002E74FB">
        <w:rPr>
          <w:rFonts w:eastAsia="Malgun Gothic"/>
          <w:lang w:eastAsia="zh-CN"/>
        </w:rPr>
        <w:t>a time interval</w:t>
      </w:r>
      <w:r w:rsidR="000A281B">
        <w:rPr>
          <w:rFonts w:eastAsia="Malgun Gothic"/>
          <w:lang w:eastAsia="zh-CN"/>
        </w:rPr>
        <w:t xml:space="preserve"> between two SSBs </w:t>
      </w:r>
      <w:r w:rsidR="00DC3AB6">
        <w:rPr>
          <w:rFonts w:eastAsia="Malgun Gothic"/>
          <w:lang w:eastAsia="zh-CN"/>
        </w:rPr>
        <w:t xml:space="preserve">which have </w:t>
      </w:r>
      <w:r w:rsidR="000A281B">
        <w:rPr>
          <w:rFonts w:eastAsia="Malgun Gothic"/>
          <w:lang w:eastAsia="zh-CN"/>
        </w:rPr>
        <w:t xml:space="preserve">the same SSB index </w:t>
      </w:r>
      <w:r w:rsidR="00DC3AB6">
        <w:rPr>
          <w:rFonts w:eastAsia="Malgun Gothic"/>
          <w:lang w:eastAsia="zh-CN"/>
        </w:rPr>
        <w:t>but belong to two different SSB bursts</w:t>
      </w:r>
      <w:r w:rsidR="00B2135C">
        <w:rPr>
          <w:rFonts w:eastAsia="Malgun Gothic"/>
          <w:lang w:eastAsia="zh-CN"/>
        </w:rPr>
        <w:t>.</w:t>
      </w:r>
      <w:r w:rsidR="003D2766">
        <w:rPr>
          <w:rFonts w:eastAsia="Malgun Gothic"/>
          <w:lang w:eastAsia="zh-CN"/>
        </w:rPr>
        <w:t xml:space="preserve"> </w:t>
      </w:r>
      <w:r w:rsidR="002E74FB">
        <w:rPr>
          <w:rFonts w:eastAsia="Malgun Gothic"/>
          <w:lang w:eastAsia="zh-CN"/>
        </w:rPr>
        <w:t xml:space="preserve">Allowing slot-level or SSB candidate position-level time shift can reduce the signaling overhead </w:t>
      </w:r>
      <w:r w:rsidR="00B6283A">
        <w:rPr>
          <w:rFonts w:eastAsia="Malgun Gothic"/>
          <w:lang w:eastAsia="zh-CN"/>
        </w:rPr>
        <w:t xml:space="preserve">required </w:t>
      </w:r>
      <w:r w:rsidR="000150E8">
        <w:rPr>
          <w:rFonts w:eastAsia="Malgun Gothic"/>
          <w:lang w:eastAsia="zh-CN"/>
        </w:rPr>
        <w:t>for indicating</w:t>
      </w:r>
      <w:r w:rsidR="002E74FB">
        <w:rPr>
          <w:rFonts w:eastAsia="Malgun Gothic"/>
          <w:lang w:eastAsia="zh-CN"/>
        </w:rPr>
        <w:t xml:space="preserve"> </w:t>
      </w:r>
      <w:r w:rsidR="000150E8">
        <w:rPr>
          <w:rFonts w:eastAsia="Malgun Gothic"/>
          <w:lang w:eastAsia="zh-CN"/>
        </w:rPr>
        <w:t xml:space="preserve">the </w:t>
      </w:r>
      <w:r w:rsidR="002E74FB">
        <w:rPr>
          <w:rFonts w:eastAsia="Malgun Gothic"/>
          <w:lang w:eastAsia="zh-CN"/>
        </w:rPr>
        <w:t>time shift of the SSB burst</w:t>
      </w:r>
      <w:r w:rsidR="000150E8">
        <w:rPr>
          <w:rFonts w:eastAsia="Malgun Gothic"/>
          <w:lang w:eastAsia="zh-CN"/>
        </w:rPr>
        <w:t>.</w:t>
      </w:r>
      <w:r w:rsidR="003D2766">
        <w:rPr>
          <w:rFonts w:eastAsia="Malgun Gothic"/>
          <w:lang w:eastAsia="zh-CN"/>
        </w:rPr>
        <w:t xml:space="preserve"> </w:t>
      </w:r>
      <w:r>
        <w:rPr>
          <w:rFonts w:eastAsia="Malgun Gothic"/>
          <w:lang w:eastAsia="zh-CN"/>
        </w:rPr>
        <w:t xml:space="preserve"> </w:t>
      </w:r>
    </w:p>
    <w:p w14:paraId="5822081E" w14:textId="2605DBCD" w:rsidR="005821BE" w:rsidRDefault="005821BE" w:rsidP="005821BE">
      <w:pPr>
        <w:rPr>
          <w:rFonts w:eastAsia="Malgun Gothic"/>
          <w:lang w:eastAsia="zh-CN"/>
        </w:rPr>
      </w:pPr>
      <w:r>
        <w:rPr>
          <w:rFonts w:eastAsia="Malgun Gothic"/>
          <w:lang w:eastAsia="zh-CN"/>
        </w:rPr>
        <w:t xml:space="preserve">If the SSB burst duration is close to 5ms (e.g. 64 SSBs with 120KHz subcarrier spacing), channel access priority class 3 or 4 may have to be used for SSB burst transmission, and this would potentially lead to a longer delay and/or less chance to access the channel. </w:t>
      </w:r>
      <w:r w:rsidR="00ED566D">
        <w:rPr>
          <w:rFonts w:eastAsia="Malgun Gothic"/>
          <w:lang w:eastAsia="zh-CN"/>
        </w:rPr>
        <w:t xml:space="preserve">Thus, it may be beneficial to introduce a new SSB burst pattern with </w:t>
      </w:r>
      <w:r w:rsidR="003A172B">
        <w:rPr>
          <w:rFonts w:eastAsia="Malgun Gothic"/>
          <w:lang w:eastAsia="zh-CN"/>
        </w:rPr>
        <w:t xml:space="preserve">much </w:t>
      </w:r>
      <w:r w:rsidR="00ED566D">
        <w:rPr>
          <w:rFonts w:eastAsia="Malgun Gothic"/>
          <w:lang w:eastAsia="zh-CN"/>
        </w:rPr>
        <w:t>shorter burst duration</w:t>
      </w:r>
      <w:r w:rsidR="003A172B">
        <w:rPr>
          <w:rFonts w:eastAsia="Malgun Gothic"/>
          <w:lang w:eastAsia="zh-CN"/>
        </w:rPr>
        <w:t xml:space="preserve"> (e.g. less than 2ms)</w:t>
      </w:r>
      <w:r w:rsidR="00ED566D">
        <w:rPr>
          <w:rFonts w:eastAsia="Malgun Gothic"/>
          <w:lang w:eastAsia="zh-CN"/>
        </w:rPr>
        <w:t xml:space="preserve">. </w:t>
      </w:r>
    </w:p>
    <w:p w14:paraId="7B9412D7" w14:textId="65555D02" w:rsidR="00E76BA9" w:rsidRDefault="005821BE" w:rsidP="005821BE">
      <w:pPr>
        <w:rPr>
          <w:rFonts w:eastAsia="Malgun Gothic"/>
          <w:b/>
          <w:lang w:eastAsia="zh-CN"/>
        </w:rPr>
      </w:pPr>
      <w:r w:rsidRPr="008C2882">
        <w:rPr>
          <w:rFonts w:eastAsia="Malgun Gothic" w:hint="eastAsia"/>
          <w:b/>
          <w:lang w:eastAsia="zh-CN"/>
        </w:rPr>
        <w:t>Proposal 1:</w:t>
      </w:r>
      <w:r>
        <w:rPr>
          <w:rFonts w:eastAsia="Malgun Gothic"/>
          <w:b/>
          <w:lang w:eastAsia="zh-CN"/>
        </w:rPr>
        <w:t xml:space="preserve"> </w:t>
      </w:r>
      <w:r w:rsidR="000150E8">
        <w:rPr>
          <w:rFonts w:eastAsia="Malgun Gothic"/>
          <w:b/>
          <w:lang w:eastAsia="zh-CN"/>
        </w:rPr>
        <w:t>Support slot-level or SSB candidate position-level time shift of the entire SSB burst</w:t>
      </w:r>
      <w:r w:rsidR="00844D39">
        <w:rPr>
          <w:rFonts w:eastAsia="Malgun Gothic"/>
          <w:b/>
          <w:lang w:eastAsia="zh-CN"/>
        </w:rPr>
        <w:t xml:space="preserve"> in NR-U.</w:t>
      </w:r>
      <w:r w:rsidR="000150E8">
        <w:rPr>
          <w:rFonts w:eastAsia="Malgun Gothic"/>
          <w:b/>
          <w:lang w:eastAsia="zh-CN"/>
        </w:rPr>
        <w:t xml:space="preserve"> </w:t>
      </w:r>
    </w:p>
    <w:p w14:paraId="2C9E5CE9" w14:textId="440ACBCC" w:rsidR="005821BE" w:rsidRPr="00D41DED" w:rsidRDefault="00E76BA9" w:rsidP="005821BE">
      <w:pPr>
        <w:rPr>
          <w:rFonts w:eastAsia="Malgun Gothic"/>
          <w:b/>
          <w:lang w:eastAsia="zh-CN"/>
        </w:rPr>
      </w:pPr>
      <w:r>
        <w:rPr>
          <w:rFonts w:eastAsia="Malgun Gothic"/>
          <w:b/>
          <w:lang w:eastAsia="zh-CN"/>
        </w:rPr>
        <w:t xml:space="preserve">Proposal 2: </w:t>
      </w:r>
      <w:r w:rsidR="00872530" w:rsidRPr="00872530">
        <w:rPr>
          <w:rFonts w:eastAsia="Malgun Gothic"/>
          <w:b/>
          <w:lang w:eastAsia="zh-CN"/>
        </w:rPr>
        <w:t>Introduc</w:t>
      </w:r>
      <w:r w:rsidR="00872530">
        <w:rPr>
          <w:rFonts w:eastAsia="Malgun Gothic"/>
          <w:b/>
          <w:lang w:eastAsia="zh-CN"/>
        </w:rPr>
        <w:t>ing</w:t>
      </w:r>
      <w:r w:rsidR="00872530" w:rsidRPr="00872530">
        <w:rPr>
          <w:rFonts w:eastAsia="Malgun Gothic"/>
          <w:b/>
          <w:lang w:eastAsia="zh-CN"/>
        </w:rPr>
        <w:t xml:space="preserve"> a new or additional SSB burst pattern for NR-U can be considered </w:t>
      </w:r>
      <w:r w:rsidR="0021618E" w:rsidRPr="0021618E">
        <w:rPr>
          <w:rFonts w:eastAsia="Malgun Gothic"/>
          <w:b/>
          <w:lang w:eastAsia="zh-CN"/>
        </w:rPr>
        <w:t>to enable use of priority classes 1 or 2.</w:t>
      </w:r>
    </w:p>
    <w:p w14:paraId="525F33B4" w14:textId="77777777" w:rsidR="005821BE" w:rsidRDefault="005821BE" w:rsidP="00FE6E1F">
      <w:pPr>
        <w:pStyle w:val="Heading1"/>
      </w:pPr>
      <w:r>
        <w:t>PDCCH monitoring occasions for SIB1 and paging</w:t>
      </w:r>
    </w:p>
    <w:p w14:paraId="294F7129" w14:textId="77777777" w:rsidR="005821BE" w:rsidRDefault="005821BE" w:rsidP="005821BE">
      <w:pPr>
        <w:spacing w:after="160" w:line="259" w:lineRule="auto"/>
        <w:rPr>
          <w:b/>
        </w:rPr>
      </w:pPr>
      <w:r>
        <w:t>A</w:t>
      </w:r>
      <w:r w:rsidRPr="00B916EC">
        <w:t xml:space="preserve"> UE determines </w:t>
      </w:r>
      <w:r>
        <w:t>a</w:t>
      </w:r>
      <w:r w:rsidRPr="00B916EC">
        <w:t xml:space="preserve"> control resource set </w:t>
      </w:r>
      <w:r>
        <w:t xml:space="preserve">(CORESET) </w:t>
      </w:r>
      <w:r w:rsidRPr="00B916EC">
        <w:t xml:space="preserve">and </w:t>
      </w:r>
      <w:r>
        <w:t xml:space="preserve">PDCCH </w:t>
      </w:r>
      <w:r w:rsidRPr="00B916EC">
        <w:t xml:space="preserve">monitoring occasions for Type0-PDCCH common search space </w:t>
      </w:r>
      <w:r>
        <w:t>set, where UE can decode PDCCH carrying DL assignment information for PDSCH carrying SIB1, by decoding PBCH</w:t>
      </w:r>
      <w:r w:rsidRPr="00B916EC">
        <w:t>.</w:t>
      </w:r>
      <w:r>
        <w:t xml:space="preserve"> </w:t>
      </w:r>
    </w:p>
    <w:p w14:paraId="67B4F388" w14:textId="77777777" w:rsidR="005821BE" w:rsidRDefault="005821BE" w:rsidP="005821BE">
      <w:r>
        <w:t>According to TS 38.213, f</w:t>
      </w:r>
      <w:r w:rsidRPr="00B916EC">
        <w:t xml:space="preserve">or </w:t>
      </w:r>
      <w:r>
        <w:t>the</w:t>
      </w:r>
      <w:r w:rsidRPr="00B916EC">
        <w:t xml:space="preserve"> SS/PBCH block and control resource set (CORESET) multiplexing pattern</w:t>
      </w:r>
      <w:r>
        <w:t xml:space="preserve"> 1</w:t>
      </w:r>
      <w:r w:rsidRPr="00B916EC">
        <w:t>, a UE monitors PDCCH in the Type0-PDCCH common search space over two consecutive slots</w:t>
      </w:r>
      <w:r>
        <w:t xml:space="preserve"> starting from slot</w:t>
      </w:r>
      <w:r w:rsidRPr="00B916EC">
        <w:t xml:space="preserve"> </w:t>
      </w:r>
      <w:r w:rsidRPr="00B916EC">
        <w:rPr>
          <w:position w:val="-10"/>
        </w:rPr>
        <w:object w:dxaOrig="240" w:dyaOrig="300" w14:anchorId="106F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pt" o:ole="">
            <v:imagedata r:id="rId8" o:title=""/>
          </v:shape>
          <o:OLEObject Type="Embed" ProgID="Equation.3" ShapeID="_x0000_i1025" DrawAspect="Content" ObjectID="_1602426046" r:id="rId9"/>
        </w:object>
      </w:r>
      <w:r w:rsidRPr="00B916EC">
        <w:t xml:space="preserve">. For SS/PBCH block with index </w:t>
      </w:r>
      <w:r w:rsidRPr="00B916EC">
        <w:rPr>
          <w:position w:val="-6"/>
        </w:rPr>
        <w:object w:dxaOrig="139" w:dyaOrig="240" w14:anchorId="1459319D">
          <v:shape id="_x0000_i1026" type="#_x0000_t75" style="width:6.45pt;height:12pt" o:ole="">
            <v:imagedata r:id="rId10" o:title=""/>
          </v:shape>
          <o:OLEObject Type="Embed" ProgID="Equation.3" ShapeID="_x0000_i1026" DrawAspect="Content" ObjectID="_1602426047" r:id="rId11"/>
        </w:object>
      </w:r>
      <w:r w:rsidRPr="00B916EC">
        <w:t xml:space="preserve">, the UE determines an index of slot </w:t>
      </w:r>
      <w:r w:rsidRPr="00B916EC">
        <w:rPr>
          <w:position w:val="-10"/>
        </w:rPr>
        <w:object w:dxaOrig="240" w:dyaOrig="300" w14:anchorId="3CD10078">
          <v:shape id="_x0000_i1027" type="#_x0000_t75" style="width:12pt;height:15.7pt" o:ole="">
            <v:imagedata r:id="rId8" o:title=""/>
          </v:shape>
          <o:OLEObject Type="Embed" ProgID="Equation.3" ShapeID="_x0000_i1027" DrawAspect="Content" ObjectID="_1602426048" r:id="rId12"/>
        </w:object>
      </w:r>
      <w:r w:rsidRPr="00B916EC">
        <w:t xml:space="preserve"> as </w:t>
      </w:r>
      <w:r w:rsidRPr="00B916EC">
        <w:rPr>
          <w:position w:val="-10"/>
        </w:rPr>
        <w:object w:dxaOrig="2720" w:dyaOrig="340" w14:anchorId="390BCA6B">
          <v:shape id="_x0000_i1028" type="#_x0000_t75" style="width:136.6pt;height:16.6pt" o:ole="">
            <v:imagedata r:id="rId13" o:title=""/>
          </v:shape>
          <o:OLEObject Type="Embed" ProgID="Equation.3" ShapeID="_x0000_i1028" DrawAspect="Content" ObjectID="_1602426049" r:id="rId14"/>
        </w:object>
      </w:r>
      <w:r w:rsidRPr="00B916EC">
        <w:t xml:space="preserve"> located in a frame</w:t>
      </w:r>
      <w:r>
        <w:t xml:space="preserve"> with system frame number</w:t>
      </w:r>
      <w:r w:rsidRPr="00B916EC">
        <w:rPr>
          <w:position w:val="-10"/>
        </w:rPr>
        <w:object w:dxaOrig="540" w:dyaOrig="300" w14:anchorId="14614803">
          <v:shape id="_x0000_i1029" type="#_x0000_t75" style="width:26.3pt;height:15.7pt" o:ole="">
            <v:imagedata r:id="rId15" o:title=""/>
          </v:shape>
          <o:OLEObject Type="Embed" ProgID="Equation.3" ShapeID="_x0000_i1029" DrawAspect="Content" ObjectID="_1602426050" r:id="rId16"/>
        </w:object>
      </w:r>
      <w:r>
        <w:t xml:space="preserve"> </w:t>
      </w:r>
      <w:r w:rsidRPr="00B916EC">
        <w:t xml:space="preserve">satisfying </w:t>
      </w:r>
      <w:r w:rsidRPr="005863C3">
        <w:rPr>
          <w:position w:val="-10"/>
        </w:rPr>
        <w:object w:dxaOrig="1380" w:dyaOrig="300" w14:anchorId="73144619">
          <v:shape id="_x0000_i1030" type="#_x0000_t75" style="width:68.3pt;height:15.7pt" o:ole="">
            <v:imagedata r:id="rId17" o:title=""/>
          </v:shape>
          <o:OLEObject Type="Embed" ProgID="Equation.3" ShapeID="_x0000_i1030" DrawAspect="Content" ObjectID="_1602426051" r:id="rId18"/>
        </w:object>
      </w:r>
      <w:r w:rsidRPr="00B916EC">
        <w:t xml:space="preserve"> if </w:t>
      </w:r>
      <w:r w:rsidRPr="00326346">
        <w:rPr>
          <w:position w:val="-10"/>
        </w:rPr>
        <w:object w:dxaOrig="2980" w:dyaOrig="340" w14:anchorId="6BD210F6">
          <v:shape id="_x0000_i1031" type="#_x0000_t75" style="width:149.55pt;height:17.55pt" o:ole="">
            <v:imagedata r:id="rId19" o:title=""/>
          </v:shape>
          <o:OLEObject Type="Embed" ProgID="Equation.3" ShapeID="_x0000_i1031" DrawAspect="Content" ObjectID="_1602426052" r:id="rId20"/>
        </w:object>
      </w:r>
      <w:r w:rsidRPr="00B916EC">
        <w:t xml:space="preserve"> or in a frame with SFN satisfying </w:t>
      </w:r>
      <w:r w:rsidRPr="005863C3">
        <w:rPr>
          <w:position w:val="-10"/>
        </w:rPr>
        <w:object w:dxaOrig="1320" w:dyaOrig="300" w14:anchorId="74E18C26">
          <v:shape id="_x0000_i1032" type="#_x0000_t75" style="width:65.55pt;height:15.7pt" o:ole="">
            <v:imagedata r:id="rId21" o:title=""/>
          </v:shape>
          <o:OLEObject Type="Embed" ProgID="Equation.3" ShapeID="_x0000_i1032" DrawAspect="Content" ObjectID="_1602426053" r:id="rId22"/>
        </w:object>
      </w:r>
      <w:r w:rsidRPr="00B916EC">
        <w:t xml:space="preserve"> if </w:t>
      </w:r>
      <w:r w:rsidRPr="00617EBE">
        <w:rPr>
          <w:position w:val="-10"/>
        </w:rPr>
        <w:object w:dxaOrig="2940" w:dyaOrig="340" w14:anchorId="0BCA8578">
          <v:shape id="_x0000_i1033" type="#_x0000_t75" style="width:147.25pt;height:17.55pt" o:ole="">
            <v:imagedata r:id="rId23" o:title=""/>
          </v:shape>
          <o:OLEObject Type="Embed" ProgID="Equation.3" ShapeID="_x0000_i1033" DrawAspect="Content" ObjectID="_1602426054" r:id="rId24"/>
        </w:object>
      </w:r>
      <w:r>
        <w:t xml:space="preserve">. </w:t>
      </w:r>
      <w:r w:rsidRPr="00D75938">
        <w:rPr>
          <w:position w:val="-4"/>
        </w:rPr>
        <w:object w:dxaOrig="279" w:dyaOrig="220" w14:anchorId="736F0337">
          <v:shape id="_x0000_i1034" type="#_x0000_t75" style="width:13.4pt;height:11.55pt" o:ole="">
            <v:imagedata r:id="rId25" o:title=""/>
          </v:shape>
          <o:OLEObject Type="Embed" ProgID="Equation.3" ShapeID="_x0000_i1034" DrawAspect="Content" ObjectID="_1602426055" r:id="rId26"/>
        </w:object>
      </w:r>
      <w:r>
        <w:t xml:space="preserve"> and </w:t>
      </w:r>
      <w:r w:rsidRPr="00D75938">
        <w:rPr>
          <w:position w:val="-6"/>
        </w:rPr>
        <w:object w:dxaOrig="220" w:dyaOrig="240" w14:anchorId="04DB3EC8">
          <v:shape id="_x0000_i1035" type="#_x0000_t75" style="width:11.55pt;height:12pt" o:ole="">
            <v:imagedata r:id="rId27" o:title=""/>
          </v:shape>
          <o:OLEObject Type="Embed" ProgID="Equation.3" ShapeID="_x0000_i1035" DrawAspect="Content" ObjectID="_1602426056" r:id="rId28"/>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of TS 38.213, and </w:t>
      </w:r>
      <w:r w:rsidRPr="004826D6">
        <w:rPr>
          <w:position w:val="-10"/>
        </w:rPr>
        <w:object w:dxaOrig="1080" w:dyaOrig="300" w14:anchorId="6A04446A">
          <v:shape id="_x0000_i1036" type="#_x0000_t75" style="width:54pt;height:15.7pt" o:ole="">
            <v:imagedata r:id="rId29" o:title=""/>
          </v:shape>
          <o:OLEObject Type="Embed" ProgID="Equation.3" ShapeID="_x0000_i1036" DrawAspect="Content" ObjectID="_1602426057" r:id="rId30"/>
        </w:object>
      </w:r>
      <w:r>
        <w:t xml:space="preserve"> based </w:t>
      </w:r>
      <w:r w:rsidRPr="004826D6">
        <w:t xml:space="preserve">on the </w:t>
      </w:r>
      <w:r>
        <w:t>subcarrier spacing for PDCCH receptions in the control resource set [</w:t>
      </w:r>
      <w:r w:rsidRPr="004826D6">
        <w:t>TS 38.211].</w:t>
      </w:r>
      <w:r>
        <w:t xml:space="preserve"> The index for the first symbol of the control resource set in slot </w:t>
      </w:r>
      <w:r w:rsidRPr="00B916EC">
        <w:rPr>
          <w:position w:val="-10"/>
        </w:rPr>
        <w:object w:dxaOrig="260" w:dyaOrig="300" w14:anchorId="40C17478">
          <v:shape id="_x0000_i1037" type="#_x0000_t75" style="width:13.4pt;height:15.7pt" o:ole="">
            <v:imagedata r:id="rId31" o:title=""/>
          </v:shape>
          <o:OLEObject Type="Embed" ProgID="Equation.3" ShapeID="_x0000_i1037" DrawAspect="Content" ObjectID="_1602426058" r:id="rId32"/>
        </w:object>
      </w:r>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 of TS 38.213</w:t>
      </w:r>
      <w:r w:rsidRPr="00B916EC">
        <w:t>.</w:t>
      </w:r>
      <w:r>
        <w:t xml:space="preserve"> </w:t>
      </w:r>
      <w:r w:rsidRPr="00B916EC">
        <w:t xml:space="preserve">For </w:t>
      </w:r>
      <w:r>
        <w:t xml:space="preserve">the </w:t>
      </w:r>
      <w:r w:rsidRPr="00B916EC">
        <w:t>SS/PBCH block an</w:t>
      </w:r>
      <w:r>
        <w:t>d control resource set</w:t>
      </w:r>
      <w:r w:rsidRPr="00B916EC">
        <w:t xml:space="preserve"> multiplexing pattern</w:t>
      </w:r>
      <w:r>
        <w:t>s 2 and 3</w:t>
      </w:r>
      <w:r w:rsidRPr="00B916EC">
        <w:t xml:space="preserve">, a UE monitors PDCCH in the Type0-PDCCH common search space over </w:t>
      </w:r>
      <w:r>
        <w:t xml:space="preserve">one </w:t>
      </w:r>
      <w:r w:rsidRPr="00B916EC">
        <w:t>slot</w:t>
      </w:r>
      <w:r w:rsidRPr="00817923">
        <w:t xml:space="preserve"> with </w:t>
      </w:r>
      <w:r>
        <w:t>Type0-</w:t>
      </w:r>
      <w:r w:rsidRPr="00817923">
        <w:t>PDCCH</w:t>
      </w:r>
      <w:r w:rsidRPr="00C14186">
        <w:t xml:space="preserve"> common search space</w:t>
      </w:r>
      <w:r w:rsidRPr="00817923">
        <w:t xml:space="preserve"> periodicity equal to the</w:t>
      </w:r>
      <w:r>
        <w:t xml:space="preserve"> periodicity of SS/PBCH block. If not separately configured, the CORESET and </w:t>
      </w:r>
      <w:r w:rsidRPr="00F15587">
        <w:t>the association between PDCCH monitoring occasions for Type2-PDCCH common search space set</w:t>
      </w:r>
      <w:r>
        <w:t xml:space="preserve"> (for paging) and the SSB</w:t>
      </w:r>
      <w:r w:rsidRPr="00F15587">
        <w:t xml:space="preserve"> index are same</w:t>
      </w:r>
      <w:r>
        <w:t xml:space="preserve"> as for </w:t>
      </w:r>
      <w:r w:rsidRPr="00B916EC">
        <w:t>Type0-PDCCH common search space</w:t>
      </w:r>
      <w:r>
        <w:t>.</w:t>
      </w:r>
    </w:p>
    <w:p w14:paraId="23EF86BE" w14:textId="77777777" w:rsidR="005821BE" w:rsidRPr="00F15587" w:rsidRDefault="005821BE" w:rsidP="005821BE">
      <w:r>
        <w:t xml:space="preserve">Considering that PDCCH monitoring occasions for SIB1 and paging are associated </w:t>
      </w:r>
      <w:r w:rsidR="00E371C8">
        <w:t xml:space="preserve">with </w:t>
      </w:r>
      <w:r>
        <w:t xml:space="preserve">the SSB index and may be dependent on the SSB time location (e.g. for the </w:t>
      </w:r>
      <w:r w:rsidRPr="00B916EC">
        <w:t>SS/PBCH block an</w:t>
      </w:r>
      <w:r>
        <w:t>d control resource set</w:t>
      </w:r>
      <w:r w:rsidRPr="00B916EC">
        <w:t xml:space="preserve"> multiplexing pattern</w:t>
      </w:r>
      <w:r>
        <w:t>s 2 and 3), impact of the SSB transmission delay or skipping due to LBT on PDCCH monitoring occasions for SIB1/paging should be carefully studied.</w:t>
      </w:r>
    </w:p>
    <w:p w14:paraId="3710F4CD" w14:textId="77777777" w:rsidR="005821BE" w:rsidRDefault="005821BE" w:rsidP="005821BE">
      <w:pPr>
        <w:spacing w:after="200" w:line="276" w:lineRule="auto"/>
        <w:rPr>
          <w:b/>
        </w:rPr>
      </w:pPr>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208C24C8" w14:textId="5C48831A" w:rsidR="00BB152E" w:rsidRDefault="005821BE" w:rsidP="00FE6E1F">
      <w:pPr>
        <w:pStyle w:val="Heading1"/>
      </w:pPr>
      <w:r>
        <w:lastRenderedPageBreak/>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03877BB8" w14:textId="77777777" w:rsidR="00200213" w:rsidRDefault="007C0F78" w:rsidP="00904938">
      <w:pPr>
        <w:rPr>
          <w:lang w:val="en-GB"/>
        </w:rPr>
      </w:pPr>
      <w:r>
        <w:rPr>
          <w:lang w:val="en-GB"/>
        </w:rPr>
        <w:t xml:space="preserve">RAN1 has previously agreed that there will be BWP(s) in NR-U and that Initial Active UL/ DL BWP will be similar to the licensed operation about 20 MHz. </w:t>
      </w:r>
    </w:p>
    <w:tbl>
      <w:tblPr>
        <w:tblStyle w:val="TableGrid"/>
        <w:tblW w:w="0" w:type="auto"/>
        <w:tblLook w:val="04A0" w:firstRow="1" w:lastRow="0" w:firstColumn="1" w:lastColumn="0" w:noHBand="0" w:noVBand="1"/>
      </w:tblPr>
      <w:tblGrid>
        <w:gridCol w:w="9533"/>
      </w:tblGrid>
      <w:tr w:rsidR="00200213" w14:paraId="4C9CC5A0" w14:textId="77777777" w:rsidTr="00200213">
        <w:tc>
          <w:tcPr>
            <w:tcW w:w="9533" w:type="dxa"/>
          </w:tcPr>
          <w:p w14:paraId="7FA1F9A9" w14:textId="77777777" w:rsidR="00200213" w:rsidRDefault="00200213" w:rsidP="00200213">
            <w:pPr>
              <w:rPr>
                <w:rFonts w:ascii="Calibri" w:hAnsi="Calibri"/>
                <w:color w:val="1F497D"/>
                <w:lang w:val="en-GB"/>
              </w:rPr>
            </w:pPr>
            <w:r>
              <w:rPr>
                <w:rFonts w:ascii="Calibri" w:hAnsi="Calibri"/>
                <w:color w:val="1F497D"/>
                <w:lang w:val="en-GB"/>
              </w:rPr>
              <w:t>RAN1#93:</w:t>
            </w:r>
          </w:p>
          <w:p w14:paraId="03F3D4F7" w14:textId="77777777" w:rsidR="00200213" w:rsidRDefault="00200213" w:rsidP="00200213">
            <w:pPr>
              <w:rPr>
                <w:sz w:val="20"/>
                <w:szCs w:val="20"/>
                <w:lang w:val="en-GB"/>
              </w:rPr>
            </w:pPr>
            <w:r>
              <w:rPr>
                <w:highlight w:val="green"/>
                <w:lang w:val="en-GB"/>
              </w:rPr>
              <w:t>Agreement:</w:t>
            </w:r>
            <w:r>
              <w:rPr>
                <w:lang w:val="en-GB"/>
              </w:rPr>
              <w:t xml:space="preserve"> </w:t>
            </w:r>
          </w:p>
          <w:p w14:paraId="3C3DB1EA" w14:textId="77777777" w:rsidR="00200213" w:rsidRDefault="00200213" w:rsidP="00200213">
            <w:pPr>
              <w:pStyle w:val="ListParagraph"/>
              <w:spacing w:line="252" w:lineRule="auto"/>
              <w:ind w:hanging="360"/>
              <w:contextualSpacing/>
              <w:rPr>
                <w:sz w:val="20"/>
                <w:szCs w:val="20"/>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5GHz band</w:t>
            </w:r>
          </w:p>
          <w:p w14:paraId="25DF41F7" w14:textId="77777777" w:rsidR="00200213" w:rsidRDefault="00200213" w:rsidP="00200213">
            <w:pPr>
              <w:pStyle w:val="ListParagraph"/>
              <w:spacing w:line="252" w:lineRule="auto"/>
              <w:ind w:left="1440" w:hanging="360"/>
              <w:contextualSpacing/>
              <w:rPr>
                <w:lang w:val="en-GB"/>
              </w:rPr>
            </w:pPr>
            <w:r>
              <w:rPr>
                <w:rFonts w:ascii="Courier New" w:hAnsi="Courier New" w:cs="Courier New"/>
                <w:lang w:val="en-GB"/>
              </w:rPr>
              <w:t>o</w:t>
            </w:r>
            <w:r>
              <w:rPr>
                <w:rFonts w:ascii="Times New Roman" w:hAnsi="Times New Roman"/>
                <w:sz w:val="14"/>
                <w:szCs w:val="14"/>
                <w:lang w:val="en-GB"/>
              </w:rPr>
              <w:t xml:space="preserve">   </w:t>
            </w:r>
            <w:r>
              <w:rPr>
                <w:lang w:val="en-GB"/>
              </w:rPr>
              <w:t>The final value will be quantized to number of PRBs</w:t>
            </w:r>
          </w:p>
          <w:p w14:paraId="00F2600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Initial active DL/UL BWP is approximately 20MHz for 6GHz band if similar channelization as 5GHz band is used for 6GHz band</w:t>
            </w:r>
          </w:p>
          <w:p w14:paraId="6D5B727D" w14:textId="77777777" w:rsidR="00200213" w:rsidRDefault="00200213" w:rsidP="00200213">
            <w:pPr>
              <w:pStyle w:val="ListParagraph"/>
              <w:spacing w:line="252" w:lineRule="auto"/>
              <w:ind w:hanging="360"/>
              <w:contextualSpacing/>
              <w:rPr>
                <w:lang w:val="en-GB"/>
              </w:rPr>
            </w:pPr>
            <w:r>
              <w:rPr>
                <w:rFonts w:ascii="Symbol" w:hAnsi="Symbol"/>
                <w:lang w:val="en-GB"/>
              </w:rPr>
              <w:t></w:t>
            </w:r>
            <w:r>
              <w:rPr>
                <w:rFonts w:ascii="Times New Roman" w:hAnsi="Times New Roman"/>
                <w:sz w:val="14"/>
                <w:szCs w:val="14"/>
                <w:lang w:val="en-GB"/>
              </w:rPr>
              <w:t xml:space="preserve">        </w:t>
            </w:r>
            <w:r>
              <w:rPr>
                <w:lang w:val="en-GB"/>
              </w:rPr>
              <w:t>FFS: Initial active DL/UL BWP for other applicable bands, including 60GHz</w:t>
            </w:r>
          </w:p>
          <w:p w14:paraId="68442636" w14:textId="77777777" w:rsidR="00200213" w:rsidRDefault="00200213" w:rsidP="00200213">
            <w:pPr>
              <w:rPr>
                <w:rFonts w:ascii="Calibri" w:hAnsi="Calibri"/>
                <w:color w:val="1F497D"/>
                <w:lang w:val="en-GB"/>
              </w:rPr>
            </w:pPr>
            <w:r>
              <w:rPr>
                <w:rFonts w:ascii="Calibri" w:hAnsi="Calibri"/>
                <w:color w:val="1F497D"/>
                <w:lang w:val="en-GB"/>
              </w:rPr>
              <w:t xml:space="preserve"> </w:t>
            </w:r>
          </w:p>
          <w:p w14:paraId="197AD44A" w14:textId="77777777" w:rsidR="00200213" w:rsidRDefault="00200213" w:rsidP="00200213">
            <w:pPr>
              <w:rPr>
                <w:rFonts w:ascii="Calibri" w:hAnsi="Calibri"/>
                <w:color w:val="1F497D"/>
                <w:lang w:val="en-GB"/>
              </w:rPr>
            </w:pPr>
            <w:r>
              <w:rPr>
                <w:rFonts w:ascii="Calibri" w:hAnsi="Calibri"/>
                <w:color w:val="1F497D"/>
                <w:lang w:val="en-GB"/>
              </w:rPr>
              <w:t>RAN1#92bis:</w:t>
            </w:r>
          </w:p>
          <w:p w14:paraId="182ED93A" w14:textId="77777777" w:rsidR="00200213" w:rsidRDefault="00200213" w:rsidP="00200213">
            <w:pPr>
              <w:ind w:left="720" w:hanging="360"/>
              <w:rPr>
                <w:sz w:val="20"/>
                <w:szCs w:val="20"/>
              </w:rPr>
            </w:pPr>
            <w:r>
              <w:rPr>
                <w:rFonts w:ascii="Arial" w:hAnsi="Arial" w:cs="Arial"/>
                <w:sz w:val="20"/>
                <w:szCs w:val="20"/>
              </w:rPr>
              <w:t>•</w:t>
            </w:r>
            <w:r>
              <w:rPr>
                <w:sz w:val="14"/>
                <w:szCs w:val="14"/>
              </w:rPr>
              <w:t xml:space="preserve">      </w:t>
            </w:r>
            <w:r>
              <w:t xml:space="preserve">Baseline for study: If absence of Wi-Fi cannot be guaranteed (e.g. by regulation) </w:t>
            </w:r>
          </w:p>
          <w:p w14:paraId="58503E57" w14:textId="77777777" w:rsidR="00200213" w:rsidRDefault="00200213" w:rsidP="00200213">
            <w:pPr>
              <w:rPr>
                <w:sz w:val="24"/>
                <w:szCs w:val="24"/>
              </w:rPr>
            </w:pPr>
            <w:r>
              <w:t xml:space="preserve">in the band (sub-7 GHz) where NR-U is operating, the NR-U operating bandwidth is an integer  </w:t>
            </w:r>
          </w:p>
          <w:p w14:paraId="19747942" w14:textId="77777777" w:rsidR="00200213" w:rsidRDefault="00200213" w:rsidP="00200213">
            <w:r>
              <w:t xml:space="preserve">multiple of 20MHz </w:t>
            </w:r>
          </w:p>
          <w:p w14:paraId="245C90CD" w14:textId="77777777" w:rsidR="00200213" w:rsidRDefault="00200213" w:rsidP="00200213">
            <w:pPr>
              <w:ind w:left="720" w:hanging="360"/>
            </w:pPr>
            <w:r>
              <w:rPr>
                <w:rFonts w:ascii="Arial" w:hAnsi="Arial" w:cs="Arial"/>
              </w:rPr>
              <w:t>•</w:t>
            </w:r>
            <w:r>
              <w:rPr>
                <w:sz w:val="14"/>
                <w:szCs w:val="14"/>
              </w:rPr>
              <w:t xml:space="preserve">     </w:t>
            </w:r>
            <w:r>
              <w:t xml:space="preserve">At least for band where absence of Wi-Fi cannot be guaranteed (e.g. by regulation), LBT can be performed in units of 20 MHz. </w:t>
            </w:r>
          </w:p>
          <w:p w14:paraId="0E2BC851" w14:textId="77777777" w:rsidR="00200213" w:rsidRDefault="00200213" w:rsidP="00200213">
            <w:pPr>
              <w:ind w:left="1440" w:hanging="360"/>
            </w:pPr>
            <w:r>
              <w:rPr>
                <w:rFonts w:ascii="Arial" w:hAnsi="Arial" w:cs="Arial"/>
              </w:rPr>
              <w:t>•</w:t>
            </w:r>
            <w:r>
              <w:rPr>
                <w:sz w:val="14"/>
                <w:szCs w:val="14"/>
              </w:rPr>
              <w:t xml:space="preserve">     </w:t>
            </w:r>
            <w:r>
              <w:t>FFS: details on how to perform LBT for as single carrier with bandwidth greater than 20 MHz, i.e., integer multiples of 20 MHz.</w:t>
            </w:r>
          </w:p>
          <w:p w14:paraId="40B0759C" w14:textId="77777777" w:rsidR="00200213" w:rsidRDefault="00200213" w:rsidP="00904938">
            <w:pPr>
              <w:rPr>
                <w:lang w:val="en-GB"/>
              </w:rPr>
            </w:pPr>
          </w:p>
        </w:tc>
      </w:tr>
    </w:tbl>
    <w:p w14:paraId="355670CE" w14:textId="77777777" w:rsidR="00200213" w:rsidRDefault="00200213" w:rsidP="00904938">
      <w:pPr>
        <w:rPr>
          <w:lang w:val="en-GB"/>
        </w:rPr>
      </w:pPr>
    </w:p>
    <w:p w14:paraId="503254F8" w14:textId="77777777"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p>
    <w:p w14:paraId="35F28888" w14:textId="4A06A9D6" w:rsidR="00850DA9" w:rsidRPr="00B00AC9" w:rsidRDefault="00850DA9" w:rsidP="00904938">
      <w:pPr>
        <w:rPr>
          <w:b/>
          <w:lang w:val="en-GB"/>
        </w:rPr>
      </w:pPr>
      <w:r w:rsidRPr="00B00AC9">
        <w:rPr>
          <w:b/>
          <w:lang w:val="en-GB"/>
        </w:rPr>
        <w:t>Pr</w:t>
      </w:r>
      <w:r w:rsidR="0079063A">
        <w:rPr>
          <w:b/>
          <w:lang w:val="en-GB"/>
        </w:rPr>
        <w:t xml:space="preserve">oposal </w:t>
      </w:r>
      <w:r w:rsidR="00B61CD8">
        <w:rPr>
          <w:b/>
          <w:lang w:val="en-GB"/>
        </w:rPr>
        <w:t>3</w:t>
      </w:r>
      <w:r w:rsidR="0079063A">
        <w:rPr>
          <w:b/>
          <w:lang w:val="en-GB"/>
        </w:rPr>
        <w:t>: A UE may perform CCA/</w:t>
      </w:r>
      <w:r w:rsidRPr="00B00AC9">
        <w:rPr>
          <w:b/>
          <w:lang w:val="en-GB"/>
        </w:rPr>
        <w:t>LBT on any configured BWP</w:t>
      </w:r>
      <w:r w:rsidR="00E00A8E">
        <w:rPr>
          <w:b/>
          <w:lang w:val="en-GB"/>
        </w:rPr>
        <w:t xml:space="preserve"> for PRACH transmission, if necessary</w:t>
      </w:r>
      <w:r w:rsidRPr="00B00AC9">
        <w:rPr>
          <w:b/>
          <w:lang w:val="en-GB"/>
        </w:rPr>
        <w:t>.</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482109A7" w14:textId="77777777" w:rsidR="0079063A" w:rsidRDefault="00BB152E" w:rsidP="00F37196">
      <w:pPr>
        <w:rPr>
          <w:b/>
          <w:lang w:val="en-GB"/>
        </w:rPr>
      </w:pPr>
      <w:r w:rsidRPr="00BB152E">
        <w:rPr>
          <w:lang w:val="en-GB"/>
        </w:rPr>
        <w:t>On similar lines it is helpful if the Msg</w:t>
      </w:r>
      <w:r w:rsidR="005821BE">
        <w:rPr>
          <w:lang w:val="en-GB"/>
        </w:rPr>
        <w:t xml:space="preserve"> </w:t>
      </w:r>
      <w:r w:rsidRPr="00BB152E">
        <w:rPr>
          <w:lang w:val="en-GB"/>
        </w:rPr>
        <w:t>2</w:t>
      </w:r>
      <w:r w:rsidR="005821BE">
        <w:rPr>
          <w:lang w:val="en-GB"/>
        </w:rPr>
        <w:t xml:space="preserve"> </w:t>
      </w:r>
      <w:r w:rsidRPr="00BB152E">
        <w:rPr>
          <w:lang w:val="en-GB"/>
        </w:rPr>
        <w:t>/ RAR could be transmitted by the gNB on any DL BWP where the CCA succeeds</w:t>
      </w:r>
      <w:r w:rsidR="000437C2">
        <w:rPr>
          <w:lang w:val="en-GB"/>
        </w:rPr>
        <w:t>, even if it is different from the linked BWP where Msg 1 occurred</w:t>
      </w:r>
      <w:r w:rsidRPr="00BB152E">
        <w:rPr>
          <w:lang w:val="en-GB"/>
        </w:rPr>
        <w:t>.</w:t>
      </w:r>
      <w:r w:rsidR="000437C2">
        <w:rPr>
          <w:lang w:val="en-GB"/>
        </w:rPr>
        <w:t xml:space="preserve"> Even though this is not applicable for initial access, it will be helpful e.g. in handover scenarios or PDCCH order where the UE can be aware of multiple BWPs and where the network knows which and how many active BWPs the UE can monitor.</w:t>
      </w:r>
    </w:p>
    <w:p w14:paraId="367C1CE4" w14:textId="7CAE5E84" w:rsidR="005821BE" w:rsidRPr="005821BE" w:rsidRDefault="00BB152E" w:rsidP="00F37196">
      <w:pPr>
        <w:rPr>
          <w:lang w:val="en-GB"/>
        </w:rPr>
      </w:pPr>
      <w:r>
        <w:rPr>
          <w:b/>
          <w:lang w:val="en-GB"/>
        </w:rPr>
        <w:t xml:space="preserve">Proposal </w:t>
      </w:r>
      <w:r w:rsidR="00B61CD8">
        <w:rPr>
          <w:b/>
          <w:lang w:val="en-GB"/>
        </w:rPr>
        <w:t>4</w:t>
      </w:r>
      <w:r>
        <w:rPr>
          <w:b/>
          <w:lang w:val="en-GB"/>
        </w:rPr>
        <w:t xml:space="preserve">: </w:t>
      </w:r>
      <w:r w:rsidR="0079063A">
        <w:rPr>
          <w:b/>
          <w:lang w:val="en-GB"/>
        </w:rPr>
        <w:t>A</w:t>
      </w:r>
      <w:r>
        <w:rPr>
          <w:b/>
          <w:lang w:val="en-GB"/>
        </w:rPr>
        <w:t xml:space="preserve"> UE </w:t>
      </w:r>
      <w:r w:rsidR="0079063A">
        <w:rPr>
          <w:b/>
          <w:lang w:val="en-GB"/>
        </w:rPr>
        <w:t>should be able to</w:t>
      </w:r>
      <w:r>
        <w:rPr>
          <w:b/>
          <w:lang w:val="en-GB"/>
        </w:rPr>
        <w:t xml:space="preserve"> monitor more than one DL BWP during a corresp</w:t>
      </w:r>
      <w:r w:rsidR="0079063A">
        <w:rPr>
          <w:b/>
          <w:lang w:val="en-GB"/>
        </w:rPr>
        <w:t>onding RAR window for Msg 2.</w:t>
      </w:r>
      <w:r w:rsidR="000437C2">
        <w:rPr>
          <w:b/>
          <w:lang w:val="en-GB"/>
        </w:rPr>
        <w:t xml:space="preserve"> A gNB may transmit Msg 2 on any of the DL BWPs monitored by the UE.</w:t>
      </w:r>
    </w:p>
    <w:p w14:paraId="526D2CC5" w14:textId="486CDDBF" w:rsidR="006F2CD3" w:rsidRDefault="006F2CD3" w:rsidP="006F2CD3">
      <w:pPr>
        <w:pStyle w:val="Heading2"/>
        <w:rPr>
          <w:lang w:val="en-GB"/>
        </w:rPr>
      </w:pPr>
      <w:r>
        <w:rPr>
          <w:lang w:val="en-GB"/>
        </w:rPr>
        <w:lastRenderedPageBreak/>
        <w:t>Msg</w:t>
      </w:r>
      <w:r w:rsidR="005821BE">
        <w:rPr>
          <w:lang w:val="en-GB"/>
        </w:rPr>
        <w:t xml:space="preserve"> </w:t>
      </w:r>
      <w:r>
        <w:rPr>
          <w:lang w:val="en-GB"/>
        </w:rPr>
        <w:t>3</w:t>
      </w:r>
    </w:p>
    <w:p w14:paraId="415B6885" w14:textId="77777777" w:rsidR="006F2CD3" w:rsidRDefault="006F2CD3" w:rsidP="006F2CD3">
      <w:pPr>
        <w:rPr>
          <w:lang w:val="en-GB"/>
        </w:rPr>
      </w:pPr>
      <w:r>
        <w:rPr>
          <w:lang w:val="en-GB"/>
        </w:rPr>
        <w:t>To have diversity in transmitting Msg3, the RAR</w:t>
      </w:r>
      <w:r w:rsidR="000437C2">
        <w:rPr>
          <w:lang w:val="en-GB"/>
        </w:rPr>
        <w:t xml:space="preserve"> Grant in</w:t>
      </w:r>
      <w:r>
        <w:rPr>
          <w:lang w:val="en-GB"/>
        </w:rPr>
        <w:t xml:space="preserve"> Msg2 may include UL resources for Msg3 transmission on more than </w:t>
      </w:r>
      <w:r w:rsidR="000437C2">
        <w:rPr>
          <w:lang w:val="en-GB"/>
        </w:rPr>
        <w:t>one</w:t>
      </w:r>
      <w:r>
        <w:rPr>
          <w:lang w:val="en-GB"/>
        </w:rPr>
        <w:t xml:space="preserve"> BW</w:t>
      </w:r>
      <w:r w:rsidR="000437C2">
        <w:rPr>
          <w:lang w:val="en-GB"/>
        </w:rPr>
        <w:t>P. The UE can then perform LBT/</w:t>
      </w:r>
      <w:r>
        <w:rPr>
          <w:lang w:val="en-GB"/>
        </w:rPr>
        <w:t>CCA on each of these and transmit Msg3 on a BWP where the CCA is successful.</w:t>
      </w:r>
    </w:p>
    <w:p w14:paraId="6AC57FD2" w14:textId="625598FC" w:rsidR="00920182" w:rsidRDefault="00920182" w:rsidP="00920182">
      <w:pPr>
        <w:rPr>
          <w:b/>
          <w:lang w:val="en-GB"/>
        </w:rPr>
      </w:pPr>
      <w:r w:rsidRPr="00920182">
        <w:rPr>
          <w:b/>
          <w:lang w:val="en-GB"/>
        </w:rPr>
        <w:t xml:space="preserve">Proposal </w:t>
      </w:r>
      <w:r w:rsidR="00B61CD8">
        <w:rPr>
          <w:b/>
          <w:lang w:val="en-GB"/>
        </w:rPr>
        <w:t>5</w:t>
      </w:r>
      <w:r w:rsidRPr="00920182">
        <w:rPr>
          <w:b/>
          <w:lang w:val="en-GB"/>
        </w:rPr>
        <w:t xml:space="preserve">: </w:t>
      </w:r>
      <w:r w:rsidR="000437C2">
        <w:rPr>
          <w:b/>
          <w:lang w:val="en-GB"/>
        </w:rPr>
        <w:t xml:space="preserve">The </w:t>
      </w:r>
      <w:r w:rsidRPr="00920182">
        <w:rPr>
          <w:b/>
          <w:lang w:val="en-GB"/>
        </w:rPr>
        <w:t xml:space="preserve">RAR </w:t>
      </w:r>
      <w:r w:rsidR="000437C2">
        <w:rPr>
          <w:b/>
          <w:lang w:val="en-GB"/>
        </w:rPr>
        <w:t xml:space="preserve">Grant </w:t>
      </w:r>
      <w:r w:rsidRPr="00920182">
        <w:rPr>
          <w:b/>
          <w:lang w:val="en-GB"/>
        </w:rPr>
        <w:t>may in</w:t>
      </w:r>
      <w:r w:rsidR="000437C2">
        <w:rPr>
          <w:b/>
          <w:lang w:val="en-GB"/>
        </w:rPr>
        <w:t>dicate</w:t>
      </w:r>
      <w:r w:rsidRPr="00920182">
        <w:rPr>
          <w:b/>
          <w:lang w:val="en-GB"/>
        </w:rPr>
        <w:t xml:space="preserve"> different UL BWP</w:t>
      </w:r>
      <w:r w:rsidR="000437C2">
        <w:rPr>
          <w:b/>
          <w:lang w:val="en-GB"/>
        </w:rPr>
        <w:t>s for Msg 3</w:t>
      </w:r>
      <w:r w:rsidRPr="00920182">
        <w:rPr>
          <w:b/>
          <w:lang w:val="en-GB"/>
        </w:rPr>
        <w:t>.</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5821BE">
      <w:pPr>
        <w:numPr>
          <w:ilvl w:val="0"/>
          <w:numId w:val="31"/>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5821BE">
      <w:pPr>
        <w:numPr>
          <w:ilvl w:val="0"/>
          <w:numId w:val="31"/>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5821BE">
      <w:pPr>
        <w:numPr>
          <w:ilvl w:val="0"/>
          <w:numId w:val="31"/>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3763BE20" w:rsidR="005821BE" w:rsidRPr="007555A1" w:rsidRDefault="005821BE" w:rsidP="005C32F1">
      <w:pPr>
        <w:spacing w:after="200" w:line="276" w:lineRule="auto"/>
        <w:rPr>
          <w:b/>
        </w:rPr>
      </w:pPr>
      <w:r w:rsidRPr="003C4548">
        <w:rPr>
          <w:b/>
        </w:rPr>
        <w:t xml:space="preserve">Proposal </w:t>
      </w:r>
      <w:r w:rsidR="00B61CD8">
        <w:rPr>
          <w:b/>
        </w:rPr>
        <w:t>6</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08462F79" w:rsidR="00E00A8E" w:rsidRPr="00E00A8E" w:rsidRDefault="006001D7" w:rsidP="00E00A8E">
      <w:pPr>
        <w:rPr>
          <w:lang w:val="en-GB" w:eastAsia="zh-CN"/>
        </w:rPr>
      </w:pPr>
      <w:r>
        <w:rPr>
          <w:lang w:val="en-GB" w:eastAsia="zh-CN"/>
        </w:rPr>
        <w:t>W</w:t>
      </w:r>
      <w:r w:rsidR="00E00A8E">
        <w:rPr>
          <w:lang w:val="en-GB" w:eastAsia="zh-CN"/>
        </w:rPr>
        <w:t xml:space="preserve">e suggest the following for </w:t>
      </w:r>
      <w:r>
        <w:rPr>
          <w:lang w:val="en-GB" w:eastAsia="zh-CN"/>
        </w:rPr>
        <w:t xml:space="preserve">initial access and </w:t>
      </w:r>
      <w:r w:rsidR="00E00A8E">
        <w:rPr>
          <w:lang w:val="en-GB" w:eastAsia="zh-CN"/>
        </w:rPr>
        <w:t>random access procedure messages:</w:t>
      </w:r>
    </w:p>
    <w:p w14:paraId="62E9F16C" w14:textId="77777777" w:rsidR="0021618E" w:rsidRPr="00D41DED" w:rsidRDefault="0021618E" w:rsidP="0021618E">
      <w:pPr>
        <w:rPr>
          <w:rFonts w:eastAsia="Malgun Gothic"/>
          <w:b/>
          <w:lang w:eastAsia="zh-CN"/>
        </w:rPr>
      </w:pPr>
      <w:r w:rsidRPr="008C2882">
        <w:rPr>
          <w:rFonts w:eastAsia="Malgun Gothic" w:hint="eastAsia"/>
          <w:b/>
          <w:lang w:eastAsia="zh-CN"/>
        </w:rPr>
        <w:t>Proposal 1:</w:t>
      </w:r>
      <w:r>
        <w:rPr>
          <w:rFonts w:eastAsia="Malgun Gothic"/>
          <w:b/>
          <w:lang w:eastAsia="zh-CN"/>
        </w:rPr>
        <w:t xml:space="preserve"> </w:t>
      </w:r>
      <w:r w:rsidRPr="00872530">
        <w:rPr>
          <w:rFonts w:eastAsia="Malgun Gothic"/>
          <w:b/>
          <w:lang w:eastAsia="zh-CN"/>
        </w:rPr>
        <w:t>Introduc</w:t>
      </w:r>
      <w:r>
        <w:rPr>
          <w:rFonts w:eastAsia="Malgun Gothic"/>
          <w:b/>
          <w:lang w:eastAsia="zh-CN"/>
        </w:rPr>
        <w:t>ing</w:t>
      </w:r>
      <w:r w:rsidRPr="00872530">
        <w:rPr>
          <w:rFonts w:eastAsia="Malgun Gothic"/>
          <w:b/>
          <w:lang w:eastAsia="zh-CN"/>
        </w:rPr>
        <w:t xml:space="preserve"> a new or additional SSB burst pattern for NR-U can be considered </w:t>
      </w:r>
      <w:r w:rsidRPr="0021618E">
        <w:rPr>
          <w:rFonts w:eastAsia="Malgun Gothic"/>
          <w:b/>
          <w:lang w:eastAsia="zh-CN"/>
        </w:rPr>
        <w:t>to enable use of priority classes 1 or 2.</w:t>
      </w:r>
    </w:p>
    <w:p w14:paraId="1E28CB91" w14:textId="77777777" w:rsidR="006001D7" w:rsidRDefault="006001D7" w:rsidP="006001D7">
      <w:pPr>
        <w:spacing w:after="200" w:line="276" w:lineRule="auto"/>
        <w:rPr>
          <w:b/>
        </w:rPr>
      </w:pPr>
      <w:r w:rsidRPr="003C4548">
        <w:rPr>
          <w:b/>
        </w:rPr>
        <w:t xml:space="preserve">Proposal </w:t>
      </w:r>
      <w:r>
        <w:rPr>
          <w:b/>
        </w:rPr>
        <w:t>2</w:t>
      </w:r>
      <w:r w:rsidRPr="003C4548">
        <w:rPr>
          <w:b/>
        </w:rPr>
        <w:t xml:space="preserve">: </w:t>
      </w:r>
      <w:r>
        <w:rPr>
          <w:rFonts w:eastAsia="Malgun Gothic"/>
          <w:b/>
          <w:lang w:eastAsia="zh-CN"/>
        </w:rPr>
        <w:t>RAN1 should study</w:t>
      </w:r>
      <w:r>
        <w:rPr>
          <w:b/>
        </w:rPr>
        <w:t xml:space="preserve"> the impact of delayed or skipped SSB transmissions due to LBT on </w:t>
      </w:r>
      <w:r w:rsidRPr="00BE7774">
        <w:rPr>
          <w:b/>
        </w:rPr>
        <w:t>PDCCH monitoring occasions for SIB1/pa</w:t>
      </w:r>
      <w:r>
        <w:rPr>
          <w:b/>
        </w:rPr>
        <w:t>ging.</w:t>
      </w:r>
    </w:p>
    <w:p w14:paraId="68715B82" w14:textId="77777777" w:rsidR="006001D7" w:rsidRPr="00B00AC9" w:rsidRDefault="006001D7" w:rsidP="006001D7">
      <w:pPr>
        <w:rPr>
          <w:b/>
          <w:lang w:val="en-GB"/>
        </w:rPr>
      </w:pPr>
      <w:r w:rsidRPr="00B00AC9">
        <w:rPr>
          <w:b/>
          <w:lang w:val="en-GB"/>
        </w:rPr>
        <w:t>Pr</w:t>
      </w:r>
      <w:r>
        <w:rPr>
          <w:b/>
          <w:lang w:val="en-GB"/>
        </w:rPr>
        <w:t>oposal 3: A UE may perform CCA/</w:t>
      </w:r>
      <w:r w:rsidRPr="00B00AC9">
        <w:rPr>
          <w:b/>
          <w:lang w:val="en-GB"/>
        </w:rPr>
        <w:t>LBT on any configured BWP</w:t>
      </w:r>
      <w:r>
        <w:rPr>
          <w:b/>
          <w:lang w:val="en-GB"/>
        </w:rPr>
        <w:t xml:space="preserve"> for PRACH transmission, if necessary</w:t>
      </w:r>
      <w:r w:rsidRPr="00B00AC9">
        <w:rPr>
          <w:b/>
          <w:lang w:val="en-GB"/>
        </w:rPr>
        <w:t>.</w:t>
      </w:r>
    </w:p>
    <w:p w14:paraId="5A92BB37" w14:textId="77777777" w:rsidR="006001D7" w:rsidRPr="005821BE" w:rsidRDefault="006001D7" w:rsidP="006001D7">
      <w:pPr>
        <w:rPr>
          <w:lang w:val="en-GB"/>
        </w:rPr>
      </w:pPr>
      <w:r>
        <w:rPr>
          <w:b/>
          <w:lang w:val="en-GB"/>
        </w:rPr>
        <w:t>Proposal 4: A UE should be able to monitor more than one DL BWP during a corresponding RAR window for Msg 2. A gNB may transmit Msg 2 on any of the DL BWPs monitored by the UE.</w:t>
      </w:r>
    </w:p>
    <w:p w14:paraId="0A9A4B6B" w14:textId="77777777" w:rsidR="006001D7" w:rsidRDefault="006001D7" w:rsidP="006001D7">
      <w:pPr>
        <w:rPr>
          <w:b/>
          <w:lang w:val="en-GB"/>
        </w:rPr>
      </w:pPr>
      <w:r w:rsidRPr="00920182">
        <w:rPr>
          <w:b/>
          <w:lang w:val="en-GB"/>
        </w:rPr>
        <w:t xml:space="preserve">Proposal </w:t>
      </w:r>
      <w:r>
        <w:rPr>
          <w:b/>
          <w:lang w:val="en-GB"/>
        </w:rPr>
        <w:t>5</w:t>
      </w:r>
      <w:r w:rsidRPr="00920182">
        <w:rPr>
          <w:b/>
          <w:lang w:val="en-GB"/>
        </w:rPr>
        <w:t xml:space="preserve">: </w:t>
      </w:r>
      <w:r>
        <w:rPr>
          <w:b/>
          <w:lang w:val="en-GB"/>
        </w:rPr>
        <w:t xml:space="preserve">The </w:t>
      </w:r>
      <w:r w:rsidRPr="00920182">
        <w:rPr>
          <w:b/>
          <w:lang w:val="en-GB"/>
        </w:rPr>
        <w:t xml:space="preserve">RAR </w:t>
      </w:r>
      <w:r>
        <w:rPr>
          <w:b/>
          <w:lang w:val="en-GB"/>
        </w:rPr>
        <w:t xml:space="preserve">Grant </w:t>
      </w:r>
      <w:r w:rsidRPr="00920182">
        <w:rPr>
          <w:b/>
          <w:lang w:val="en-GB"/>
        </w:rPr>
        <w:t>may in</w:t>
      </w:r>
      <w:r>
        <w:rPr>
          <w:b/>
          <w:lang w:val="en-GB"/>
        </w:rPr>
        <w:t>dicate</w:t>
      </w:r>
      <w:r w:rsidRPr="00920182">
        <w:rPr>
          <w:b/>
          <w:lang w:val="en-GB"/>
        </w:rPr>
        <w:t xml:space="preserve"> different UL BWP</w:t>
      </w:r>
      <w:r>
        <w:rPr>
          <w:b/>
          <w:lang w:val="en-GB"/>
        </w:rPr>
        <w:t>s for Msg 3</w:t>
      </w:r>
      <w:r w:rsidRPr="00920182">
        <w:rPr>
          <w:b/>
          <w:lang w:val="en-GB"/>
        </w:rPr>
        <w:t>.</w:t>
      </w:r>
    </w:p>
    <w:p w14:paraId="6D3AD15E" w14:textId="77777777" w:rsidR="006001D7" w:rsidRPr="007555A1" w:rsidRDefault="006001D7" w:rsidP="005C32F1">
      <w:pPr>
        <w:spacing w:after="200" w:line="276" w:lineRule="auto"/>
        <w:rPr>
          <w:b/>
        </w:rPr>
      </w:pPr>
      <w:r w:rsidRPr="003C4548">
        <w:rPr>
          <w:b/>
        </w:rPr>
        <w:t xml:space="preserve">Proposal </w:t>
      </w:r>
      <w:r>
        <w:rPr>
          <w:b/>
        </w:rPr>
        <w:t>6</w:t>
      </w:r>
      <w:r w:rsidRPr="00872530">
        <w:rPr>
          <w:b/>
        </w:rPr>
        <w:t>: Support granting multiple Msg 3 transmission occasions in Msg 2 to alleviate the transmission restrictions imposed by LBT and delay caused by Msg 3 retransmission</w:t>
      </w:r>
      <w:r w:rsidRPr="00DF1526">
        <w:rPr>
          <w:b/>
        </w:rPr>
        <w:t>s according to the HARQ protocol.</w:t>
      </w:r>
    </w:p>
    <w:p w14:paraId="59C3B59D" w14:textId="3D7D87EE" w:rsidR="00FE6E1F" w:rsidRDefault="00FE6E1F" w:rsidP="00FE6E1F">
      <w:pPr>
        <w:pStyle w:val="Heading1"/>
      </w:pPr>
      <w:r>
        <w:t>References</w:t>
      </w:r>
    </w:p>
    <w:p w14:paraId="13D48796" w14:textId="636B8DF3" w:rsidR="00FE6E1F" w:rsidRPr="00760D50" w:rsidRDefault="00FE6E1F" w:rsidP="00760D50">
      <w:pPr>
        <w:pStyle w:val="ListParagraph"/>
        <w:numPr>
          <w:ilvl w:val="0"/>
          <w:numId w:val="35"/>
        </w:numPr>
        <w:rPr>
          <w:rFonts w:ascii="Times New Roman" w:hAnsi="Times New Roman"/>
          <w:lang w:val="en-GB" w:eastAsia="zh-CN"/>
        </w:rPr>
      </w:pPr>
      <w:r w:rsidRPr="00760D50">
        <w:rPr>
          <w:rFonts w:ascii="Times New Roman" w:hAnsi="Times New Roman"/>
          <w:lang w:bidi="en-US"/>
        </w:rPr>
        <w:t>“RAN1 Chairman’s Notes”</w:t>
      </w:r>
      <w:r w:rsidR="00760D50" w:rsidRPr="00760D50">
        <w:rPr>
          <w:rFonts w:ascii="Times New Roman" w:hAnsi="Times New Roman"/>
          <w:lang w:bidi="en-US"/>
        </w:rPr>
        <w:t>, RAN WG1 Meeting #94, Gothenburg, Sweden, August 20th – 24th, 2018</w:t>
      </w:r>
      <w:r w:rsidR="00760D50">
        <w:rPr>
          <w:rFonts w:ascii="Times New Roman" w:hAnsi="Times New Roman"/>
          <w:lang w:bidi="en-US"/>
        </w:rPr>
        <w:t>.</w:t>
      </w:r>
    </w:p>
    <w:p w14:paraId="035FE209" w14:textId="1383C287" w:rsidR="00E00A8E" w:rsidRPr="00E00A8E" w:rsidRDefault="00E00A8E" w:rsidP="00E00A8E">
      <w:pPr>
        <w:rPr>
          <w:b/>
          <w:lang w:val="en-GB"/>
        </w:rPr>
      </w:pPr>
    </w:p>
    <w:sectPr w:rsidR="00E00A8E" w:rsidRPr="00E00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95B3D" w14:textId="77777777" w:rsidR="00EF6B7A" w:rsidRDefault="00EF6B7A">
      <w:r>
        <w:separator/>
      </w:r>
    </w:p>
  </w:endnote>
  <w:endnote w:type="continuationSeparator" w:id="0">
    <w:p w14:paraId="7F7F6541" w14:textId="77777777" w:rsidR="00EF6B7A" w:rsidRDefault="00EF6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2136" w14:textId="77777777" w:rsidR="00EF6B7A" w:rsidRDefault="00EF6B7A">
      <w:r>
        <w:separator/>
      </w:r>
    </w:p>
  </w:footnote>
  <w:footnote w:type="continuationSeparator" w:id="0">
    <w:p w14:paraId="70BEB874" w14:textId="77777777" w:rsidR="00EF6B7A" w:rsidRDefault="00EF6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E6CA62B2"/>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7B499E"/>
    <w:multiLevelType w:val="hybridMultilevel"/>
    <w:tmpl w:val="D3946746"/>
    <w:lvl w:ilvl="0" w:tplc="DB38A5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5354387"/>
    <w:multiLevelType w:val="hybridMultilevel"/>
    <w:tmpl w:val="CA442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0"/>
  </w:num>
  <w:num w:numId="3">
    <w:abstractNumId w:val="24"/>
  </w:num>
  <w:num w:numId="4">
    <w:abstractNumId w:val="17"/>
  </w:num>
  <w:num w:numId="5">
    <w:abstractNumId w:val="14"/>
  </w:num>
  <w:num w:numId="6">
    <w:abstractNumId w:val="31"/>
  </w:num>
  <w:num w:numId="7">
    <w:abstractNumId w:val="15"/>
  </w:num>
  <w:num w:numId="8">
    <w:abstractNumId w:val="13"/>
  </w:num>
  <w:num w:numId="9">
    <w:abstractNumId w:val="28"/>
  </w:num>
  <w:num w:numId="10">
    <w:abstractNumId w:val="12"/>
  </w:num>
  <w:num w:numId="11">
    <w:abstractNumId w:val="2"/>
  </w:num>
  <w:num w:numId="12">
    <w:abstractNumId w:val="27"/>
  </w:num>
  <w:num w:numId="13">
    <w:abstractNumId w:val="7"/>
  </w:num>
  <w:num w:numId="14">
    <w:abstractNumId w:val="16"/>
  </w:num>
  <w:num w:numId="15">
    <w:abstractNumId w:val="2"/>
  </w:num>
  <w:num w:numId="16">
    <w:abstractNumId w:val="2"/>
  </w:num>
  <w:num w:numId="17">
    <w:abstractNumId w:val="1"/>
  </w:num>
  <w:num w:numId="18">
    <w:abstractNumId w:val="11"/>
  </w:num>
  <w:num w:numId="19">
    <w:abstractNumId w:val="20"/>
  </w:num>
  <w:num w:numId="20">
    <w:abstractNumId w:val="22"/>
  </w:num>
  <w:num w:numId="21">
    <w:abstractNumId w:val="9"/>
  </w:num>
  <w:num w:numId="22">
    <w:abstractNumId w:val="21"/>
  </w:num>
  <w:num w:numId="23">
    <w:abstractNumId w:val="0"/>
  </w:num>
  <w:num w:numId="24">
    <w:abstractNumId w:val="8"/>
  </w:num>
  <w:num w:numId="25">
    <w:abstractNumId w:val="26"/>
  </w:num>
  <w:num w:numId="26">
    <w:abstractNumId w:val="23"/>
  </w:num>
  <w:num w:numId="27">
    <w:abstractNumId w:val="6"/>
  </w:num>
  <w:num w:numId="28">
    <w:abstractNumId w:val="5"/>
  </w:num>
  <w:num w:numId="29">
    <w:abstractNumId w:val="3"/>
  </w:num>
  <w:num w:numId="30">
    <w:abstractNumId w:val="29"/>
  </w:num>
  <w:num w:numId="31">
    <w:abstractNumId w:val="19"/>
  </w:num>
  <w:num w:numId="32">
    <w:abstractNumId w:val="25"/>
  </w:num>
  <w:num w:numId="33">
    <w:abstractNumId w:val="4"/>
  </w:num>
  <w:num w:numId="34">
    <w:abstractNumId w:val="10"/>
  </w:num>
  <w:num w:numId="3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4"/>
    <w:rsid w:val="00213749"/>
    <w:rsid w:val="00213844"/>
    <w:rsid w:val="00213917"/>
    <w:rsid w:val="002140FF"/>
    <w:rsid w:val="002141E6"/>
    <w:rsid w:val="00214365"/>
    <w:rsid w:val="002146D9"/>
    <w:rsid w:val="00214C8B"/>
    <w:rsid w:val="00215AA8"/>
    <w:rsid w:val="00215CDD"/>
    <w:rsid w:val="0021609D"/>
    <w:rsid w:val="0021618E"/>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4FB"/>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3AB"/>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72B"/>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948"/>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36D"/>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50"/>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4D39"/>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6EAD"/>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2A"/>
    <w:rsid w:val="00D446AE"/>
    <w:rsid w:val="00D44805"/>
    <w:rsid w:val="00D44994"/>
    <w:rsid w:val="00D45C42"/>
    <w:rsid w:val="00D45DCB"/>
    <w:rsid w:val="00D45DF3"/>
    <w:rsid w:val="00D46174"/>
    <w:rsid w:val="00D46195"/>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651"/>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AB6"/>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0A8E"/>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BA9"/>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EF5"/>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E1F"/>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E6E1F"/>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E6E1F"/>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AEC6B3-140B-4BC2-BF83-0BAFB793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2018-10-30T16:34:00Z</dcterms:created>
  <dcterms:modified xsi:type="dcterms:W3CDTF">2018-10-30T16:34:00Z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