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B7F878" w14:textId="03E78D09"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1717DF">
        <w:rPr>
          <w:rFonts w:ascii="Arial" w:hAnsi="Arial" w:cs="Arial"/>
          <w:b/>
          <w:sz w:val="24"/>
          <w:szCs w:val="24"/>
        </w:rPr>
        <w:t>7</w:t>
      </w:r>
      <w:r w:rsidRPr="000A64D8">
        <w:rPr>
          <w:rFonts w:ascii="Arial" w:hAnsi="Arial" w:cs="Arial"/>
          <w:b/>
          <w:sz w:val="24"/>
          <w:szCs w:val="24"/>
        </w:rPr>
        <w:t xml:space="preserve"> </w:t>
      </w:r>
      <w:r w:rsidRPr="000A64D8">
        <w:rPr>
          <w:rFonts w:ascii="Arial" w:hAnsi="Arial" w:cs="Arial"/>
          <w:b/>
          <w:sz w:val="24"/>
          <w:szCs w:val="24"/>
        </w:rPr>
        <w:tab/>
      </w:r>
      <w:r w:rsidR="00B908B9" w:rsidRPr="00B908B9">
        <w:rPr>
          <w:rFonts w:ascii="Arial" w:hAnsi="Arial" w:cs="Arial"/>
          <w:b/>
          <w:sz w:val="24"/>
          <w:szCs w:val="24"/>
        </w:rPr>
        <w:t>R1-1612084</w:t>
      </w:r>
    </w:p>
    <w:p w14:paraId="43B7F879" w14:textId="63383B24" w:rsidR="00D1303E" w:rsidRPr="00FD021C" w:rsidRDefault="00AF0112" w:rsidP="00D1303E">
      <w:pPr>
        <w:tabs>
          <w:tab w:val="right" w:pos="9630"/>
        </w:tabs>
        <w:spacing w:after="0"/>
        <w:jc w:val="both"/>
        <w:rPr>
          <w:rFonts w:ascii="Arial" w:hAnsi="Arial" w:cs="Arial"/>
          <w:b/>
          <w:sz w:val="24"/>
          <w:szCs w:val="24"/>
        </w:rPr>
      </w:pPr>
      <w:r w:rsidRPr="00AF0112">
        <w:rPr>
          <w:rFonts w:ascii="Arial" w:hAnsi="Arial" w:cs="Arial"/>
          <w:b/>
          <w:sz w:val="24"/>
          <w:szCs w:val="24"/>
        </w:rPr>
        <w:t>1</w:t>
      </w:r>
      <w:r w:rsidR="005C5062">
        <w:rPr>
          <w:rFonts w:ascii="Arial" w:hAnsi="Arial" w:cs="Arial"/>
          <w:b/>
          <w:sz w:val="24"/>
          <w:szCs w:val="24"/>
        </w:rPr>
        <w:t>4</w:t>
      </w:r>
      <w:r w:rsidR="00D1303E" w:rsidRPr="00AF0112">
        <w:rPr>
          <w:rFonts w:ascii="Arial" w:hAnsi="Arial" w:cs="Arial"/>
          <w:b/>
          <w:sz w:val="24"/>
          <w:szCs w:val="24"/>
          <w:vertAlign w:val="superscript"/>
        </w:rPr>
        <w:t>th</w:t>
      </w:r>
      <w:r w:rsidR="00D1303E" w:rsidRPr="00AF0112">
        <w:rPr>
          <w:rFonts w:ascii="Arial" w:hAnsi="Arial" w:cs="Arial"/>
          <w:b/>
          <w:sz w:val="24"/>
          <w:szCs w:val="24"/>
        </w:rPr>
        <w:t xml:space="preserve"> – </w:t>
      </w:r>
      <w:r w:rsidRPr="00AF0112">
        <w:rPr>
          <w:rFonts w:ascii="Arial" w:hAnsi="Arial" w:cs="Arial"/>
          <w:b/>
          <w:sz w:val="24"/>
          <w:szCs w:val="24"/>
        </w:rPr>
        <w:t>1</w:t>
      </w:r>
      <w:r w:rsidR="005C5062">
        <w:rPr>
          <w:rFonts w:ascii="Arial" w:hAnsi="Arial" w:cs="Arial"/>
          <w:b/>
          <w:sz w:val="24"/>
          <w:szCs w:val="24"/>
        </w:rPr>
        <w:t>8</w:t>
      </w:r>
      <w:r w:rsidR="00CA6BDF" w:rsidRPr="00AF0112">
        <w:rPr>
          <w:rFonts w:ascii="Arial" w:hAnsi="Arial" w:cs="Arial"/>
          <w:b/>
          <w:sz w:val="24"/>
          <w:szCs w:val="24"/>
          <w:vertAlign w:val="superscript"/>
        </w:rPr>
        <w:t>th</w:t>
      </w:r>
      <w:r w:rsidRPr="00AF0112">
        <w:rPr>
          <w:rFonts w:ascii="Arial" w:hAnsi="Arial" w:cs="Arial"/>
          <w:b/>
          <w:sz w:val="24"/>
          <w:szCs w:val="24"/>
        </w:rPr>
        <w:t xml:space="preserve"> </w:t>
      </w:r>
      <w:r w:rsidR="0028619C">
        <w:rPr>
          <w:rFonts w:ascii="Arial" w:hAnsi="Arial" w:cs="Arial"/>
          <w:b/>
          <w:sz w:val="24"/>
          <w:szCs w:val="24"/>
        </w:rPr>
        <w:t>November</w:t>
      </w:r>
      <w:r w:rsidR="00CA6BDF" w:rsidRPr="00AF0112">
        <w:rPr>
          <w:rFonts w:ascii="Arial" w:hAnsi="Arial" w:cs="Arial"/>
          <w:b/>
          <w:sz w:val="24"/>
          <w:szCs w:val="24"/>
        </w:rPr>
        <w:t xml:space="preserve"> 2016</w:t>
      </w:r>
    </w:p>
    <w:p w14:paraId="43B7F87A" w14:textId="31B8BBEC" w:rsidR="00D1303E" w:rsidRPr="00FD021C" w:rsidRDefault="005C5062" w:rsidP="00D1303E">
      <w:pPr>
        <w:spacing w:after="0"/>
        <w:jc w:val="both"/>
        <w:rPr>
          <w:rFonts w:ascii="Arial" w:hAnsi="Arial" w:cs="Arial"/>
          <w:b/>
          <w:sz w:val="24"/>
          <w:szCs w:val="24"/>
        </w:rPr>
      </w:pPr>
      <w:r>
        <w:rPr>
          <w:rFonts w:ascii="Arial" w:hAnsi="Arial" w:cs="Arial"/>
          <w:b/>
          <w:sz w:val="24"/>
          <w:szCs w:val="24"/>
        </w:rPr>
        <w:t>Reno</w:t>
      </w:r>
      <w:r w:rsidR="00CA6BDF" w:rsidRPr="00CA6BDF">
        <w:rPr>
          <w:rFonts w:ascii="Arial" w:hAnsi="Arial" w:cs="Arial"/>
          <w:b/>
          <w:sz w:val="24"/>
          <w:szCs w:val="24"/>
        </w:rPr>
        <w:t xml:space="preserve">, </w:t>
      </w:r>
      <w:r>
        <w:rPr>
          <w:rFonts w:ascii="Arial" w:hAnsi="Arial" w:cs="Arial"/>
          <w:b/>
          <w:sz w:val="24"/>
          <w:szCs w:val="24"/>
        </w:rPr>
        <w:t>USA</w:t>
      </w:r>
    </w:p>
    <w:p w14:paraId="43B7F87B" w14:textId="77777777" w:rsidR="0068226B" w:rsidRPr="000A64D8" w:rsidRDefault="0068226B" w:rsidP="00480B03">
      <w:pPr>
        <w:pStyle w:val="Footer"/>
        <w:jc w:val="both"/>
        <w:rPr>
          <w:noProof w:val="0"/>
        </w:rPr>
      </w:pPr>
    </w:p>
    <w:p w14:paraId="43B7F87C" w14:textId="30F6B656"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2D40EB">
        <w:rPr>
          <w:rFonts w:ascii="Arial" w:hAnsi="Arial"/>
          <w:sz w:val="24"/>
        </w:rPr>
        <w:t>7</w:t>
      </w:r>
      <w:r w:rsidR="00CA6BDF" w:rsidRPr="00D872A8">
        <w:rPr>
          <w:rFonts w:ascii="Arial" w:hAnsi="Arial"/>
          <w:sz w:val="24"/>
        </w:rPr>
        <w:t>.</w:t>
      </w:r>
      <w:r w:rsidR="005729A6" w:rsidRPr="00D872A8">
        <w:rPr>
          <w:rFonts w:ascii="Arial" w:hAnsi="Arial"/>
          <w:sz w:val="24"/>
        </w:rPr>
        <w:t>1</w:t>
      </w:r>
      <w:r w:rsidR="00CA6BDF" w:rsidRPr="00D872A8">
        <w:rPr>
          <w:rFonts w:ascii="Arial" w:hAnsi="Arial"/>
          <w:sz w:val="24"/>
        </w:rPr>
        <w:t>.</w:t>
      </w:r>
      <w:r w:rsidR="002D40EB">
        <w:rPr>
          <w:rFonts w:ascii="Arial" w:hAnsi="Arial"/>
          <w:sz w:val="24"/>
        </w:rPr>
        <w:t>5</w:t>
      </w:r>
      <w:r w:rsidR="003711C5" w:rsidRPr="00D872A8">
        <w:rPr>
          <w:rFonts w:ascii="Arial" w:hAnsi="Arial"/>
          <w:sz w:val="24"/>
        </w:rPr>
        <w:t>.</w:t>
      </w:r>
      <w:r w:rsidR="005729A6" w:rsidRPr="00D872A8">
        <w:rPr>
          <w:rFonts w:ascii="Arial" w:hAnsi="Arial"/>
          <w:sz w:val="24"/>
        </w:rPr>
        <w:t>1</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047D6B1A"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022448" w:rsidRPr="007F3C69">
        <w:rPr>
          <w:rFonts w:ascii="Arial" w:hAnsi="Arial"/>
          <w:sz w:val="24"/>
        </w:rPr>
        <w:t xml:space="preserve">Decoder </w:t>
      </w:r>
      <w:r w:rsidR="007F3C69">
        <w:rPr>
          <w:rFonts w:ascii="Arial" w:hAnsi="Arial"/>
          <w:sz w:val="24"/>
        </w:rPr>
        <w:t>Sensitivity</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43B7F880" w14:textId="77777777" w:rsidR="004503F9" w:rsidRPr="00183CB7" w:rsidRDefault="004503F9" w:rsidP="004503F9">
      <w:pPr>
        <w:pStyle w:val="Heading1"/>
      </w:pPr>
      <w:r w:rsidRPr="00183CB7">
        <w:t>Introduction</w:t>
      </w:r>
    </w:p>
    <w:p w14:paraId="2FE1FF89" w14:textId="69AFE574" w:rsidR="00957CEE" w:rsidRDefault="00CC73DE" w:rsidP="008A0E50">
      <w:pPr>
        <w:spacing w:before="100" w:beforeAutospacing="1" w:after="100" w:afterAutospacing="1"/>
        <w:jc w:val="both"/>
      </w:pPr>
      <w:r>
        <w:t>T</w:t>
      </w:r>
      <w:r w:rsidR="00796E96">
        <w:t>he decoder for LDPC codes</w:t>
      </w:r>
      <w:r w:rsidR="00051FF3">
        <w:t xml:space="preserve"> [1][3]</w:t>
      </w:r>
      <w:r w:rsidR="00796E96">
        <w:t xml:space="preserve"> is provided with soft values in the form of received LLRs. In practice, however, the SNR of the channel is not precisely known and as a consequence the received LLRs </w:t>
      </w:r>
      <w:r w:rsidR="00AF51AB">
        <w:t xml:space="preserve">may be </w:t>
      </w:r>
      <w:r w:rsidR="00796E96">
        <w:t>scaled by an unknown constant. Such a situation is not unusual in a wireless setting where the correct scaling constant can depend on AGC, channel estimation errors etc.  One or several of such factors in the scaling may be unknown</w:t>
      </w:r>
      <w:r w:rsidR="00AF51AB">
        <w:t xml:space="preserve"> or inaccurate</w:t>
      </w:r>
      <w:r w:rsidR="00796E96">
        <w:t xml:space="preserve">. </w:t>
      </w:r>
      <w:r w:rsidR="00D632B5">
        <w:t xml:space="preserve">It is thus </w:t>
      </w:r>
      <w:r w:rsidR="00AF51AB">
        <w:t xml:space="preserve">desirable </w:t>
      </w:r>
      <w:r w:rsidR="00D632B5">
        <w:t xml:space="preserve">to appropriately scale </w:t>
      </w:r>
      <w:r w:rsidR="00957CEE">
        <w:t>the LLRs for robust performance of the adjusted Min-Sum (AdjMS) decoder [3][4].</w:t>
      </w:r>
    </w:p>
    <w:p w14:paraId="0CE0326D" w14:textId="16D7F43E" w:rsidR="00CC73DE" w:rsidRDefault="00957CEE" w:rsidP="008A0E50">
      <w:pPr>
        <w:spacing w:before="100" w:beforeAutospacing="1" w:after="100" w:afterAutospacing="1"/>
        <w:jc w:val="both"/>
      </w:pPr>
      <w:r>
        <w:t xml:space="preserve"> </w:t>
      </w:r>
      <w:r w:rsidR="00AF51AB">
        <w:t xml:space="preserve">A </w:t>
      </w:r>
      <w:r w:rsidR="00D632B5">
        <w:t xml:space="preserve">basic principle </w:t>
      </w:r>
      <w:r w:rsidR="00AF51AB">
        <w:t>that can be used to find an appropriate</w:t>
      </w:r>
      <w:r w:rsidR="003967F1">
        <w:t xml:space="preserve"> scale value </w:t>
      </w:r>
      <w:r w:rsidR="00962410">
        <w:t xml:space="preserve">is </w:t>
      </w:r>
      <w:r w:rsidR="00D632B5">
        <w:t xml:space="preserve">as follows. </w:t>
      </w:r>
      <w:r w:rsidR="003967F1">
        <w:t xml:space="preserve">At the receiver, the code used is known and hence the operating </w:t>
      </w:r>
      <w:r w:rsidR="00AF51AB">
        <w:t xml:space="preserve">channel </w:t>
      </w:r>
      <w:r w:rsidR="003967F1">
        <w:t xml:space="preserve">capacity </w:t>
      </w:r>
      <w:r w:rsidR="00AF51AB">
        <w:t>needed for acceptable performance is known</w:t>
      </w:r>
      <w:r w:rsidR="003967F1">
        <w:t>.</w:t>
      </w:r>
      <w:r w:rsidR="00D632B5">
        <w:t xml:space="preserve"> </w:t>
      </w:r>
      <w:r w:rsidR="003967F1">
        <w:t xml:space="preserve">Suppose the operating capacity is </w:t>
      </w:r>
      <m:oMath>
        <m:sSub>
          <m:sSubPr>
            <m:ctrlPr>
              <w:rPr>
                <w:rFonts w:ascii="Cambria Math" w:hAnsi="Cambria Math"/>
                <w:i/>
              </w:rPr>
            </m:ctrlPr>
          </m:sSubPr>
          <m:e>
            <m:r>
              <w:rPr>
                <w:rFonts w:ascii="Cambria Math" w:hAnsi="Cambria Math"/>
              </w:rPr>
              <m:t>C</m:t>
            </m:r>
          </m:e>
          <m:sub>
            <m:r>
              <w:rPr>
                <w:rFonts w:ascii="Cambria Math" w:hAnsi="Cambria Math"/>
              </w:rPr>
              <m:t>t</m:t>
            </m:r>
          </m:sub>
        </m:sSub>
      </m:oMath>
      <w:r w:rsidR="003967F1">
        <w:t xml:space="preserve"> or in terms of SNR </w:t>
      </w:r>
      <w:r w:rsidR="00AF51AB">
        <w:t xml:space="preserve">on an AWGN channel </w:t>
      </w:r>
      <w:r w:rsidR="003967F1">
        <w:t xml:space="preserve">it is </w:t>
      </w:r>
      <m:oMath>
        <m:r>
          <w:rPr>
            <w:rFonts w:ascii="Cambria Math" w:hAnsi="Cambria Math"/>
          </w:rPr>
          <m:t>SN</m:t>
        </m:r>
        <m:sSub>
          <m:sSubPr>
            <m:ctrlPr>
              <w:rPr>
                <w:rFonts w:ascii="Cambria Math" w:hAnsi="Cambria Math"/>
                <w:i/>
              </w:rPr>
            </m:ctrlPr>
          </m:sSubPr>
          <m:e>
            <m:r>
              <w:rPr>
                <w:rFonts w:ascii="Cambria Math" w:hAnsi="Cambria Math"/>
              </w:rPr>
              <m:t>R</m:t>
            </m:r>
          </m:e>
          <m:sub>
            <m:r>
              <w:rPr>
                <w:rFonts w:ascii="Cambria Math" w:hAnsi="Cambria Math"/>
              </w:rPr>
              <m:t>t</m:t>
            </m:r>
          </m:sub>
        </m:sSub>
      </m:oMath>
      <w:r w:rsidR="003967F1">
        <w:t xml:space="preserve">. Note that </w:t>
      </w:r>
      <m:oMath>
        <m:sSub>
          <m:sSubPr>
            <m:ctrlPr>
              <w:rPr>
                <w:rFonts w:ascii="Cambria Math" w:hAnsi="Cambria Math"/>
                <w:i/>
              </w:rPr>
            </m:ctrlPr>
          </m:sSubPr>
          <m:e>
            <m:r>
              <w:rPr>
                <w:rFonts w:ascii="Cambria Math" w:hAnsi="Cambria Math"/>
              </w:rPr>
              <m:t>C</m:t>
            </m:r>
          </m:e>
          <m:sub>
            <m:r>
              <w:rPr>
                <w:rFonts w:ascii="Cambria Math" w:hAnsi="Cambria Math"/>
              </w:rPr>
              <m:t>t</m:t>
            </m:r>
          </m:sub>
        </m:sSub>
      </m:oMath>
      <w:r w:rsidR="003967F1">
        <w:t xml:space="preserve"> and </w:t>
      </w:r>
      <m:oMath>
        <m:r>
          <w:rPr>
            <w:rFonts w:ascii="Cambria Math" w:hAnsi="Cambria Math"/>
          </w:rPr>
          <m:t>SN</m:t>
        </m:r>
        <m:sSub>
          <m:sSubPr>
            <m:ctrlPr>
              <w:rPr>
                <w:rFonts w:ascii="Cambria Math" w:hAnsi="Cambria Math"/>
                <w:i/>
              </w:rPr>
            </m:ctrlPr>
          </m:sSubPr>
          <m:e>
            <m:r>
              <w:rPr>
                <w:rFonts w:ascii="Cambria Math" w:hAnsi="Cambria Math"/>
              </w:rPr>
              <m:t>R</m:t>
            </m:r>
          </m:e>
          <m:sub>
            <m:r>
              <w:rPr>
                <w:rFonts w:ascii="Cambria Math" w:hAnsi="Cambria Math"/>
              </w:rPr>
              <m:t>t</m:t>
            </m:r>
          </m:sub>
        </m:sSub>
      </m:oMath>
      <w:r w:rsidR="003967F1">
        <w:t xml:space="preserve"> are related through the constellation capacity function.</w:t>
      </w:r>
      <w:r w:rsidR="005C22D5">
        <w:t xml:space="preserve"> The code has a steep waterfall region such that the BLER falls sharply within one or two dB around the operating point.</w:t>
      </w:r>
      <w:r w:rsidR="003967F1">
        <w:t xml:space="preserve"> The receiver has an estimate of the channel gain and what is not known is the additive noise power at the receiver which could include channel estimation errors. </w:t>
      </w:r>
      <w:r w:rsidR="00AF51AB">
        <w:t>W</w:t>
      </w:r>
      <w:r w:rsidR="003967F1">
        <w:t xml:space="preserve">ithout knowing the additive noise power the receiver could </w:t>
      </w:r>
      <w:r w:rsidR="00AF51AB">
        <w:t xml:space="preserve">simply </w:t>
      </w:r>
      <w:r w:rsidR="003967F1">
        <w:t xml:space="preserve">assume that the noise power is such that the instantaneous channel SNR is at the operating point and thus scale accordingly. As a consequence of this scaling, </w:t>
      </w:r>
      <w:r w:rsidR="00AF51AB">
        <w:t xml:space="preserve">various </w:t>
      </w:r>
      <w:r w:rsidR="003967F1">
        <w:t>things will happen</w:t>
      </w:r>
      <w:r w:rsidR="00AF51AB">
        <w:t xml:space="preserve"> depending on the true channel condition</w:t>
      </w:r>
      <w:r w:rsidR="003967F1">
        <w:t xml:space="preserve">. If the additive noise was such that the actual channel SNR </w:t>
      </w:r>
      <w:r w:rsidR="005C22D5">
        <w:t xml:space="preserve">is much below </w:t>
      </w:r>
      <m:oMath>
        <m:r>
          <w:rPr>
            <w:rFonts w:ascii="Cambria Math" w:hAnsi="Cambria Math"/>
          </w:rPr>
          <m:t>SN</m:t>
        </m:r>
        <m:sSub>
          <m:sSubPr>
            <m:ctrlPr>
              <w:rPr>
                <w:rFonts w:ascii="Cambria Math" w:hAnsi="Cambria Math"/>
                <w:i/>
              </w:rPr>
            </m:ctrlPr>
          </m:sSubPr>
          <m:e>
            <m:r>
              <w:rPr>
                <w:rFonts w:ascii="Cambria Math" w:hAnsi="Cambria Math"/>
              </w:rPr>
              <m:t>R</m:t>
            </m:r>
          </m:e>
          <m:sub>
            <m:r>
              <w:rPr>
                <w:rFonts w:ascii="Cambria Math" w:hAnsi="Cambria Math"/>
              </w:rPr>
              <m:t>t</m:t>
            </m:r>
          </m:sub>
        </m:sSub>
      </m:oMath>
      <w:r w:rsidR="005C22D5">
        <w:t xml:space="preserve">, then the decoding is going to fail </w:t>
      </w:r>
      <w:r w:rsidR="00890FBD">
        <w:t xml:space="preserve">regardless of the </w:t>
      </w:r>
      <w:r w:rsidR="005C22D5">
        <w:t xml:space="preserve">scaling </w:t>
      </w:r>
      <w:r w:rsidR="00890FBD">
        <w:t>performed in the decoder</w:t>
      </w:r>
      <w:r w:rsidR="005C22D5">
        <w:t xml:space="preserve">. If the additive noise is such that the actual channel SNR is much better than </w:t>
      </w:r>
      <m:oMath>
        <m:r>
          <w:rPr>
            <w:rFonts w:ascii="Cambria Math" w:hAnsi="Cambria Math"/>
          </w:rPr>
          <m:t>SN</m:t>
        </m:r>
        <m:sSub>
          <m:sSubPr>
            <m:ctrlPr>
              <w:rPr>
                <w:rFonts w:ascii="Cambria Math" w:hAnsi="Cambria Math"/>
                <w:i/>
              </w:rPr>
            </m:ctrlPr>
          </m:sSubPr>
          <m:e>
            <m:r>
              <w:rPr>
                <w:rFonts w:ascii="Cambria Math" w:hAnsi="Cambria Math"/>
              </w:rPr>
              <m:t>R</m:t>
            </m:r>
          </m:e>
          <m:sub>
            <m:r>
              <w:rPr>
                <w:rFonts w:ascii="Cambria Math" w:hAnsi="Cambria Math"/>
              </w:rPr>
              <m:t>t</m:t>
            </m:r>
          </m:sub>
        </m:sSub>
      </m:oMath>
      <w:r w:rsidR="005C22D5">
        <w:t xml:space="preserve">, then the LLRs are scaled down </w:t>
      </w:r>
      <w:r w:rsidR="008C0523">
        <w:t>to magnitudes typical of a lower SNR. The error rates on these LLRs are however lower than their magnitudes indicate</w:t>
      </w:r>
      <w:r w:rsidR="005C22D5">
        <w:t xml:space="preserve">. </w:t>
      </w:r>
      <w:r w:rsidR="008C0523">
        <w:t>T</w:t>
      </w:r>
      <w:r w:rsidR="005C22D5">
        <w:t xml:space="preserve">he BLER </w:t>
      </w:r>
      <w:r w:rsidR="008C0523">
        <w:t xml:space="preserve">in this channel region </w:t>
      </w:r>
      <w:r w:rsidR="005C22D5">
        <w:t xml:space="preserve">is already very small </w:t>
      </w:r>
      <w:r w:rsidR="008C0523">
        <w:t>and in iterative decoders it has been observed that this scaling down of the magnitudes to the assumed operating</w:t>
      </w:r>
      <w:r w:rsidR="00A733E8">
        <w:t xml:space="preserve"> point</w:t>
      </w:r>
      <w:r w:rsidR="008C0523">
        <w:t xml:space="preserve"> does not degrade performance.</w:t>
      </w:r>
      <w:r w:rsidR="005C22D5">
        <w:t xml:space="preserve"> </w:t>
      </w:r>
      <w:r w:rsidR="008C0523">
        <w:t>Finally , i</w:t>
      </w:r>
      <w:r w:rsidR="005C22D5">
        <w:t xml:space="preserve">f the actual channel SNR is in the waterfall window, then the assumption on the additive noise makes the SNR estimation error small and the code has a </w:t>
      </w:r>
      <w:r w:rsidR="004B3BA1">
        <w:t>minor</w:t>
      </w:r>
      <w:r w:rsidR="005C22D5">
        <w:t xml:space="preserve"> performance loss. </w:t>
      </w:r>
      <w:r w:rsidR="008C0523">
        <w:t xml:space="preserve">Altogether the code performance curve typically closely follows the performance curve of the known SNR case. </w:t>
      </w:r>
    </w:p>
    <w:p w14:paraId="3C9D97C7" w14:textId="00562D65" w:rsidR="005C22D5" w:rsidRDefault="005C22D5" w:rsidP="008A0E50">
      <w:pPr>
        <w:spacing w:before="100" w:beforeAutospacing="1" w:after="100" w:afterAutospacing="1"/>
        <w:jc w:val="both"/>
      </w:pPr>
      <w:r>
        <w:t xml:space="preserve">In </w:t>
      </w:r>
      <w:r w:rsidR="008C0523">
        <w:t>a previous</w:t>
      </w:r>
      <w:r>
        <w:t xml:space="preserve"> contribution [</w:t>
      </w:r>
      <w:r w:rsidR="00F6417E">
        <w:t>3</w:t>
      </w:r>
      <w:r>
        <w:t>] a totally-blind scaling technique was provided. The method presented there</w:t>
      </w:r>
      <w:r w:rsidR="00957CEE">
        <w:t xml:space="preserve"> [2]</w:t>
      </w:r>
      <w:r>
        <w:t xml:space="preserve"> </w:t>
      </w:r>
      <w:r w:rsidR="008C0523">
        <w:t xml:space="preserve">can operate in conditions with no </w:t>
      </w:r>
      <w:r>
        <w:t xml:space="preserve">knowledge of the underlying channel </w:t>
      </w:r>
      <w:r w:rsidR="008C0523">
        <w:t xml:space="preserve">form </w:t>
      </w:r>
      <w:r>
        <w:t xml:space="preserve">and the noise conditions. </w:t>
      </w:r>
      <w:r w:rsidR="008C0523">
        <w:t xml:space="preserve">It works equally well on additive Gaussian noise channels, fading channels, the binary symmetric channel, etc. </w:t>
      </w:r>
      <w:r>
        <w:t xml:space="preserve">The only </w:t>
      </w:r>
      <w:r w:rsidR="008C0523">
        <w:t>assumption is that the LLRs are only unknown up to a positive scale fact</w:t>
      </w:r>
      <w:r w:rsidR="007D17BC">
        <w:t>or</w:t>
      </w:r>
      <w:r w:rsidR="008C0523">
        <w:t xml:space="preserve"> and that the code’s</w:t>
      </w:r>
      <w:r>
        <w:t xml:space="preserve"> operating capacity</w:t>
      </w:r>
      <w:r w:rsidR="008C0523">
        <w:t xml:space="preserve"> (which is largely independent of channel type) is known</w:t>
      </w:r>
      <w:r>
        <w:t xml:space="preserve">. </w:t>
      </w:r>
      <w:r w:rsidR="008C0523">
        <w:t xml:space="preserve"> </w:t>
      </w:r>
      <w:r>
        <w:t>Assuming QPSK transmission, the capacity is thus estimated as a mixture of binary-symmetric channels (every binary-input channel can be thought of as a mixture</w:t>
      </w:r>
      <w:r w:rsidR="00F6417E">
        <w:t xml:space="preserve"> of binary-symmetric channels [5</w:t>
      </w:r>
      <w:r>
        <w:t>]) and the scaling factor is appropriately estimated. In this extreme case whe</w:t>
      </w:r>
      <w:r w:rsidR="00EA18D6">
        <w:t xml:space="preserve">n </w:t>
      </w:r>
      <w:r w:rsidR="008C0523">
        <w:t>no structural assumption is made</w:t>
      </w:r>
      <w:r w:rsidR="00EA18D6">
        <w:t xml:space="preserve"> about</w:t>
      </w:r>
      <w:r>
        <w:t xml:space="preserve"> the channel</w:t>
      </w:r>
      <w:r w:rsidR="00EA18D6">
        <w:t>,</w:t>
      </w:r>
      <w:r>
        <w:t xml:space="preserve"> one </w:t>
      </w:r>
      <w:r w:rsidR="008C0523">
        <w:t xml:space="preserve">can </w:t>
      </w:r>
      <w:r>
        <w:t>to resort to estimating the channel capacity us</w:t>
      </w:r>
      <w:r w:rsidR="008C0523">
        <w:t>e</w:t>
      </w:r>
      <w:r w:rsidR="00F1120C">
        <w:t xml:space="preserve"> </w:t>
      </w:r>
      <w:r>
        <w:t xml:space="preserve">the </w:t>
      </w:r>
      <w:r w:rsidR="008C0523">
        <w:t xml:space="preserve">scaled </w:t>
      </w:r>
      <w:r>
        <w:t>LLR</w:t>
      </w:r>
      <w:r w:rsidR="008C0523">
        <w:t xml:space="preserve"> magnitudes</w:t>
      </w:r>
      <w:r w:rsidR="001F502C">
        <w:t xml:space="preserve"> to </w:t>
      </w:r>
      <w:r w:rsidR="006F17B9">
        <w:t>represent</w:t>
      </w:r>
      <w:r w:rsidR="001F502C">
        <w:t xml:space="preserve"> the channel distribution</w:t>
      </w:r>
      <w:r w:rsidR="006F17B9">
        <w:t xml:space="preserve"> under LLR scaling</w:t>
      </w:r>
      <w:r>
        <w:t xml:space="preserve">. </w:t>
      </w:r>
      <w:r w:rsidR="006F17B9">
        <w:t>In a more traditional wireless system, however, there is significant prior knowledge available on an appropriate form for the channel distribution.</w:t>
      </w:r>
      <w:r>
        <w:t xml:space="preserve"> </w:t>
      </w:r>
      <w:r w:rsidR="008F39AA">
        <w:t>Suppose</w:t>
      </w:r>
      <w:r w:rsidR="006F17B9">
        <w:t>, for example,</w:t>
      </w:r>
      <w:r w:rsidR="008F39AA">
        <w:t xml:space="preserve"> that </w:t>
      </w:r>
      <w:r w:rsidR="006F17B9">
        <w:t>it is known that</w:t>
      </w:r>
      <w:r w:rsidR="008F39AA">
        <w:t xml:space="preserve"> the channel </w:t>
      </w:r>
      <w:r w:rsidR="006F17B9">
        <w:t xml:space="preserve">is a </w:t>
      </w:r>
      <w:r w:rsidR="008F39AA">
        <w:t xml:space="preserve">flat fading channel </w:t>
      </w:r>
      <w:r w:rsidR="006F17B9">
        <w:t>with additive Gaussian noise and that the channel gain is known.  T</w:t>
      </w:r>
      <w:r w:rsidR="008F39AA">
        <w:t>hen</w:t>
      </w:r>
      <w:r w:rsidR="006F17B9">
        <w:t>, in effect, the distribution is parameterized by a single parameter, the additive noise power.   I</w:t>
      </w:r>
      <w:r w:rsidR="008F39AA">
        <w:t xml:space="preserve">n the next section we </w:t>
      </w:r>
      <w:r w:rsidR="006F17B9">
        <w:t>present</w:t>
      </w:r>
      <w:r w:rsidR="008F39AA">
        <w:t xml:space="preserve"> a very simple scaling algorithm </w:t>
      </w:r>
      <w:r w:rsidR="006F17B9">
        <w:t xml:space="preserve">for this case </w:t>
      </w:r>
      <w:r w:rsidR="008F39AA">
        <w:t xml:space="preserve">which </w:t>
      </w:r>
      <w:r w:rsidR="006F17B9">
        <w:t xml:space="preserve">can </w:t>
      </w:r>
      <w:r w:rsidR="008F39AA">
        <w:t xml:space="preserve">find </w:t>
      </w:r>
      <w:r w:rsidR="006F17B9">
        <w:t xml:space="preserve">a </w:t>
      </w:r>
      <w:r w:rsidR="008F39AA">
        <w:t>scale factor for robust performance quite easily</w:t>
      </w:r>
      <w:r w:rsidR="008F2C69">
        <w:t xml:space="preserve"> without any implementation or latency penalty. </w:t>
      </w:r>
    </w:p>
    <w:p w14:paraId="318615B3" w14:textId="77777777" w:rsidR="00240116" w:rsidRDefault="00240116" w:rsidP="00240116">
      <w:pPr>
        <w:rPr>
          <w:lang w:val="en-GB" w:eastAsia="zh-CN"/>
        </w:rPr>
      </w:pPr>
    </w:p>
    <w:p w14:paraId="0E0D56C6" w14:textId="28EEDCCF" w:rsidR="00240116" w:rsidRDefault="008F39AA" w:rsidP="00240116">
      <w:pPr>
        <w:pStyle w:val="Heading1"/>
        <w:rPr>
          <w:lang w:eastAsia="zh-CN"/>
        </w:rPr>
      </w:pPr>
      <w:r>
        <w:rPr>
          <w:lang w:eastAsia="zh-CN"/>
        </w:rPr>
        <w:lastRenderedPageBreak/>
        <w:t>Robustness of AdjMS</w:t>
      </w:r>
      <w:r w:rsidR="00594091">
        <w:rPr>
          <w:lang w:eastAsia="zh-CN"/>
        </w:rPr>
        <w:t xml:space="preserve"> decoder</w:t>
      </w:r>
      <w:r>
        <w:rPr>
          <w:lang w:eastAsia="zh-CN"/>
        </w:rPr>
        <w:t xml:space="preserve"> to SNR estimation errors</w:t>
      </w:r>
    </w:p>
    <w:p w14:paraId="407008CC" w14:textId="51FEACE7" w:rsidR="008F39AA" w:rsidRDefault="00675474" w:rsidP="00EE0A78">
      <w:pPr>
        <w:jc w:val="both"/>
        <w:rPr>
          <w:lang w:val="en-GB" w:eastAsia="zh-CN"/>
        </w:rPr>
      </w:pPr>
      <w:r>
        <w:rPr>
          <w:lang w:val="en-GB" w:eastAsia="zh-CN"/>
        </w:rPr>
        <w:t>In this experiment we assume</w:t>
      </w:r>
      <w:r w:rsidR="00FD23EF">
        <w:rPr>
          <w:lang w:val="en-GB" w:eastAsia="zh-CN"/>
        </w:rPr>
        <w:t xml:space="preserve"> QPSK transmission </w:t>
      </w:r>
      <w:r w:rsidR="00EE0A78">
        <w:rPr>
          <w:lang w:val="en-GB" w:eastAsia="zh-CN"/>
        </w:rPr>
        <w:t>over</w:t>
      </w:r>
      <w:r w:rsidR="00FD23EF">
        <w:rPr>
          <w:lang w:val="en-GB" w:eastAsia="zh-CN"/>
        </w:rPr>
        <w:t xml:space="preserve"> </w:t>
      </w:r>
      <w:r>
        <w:rPr>
          <w:lang w:val="en-GB" w:eastAsia="zh-CN"/>
        </w:rPr>
        <w:t>flat fading</w:t>
      </w:r>
      <w:r w:rsidR="00FD23EF">
        <w:rPr>
          <w:lang w:val="en-GB" w:eastAsia="zh-CN"/>
        </w:rPr>
        <w:t xml:space="preserve"> channel</w:t>
      </w:r>
      <w:r w:rsidR="00EE0A78">
        <w:rPr>
          <w:lang w:val="en-GB" w:eastAsia="zh-CN"/>
        </w:rPr>
        <w:t xml:space="preserve"> using rate ½ code at K = 1000</w:t>
      </w:r>
      <w:r w:rsidR="00FD23EF">
        <w:rPr>
          <w:lang w:val="en-GB" w:eastAsia="zh-CN"/>
        </w:rPr>
        <w:t>. The</w:t>
      </w:r>
      <w:r>
        <w:rPr>
          <w:lang w:val="en-GB" w:eastAsia="zh-CN"/>
        </w:rPr>
        <w:t xml:space="preserve"> additive noise has estimation errors. </w:t>
      </w:r>
      <w:r w:rsidR="00FD23EF">
        <w:rPr>
          <w:lang w:val="en-GB" w:eastAsia="zh-CN"/>
        </w:rPr>
        <w:t xml:space="preserve">Without loss of generality assume that the channel gain is 1 and let </w:t>
      </w:r>
      <m:oMath>
        <m:sSubSup>
          <m:sSubSupPr>
            <m:ctrlPr>
              <w:rPr>
                <w:rFonts w:ascii="Cambria Math" w:hAnsi="Cambria Math"/>
                <w:i/>
                <w:lang w:val="en-GB" w:eastAsia="zh-CN"/>
              </w:rPr>
            </m:ctrlPr>
          </m:sSubSupPr>
          <m:e>
            <m:r>
              <w:rPr>
                <w:rFonts w:ascii="Cambria Math" w:hAnsi="Cambria Math"/>
                <w:lang w:val="en-GB" w:eastAsia="zh-CN"/>
              </w:rPr>
              <m:t>σ</m:t>
            </m:r>
          </m:e>
          <m:sub>
            <m:r>
              <w:rPr>
                <w:rFonts w:ascii="Cambria Math" w:hAnsi="Cambria Math"/>
                <w:lang w:val="en-GB" w:eastAsia="zh-CN"/>
              </w:rPr>
              <m:t>est</m:t>
            </m:r>
          </m:sub>
          <m:sup>
            <m:r>
              <w:rPr>
                <w:rFonts w:ascii="Cambria Math" w:hAnsi="Cambria Math"/>
                <w:lang w:val="en-GB" w:eastAsia="zh-CN"/>
              </w:rPr>
              <m:t>2</m:t>
            </m:r>
          </m:sup>
        </m:sSubSup>
      </m:oMath>
      <w:r w:rsidR="00FD23EF">
        <w:rPr>
          <w:lang w:val="en-GB" w:eastAsia="zh-CN"/>
        </w:rPr>
        <w:t xml:space="preserve"> be the estimated additive noise. </w:t>
      </w:r>
      <w:r w:rsidR="00EE0A78">
        <w:rPr>
          <w:lang w:val="en-GB" w:eastAsia="zh-CN"/>
        </w:rPr>
        <w:t xml:space="preserve">The operating </w:t>
      </w:r>
      <m:oMath>
        <m:sSubSup>
          <m:sSubSupPr>
            <m:ctrlPr>
              <w:rPr>
                <w:rFonts w:ascii="Cambria Math" w:hAnsi="Cambria Math"/>
                <w:i/>
                <w:lang w:val="en-GB" w:eastAsia="zh-CN"/>
              </w:rPr>
            </m:ctrlPr>
          </m:sSubSupPr>
          <m:e>
            <m:r>
              <w:rPr>
                <w:rFonts w:ascii="Cambria Math" w:hAnsi="Cambria Math"/>
                <w:lang w:val="en-GB" w:eastAsia="zh-CN"/>
              </w:rPr>
              <m:t>σ</m:t>
            </m:r>
          </m:e>
          <m:sub>
            <m:r>
              <w:rPr>
                <w:rFonts w:ascii="Cambria Math" w:hAnsi="Cambria Math"/>
                <w:lang w:val="en-GB" w:eastAsia="zh-CN"/>
              </w:rPr>
              <m:t>t</m:t>
            </m:r>
          </m:sub>
          <m:sup>
            <m:r>
              <w:rPr>
                <w:rFonts w:ascii="Cambria Math" w:hAnsi="Cambria Math"/>
                <w:lang w:val="en-GB" w:eastAsia="zh-CN"/>
              </w:rPr>
              <m:t>2</m:t>
            </m:r>
          </m:sup>
        </m:sSubSup>
      </m:oMath>
      <w:r w:rsidR="00EE0A78">
        <w:rPr>
          <w:lang w:val="en-GB" w:eastAsia="zh-CN"/>
        </w:rPr>
        <w:t xml:space="preserve"> is taken to be in the middle of the waterfall region. For the code under consideration, this is at ~ 1.4 dB. If the actual additive noise is </w:t>
      </w:r>
      <m:oMath>
        <m:sSup>
          <m:sSupPr>
            <m:ctrlPr>
              <w:rPr>
                <w:rFonts w:ascii="Cambria Math" w:hAnsi="Cambria Math"/>
                <w:i/>
                <w:lang w:val="en-GB" w:eastAsia="zh-CN"/>
              </w:rPr>
            </m:ctrlPr>
          </m:sSupPr>
          <m:e>
            <m:r>
              <w:rPr>
                <w:rFonts w:ascii="Cambria Math" w:hAnsi="Cambria Math"/>
                <w:lang w:val="en-GB" w:eastAsia="zh-CN"/>
              </w:rPr>
              <m:t>σ</m:t>
            </m:r>
          </m:e>
          <m:sup>
            <m:r>
              <w:rPr>
                <w:rFonts w:ascii="Cambria Math" w:hAnsi="Cambria Math"/>
                <w:lang w:val="en-GB" w:eastAsia="zh-CN"/>
              </w:rPr>
              <m:t>2</m:t>
            </m:r>
          </m:sup>
        </m:sSup>
      </m:oMath>
      <w:r w:rsidR="00EE0A78">
        <w:rPr>
          <w:lang w:val="en-GB" w:eastAsia="zh-CN"/>
        </w:rPr>
        <w:t xml:space="preserve">, then the SNR estimation error is given by (in dB) </w:t>
      </w:r>
      <m:oMath>
        <m:r>
          <w:rPr>
            <w:rFonts w:ascii="Cambria Math" w:hAnsi="Cambria Math"/>
            <w:lang w:val="en-GB" w:eastAsia="zh-CN"/>
          </w:rPr>
          <m:t>10</m:t>
        </m:r>
        <m:func>
          <m:funcPr>
            <m:ctrlPr>
              <w:rPr>
                <w:rFonts w:ascii="Cambria Math" w:hAnsi="Cambria Math"/>
                <w:i/>
                <w:lang w:val="en-GB" w:eastAsia="zh-CN"/>
              </w:rPr>
            </m:ctrlPr>
          </m:funcPr>
          <m:fName>
            <m:sSub>
              <m:sSubPr>
                <m:ctrlPr>
                  <w:rPr>
                    <w:rFonts w:ascii="Cambria Math" w:hAnsi="Cambria Math"/>
                    <w:i/>
                    <w:lang w:val="en-GB" w:eastAsia="zh-CN"/>
                  </w:rPr>
                </m:ctrlPr>
              </m:sSubPr>
              <m:e>
                <m:r>
                  <m:rPr>
                    <m:sty m:val="p"/>
                  </m:rPr>
                  <w:rPr>
                    <w:rFonts w:ascii="Cambria Math" w:hAnsi="Cambria Math"/>
                    <w:lang w:val="en-GB" w:eastAsia="zh-CN"/>
                  </w:rPr>
                  <m:t>log</m:t>
                </m:r>
                <m:ctrlPr>
                  <w:rPr>
                    <w:rFonts w:ascii="Cambria Math" w:hAnsi="Cambria Math"/>
                    <w:lang w:val="en-GB" w:eastAsia="zh-CN"/>
                  </w:rPr>
                </m:ctrlPr>
              </m:e>
              <m:sub>
                <m:r>
                  <w:rPr>
                    <w:rFonts w:ascii="Cambria Math" w:hAnsi="Cambria Math"/>
                    <w:lang w:val="en-GB" w:eastAsia="zh-CN"/>
                  </w:rPr>
                  <m:t>10</m:t>
                </m:r>
                <m:ctrlPr>
                  <w:rPr>
                    <w:rFonts w:ascii="Cambria Math" w:hAnsi="Cambria Math"/>
                    <w:lang w:val="en-GB" w:eastAsia="zh-CN"/>
                  </w:rPr>
                </m:ctrlPr>
              </m:sub>
            </m:sSub>
          </m:fName>
          <m:e>
            <m:f>
              <m:fPr>
                <m:ctrlPr>
                  <w:rPr>
                    <w:rFonts w:ascii="Cambria Math" w:hAnsi="Cambria Math"/>
                    <w:i/>
                    <w:lang w:val="en-GB" w:eastAsia="zh-CN"/>
                  </w:rPr>
                </m:ctrlPr>
              </m:fPr>
              <m:num>
                <m:sSup>
                  <m:sSupPr>
                    <m:ctrlPr>
                      <w:rPr>
                        <w:rFonts w:ascii="Cambria Math" w:hAnsi="Cambria Math"/>
                        <w:i/>
                        <w:lang w:val="en-GB" w:eastAsia="zh-CN"/>
                      </w:rPr>
                    </m:ctrlPr>
                  </m:sSupPr>
                  <m:e>
                    <m:r>
                      <w:rPr>
                        <w:rFonts w:ascii="Cambria Math" w:hAnsi="Cambria Math"/>
                        <w:lang w:val="en-GB" w:eastAsia="zh-CN"/>
                      </w:rPr>
                      <m:t>σ</m:t>
                    </m:r>
                  </m:e>
                  <m:sup>
                    <m:r>
                      <w:rPr>
                        <w:rFonts w:ascii="Cambria Math" w:hAnsi="Cambria Math"/>
                        <w:lang w:val="en-GB" w:eastAsia="zh-CN"/>
                      </w:rPr>
                      <m:t>2</m:t>
                    </m:r>
                  </m:sup>
                </m:sSup>
              </m:num>
              <m:den>
                <m:sSubSup>
                  <m:sSubSupPr>
                    <m:ctrlPr>
                      <w:rPr>
                        <w:rFonts w:ascii="Cambria Math" w:hAnsi="Cambria Math"/>
                        <w:i/>
                        <w:lang w:val="en-GB" w:eastAsia="zh-CN"/>
                      </w:rPr>
                    </m:ctrlPr>
                  </m:sSubSupPr>
                  <m:e>
                    <m:r>
                      <w:rPr>
                        <w:rFonts w:ascii="Cambria Math" w:hAnsi="Cambria Math"/>
                        <w:lang w:val="en-GB" w:eastAsia="zh-CN"/>
                      </w:rPr>
                      <m:t>σ</m:t>
                    </m:r>
                  </m:e>
                  <m:sub>
                    <m:r>
                      <w:rPr>
                        <w:rFonts w:ascii="Cambria Math" w:hAnsi="Cambria Math"/>
                        <w:lang w:val="en-GB" w:eastAsia="zh-CN"/>
                      </w:rPr>
                      <m:t>est</m:t>
                    </m:r>
                  </m:sub>
                  <m:sup>
                    <m:r>
                      <w:rPr>
                        <w:rFonts w:ascii="Cambria Math" w:hAnsi="Cambria Math"/>
                        <w:lang w:val="en-GB" w:eastAsia="zh-CN"/>
                      </w:rPr>
                      <m:t>2</m:t>
                    </m:r>
                  </m:sup>
                </m:sSubSup>
              </m:den>
            </m:f>
          </m:e>
        </m:func>
      </m:oMath>
      <w:r w:rsidR="00EE0A78">
        <w:rPr>
          <w:lang w:val="en-GB" w:eastAsia="zh-CN"/>
        </w:rPr>
        <w:t xml:space="preserve">.  If we knew the actual additive noise, then the </w:t>
      </w:r>
      <w:r w:rsidR="006F17B9">
        <w:rPr>
          <w:lang w:val="en-GB" w:eastAsia="zh-CN"/>
        </w:rPr>
        <w:t xml:space="preserve">correct LLR scale </w:t>
      </w:r>
      <w:r w:rsidR="00EE0A78">
        <w:rPr>
          <w:lang w:val="en-GB" w:eastAsia="zh-CN"/>
        </w:rPr>
        <w:t xml:space="preserve">factor </w:t>
      </w:r>
      <w:r w:rsidR="006F17B9">
        <w:rPr>
          <w:lang w:val="en-GB" w:eastAsia="zh-CN"/>
        </w:rPr>
        <w:t>for the received soft values is</w:t>
      </w:r>
      <w:r w:rsidR="00EE0A78">
        <w:rPr>
          <w:lang w:val="en-GB" w:eastAsia="zh-CN"/>
        </w:rPr>
        <w:t xml:space="preserve"> </w:t>
      </w:r>
      <m:oMath>
        <m:f>
          <m:fPr>
            <m:ctrlPr>
              <w:rPr>
                <w:rFonts w:ascii="Cambria Math" w:hAnsi="Cambria Math"/>
                <w:i/>
                <w:lang w:val="en-GB" w:eastAsia="zh-CN"/>
              </w:rPr>
            </m:ctrlPr>
          </m:fPr>
          <m:num>
            <m:r>
              <w:rPr>
                <w:rFonts w:ascii="Cambria Math" w:hAnsi="Cambria Math"/>
                <w:lang w:val="en-GB" w:eastAsia="zh-CN"/>
              </w:rPr>
              <m:t>2</m:t>
            </m:r>
          </m:num>
          <m:den>
            <m:sSup>
              <m:sSupPr>
                <m:ctrlPr>
                  <w:rPr>
                    <w:rFonts w:ascii="Cambria Math" w:hAnsi="Cambria Math"/>
                    <w:i/>
                    <w:lang w:val="en-GB" w:eastAsia="zh-CN"/>
                  </w:rPr>
                </m:ctrlPr>
              </m:sSupPr>
              <m:e>
                <m:r>
                  <w:rPr>
                    <w:rFonts w:ascii="Cambria Math" w:hAnsi="Cambria Math"/>
                    <w:lang w:val="en-GB" w:eastAsia="zh-CN"/>
                  </w:rPr>
                  <m:t>σ</m:t>
                </m:r>
              </m:e>
              <m:sup>
                <m:r>
                  <w:rPr>
                    <w:rFonts w:ascii="Cambria Math" w:hAnsi="Cambria Math"/>
                    <w:lang w:val="en-GB" w:eastAsia="zh-CN"/>
                  </w:rPr>
                  <m:t>2</m:t>
                </m:r>
              </m:sup>
            </m:sSup>
          </m:den>
        </m:f>
      </m:oMath>
      <w:r w:rsidR="00EE0A78">
        <w:rPr>
          <w:lang w:val="en-GB" w:eastAsia="zh-CN"/>
        </w:rPr>
        <w:t xml:space="preserve">. However, we </w:t>
      </w:r>
      <w:r w:rsidR="006F17B9">
        <w:rPr>
          <w:lang w:val="en-GB" w:eastAsia="zh-CN"/>
        </w:rPr>
        <w:t xml:space="preserve">assume </w:t>
      </w:r>
      <w:r w:rsidR="00EE0A78">
        <w:rPr>
          <w:lang w:val="en-GB" w:eastAsia="zh-CN"/>
        </w:rPr>
        <w:t xml:space="preserve">only the estimate </w:t>
      </w:r>
      <m:oMath>
        <m:sSubSup>
          <m:sSubSupPr>
            <m:ctrlPr>
              <w:rPr>
                <w:rFonts w:ascii="Cambria Math" w:hAnsi="Cambria Math"/>
                <w:i/>
                <w:lang w:val="en-GB" w:eastAsia="zh-CN"/>
              </w:rPr>
            </m:ctrlPr>
          </m:sSubSupPr>
          <m:e>
            <m:r>
              <w:rPr>
                <w:rFonts w:ascii="Cambria Math" w:hAnsi="Cambria Math"/>
                <w:lang w:val="en-GB" w:eastAsia="zh-CN"/>
              </w:rPr>
              <m:t>σ</m:t>
            </m:r>
          </m:e>
          <m:sub>
            <m:r>
              <w:rPr>
                <w:rFonts w:ascii="Cambria Math" w:hAnsi="Cambria Math"/>
                <w:lang w:val="en-GB" w:eastAsia="zh-CN"/>
              </w:rPr>
              <m:t>est</m:t>
            </m:r>
          </m:sub>
          <m:sup>
            <m:r>
              <w:rPr>
                <w:rFonts w:ascii="Cambria Math" w:hAnsi="Cambria Math"/>
                <w:lang w:val="en-GB" w:eastAsia="zh-CN"/>
              </w:rPr>
              <m:t>2</m:t>
            </m:r>
          </m:sup>
        </m:sSubSup>
      </m:oMath>
      <w:r w:rsidR="00EE0A78">
        <w:rPr>
          <w:lang w:val="en-GB" w:eastAsia="zh-CN"/>
        </w:rPr>
        <w:t xml:space="preserve"> and the target </w:t>
      </w:r>
      <m:oMath>
        <m:sSubSup>
          <m:sSubSupPr>
            <m:ctrlPr>
              <w:rPr>
                <w:rFonts w:ascii="Cambria Math" w:hAnsi="Cambria Math"/>
                <w:i/>
                <w:lang w:val="en-GB" w:eastAsia="zh-CN"/>
              </w:rPr>
            </m:ctrlPr>
          </m:sSubSupPr>
          <m:e>
            <m:r>
              <w:rPr>
                <w:rFonts w:ascii="Cambria Math" w:hAnsi="Cambria Math"/>
                <w:lang w:val="en-GB" w:eastAsia="zh-CN"/>
              </w:rPr>
              <m:t>σ</m:t>
            </m:r>
          </m:e>
          <m:sub>
            <m:r>
              <w:rPr>
                <w:rFonts w:ascii="Cambria Math" w:hAnsi="Cambria Math"/>
                <w:lang w:val="en-GB" w:eastAsia="zh-CN"/>
              </w:rPr>
              <m:t>t</m:t>
            </m:r>
          </m:sub>
          <m:sup>
            <m:r>
              <w:rPr>
                <w:rFonts w:ascii="Cambria Math" w:hAnsi="Cambria Math"/>
                <w:lang w:val="en-GB" w:eastAsia="zh-CN"/>
              </w:rPr>
              <m:t>2</m:t>
            </m:r>
          </m:sup>
        </m:sSubSup>
        <m:r>
          <w:rPr>
            <w:rFonts w:ascii="Cambria Math" w:hAnsi="Cambria Math"/>
            <w:lang w:val="en-GB" w:eastAsia="zh-CN"/>
          </w:rPr>
          <m:t>.</m:t>
        </m:r>
      </m:oMath>
      <w:r w:rsidR="00EE0A78">
        <w:rPr>
          <w:lang w:val="en-GB" w:eastAsia="zh-CN"/>
        </w:rPr>
        <w:t xml:space="preserve"> Applying the principle of scaling mentioned in the previous section, we form the scaling factor </w:t>
      </w:r>
      <w:r w:rsidR="006F17B9">
        <w:rPr>
          <w:lang w:val="en-GB" w:eastAsia="zh-CN"/>
        </w:rPr>
        <w:t xml:space="preserve">by constructing for </w:t>
      </w:r>
      <m:oMath>
        <m:sSup>
          <m:sSupPr>
            <m:ctrlPr>
              <w:rPr>
                <w:rFonts w:ascii="Cambria Math" w:hAnsi="Cambria Math"/>
                <w:i/>
                <w:lang w:val="en-GB" w:eastAsia="zh-CN"/>
              </w:rPr>
            </m:ctrlPr>
          </m:sSupPr>
          <m:e>
            <m:r>
              <w:rPr>
                <w:rFonts w:ascii="Cambria Math" w:hAnsi="Cambria Math"/>
                <w:lang w:val="en-GB" w:eastAsia="zh-CN"/>
              </w:rPr>
              <m:t>σ</m:t>
            </m:r>
          </m:e>
          <m:sup>
            <m:r>
              <w:rPr>
                <w:rFonts w:ascii="Cambria Math" w:hAnsi="Cambria Math"/>
                <w:lang w:val="en-GB" w:eastAsia="zh-CN"/>
              </w:rPr>
              <m:t>2</m:t>
            </m:r>
          </m:sup>
        </m:sSup>
      </m:oMath>
      <w:r w:rsidR="006F17B9">
        <w:rPr>
          <w:lang w:val="en-GB" w:eastAsia="zh-CN"/>
        </w:rPr>
        <w:t xml:space="preserve"> a substitute </w:t>
      </w:r>
      <m:oMath>
        <m:acc>
          <m:accPr>
            <m:ctrlPr>
              <w:rPr>
                <w:rFonts w:ascii="Cambria Math" w:hAnsi="Cambria Math"/>
                <w:i/>
                <w:lang w:val="en-GB" w:eastAsia="zh-CN"/>
              </w:rPr>
            </m:ctrlPr>
          </m:accPr>
          <m:e>
            <m:sSup>
              <m:sSupPr>
                <m:ctrlPr>
                  <w:rPr>
                    <w:rFonts w:ascii="Cambria Math" w:hAnsi="Cambria Math"/>
                    <w:i/>
                    <w:lang w:val="en-GB" w:eastAsia="zh-CN"/>
                  </w:rPr>
                </m:ctrlPr>
              </m:sSupPr>
              <m:e>
                <m:r>
                  <w:rPr>
                    <w:rFonts w:ascii="Cambria Math" w:hAnsi="Cambria Math"/>
                    <w:lang w:val="en-GB" w:eastAsia="zh-CN"/>
                  </w:rPr>
                  <m:t>σ</m:t>
                </m:r>
              </m:e>
              <m:sup>
                <m:r>
                  <w:rPr>
                    <w:rFonts w:ascii="Cambria Math" w:hAnsi="Cambria Math"/>
                    <w:lang w:val="en-GB" w:eastAsia="zh-CN"/>
                  </w:rPr>
                  <m:t>2</m:t>
                </m:r>
              </m:sup>
            </m:sSup>
          </m:e>
        </m:acc>
      </m:oMath>
      <w:r w:rsidR="00CD1D0D">
        <w:rPr>
          <w:lang w:val="en-GB" w:eastAsia="zh-CN"/>
        </w:rPr>
        <w:t xml:space="preserve"> determined by</w:t>
      </w:r>
      <w:r w:rsidR="00EE0A78">
        <w:rPr>
          <w:lang w:val="en-GB" w:eastAsia="zh-CN"/>
        </w:rPr>
        <w:t xml:space="preserve">  </w:t>
      </w:r>
      <m:oMath>
        <m:func>
          <m:funcPr>
            <m:ctrlPr>
              <w:rPr>
                <w:rFonts w:ascii="Cambria Math" w:hAnsi="Cambria Math"/>
                <w:i/>
                <w:lang w:val="en-GB" w:eastAsia="zh-CN"/>
              </w:rPr>
            </m:ctrlPr>
          </m:funcPr>
          <m:fName>
            <m:r>
              <m:rPr>
                <m:sty m:val="p"/>
              </m:rPr>
              <w:rPr>
                <w:rFonts w:ascii="Cambria Math" w:hAnsi="Cambria Math"/>
                <w:lang w:val="en-GB" w:eastAsia="zh-CN"/>
              </w:rPr>
              <m:t>log</m:t>
            </m:r>
          </m:fName>
          <m:e>
            <m:acc>
              <m:accPr>
                <m:ctrlPr>
                  <w:rPr>
                    <w:rFonts w:ascii="Cambria Math" w:hAnsi="Cambria Math"/>
                    <w:i/>
                    <w:lang w:val="en-GB" w:eastAsia="zh-CN"/>
                  </w:rPr>
                </m:ctrlPr>
              </m:accPr>
              <m:e>
                <m:sSup>
                  <m:sSupPr>
                    <m:ctrlPr>
                      <w:rPr>
                        <w:rFonts w:ascii="Cambria Math" w:hAnsi="Cambria Math"/>
                        <w:i/>
                        <w:lang w:val="en-GB" w:eastAsia="zh-CN"/>
                      </w:rPr>
                    </m:ctrlPr>
                  </m:sSupPr>
                  <m:e>
                    <m:r>
                      <w:rPr>
                        <w:rFonts w:ascii="Cambria Math" w:hAnsi="Cambria Math"/>
                        <w:lang w:val="en-GB" w:eastAsia="zh-CN"/>
                      </w:rPr>
                      <m:t>σ</m:t>
                    </m:r>
                  </m:e>
                  <m:sup>
                    <m:r>
                      <w:rPr>
                        <w:rFonts w:ascii="Cambria Math" w:hAnsi="Cambria Math"/>
                        <w:lang w:val="en-GB" w:eastAsia="zh-CN"/>
                      </w:rPr>
                      <m:t>2</m:t>
                    </m:r>
                  </m:sup>
                </m:sSup>
              </m:e>
            </m:acc>
          </m:e>
        </m:func>
        <m:r>
          <w:rPr>
            <w:rFonts w:ascii="Cambria Math" w:hAnsi="Cambria Math"/>
            <w:lang w:val="en-GB" w:eastAsia="zh-CN"/>
          </w:rPr>
          <m:t>=ϵ</m:t>
        </m:r>
        <m:func>
          <m:funcPr>
            <m:ctrlPr>
              <w:rPr>
                <w:rFonts w:ascii="Cambria Math" w:hAnsi="Cambria Math"/>
                <w:i/>
                <w:lang w:val="en-GB" w:eastAsia="zh-CN"/>
              </w:rPr>
            </m:ctrlPr>
          </m:funcPr>
          <m:fName>
            <m:r>
              <m:rPr>
                <m:sty m:val="p"/>
              </m:rPr>
              <w:rPr>
                <w:rFonts w:ascii="Cambria Math" w:hAnsi="Cambria Math"/>
                <w:lang w:val="en-GB" w:eastAsia="zh-CN"/>
              </w:rPr>
              <m:t>log</m:t>
            </m:r>
          </m:fName>
          <m:e>
            <m:sSubSup>
              <m:sSubSupPr>
                <m:ctrlPr>
                  <w:rPr>
                    <w:rFonts w:ascii="Cambria Math" w:hAnsi="Cambria Math"/>
                    <w:i/>
                    <w:lang w:val="en-GB" w:eastAsia="zh-CN"/>
                  </w:rPr>
                </m:ctrlPr>
              </m:sSubSupPr>
              <m:e>
                <m:r>
                  <w:rPr>
                    <w:rFonts w:ascii="Cambria Math" w:hAnsi="Cambria Math"/>
                    <w:lang w:val="en-GB" w:eastAsia="zh-CN"/>
                  </w:rPr>
                  <m:t>σ</m:t>
                </m:r>
              </m:e>
              <m:sub>
                <m:r>
                  <w:rPr>
                    <w:rFonts w:ascii="Cambria Math" w:hAnsi="Cambria Math"/>
                    <w:lang w:val="en-GB" w:eastAsia="zh-CN"/>
                  </w:rPr>
                  <m:t>est</m:t>
                </m:r>
              </m:sub>
              <m:sup>
                <m:r>
                  <w:rPr>
                    <w:rFonts w:ascii="Cambria Math" w:hAnsi="Cambria Math"/>
                    <w:lang w:val="en-GB" w:eastAsia="zh-CN"/>
                  </w:rPr>
                  <m:t>2</m:t>
                </m:r>
              </m:sup>
            </m:sSubSup>
          </m:e>
        </m:func>
        <m:r>
          <w:rPr>
            <w:rFonts w:ascii="Cambria Math" w:hAnsi="Cambria Math"/>
            <w:lang w:val="en-GB" w:eastAsia="zh-CN"/>
          </w:rPr>
          <m:t>+</m:t>
        </m:r>
        <m:d>
          <m:dPr>
            <m:ctrlPr>
              <w:rPr>
                <w:rFonts w:ascii="Cambria Math" w:hAnsi="Cambria Math"/>
                <w:i/>
                <w:lang w:val="en-GB" w:eastAsia="zh-CN"/>
              </w:rPr>
            </m:ctrlPr>
          </m:dPr>
          <m:e>
            <m:r>
              <w:rPr>
                <w:rFonts w:ascii="Cambria Math" w:hAnsi="Cambria Math"/>
                <w:lang w:val="en-GB" w:eastAsia="zh-CN"/>
              </w:rPr>
              <m:t>1-ϵ</m:t>
            </m:r>
          </m:e>
        </m:d>
        <m:r>
          <m:rPr>
            <m:sty m:val="p"/>
          </m:rPr>
          <w:rPr>
            <w:rFonts w:ascii="Cambria Math" w:hAnsi="Cambria Math"/>
            <w:lang w:val="en-GB" w:eastAsia="zh-CN"/>
          </w:rPr>
          <m:t>log⁡</m:t>
        </m:r>
        <m:sSubSup>
          <m:sSubSupPr>
            <m:ctrlPr>
              <w:rPr>
                <w:rFonts w:ascii="Cambria Math" w:hAnsi="Cambria Math"/>
                <w:i/>
                <w:lang w:val="en-GB" w:eastAsia="zh-CN"/>
              </w:rPr>
            </m:ctrlPr>
          </m:sSubSupPr>
          <m:e>
            <m:r>
              <w:rPr>
                <w:rFonts w:ascii="Cambria Math" w:hAnsi="Cambria Math"/>
                <w:lang w:val="en-GB" w:eastAsia="zh-CN"/>
              </w:rPr>
              <m:t>σ</m:t>
            </m:r>
            <m:ctrlPr>
              <w:rPr>
                <w:rFonts w:ascii="Cambria Math" w:hAnsi="Cambria Math"/>
                <w:lang w:val="en-GB" w:eastAsia="zh-CN"/>
              </w:rPr>
            </m:ctrlPr>
          </m:e>
          <m:sub>
            <m:r>
              <w:rPr>
                <w:rFonts w:ascii="Cambria Math" w:hAnsi="Cambria Math"/>
                <w:lang w:val="en-GB" w:eastAsia="zh-CN"/>
              </w:rPr>
              <m:t>t</m:t>
            </m:r>
          </m:sub>
          <m:sup>
            <m:r>
              <w:rPr>
                <w:rFonts w:ascii="Cambria Math" w:hAnsi="Cambria Math"/>
                <w:lang w:val="en-GB" w:eastAsia="zh-CN"/>
              </w:rPr>
              <m:t>2</m:t>
            </m:r>
          </m:sup>
        </m:sSubSup>
      </m:oMath>
      <w:r w:rsidR="00EE0A78">
        <w:rPr>
          <w:lang w:val="en-GB" w:eastAsia="zh-CN"/>
        </w:rPr>
        <w:t xml:space="preserve"> for some small value of </w:t>
      </w:r>
      <m:oMath>
        <m:r>
          <w:rPr>
            <w:rFonts w:ascii="Cambria Math" w:hAnsi="Cambria Math"/>
            <w:lang w:val="en-GB" w:eastAsia="zh-CN"/>
          </w:rPr>
          <m:t>ϵ</m:t>
        </m:r>
      </m:oMath>
      <w:r w:rsidR="00EE0A78">
        <w:rPr>
          <w:lang w:val="en-GB" w:eastAsia="zh-CN"/>
        </w:rPr>
        <w:t xml:space="preserve">. </w:t>
      </w:r>
      <w:r w:rsidR="00880E40">
        <w:rPr>
          <w:lang w:val="en-GB" w:eastAsia="zh-CN"/>
        </w:rPr>
        <w:t xml:space="preserve">For </w:t>
      </w:r>
      <m:oMath>
        <m:r>
          <w:rPr>
            <w:rFonts w:ascii="Cambria Math" w:hAnsi="Cambria Math"/>
            <w:lang w:val="en-GB" w:eastAsia="zh-CN"/>
          </w:rPr>
          <m:t>ϵ=1</m:t>
        </m:r>
      </m:oMath>
      <w:r w:rsidR="00880E40">
        <w:rPr>
          <w:lang w:val="en-GB" w:eastAsia="zh-CN"/>
        </w:rPr>
        <w:t xml:space="preserve">, we </w:t>
      </w:r>
      <w:r w:rsidR="00CD1D0D">
        <w:rPr>
          <w:lang w:val="en-GB" w:eastAsia="zh-CN"/>
        </w:rPr>
        <w:t xml:space="preserve">in effect </w:t>
      </w:r>
      <w:r w:rsidR="00880E40">
        <w:rPr>
          <w:lang w:val="en-GB" w:eastAsia="zh-CN"/>
        </w:rPr>
        <w:t xml:space="preserve">rely </w:t>
      </w:r>
      <w:r w:rsidR="00CD1D0D">
        <w:rPr>
          <w:lang w:val="en-GB" w:eastAsia="zh-CN"/>
        </w:rPr>
        <w:t xml:space="preserve">solely </w:t>
      </w:r>
      <w:r w:rsidR="00880E40">
        <w:rPr>
          <w:lang w:val="en-GB" w:eastAsia="zh-CN"/>
        </w:rPr>
        <w:t xml:space="preserve">on the noise estimate which could be </w:t>
      </w:r>
      <w:r w:rsidR="00CD1D0D">
        <w:rPr>
          <w:lang w:val="en-GB" w:eastAsia="zh-CN"/>
        </w:rPr>
        <w:t>poor</w:t>
      </w:r>
      <w:r w:rsidR="00880E40">
        <w:rPr>
          <w:lang w:val="en-GB" w:eastAsia="zh-CN"/>
        </w:rPr>
        <w:t xml:space="preserve"> in </w:t>
      </w:r>
      <w:r w:rsidR="00CD1D0D">
        <w:rPr>
          <w:lang w:val="en-GB" w:eastAsia="zh-CN"/>
        </w:rPr>
        <w:t xml:space="preserve">the </w:t>
      </w:r>
      <w:r w:rsidR="00880E40">
        <w:rPr>
          <w:lang w:val="en-GB" w:eastAsia="zh-CN"/>
        </w:rPr>
        <w:t>presence of channel estimation</w:t>
      </w:r>
      <w:r w:rsidR="006C1384">
        <w:rPr>
          <w:lang w:val="en-GB" w:eastAsia="zh-CN"/>
        </w:rPr>
        <w:t xml:space="preserve"> errors for example</w:t>
      </w:r>
      <w:r w:rsidR="00880E40">
        <w:rPr>
          <w:lang w:val="en-GB" w:eastAsia="zh-CN"/>
        </w:rPr>
        <w:t xml:space="preserve">. Below, we </w:t>
      </w:r>
      <w:r w:rsidR="00CD1D0D">
        <w:rPr>
          <w:lang w:val="en-GB" w:eastAsia="zh-CN"/>
        </w:rPr>
        <w:t xml:space="preserve">present </w:t>
      </w:r>
      <w:r w:rsidR="00880E40">
        <w:rPr>
          <w:lang w:val="en-GB" w:eastAsia="zh-CN"/>
        </w:rPr>
        <w:t>performance curve</w:t>
      </w:r>
      <w:r w:rsidR="00CD1D0D">
        <w:rPr>
          <w:lang w:val="en-GB" w:eastAsia="zh-CN"/>
        </w:rPr>
        <w:t>s</w:t>
      </w:r>
      <w:r w:rsidR="00880E40">
        <w:rPr>
          <w:lang w:val="en-GB" w:eastAsia="zh-CN"/>
        </w:rPr>
        <w:t xml:space="preserve"> </w:t>
      </w:r>
      <w:r w:rsidR="00CD1D0D">
        <w:rPr>
          <w:lang w:val="en-GB" w:eastAsia="zh-CN"/>
        </w:rPr>
        <w:t xml:space="preserve">showing the </w:t>
      </w:r>
      <w:r w:rsidR="00880E40">
        <w:rPr>
          <w:lang w:val="en-GB" w:eastAsia="zh-CN"/>
        </w:rPr>
        <w:t xml:space="preserve">robustness of the various decoders for two different values of </w:t>
      </w:r>
      <m:oMath>
        <m:r>
          <w:rPr>
            <w:rFonts w:ascii="Cambria Math" w:hAnsi="Cambria Math"/>
            <w:lang w:val="en-GB" w:eastAsia="zh-CN"/>
          </w:rPr>
          <m:t>ϵ</m:t>
        </m:r>
      </m:oMath>
      <w:r w:rsidR="00880E40">
        <w:rPr>
          <w:lang w:val="en-GB" w:eastAsia="zh-CN"/>
        </w:rPr>
        <w:t xml:space="preserve">, 0 and 0.25. We make several observations. Firstly, if we rely solely on the additive noise estimate </w:t>
      </w:r>
      <m:oMath>
        <m:sSubSup>
          <m:sSubSupPr>
            <m:ctrlPr>
              <w:rPr>
                <w:rFonts w:ascii="Cambria Math" w:hAnsi="Cambria Math"/>
                <w:i/>
                <w:lang w:val="en-GB" w:eastAsia="zh-CN"/>
              </w:rPr>
            </m:ctrlPr>
          </m:sSubSupPr>
          <m:e>
            <m:r>
              <w:rPr>
                <w:rFonts w:ascii="Cambria Math" w:hAnsi="Cambria Math"/>
                <w:lang w:val="en-GB" w:eastAsia="zh-CN"/>
              </w:rPr>
              <m:t>σ</m:t>
            </m:r>
          </m:e>
          <m:sub>
            <m:r>
              <w:rPr>
                <w:rFonts w:ascii="Cambria Math" w:hAnsi="Cambria Math"/>
                <w:lang w:val="en-GB" w:eastAsia="zh-CN"/>
              </w:rPr>
              <m:t>est</m:t>
            </m:r>
          </m:sub>
          <m:sup>
            <m:r>
              <w:rPr>
                <w:rFonts w:ascii="Cambria Math" w:hAnsi="Cambria Math"/>
                <w:lang w:val="en-GB" w:eastAsia="zh-CN"/>
              </w:rPr>
              <m:t>2</m:t>
            </m:r>
          </m:sup>
        </m:sSubSup>
      </m:oMath>
      <w:r w:rsidR="00880E40">
        <w:rPr>
          <w:lang w:val="en-GB" w:eastAsia="zh-CN"/>
        </w:rPr>
        <w:t xml:space="preserve"> to form the scaling factor, then the decoder </w:t>
      </w:r>
      <w:r w:rsidR="00CD1D0D">
        <w:rPr>
          <w:lang w:val="en-GB" w:eastAsia="zh-CN"/>
        </w:rPr>
        <w:t xml:space="preserve">performance degrades </w:t>
      </w:r>
      <w:r w:rsidR="00880E40">
        <w:rPr>
          <w:lang w:val="en-GB" w:eastAsia="zh-CN"/>
        </w:rPr>
        <w:t xml:space="preserve">in face of large SNR estimation errors. For small values of </w:t>
      </w:r>
      <m:oMath>
        <m:r>
          <w:rPr>
            <w:rFonts w:ascii="Cambria Math" w:hAnsi="Cambria Math"/>
            <w:lang w:val="en-GB" w:eastAsia="zh-CN"/>
          </w:rPr>
          <m:t>ϵ</m:t>
        </m:r>
      </m:oMath>
      <w:r w:rsidR="00880E40">
        <w:rPr>
          <w:lang w:val="en-GB" w:eastAsia="zh-CN"/>
        </w:rPr>
        <w:t xml:space="preserve">, all the decoders are robust over a very wide range of SNR estimation error. The blue curves below correspond to the floating point sum-product (SP) algorithm, the grey curve corresponds to the floating point AdjMS and the orange curve corresponds to a fixed-point (hardware implementable) AdjMS decoder. </w:t>
      </w:r>
    </w:p>
    <w:p w14:paraId="1E2BCC2A" w14:textId="77777777" w:rsidR="00880E40" w:rsidRDefault="00880E40" w:rsidP="00EE0A78">
      <w:pPr>
        <w:jc w:val="both"/>
        <w:rPr>
          <w:lang w:val="en-GB" w:eastAsia="zh-CN"/>
        </w:rPr>
      </w:pPr>
    </w:p>
    <w:p w14:paraId="0FBBBB9B" w14:textId="14A391F6" w:rsidR="00880E40" w:rsidRDefault="00880E40" w:rsidP="00880E40">
      <w:pPr>
        <w:jc w:val="center"/>
        <w:rPr>
          <w:lang w:val="en-GB" w:eastAsia="zh-CN"/>
        </w:rPr>
      </w:pPr>
      <w:r w:rsidRPr="00880E40">
        <w:rPr>
          <w:noProof/>
        </w:rPr>
        <w:drawing>
          <wp:inline distT="0" distB="0" distL="0" distR="0" wp14:anchorId="4BE59549" wp14:editId="0C980ADB">
            <wp:extent cx="6839478" cy="406163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843883" cy="4064253"/>
                    </a:xfrm>
                    <a:prstGeom prst="rect">
                      <a:avLst/>
                    </a:prstGeom>
                    <a:noFill/>
                    <a:ln>
                      <a:noFill/>
                    </a:ln>
                  </pic:spPr>
                </pic:pic>
              </a:graphicData>
            </a:graphic>
          </wp:inline>
        </w:drawing>
      </w:r>
    </w:p>
    <w:p w14:paraId="659270AA" w14:textId="6108126D" w:rsidR="00F72200" w:rsidRPr="00F72200" w:rsidRDefault="00F72200" w:rsidP="00FE0CAD">
      <w:pPr>
        <w:rPr>
          <w:lang w:val="en-GB" w:eastAsia="zh-CN"/>
        </w:rPr>
      </w:pPr>
      <w:r w:rsidRPr="00FE0CAD">
        <w:rPr>
          <w:b/>
          <w:u w:val="single"/>
          <w:lang w:val="en-GB" w:eastAsia="zh-CN"/>
        </w:rPr>
        <w:t>Observation 1:</w:t>
      </w:r>
      <w:r>
        <w:rPr>
          <w:lang w:val="en-GB" w:eastAsia="zh-CN"/>
        </w:rPr>
        <w:t xml:space="preserve"> </w:t>
      </w:r>
      <w:r w:rsidR="00BC244B">
        <w:rPr>
          <w:lang w:val="en-GB" w:eastAsia="zh-CN"/>
        </w:rPr>
        <w:t>A simple</w:t>
      </w:r>
      <w:r w:rsidRPr="00F72200">
        <w:rPr>
          <w:lang w:val="en-GB" w:eastAsia="zh-CN"/>
        </w:rPr>
        <w:t xml:space="preserve"> pre-processing step of the received LLRs can make the AdjMS decoder insensitive to LLR scaling by unknown factors such as channel estimation errors, AGC gain etc. </w:t>
      </w:r>
    </w:p>
    <w:p w14:paraId="3CEC1D78" w14:textId="77777777" w:rsidR="00F72200" w:rsidRDefault="00F72200" w:rsidP="00EE0A78">
      <w:pPr>
        <w:jc w:val="both"/>
        <w:rPr>
          <w:lang w:val="en-GB" w:eastAsia="zh-CN"/>
        </w:rPr>
      </w:pPr>
    </w:p>
    <w:p w14:paraId="2EB9DEF1" w14:textId="706D3A67" w:rsidR="00C478A5" w:rsidRDefault="00C62379" w:rsidP="00EE0A78">
      <w:pPr>
        <w:jc w:val="both"/>
        <w:rPr>
          <w:lang w:val="en-GB" w:eastAsia="zh-CN"/>
        </w:rPr>
      </w:pPr>
      <w:r>
        <w:rPr>
          <w:lang w:val="en-GB" w:eastAsia="zh-CN"/>
        </w:rPr>
        <w:t xml:space="preserve">Note that if the SNR estimate was correct, then the scaling would actually deviate from the ideal scaling of </w:t>
      </w:r>
      <m:oMath>
        <m:f>
          <m:fPr>
            <m:ctrlPr>
              <w:rPr>
                <w:rFonts w:ascii="Cambria Math" w:hAnsi="Cambria Math"/>
                <w:i/>
                <w:lang w:val="en-GB" w:eastAsia="zh-CN"/>
              </w:rPr>
            </m:ctrlPr>
          </m:fPr>
          <m:num>
            <m:r>
              <w:rPr>
                <w:rFonts w:ascii="Cambria Math" w:hAnsi="Cambria Math"/>
                <w:lang w:val="en-GB" w:eastAsia="zh-CN"/>
              </w:rPr>
              <m:t>2</m:t>
            </m:r>
          </m:num>
          <m:den>
            <m:sSup>
              <m:sSupPr>
                <m:ctrlPr>
                  <w:rPr>
                    <w:rFonts w:ascii="Cambria Math" w:hAnsi="Cambria Math"/>
                    <w:i/>
                    <w:lang w:val="en-GB" w:eastAsia="zh-CN"/>
                  </w:rPr>
                </m:ctrlPr>
              </m:sSupPr>
              <m:e>
                <m:r>
                  <w:rPr>
                    <w:rFonts w:ascii="Cambria Math" w:hAnsi="Cambria Math"/>
                    <w:lang w:val="en-GB" w:eastAsia="zh-CN"/>
                  </w:rPr>
                  <m:t>σ</m:t>
                </m:r>
              </m:e>
              <m:sup>
                <m:r>
                  <w:rPr>
                    <w:rFonts w:ascii="Cambria Math" w:hAnsi="Cambria Math"/>
                    <w:lang w:val="en-GB" w:eastAsia="zh-CN"/>
                  </w:rPr>
                  <m:t>2</m:t>
                </m:r>
              </m:sup>
            </m:sSup>
          </m:den>
        </m:f>
      </m:oMath>
      <w:r>
        <w:rPr>
          <w:lang w:val="en-GB" w:eastAsia="zh-CN"/>
        </w:rPr>
        <w:t xml:space="preserve">. However, the next plot shows that the effect is negligible loss in performance across all the decoders. </w:t>
      </w:r>
    </w:p>
    <w:p w14:paraId="49B27829" w14:textId="4E9E6E27" w:rsidR="00516233" w:rsidRDefault="00516233" w:rsidP="00EE0A78">
      <w:pPr>
        <w:jc w:val="both"/>
        <w:rPr>
          <w:lang w:val="en-GB" w:eastAsia="zh-CN"/>
        </w:rPr>
      </w:pPr>
      <w:r w:rsidRPr="00516233">
        <w:rPr>
          <w:noProof/>
        </w:rPr>
        <w:drawing>
          <wp:inline distT="0" distB="0" distL="0" distR="0" wp14:anchorId="5D88AD7F" wp14:editId="6A7B947E">
            <wp:extent cx="6332220" cy="426210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32220" cy="4262107"/>
                    </a:xfrm>
                    <a:prstGeom prst="rect">
                      <a:avLst/>
                    </a:prstGeom>
                    <a:noFill/>
                    <a:ln>
                      <a:noFill/>
                    </a:ln>
                  </pic:spPr>
                </pic:pic>
              </a:graphicData>
            </a:graphic>
          </wp:inline>
        </w:drawing>
      </w:r>
    </w:p>
    <w:p w14:paraId="5D1D1163" w14:textId="00B35A69" w:rsidR="00C478A5" w:rsidRPr="00C478A5" w:rsidRDefault="00C478A5" w:rsidP="00FE0CAD">
      <w:pPr>
        <w:rPr>
          <w:lang w:val="en-GB" w:eastAsia="zh-CN"/>
        </w:rPr>
      </w:pPr>
      <w:r w:rsidRPr="00FE0CAD">
        <w:rPr>
          <w:b/>
          <w:u w:val="single"/>
          <w:lang w:val="en-GB" w:eastAsia="zh-CN"/>
        </w:rPr>
        <w:t>Observation 2:</w:t>
      </w:r>
      <w:r>
        <w:rPr>
          <w:lang w:val="en-GB" w:eastAsia="zh-CN"/>
        </w:rPr>
        <w:t xml:space="preserve"> </w:t>
      </w:r>
      <w:r w:rsidRPr="00C478A5">
        <w:rPr>
          <w:lang w:val="en-GB" w:eastAsia="zh-CN"/>
        </w:rPr>
        <w:t>The performance of the scale</w:t>
      </w:r>
      <w:r w:rsidR="00F03F30">
        <w:rPr>
          <w:lang w:val="en-GB" w:eastAsia="zh-CN"/>
        </w:rPr>
        <w:t>-</w:t>
      </w:r>
      <w:r w:rsidRPr="00C478A5">
        <w:rPr>
          <w:lang w:val="en-GB" w:eastAsia="zh-CN"/>
        </w:rPr>
        <w:t>invariant decoder is</w:t>
      </w:r>
      <w:r w:rsidR="007E5E31">
        <w:rPr>
          <w:lang w:val="en-GB" w:eastAsia="zh-CN"/>
        </w:rPr>
        <w:t xml:space="preserve"> very</w:t>
      </w:r>
      <w:r w:rsidRPr="00C478A5">
        <w:rPr>
          <w:lang w:val="en-GB" w:eastAsia="zh-CN"/>
        </w:rPr>
        <w:t xml:space="preserve"> close to the performance with ideal scaling. </w:t>
      </w:r>
    </w:p>
    <w:p w14:paraId="28EF2F43" w14:textId="77777777" w:rsidR="00C478A5" w:rsidRDefault="00C478A5" w:rsidP="00835F91">
      <w:pPr>
        <w:jc w:val="both"/>
        <w:rPr>
          <w:lang w:val="en-GB" w:eastAsia="zh-CN"/>
        </w:rPr>
      </w:pPr>
    </w:p>
    <w:p w14:paraId="031EBBFB" w14:textId="3ED8CFE5" w:rsidR="00835F91" w:rsidRDefault="00835F91" w:rsidP="00835F91">
      <w:pPr>
        <w:jc w:val="both"/>
        <w:rPr>
          <w:lang w:val="en-GB" w:eastAsia="zh-CN"/>
        </w:rPr>
      </w:pPr>
      <w:r>
        <w:rPr>
          <w:lang w:val="en-GB" w:eastAsia="zh-CN"/>
        </w:rPr>
        <w:t xml:space="preserve">A major advantage of this simple LLR scaling compared </w:t>
      </w:r>
      <w:r w:rsidR="001C17BF">
        <w:rPr>
          <w:lang w:val="en-GB" w:eastAsia="zh-CN"/>
        </w:rPr>
        <w:t xml:space="preserve">to the blind-scaling scheme </w:t>
      </w:r>
      <w:r w:rsidR="00596C28">
        <w:rPr>
          <w:lang w:val="en-GB" w:eastAsia="zh-CN"/>
        </w:rPr>
        <w:t>originally</w:t>
      </w:r>
      <w:r w:rsidR="001C17BF">
        <w:rPr>
          <w:lang w:val="en-GB" w:eastAsia="zh-CN"/>
        </w:rPr>
        <w:t xml:space="preserve"> </w:t>
      </w:r>
      <w:r w:rsidR="008F535A">
        <w:rPr>
          <w:lang w:val="en-GB" w:eastAsia="zh-CN"/>
        </w:rPr>
        <w:t xml:space="preserve">proposed in </w:t>
      </w:r>
      <w:r w:rsidR="008F535A">
        <w:rPr>
          <w:lang w:val="en-GB" w:eastAsia="zh-CN"/>
        </w:rPr>
        <w:fldChar w:fldCharType="begin"/>
      </w:r>
      <w:r w:rsidR="008F535A">
        <w:rPr>
          <w:lang w:val="en-GB" w:eastAsia="zh-CN"/>
        </w:rPr>
        <w:instrText xml:space="preserve"> REF _Ref463012185 \r \h </w:instrText>
      </w:r>
      <w:r w:rsidR="008F535A">
        <w:rPr>
          <w:lang w:val="en-GB" w:eastAsia="zh-CN"/>
        </w:rPr>
      </w:r>
      <w:r w:rsidR="008F535A">
        <w:rPr>
          <w:lang w:val="en-GB" w:eastAsia="zh-CN"/>
        </w:rPr>
        <w:fldChar w:fldCharType="separate"/>
      </w:r>
      <w:r w:rsidR="008F535A">
        <w:rPr>
          <w:lang w:val="en-GB" w:eastAsia="zh-CN"/>
        </w:rPr>
        <w:t>[3]</w:t>
      </w:r>
      <w:r w:rsidR="008F535A">
        <w:rPr>
          <w:lang w:val="en-GB" w:eastAsia="zh-CN"/>
        </w:rPr>
        <w:fldChar w:fldCharType="end"/>
      </w:r>
      <w:r w:rsidR="008F535A">
        <w:rPr>
          <w:lang w:val="en-GB" w:eastAsia="zh-CN"/>
        </w:rPr>
        <w:t xml:space="preserve"> is that an LLR can be immediately scaled without calculating a scaling factor based on all the received LLRs</w:t>
      </w:r>
      <w:r w:rsidR="00FC54D1">
        <w:rPr>
          <w:lang w:val="en-GB" w:eastAsia="zh-CN"/>
        </w:rPr>
        <w:t xml:space="preserve">. This eliminates the latency overhead discussed in </w:t>
      </w:r>
      <w:r w:rsidR="00A44EBE">
        <w:rPr>
          <w:lang w:val="en-GB" w:eastAsia="zh-CN"/>
        </w:rPr>
        <w:fldChar w:fldCharType="begin"/>
      </w:r>
      <w:r w:rsidR="00A44EBE">
        <w:rPr>
          <w:lang w:val="en-GB" w:eastAsia="zh-CN"/>
        </w:rPr>
        <w:instrText xml:space="preserve"> REF _Ref466059448 \r \h </w:instrText>
      </w:r>
      <w:r w:rsidR="00A44EBE">
        <w:rPr>
          <w:lang w:val="en-GB" w:eastAsia="zh-CN"/>
        </w:rPr>
      </w:r>
      <w:r w:rsidR="00A44EBE">
        <w:rPr>
          <w:lang w:val="en-GB" w:eastAsia="zh-CN"/>
        </w:rPr>
        <w:fldChar w:fldCharType="separate"/>
      </w:r>
      <w:r w:rsidR="00A44EBE">
        <w:rPr>
          <w:lang w:val="en-GB" w:eastAsia="zh-CN"/>
        </w:rPr>
        <w:t>[6]</w:t>
      </w:r>
      <w:r w:rsidR="00A44EBE">
        <w:rPr>
          <w:lang w:val="en-GB" w:eastAsia="zh-CN"/>
        </w:rPr>
        <w:fldChar w:fldCharType="end"/>
      </w:r>
      <w:r w:rsidR="00A44EBE">
        <w:rPr>
          <w:lang w:val="en-GB" w:eastAsia="zh-CN"/>
        </w:rPr>
        <w:t>.</w:t>
      </w:r>
      <w:r w:rsidR="00BC74BA">
        <w:rPr>
          <w:lang w:val="en-GB" w:eastAsia="zh-CN"/>
        </w:rPr>
        <w:t xml:space="preserve"> Moreover, it can be incorporated into the LLR scaling required </w:t>
      </w:r>
      <w:r w:rsidR="0013092C">
        <w:rPr>
          <w:lang w:val="en-GB" w:eastAsia="zh-CN"/>
        </w:rPr>
        <w:t>in any fixed-point decoder to prevent LLR saturation, minimizing its effect on complexity.</w:t>
      </w:r>
    </w:p>
    <w:p w14:paraId="05FF09FA" w14:textId="77777777" w:rsidR="00C62379" w:rsidRPr="008F39AA" w:rsidRDefault="00C62379" w:rsidP="00EE0A78">
      <w:pPr>
        <w:jc w:val="both"/>
        <w:rPr>
          <w:lang w:val="en-GB" w:eastAsia="zh-CN"/>
        </w:rPr>
      </w:pPr>
    </w:p>
    <w:p w14:paraId="7F94D328" w14:textId="60474D1F" w:rsidR="00CD1D0D" w:rsidRPr="007947BE" w:rsidRDefault="007947BE" w:rsidP="00FE0CAD">
      <w:pPr>
        <w:rPr>
          <w:lang w:val="en-GB" w:eastAsia="zh-CN"/>
        </w:rPr>
      </w:pPr>
      <w:r w:rsidRPr="00594091">
        <w:rPr>
          <w:b/>
          <w:u w:val="single"/>
          <w:lang w:val="en-GB" w:eastAsia="zh-CN"/>
        </w:rPr>
        <w:t>Observation 3:</w:t>
      </w:r>
      <w:r>
        <w:rPr>
          <w:lang w:val="en-GB" w:eastAsia="zh-CN"/>
        </w:rPr>
        <w:t xml:space="preserve"> </w:t>
      </w:r>
      <w:r w:rsidR="00CD1D0D" w:rsidRPr="007947BE">
        <w:rPr>
          <w:lang w:val="en-GB" w:eastAsia="zh-CN"/>
        </w:rPr>
        <w:t>In wireless transmission with additive Gaussian noise</w:t>
      </w:r>
      <w:r>
        <w:rPr>
          <w:lang w:val="en-GB" w:eastAsia="zh-CN"/>
        </w:rPr>
        <w:t>,</w:t>
      </w:r>
      <w:r w:rsidR="00CD1D0D" w:rsidRPr="007947BE">
        <w:rPr>
          <w:lang w:val="en-GB" w:eastAsia="zh-CN"/>
        </w:rPr>
        <w:t xml:space="preserve"> the appropriate scaling can be found using very low complexity methods.</w:t>
      </w:r>
    </w:p>
    <w:p w14:paraId="040AA312" w14:textId="77777777" w:rsidR="006F4241" w:rsidRPr="006F4241" w:rsidRDefault="006F4241" w:rsidP="006F4241">
      <w:pPr>
        <w:ind w:left="360"/>
        <w:rPr>
          <w:lang w:val="en-GB" w:eastAsia="zh-CN"/>
        </w:rPr>
      </w:pPr>
    </w:p>
    <w:p w14:paraId="7145B34E" w14:textId="18748555" w:rsidR="00211866" w:rsidRDefault="00594091" w:rsidP="006F4241">
      <w:pPr>
        <w:pStyle w:val="Heading1"/>
        <w:rPr>
          <w:lang w:eastAsia="zh-CN"/>
        </w:rPr>
      </w:pPr>
      <w:r>
        <w:rPr>
          <w:lang w:eastAsia="zh-CN"/>
        </w:rPr>
        <w:t>Further d</w:t>
      </w:r>
      <w:r w:rsidR="006F4241">
        <w:rPr>
          <w:lang w:eastAsia="zh-CN"/>
        </w:rPr>
        <w:t>iscussion</w:t>
      </w:r>
    </w:p>
    <w:p w14:paraId="0E690A07" w14:textId="4A844137" w:rsidR="001B1313" w:rsidRDefault="001B1313" w:rsidP="00594091">
      <w:pPr>
        <w:rPr>
          <w:lang w:val="en-GB" w:eastAsia="zh-CN"/>
        </w:rPr>
      </w:pPr>
      <w:r>
        <w:rPr>
          <w:lang w:val="en-GB" w:eastAsia="zh-CN"/>
        </w:rPr>
        <w:t>It is important to understand the full context of a decoder which is robust to estimation mismatch.</w:t>
      </w:r>
    </w:p>
    <w:p w14:paraId="5B4BE21A" w14:textId="0385D593" w:rsidR="00594091" w:rsidRDefault="001B1313" w:rsidP="00594091">
      <w:pPr>
        <w:rPr>
          <w:lang w:val="en-GB" w:eastAsia="zh-CN"/>
        </w:rPr>
      </w:pPr>
      <w:r>
        <w:rPr>
          <w:lang w:val="en-GB" w:eastAsia="zh-CN"/>
        </w:rPr>
        <w:t>First, note</w:t>
      </w:r>
      <w:r w:rsidR="00594091">
        <w:rPr>
          <w:lang w:val="en-GB" w:eastAsia="zh-CN"/>
        </w:rPr>
        <w:t xml:space="preserve"> that if the channel estimation is largely inaccurate</w:t>
      </w:r>
      <w:r w:rsidR="006F4241">
        <w:rPr>
          <w:lang w:val="en-GB" w:eastAsia="zh-CN"/>
        </w:rPr>
        <w:t xml:space="preserve">, then </w:t>
      </w:r>
      <w:r w:rsidR="00594091">
        <w:rPr>
          <w:lang w:val="en-GB" w:eastAsia="zh-CN"/>
        </w:rPr>
        <w:t xml:space="preserve">it is likely earlier hardware </w:t>
      </w:r>
      <w:r w:rsidR="006F4241">
        <w:rPr>
          <w:lang w:val="en-GB" w:eastAsia="zh-CN"/>
        </w:rPr>
        <w:t xml:space="preserve">blocks </w:t>
      </w:r>
      <w:r w:rsidR="00594091">
        <w:rPr>
          <w:lang w:val="en-GB" w:eastAsia="zh-CN"/>
        </w:rPr>
        <w:t xml:space="preserve">will fail to process </w:t>
      </w:r>
      <w:r w:rsidR="006F4241">
        <w:rPr>
          <w:lang w:val="en-GB" w:eastAsia="zh-CN"/>
        </w:rPr>
        <w:t xml:space="preserve">before the </w:t>
      </w:r>
      <w:r w:rsidR="00594091">
        <w:rPr>
          <w:lang w:val="en-GB" w:eastAsia="zh-CN"/>
        </w:rPr>
        <w:t>decoder will itself fail</w:t>
      </w:r>
      <w:r w:rsidR="005E2338">
        <w:rPr>
          <w:lang w:val="en-GB" w:eastAsia="zh-CN"/>
        </w:rPr>
        <w:t>.</w:t>
      </w:r>
      <w:r w:rsidR="00594091">
        <w:rPr>
          <w:lang w:val="en-GB" w:eastAsia="zh-CN"/>
        </w:rPr>
        <w:t xml:space="preserve"> Therefore, the notion of a purely SNR insensitive decoder being useful can be less</w:t>
      </w:r>
      <w:r>
        <w:rPr>
          <w:lang w:val="en-GB" w:eastAsia="zh-CN"/>
        </w:rPr>
        <w:t xml:space="preserve"> relevant if prior tracking loop</w:t>
      </w:r>
      <w:r w:rsidR="00594091">
        <w:rPr>
          <w:lang w:val="en-GB" w:eastAsia="zh-CN"/>
        </w:rPr>
        <w:t>s, demapping</w:t>
      </w:r>
      <w:r>
        <w:rPr>
          <w:lang w:val="en-GB" w:eastAsia="zh-CN"/>
        </w:rPr>
        <w:t xml:space="preserve"> stages</w:t>
      </w:r>
      <w:r w:rsidR="00594091">
        <w:rPr>
          <w:lang w:val="en-GB" w:eastAsia="zh-CN"/>
        </w:rPr>
        <w:t>, or even link adaption cannot proceed b</w:t>
      </w:r>
      <w:r>
        <w:rPr>
          <w:lang w:val="en-GB" w:eastAsia="zh-CN"/>
        </w:rPr>
        <w:t>ased on poor channel estimation quality</w:t>
      </w:r>
      <w:r w:rsidR="00594091">
        <w:rPr>
          <w:lang w:val="en-GB" w:eastAsia="zh-CN"/>
        </w:rPr>
        <w:t>.</w:t>
      </w:r>
      <w:r w:rsidR="005E2338">
        <w:rPr>
          <w:lang w:val="en-GB" w:eastAsia="zh-CN"/>
        </w:rPr>
        <w:t xml:space="preserve"> </w:t>
      </w:r>
    </w:p>
    <w:p w14:paraId="03FE154B" w14:textId="0BED0CEE" w:rsidR="001609D8" w:rsidRPr="006F4241" w:rsidRDefault="001B1313" w:rsidP="00594091">
      <w:pPr>
        <w:rPr>
          <w:lang w:val="en-GB" w:eastAsia="zh-CN"/>
        </w:rPr>
      </w:pPr>
      <w:r>
        <w:rPr>
          <w:lang w:val="en-GB" w:eastAsia="zh-CN"/>
        </w:rPr>
        <w:t>Second</w:t>
      </w:r>
      <w:r w:rsidR="005E2338">
        <w:rPr>
          <w:lang w:val="en-GB" w:eastAsia="zh-CN"/>
        </w:rPr>
        <w:t xml:space="preserve">, there is </w:t>
      </w:r>
      <w:r w:rsidR="00594091">
        <w:rPr>
          <w:lang w:val="en-GB" w:eastAsia="zh-CN"/>
        </w:rPr>
        <w:t xml:space="preserve">always </w:t>
      </w:r>
      <w:r w:rsidR="005E2338">
        <w:rPr>
          <w:lang w:val="en-GB" w:eastAsia="zh-CN"/>
        </w:rPr>
        <w:t>scaling</w:t>
      </w:r>
      <w:r w:rsidR="00380E3E">
        <w:rPr>
          <w:lang w:val="en-GB" w:eastAsia="zh-CN"/>
        </w:rPr>
        <w:t xml:space="preserve"> needed for any fixed-point decoder to avoid input </w:t>
      </w:r>
      <w:r>
        <w:rPr>
          <w:lang w:val="en-GB" w:eastAsia="zh-CN"/>
        </w:rPr>
        <w:t xml:space="preserve">saturation, and even commercial implementation of decoding is always fixed point to achieve the best energy efficiency. </w:t>
      </w:r>
      <w:r w:rsidR="008F100A">
        <w:rPr>
          <w:lang w:val="en-GB" w:eastAsia="zh-CN"/>
        </w:rPr>
        <w:t>The notion of a scale-invariance floating point decoder again becomes less relevant</w:t>
      </w:r>
      <w:r w:rsidR="00502274">
        <w:rPr>
          <w:lang w:val="en-GB" w:eastAsia="zh-CN"/>
        </w:rPr>
        <w:t>. T</w:t>
      </w:r>
      <w:bookmarkStart w:id="2" w:name="_GoBack"/>
      <w:bookmarkEnd w:id="2"/>
      <w:r w:rsidR="005E2338">
        <w:rPr>
          <w:lang w:val="en-GB" w:eastAsia="zh-CN"/>
        </w:rPr>
        <w:t xml:space="preserve">here is always </w:t>
      </w:r>
      <w:r>
        <w:rPr>
          <w:lang w:val="en-GB" w:eastAsia="zh-CN"/>
        </w:rPr>
        <w:t xml:space="preserve">some stage in </w:t>
      </w:r>
      <w:r>
        <w:rPr>
          <w:lang w:val="en-GB" w:eastAsia="zh-CN"/>
        </w:rPr>
        <w:t xml:space="preserve">hardware </w:t>
      </w:r>
      <w:r w:rsidR="005E2338">
        <w:rPr>
          <w:lang w:val="en-GB" w:eastAsia="zh-CN"/>
        </w:rPr>
        <w:t xml:space="preserve">present for </w:t>
      </w:r>
      <w:r w:rsidR="0016278E">
        <w:rPr>
          <w:lang w:val="en-GB" w:eastAsia="zh-CN"/>
        </w:rPr>
        <w:t>scaling</w:t>
      </w:r>
      <w:r w:rsidR="005E2338">
        <w:rPr>
          <w:lang w:val="en-GB" w:eastAsia="zh-CN"/>
        </w:rPr>
        <w:t>. In general when the channel is not flat, the additive noise factor can be determined by using a low-dimensional model for the channel distribution such as the mean and the second moment of the channel distribution. Then, given the operating capacity, the additive noise factor can be determined few operations which would allow the demapper to</w:t>
      </w:r>
      <w:r w:rsidR="001609D8">
        <w:rPr>
          <w:lang w:val="en-GB" w:eastAsia="zh-CN"/>
        </w:rPr>
        <w:t xml:space="preserve"> track the scaling factor while it generates LLRs. Scaling is</w:t>
      </w:r>
      <w:r w:rsidR="005E2338">
        <w:rPr>
          <w:lang w:val="en-GB" w:eastAsia="zh-CN"/>
        </w:rPr>
        <w:t xml:space="preserve"> then</w:t>
      </w:r>
      <w:r w:rsidR="001609D8">
        <w:rPr>
          <w:lang w:val="en-GB" w:eastAsia="zh-CN"/>
        </w:rPr>
        <w:t xml:space="preserve"> applied before or during the first </w:t>
      </w:r>
      <w:r w:rsidR="009E3546">
        <w:rPr>
          <w:lang w:val="en-GB" w:eastAsia="zh-CN"/>
        </w:rPr>
        <w:t xml:space="preserve">decoding </w:t>
      </w:r>
      <w:r w:rsidR="001609D8">
        <w:rPr>
          <w:lang w:val="en-GB" w:eastAsia="zh-CN"/>
        </w:rPr>
        <w:t>iteration.</w:t>
      </w:r>
    </w:p>
    <w:p w14:paraId="43B7F891" w14:textId="77777777" w:rsidR="004503F9" w:rsidRDefault="004503F9" w:rsidP="004503F9">
      <w:pPr>
        <w:pStyle w:val="Heading1"/>
        <w:rPr>
          <w:lang w:eastAsia="zh-CN"/>
        </w:rPr>
      </w:pPr>
      <w:r>
        <w:rPr>
          <w:lang w:eastAsia="zh-CN"/>
        </w:rPr>
        <w:t>Conclusions</w:t>
      </w:r>
    </w:p>
    <w:p w14:paraId="0E5A043D" w14:textId="7FFC1525" w:rsidR="00EF2FDA" w:rsidRDefault="00EF2FDA" w:rsidP="00FE0CAD">
      <w:pPr>
        <w:rPr>
          <w:lang w:val="en-GB" w:eastAsia="zh-CN"/>
        </w:rPr>
      </w:pPr>
      <w:r w:rsidRPr="00426372">
        <w:rPr>
          <w:b/>
          <w:u w:val="single"/>
          <w:lang w:val="en-GB" w:eastAsia="zh-CN"/>
        </w:rPr>
        <w:t>Observation 1:</w:t>
      </w:r>
      <w:r>
        <w:rPr>
          <w:lang w:val="en-GB" w:eastAsia="zh-CN"/>
        </w:rPr>
        <w:t xml:space="preserve"> A simple</w:t>
      </w:r>
      <w:r w:rsidRPr="00F72200">
        <w:rPr>
          <w:lang w:val="en-GB" w:eastAsia="zh-CN"/>
        </w:rPr>
        <w:t xml:space="preserve"> pre-processing step of the received LLRs can make the AdjMS decoder insensitive to LLR scaling by unknown factors such as channel e</w:t>
      </w:r>
      <w:r w:rsidR="00AA2A59">
        <w:rPr>
          <w:lang w:val="en-GB" w:eastAsia="zh-CN"/>
        </w:rPr>
        <w:t>stimation errors, AGC gain etc.</w:t>
      </w:r>
    </w:p>
    <w:p w14:paraId="4963FEB5" w14:textId="77777777" w:rsidR="00AA2A59" w:rsidRPr="00C478A5" w:rsidRDefault="00AA2A59" w:rsidP="00AA2A59">
      <w:pPr>
        <w:rPr>
          <w:lang w:val="en-GB" w:eastAsia="zh-CN"/>
        </w:rPr>
      </w:pPr>
      <w:r w:rsidRPr="00FE0CAD">
        <w:rPr>
          <w:b/>
          <w:u w:val="single"/>
          <w:lang w:val="en-GB" w:eastAsia="zh-CN"/>
        </w:rPr>
        <w:t>Observation 2:</w:t>
      </w:r>
      <w:r>
        <w:rPr>
          <w:lang w:val="en-GB" w:eastAsia="zh-CN"/>
        </w:rPr>
        <w:t xml:space="preserve"> </w:t>
      </w:r>
      <w:r w:rsidRPr="00C478A5">
        <w:rPr>
          <w:lang w:val="en-GB" w:eastAsia="zh-CN"/>
        </w:rPr>
        <w:t>The performance of the scale</w:t>
      </w:r>
      <w:r>
        <w:rPr>
          <w:lang w:val="en-GB" w:eastAsia="zh-CN"/>
        </w:rPr>
        <w:t>-</w:t>
      </w:r>
      <w:r w:rsidRPr="00C478A5">
        <w:rPr>
          <w:lang w:val="en-GB" w:eastAsia="zh-CN"/>
        </w:rPr>
        <w:t>invariant decoder is</w:t>
      </w:r>
      <w:r>
        <w:rPr>
          <w:lang w:val="en-GB" w:eastAsia="zh-CN"/>
        </w:rPr>
        <w:t xml:space="preserve"> very</w:t>
      </w:r>
      <w:r w:rsidRPr="00C478A5">
        <w:rPr>
          <w:lang w:val="en-GB" w:eastAsia="zh-CN"/>
        </w:rPr>
        <w:t xml:space="preserve"> close to the performance with ideal scaling. </w:t>
      </w:r>
    </w:p>
    <w:p w14:paraId="5B3D20AD" w14:textId="77777777" w:rsidR="00AA2A59" w:rsidRPr="007947BE" w:rsidRDefault="00AA2A59" w:rsidP="00AA2A59">
      <w:pPr>
        <w:rPr>
          <w:lang w:val="en-GB" w:eastAsia="zh-CN"/>
        </w:rPr>
      </w:pPr>
      <w:r w:rsidRPr="00AA2A59">
        <w:rPr>
          <w:b/>
          <w:u w:val="single"/>
          <w:lang w:val="en-GB" w:eastAsia="zh-CN"/>
        </w:rPr>
        <w:t>Observation 3:</w:t>
      </w:r>
      <w:r>
        <w:rPr>
          <w:lang w:val="en-GB" w:eastAsia="zh-CN"/>
        </w:rPr>
        <w:t xml:space="preserve"> </w:t>
      </w:r>
      <w:r w:rsidRPr="007947BE">
        <w:rPr>
          <w:lang w:val="en-GB" w:eastAsia="zh-CN"/>
        </w:rPr>
        <w:t>In wireless transmission with additive Gaussian noise</w:t>
      </w:r>
      <w:r>
        <w:rPr>
          <w:lang w:val="en-GB" w:eastAsia="zh-CN"/>
        </w:rPr>
        <w:t>,</w:t>
      </w:r>
      <w:r w:rsidRPr="007947BE">
        <w:rPr>
          <w:lang w:val="en-GB" w:eastAsia="zh-CN"/>
        </w:rPr>
        <w:t xml:space="preserve"> the appropriate scaling can be found using very low complexity methods.</w:t>
      </w:r>
    </w:p>
    <w:p w14:paraId="43B7F896" w14:textId="77777777" w:rsidR="00E523F3" w:rsidRPr="000A64D8" w:rsidRDefault="00E523F3" w:rsidP="00E523F3">
      <w:pPr>
        <w:pStyle w:val="Heading1"/>
        <w:rPr>
          <w:lang w:val="en-US"/>
        </w:rPr>
      </w:pPr>
      <w:r w:rsidRPr="000A64D8">
        <w:rPr>
          <w:lang w:val="en-US"/>
        </w:rPr>
        <w:t>References</w:t>
      </w:r>
    </w:p>
    <w:p w14:paraId="5B661C36" w14:textId="6A107648" w:rsidR="00001B3E" w:rsidRPr="00C81D59" w:rsidRDefault="00CA512C" w:rsidP="00C81D59">
      <w:pPr>
        <w:pStyle w:val="ListParagraph"/>
        <w:numPr>
          <w:ilvl w:val="0"/>
          <w:numId w:val="2"/>
        </w:numPr>
        <w:rPr>
          <w:rFonts w:ascii="Times New Roman" w:eastAsia="SimSun" w:hAnsi="Times New Roman"/>
          <w:sz w:val="20"/>
        </w:rPr>
      </w:pPr>
      <w:bookmarkStart w:id="3" w:name="_Ref463003004"/>
      <w:r w:rsidRPr="00192A55">
        <w:rPr>
          <w:rFonts w:ascii="Times New Roman" w:eastAsia="SimSun" w:hAnsi="Times New Roman"/>
          <w:sz w:val="20"/>
        </w:rPr>
        <w:t>R1-1610137</w:t>
      </w:r>
      <w:r>
        <w:rPr>
          <w:rFonts w:ascii="Times New Roman" w:eastAsia="SimSun" w:hAnsi="Times New Roman"/>
          <w:sz w:val="20"/>
        </w:rPr>
        <w:t>, “</w:t>
      </w:r>
      <w:r w:rsidRPr="00192A55">
        <w:rPr>
          <w:rFonts w:ascii="Times New Roman" w:eastAsia="SimSun" w:hAnsi="Times New Roman"/>
          <w:sz w:val="20"/>
        </w:rPr>
        <w:t>LDPC rate compatible design overview</w:t>
      </w:r>
      <w:r>
        <w:rPr>
          <w:rFonts w:ascii="Times New Roman" w:eastAsia="SimSun" w:hAnsi="Times New Roman"/>
          <w:sz w:val="20"/>
        </w:rPr>
        <w:t>”, Qualcomm, Incorporated, RAN1 #86bis, Lisbon, Portugal</w:t>
      </w:r>
      <w:bookmarkEnd w:id="3"/>
      <w:r w:rsidR="00001B3E">
        <w:t>.</w:t>
      </w:r>
    </w:p>
    <w:p w14:paraId="38FD3906" w14:textId="7F318636" w:rsidR="00B95604" w:rsidRDefault="00A63BC0" w:rsidP="00E92D59">
      <w:pPr>
        <w:numPr>
          <w:ilvl w:val="0"/>
          <w:numId w:val="2"/>
        </w:numPr>
        <w:tabs>
          <w:tab w:val="num" w:pos="720"/>
        </w:tabs>
        <w:spacing w:before="100" w:beforeAutospacing="1" w:after="100" w:afterAutospacing="1"/>
        <w:ind w:left="562" w:hanging="562"/>
      </w:pPr>
      <w:r>
        <w:t>H. Jin and T. Richardson, “On iterative joint decoding and demodulation,” in Proc. 41st Allerton Conf., Monticello, IL, Oct. 2003</w:t>
      </w:r>
      <w:r w:rsidR="00B95604">
        <w:t>.</w:t>
      </w:r>
    </w:p>
    <w:p w14:paraId="63B33AE2" w14:textId="77777777" w:rsidR="0075211C" w:rsidRDefault="0075211C" w:rsidP="0075211C">
      <w:pPr>
        <w:pStyle w:val="NormalWeb"/>
        <w:numPr>
          <w:ilvl w:val="0"/>
          <w:numId w:val="2"/>
        </w:numPr>
        <w:spacing w:before="0" w:beforeAutospacing="0" w:after="0" w:afterAutospacing="0"/>
        <w:rPr>
          <w:rFonts w:eastAsia="Times New Roman"/>
          <w:color w:val="000000"/>
          <w:sz w:val="20"/>
          <w:szCs w:val="20"/>
        </w:rPr>
      </w:pPr>
      <w:bookmarkStart w:id="4" w:name="_Ref463012185"/>
      <w:r>
        <w:rPr>
          <w:rFonts w:eastAsia="Times New Roman"/>
          <w:color w:val="000000"/>
          <w:sz w:val="20"/>
          <w:szCs w:val="20"/>
        </w:rPr>
        <w:t>Qualcomm Incorporated, “LDPC decoding with adjusted min-sum,” R1-1610140, RAN1 86bis, Lisbon, Portugal.</w:t>
      </w:r>
      <w:bookmarkEnd w:id="4"/>
    </w:p>
    <w:p w14:paraId="6DE6CA8A" w14:textId="77777777" w:rsidR="0075211C" w:rsidRPr="0026741A" w:rsidRDefault="0075211C" w:rsidP="0075211C">
      <w:pPr>
        <w:pStyle w:val="NormalWeb"/>
        <w:numPr>
          <w:ilvl w:val="0"/>
          <w:numId w:val="2"/>
        </w:numPr>
        <w:spacing w:before="0" w:beforeAutospacing="0" w:after="0" w:afterAutospacing="0"/>
        <w:rPr>
          <w:rFonts w:eastAsia="Times New Roman"/>
          <w:color w:val="000000"/>
          <w:sz w:val="20"/>
          <w:szCs w:val="20"/>
        </w:rPr>
      </w:pPr>
      <w:r>
        <w:rPr>
          <w:rFonts w:eastAsia="Times New Roman"/>
          <w:color w:val="000000"/>
          <w:sz w:val="20"/>
          <w:szCs w:val="20"/>
        </w:rPr>
        <w:t>Qualcomm Incorporated, “LDPC decoding with adjusted min-sum,” R1-xxxxxx, RAN1 87, Reno, USA.</w:t>
      </w:r>
    </w:p>
    <w:p w14:paraId="49F4F330" w14:textId="77777777" w:rsidR="0075211C" w:rsidRDefault="0075211C" w:rsidP="0075211C">
      <w:pPr>
        <w:pStyle w:val="NormalWeb"/>
        <w:numPr>
          <w:ilvl w:val="0"/>
          <w:numId w:val="2"/>
        </w:numPr>
        <w:spacing w:before="0" w:beforeAutospacing="0" w:after="0" w:afterAutospacing="0"/>
        <w:rPr>
          <w:rFonts w:eastAsia="Times New Roman"/>
          <w:color w:val="000000"/>
          <w:sz w:val="20"/>
          <w:szCs w:val="20"/>
        </w:rPr>
      </w:pPr>
      <w:r>
        <w:rPr>
          <w:rFonts w:eastAsia="Times New Roman"/>
          <w:color w:val="000000"/>
          <w:sz w:val="20"/>
          <w:szCs w:val="20"/>
        </w:rPr>
        <w:t>“Modern Coding Theory”, T. Richardson and R. Urbanke, 2008.</w:t>
      </w:r>
    </w:p>
    <w:p w14:paraId="546EDA02" w14:textId="253D0BB0" w:rsidR="00FC54D1" w:rsidRDefault="00FC54D1" w:rsidP="0075211C">
      <w:pPr>
        <w:pStyle w:val="NormalWeb"/>
        <w:numPr>
          <w:ilvl w:val="0"/>
          <w:numId w:val="2"/>
        </w:numPr>
        <w:spacing w:before="0" w:beforeAutospacing="0" w:after="0" w:afterAutospacing="0"/>
        <w:rPr>
          <w:rFonts w:eastAsia="Times New Roman"/>
          <w:color w:val="000000"/>
          <w:sz w:val="20"/>
          <w:szCs w:val="20"/>
        </w:rPr>
      </w:pPr>
      <w:bookmarkStart w:id="5" w:name="_Ref466059448"/>
      <w:r>
        <w:rPr>
          <w:rFonts w:eastAsia="Times New Roman"/>
          <w:color w:val="000000"/>
          <w:sz w:val="20"/>
          <w:szCs w:val="20"/>
        </w:rPr>
        <w:t>R1-1610472, “Evaluation of adjusted-min-sum LDPC decoder and complexity aspect of permutation networks,” Huawei and HiSilicon, RAN1 #86bis, Lisbon, Portugal.</w:t>
      </w:r>
      <w:bookmarkEnd w:id="5"/>
    </w:p>
    <w:p w14:paraId="73AD8AD0" w14:textId="77777777" w:rsidR="0075211C" w:rsidRDefault="0075211C" w:rsidP="0075211C">
      <w:pPr>
        <w:tabs>
          <w:tab w:val="num" w:pos="720"/>
        </w:tabs>
        <w:spacing w:before="100" w:beforeAutospacing="1" w:after="100" w:afterAutospacing="1"/>
      </w:pPr>
    </w:p>
    <w:p w14:paraId="64BD149C" w14:textId="77777777" w:rsidR="006E4FF7" w:rsidRPr="00E92D59" w:rsidRDefault="006E4FF7" w:rsidP="006E4FF7">
      <w:pPr>
        <w:tabs>
          <w:tab w:val="num" w:pos="720"/>
        </w:tabs>
        <w:spacing w:before="100" w:beforeAutospacing="1" w:after="100" w:afterAutospacing="1"/>
        <w:ind w:left="567"/>
      </w:pPr>
    </w:p>
    <w:p w14:paraId="7DF616B1" w14:textId="691FB7D0" w:rsidR="0046795C" w:rsidRPr="002C016E" w:rsidRDefault="0046795C" w:rsidP="00B95604">
      <w:pPr>
        <w:spacing w:before="100" w:beforeAutospacing="1" w:after="100" w:afterAutospacing="1"/>
        <w:jc w:val="both"/>
      </w:pPr>
    </w:p>
    <w:sectPr w:rsidR="0046795C" w:rsidRPr="002C016E"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183B9E" w14:textId="77777777" w:rsidR="002F7D92" w:rsidRDefault="002F7D92">
      <w:r>
        <w:separator/>
      </w:r>
    </w:p>
  </w:endnote>
  <w:endnote w:type="continuationSeparator" w:id="0">
    <w:p w14:paraId="53062A55" w14:textId="77777777" w:rsidR="002F7D92" w:rsidRDefault="002F7D92">
      <w:r>
        <w:continuationSeparator/>
      </w:r>
    </w:p>
  </w:endnote>
  <w:endnote w:type="continuationNotice" w:id="1">
    <w:p w14:paraId="56792F82" w14:textId="77777777" w:rsidR="002F7D92" w:rsidRDefault="002F7D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3406B1" w:rsidRDefault="003406B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3406B1" w:rsidRDefault="003406B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77777777" w:rsidR="003406B1" w:rsidRDefault="003406B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02274">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02274">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D87405" w14:textId="77777777" w:rsidR="002F7D92" w:rsidRDefault="002F7D92">
      <w:r>
        <w:separator/>
      </w:r>
    </w:p>
  </w:footnote>
  <w:footnote w:type="continuationSeparator" w:id="0">
    <w:p w14:paraId="13BD463A" w14:textId="77777777" w:rsidR="002F7D92" w:rsidRDefault="002F7D92">
      <w:r>
        <w:continuationSeparator/>
      </w:r>
    </w:p>
  </w:footnote>
  <w:footnote w:type="continuationNotice" w:id="1">
    <w:p w14:paraId="16FD4008" w14:textId="77777777" w:rsidR="002F7D92" w:rsidRDefault="002F7D9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3406B1" w:rsidRDefault="003406B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6" type="#_x0000_t75" style="width:15.6pt;height:15.6pt" o:bullet="t">
        <v:imagedata r:id="rId1" o:title="art8092"/>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C1A87"/>
    <w:multiLevelType w:val="hybridMultilevel"/>
    <w:tmpl w:val="765640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1F2DD9"/>
    <w:multiLevelType w:val="hybridMultilevel"/>
    <w:tmpl w:val="FB3CC81C"/>
    <w:lvl w:ilvl="0" w:tplc="9AAAE56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227FDA"/>
    <w:multiLevelType w:val="hybridMultilevel"/>
    <w:tmpl w:val="275AF076"/>
    <w:lvl w:ilvl="0" w:tplc="960251EE">
      <w:start w:val="1"/>
      <w:numFmt w:val="bullet"/>
      <w:lvlText w:val=""/>
      <w:lvlPicBulletId w:val="0"/>
      <w:lvlJc w:val="left"/>
      <w:pPr>
        <w:tabs>
          <w:tab w:val="num" w:pos="720"/>
        </w:tabs>
        <w:ind w:left="720" w:hanging="360"/>
      </w:pPr>
      <w:rPr>
        <w:rFonts w:ascii="Symbol" w:hAnsi="Symbol" w:hint="default"/>
      </w:rPr>
    </w:lvl>
    <w:lvl w:ilvl="1" w:tplc="92820864" w:tentative="1">
      <w:start w:val="1"/>
      <w:numFmt w:val="bullet"/>
      <w:lvlText w:val=""/>
      <w:lvlPicBulletId w:val="0"/>
      <w:lvlJc w:val="left"/>
      <w:pPr>
        <w:tabs>
          <w:tab w:val="num" w:pos="1440"/>
        </w:tabs>
        <w:ind w:left="1440" w:hanging="360"/>
      </w:pPr>
      <w:rPr>
        <w:rFonts w:ascii="Symbol" w:hAnsi="Symbol" w:hint="default"/>
      </w:rPr>
    </w:lvl>
    <w:lvl w:ilvl="2" w:tplc="21C4B720" w:tentative="1">
      <w:start w:val="1"/>
      <w:numFmt w:val="bullet"/>
      <w:lvlText w:val=""/>
      <w:lvlPicBulletId w:val="0"/>
      <w:lvlJc w:val="left"/>
      <w:pPr>
        <w:tabs>
          <w:tab w:val="num" w:pos="2160"/>
        </w:tabs>
        <w:ind w:left="2160" w:hanging="360"/>
      </w:pPr>
      <w:rPr>
        <w:rFonts w:ascii="Symbol" w:hAnsi="Symbol" w:hint="default"/>
      </w:rPr>
    </w:lvl>
    <w:lvl w:ilvl="3" w:tplc="C598F678" w:tentative="1">
      <w:start w:val="1"/>
      <w:numFmt w:val="bullet"/>
      <w:lvlText w:val=""/>
      <w:lvlPicBulletId w:val="0"/>
      <w:lvlJc w:val="left"/>
      <w:pPr>
        <w:tabs>
          <w:tab w:val="num" w:pos="2880"/>
        </w:tabs>
        <w:ind w:left="2880" w:hanging="360"/>
      </w:pPr>
      <w:rPr>
        <w:rFonts w:ascii="Symbol" w:hAnsi="Symbol" w:hint="default"/>
      </w:rPr>
    </w:lvl>
    <w:lvl w:ilvl="4" w:tplc="059458BA" w:tentative="1">
      <w:start w:val="1"/>
      <w:numFmt w:val="bullet"/>
      <w:lvlText w:val=""/>
      <w:lvlPicBulletId w:val="0"/>
      <w:lvlJc w:val="left"/>
      <w:pPr>
        <w:tabs>
          <w:tab w:val="num" w:pos="3600"/>
        </w:tabs>
        <w:ind w:left="3600" w:hanging="360"/>
      </w:pPr>
      <w:rPr>
        <w:rFonts w:ascii="Symbol" w:hAnsi="Symbol" w:hint="default"/>
      </w:rPr>
    </w:lvl>
    <w:lvl w:ilvl="5" w:tplc="3E9A0542" w:tentative="1">
      <w:start w:val="1"/>
      <w:numFmt w:val="bullet"/>
      <w:lvlText w:val=""/>
      <w:lvlPicBulletId w:val="0"/>
      <w:lvlJc w:val="left"/>
      <w:pPr>
        <w:tabs>
          <w:tab w:val="num" w:pos="4320"/>
        </w:tabs>
        <w:ind w:left="4320" w:hanging="360"/>
      </w:pPr>
      <w:rPr>
        <w:rFonts w:ascii="Symbol" w:hAnsi="Symbol" w:hint="default"/>
      </w:rPr>
    </w:lvl>
    <w:lvl w:ilvl="6" w:tplc="2278B11A" w:tentative="1">
      <w:start w:val="1"/>
      <w:numFmt w:val="bullet"/>
      <w:lvlText w:val=""/>
      <w:lvlPicBulletId w:val="0"/>
      <w:lvlJc w:val="left"/>
      <w:pPr>
        <w:tabs>
          <w:tab w:val="num" w:pos="5040"/>
        </w:tabs>
        <w:ind w:left="5040" w:hanging="360"/>
      </w:pPr>
      <w:rPr>
        <w:rFonts w:ascii="Symbol" w:hAnsi="Symbol" w:hint="default"/>
      </w:rPr>
    </w:lvl>
    <w:lvl w:ilvl="7" w:tplc="D8E45E04" w:tentative="1">
      <w:start w:val="1"/>
      <w:numFmt w:val="bullet"/>
      <w:lvlText w:val=""/>
      <w:lvlPicBulletId w:val="0"/>
      <w:lvlJc w:val="left"/>
      <w:pPr>
        <w:tabs>
          <w:tab w:val="num" w:pos="5760"/>
        </w:tabs>
        <w:ind w:left="5760" w:hanging="360"/>
      </w:pPr>
      <w:rPr>
        <w:rFonts w:ascii="Symbol" w:hAnsi="Symbol" w:hint="default"/>
      </w:rPr>
    </w:lvl>
    <w:lvl w:ilvl="8" w:tplc="502E63E8" w:tentative="1">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E8352D"/>
    <w:multiLevelType w:val="hybridMultilevel"/>
    <w:tmpl w:val="8034F0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A70669"/>
    <w:multiLevelType w:val="hybridMultilevel"/>
    <w:tmpl w:val="37FE55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7D7858"/>
    <w:multiLevelType w:val="hybridMultilevel"/>
    <w:tmpl w:val="49F254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003E11"/>
    <w:multiLevelType w:val="hybridMultilevel"/>
    <w:tmpl w:val="8EBE7712"/>
    <w:lvl w:ilvl="0" w:tplc="8F3C9C38">
      <w:start w:val="1"/>
      <w:numFmt w:val="bullet"/>
      <w:lvlText w:val=""/>
      <w:lvlPicBulletId w:val="0"/>
      <w:lvlJc w:val="left"/>
      <w:pPr>
        <w:tabs>
          <w:tab w:val="num" w:pos="720"/>
        </w:tabs>
        <w:ind w:left="720" w:hanging="360"/>
      </w:pPr>
      <w:rPr>
        <w:rFonts w:ascii="Symbol" w:hAnsi="Symbol" w:hint="default"/>
      </w:rPr>
    </w:lvl>
    <w:lvl w:ilvl="1" w:tplc="AB6859BC" w:tentative="1">
      <w:start w:val="1"/>
      <w:numFmt w:val="bullet"/>
      <w:lvlText w:val=""/>
      <w:lvlPicBulletId w:val="0"/>
      <w:lvlJc w:val="left"/>
      <w:pPr>
        <w:tabs>
          <w:tab w:val="num" w:pos="1440"/>
        </w:tabs>
        <w:ind w:left="1440" w:hanging="360"/>
      </w:pPr>
      <w:rPr>
        <w:rFonts w:ascii="Symbol" w:hAnsi="Symbol" w:hint="default"/>
      </w:rPr>
    </w:lvl>
    <w:lvl w:ilvl="2" w:tplc="E4041D44" w:tentative="1">
      <w:start w:val="1"/>
      <w:numFmt w:val="bullet"/>
      <w:lvlText w:val=""/>
      <w:lvlPicBulletId w:val="0"/>
      <w:lvlJc w:val="left"/>
      <w:pPr>
        <w:tabs>
          <w:tab w:val="num" w:pos="2160"/>
        </w:tabs>
        <w:ind w:left="2160" w:hanging="360"/>
      </w:pPr>
      <w:rPr>
        <w:rFonts w:ascii="Symbol" w:hAnsi="Symbol" w:hint="default"/>
      </w:rPr>
    </w:lvl>
    <w:lvl w:ilvl="3" w:tplc="39E2F2A6" w:tentative="1">
      <w:start w:val="1"/>
      <w:numFmt w:val="bullet"/>
      <w:lvlText w:val=""/>
      <w:lvlPicBulletId w:val="0"/>
      <w:lvlJc w:val="left"/>
      <w:pPr>
        <w:tabs>
          <w:tab w:val="num" w:pos="2880"/>
        </w:tabs>
        <w:ind w:left="2880" w:hanging="360"/>
      </w:pPr>
      <w:rPr>
        <w:rFonts w:ascii="Symbol" w:hAnsi="Symbol" w:hint="default"/>
      </w:rPr>
    </w:lvl>
    <w:lvl w:ilvl="4" w:tplc="89F277AE" w:tentative="1">
      <w:start w:val="1"/>
      <w:numFmt w:val="bullet"/>
      <w:lvlText w:val=""/>
      <w:lvlPicBulletId w:val="0"/>
      <w:lvlJc w:val="left"/>
      <w:pPr>
        <w:tabs>
          <w:tab w:val="num" w:pos="3600"/>
        </w:tabs>
        <w:ind w:left="3600" w:hanging="360"/>
      </w:pPr>
      <w:rPr>
        <w:rFonts w:ascii="Symbol" w:hAnsi="Symbol" w:hint="default"/>
      </w:rPr>
    </w:lvl>
    <w:lvl w:ilvl="5" w:tplc="CC7C6186" w:tentative="1">
      <w:start w:val="1"/>
      <w:numFmt w:val="bullet"/>
      <w:lvlText w:val=""/>
      <w:lvlPicBulletId w:val="0"/>
      <w:lvlJc w:val="left"/>
      <w:pPr>
        <w:tabs>
          <w:tab w:val="num" w:pos="4320"/>
        </w:tabs>
        <w:ind w:left="4320" w:hanging="360"/>
      </w:pPr>
      <w:rPr>
        <w:rFonts w:ascii="Symbol" w:hAnsi="Symbol" w:hint="default"/>
      </w:rPr>
    </w:lvl>
    <w:lvl w:ilvl="6" w:tplc="D3BE9C32" w:tentative="1">
      <w:start w:val="1"/>
      <w:numFmt w:val="bullet"/>
      <w:lvlText w:val=""/>
      <w:lvlPicBulletId w:val="0"/>
      <w:lvlJc w:val="left"/>
      <w:pPr>
        <w:tabs>
          <w:tab w:val="num" w:pos="5040"/>
        </w:tabs>
        <w:ind w:left="5040" w:hanging="360"/>
      </w:pPr>
      <w:rPr>
        <w:rFonts w:ascii="Symbol" w:hAnsi="Symbol" w:hint="default"/>
      </w:rPr>
    </w:lvl>
    <w:lvl w:ilvl="7" w:tplc="9E54A6D0" w:tentative="1">
      <w:start w:val="1"/>
      <w:numFmt w:val="bullet"/>
      <w:lvlText w:val=""/>
      <w:lvlPicBulletId w:val="0"/>
      <w:lvlJc w:val="left"/>
      <w:pPr>
        <w:tabs>
          <w:tab w:val="num" w:pos="5760"/>
        </w:tabs>
        <w:ind w:left="5760" w:hanging="360"/>
      </w:pPr>
      <w:rPr>
        <w:rFonts w:ascii="Symbol" w:hAnsi="Symbol" w:hint="default"/>
      </w:rPr>
    </w:lvl>
    <w:lvl w:ilvl="8" w:tplc="01881E26"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EB1A5B"/>
    <w:multiLevelType w:val="hybridMultilevel"/>
    <w:tmpl w:val="8834C71A"/>
    <w:lvl w:ilvl="0" w:tplc="C4A6C978">
      <w:start w:val="1"/>
      <w:numFmt w:val="bullet"/>
      <w:lvlText w:val=""/>
      <w:lvlPicBulletId w:val="0"/>
      <w:lvlJc w:val="left"/>
      <w:pPr>
        <w:tabs>
          <w:tab w:val="num" w:pos="720"/>
        </w:tabs>
        <w:ind w:left="720" w:hanging="360"/>
      </w:pPr>
      <w:rPr>
        <w:rFonts w:ascii="Symbol" w:hAnsi="Symbol" w:hint="default"/>
      </w:rPr>
    </w:lvl>
    <w:lvl w:ilvl="1" w:tplc="97CE4398" w:tentative="1">
      <w:start w:val="1"/>
      <w:numFmt w:val="bullet"/>
      <w:lvlText w:val=""/>
      <w:lvlPicBulletId w:val="0"/>
      <w:lvlJc w:val="left"/>
      <w:pPr>
        <w:tabs>
          <w:tab w:val="num" w:pos="1440"/>
        </w:tabs>
        <w:ind w:left="1440" w:hanging="360"/>
      </w:pPr>
      <w:rPr>
        <w:rFonts w:ascii="Symbol" w:hAnsi="Symbol" w:hint="default"/>
      </w:rPr>
    </w:lvl>
    <w:lvl w:ilvl="2" w:tplc="797618D6" w:tentative="1">
      <w:start w:val="1"/>
      <w:numFmt w:val="bullet"/>
      <w:lvlText w:val=""/>
      <w:lvlPicBulletId w:val="0"/>
      <w:lvlJc w:val="left"/>
      <w:pPr>
        <w:tabs>
          <w:tab w:val="num" w:pos="2160"/>
        </w:tabs>
        <w:ind w:left="2160" w:hanging="360"/>
      </w:pPr>
      <w:rPr>
        <w:rFonts w:ascii="Symbol" w:hAnsi="Symbol" w:hint="default"/>
      </w:rPr>
    </w:lvl>
    <w:lvl w:ilvl="3" w:tplc="21BED3B4" w:tentative="1">
      <w:start w:val="1"/>
      <w:numFmt w:val="bullet"/>
      <w:lvlText w:val=""/>
      <w:lvlPicBulletId w:val="0"/>
      <w:lvlJc w:val="left"/>
      <w:pPr>
        <w:tabs>
          <w:tab w:val="num" w:pos="2880"/>
        </w:tabs>
        <w:ind w:left="2880" w:hanging="360"/>
      </w:pPr>
      <w:rPr>
        <w:rFonts w:ascii="Symbol" w:hAnsi="Symbol" w:hint="default"/>
      </w:rPr>
    </w:lvl>
    <w:lvl w:ilvl="4" w:tplc="2380410E" w:tentative="1">
      <w:start w:val="1"/>
      <w:numFmt w:val="bullet"/>
      <w:lvlText w:val=""/>
      <w:lvlPicBulletId w:val="0"/>
      <w:lvlJc w:val="left"/>
      <w:pPr>
        <w:tabs>
          <w:tab w:val="num" w:pos="3600"/>
        </w:tabs>
        <w:ind w:left="3600" w:hanging="360"/>
      </w:pPr>
      <w:rPr>
        <w:rFonts w:ascii="Symbol" w:hAnsi="Symbol" w:hint="default"/>
      </w:rPr>
    </w:lvl>
    <w:lvl w:ilvl="5" w:tplc="26727042" w:tentative="1">
      <w:start w:val="1"/>
      <w:numFmt w:val="bullet"/>
      <w:lvlText w:val=""/>
      <w:lvlPicBulletId w:val="0"/>
      <w:lvlJc w:val="left"/>
      <w:pPr>
        <w:tabs>
          <w:tab w:val="num" w:pos="4320"/>
        </w:tabs>
        <w:ind w:left="4320" w:hanging="360"/>
      </w:pPr>
      <w:rPr>
        <w:rFonts w:ascii="Symbol" w:hAnsi="Symbol" w:hint="default"/>
      </w:rPr>
    </w:lvl>
    <w:lvl w:ilvl="6" w:tplc="06A41FEA" w:tentative="1">
      <w:start w:val="1"/>
      <w:numFmt w:val="bullet"/>
      <w:lvlText w:val=""/>
      <w:lvlPicBulletId w:val="0"/>
      <w:lvlJc w:val="left"/>
      <w:pPr>
        <w:tabs>
          <w:tab w:val="num" w:pos="5040"/>
        </w:tabs>
        <w:ind w:left="5040" w:hanging="360"/>
      </w:pPr>
      <w:rPr>
        <w:rFonts w:ascii="Symbol" w:hAnsi="Symbol" w:hint="default"/>
      </w:rPr>
    </w:lvl>
    <w:lvl w:ilvl="7" w:tplc="AA1A1868" w:tentative="1">
      <w:start w:val="1"/>
      <w:numFmt w:val="bullet"/>
      <w:lvlText w:val=""/>
      <w:lvlPicBulletId w:val="0"/>
      <w:lvlJc w:val="left"/>
      <w:pPr>
        <w:tabs>
          <w:tab w:val="num" w:pos="5760"/>
        </w:tabs>
        <w:ind w:left="5760" w:hanging="360"/>
      </w:pPr>
      <w:rPr>
        <w:rFonts w:ascii="Symbol" w:hAnsi="Symbol" w:hint="default"/>
      </w:rPr>
    </w:lvl>
    <w:lvl w:ilvl="8" w:tplc="C17684AE"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num>
  <w:num w:numId="2">
    <w:abstractNumId w:val="0"/>
  </w:num>
  <w:num w:numId="3">
    <w:abstractNumId w:val="3"/>
  </w:num>
  <w:num w:numId="4">
    <w:abstractNumId w:val="12"/>
  </w:num>
  <w:num w:numId="5">
    <w:abstractNumId w:val="4"/>
  </w:num>
  <w:num w:numId="6">
    <w:abstractNumId w:val="7"/>
  </w:num>
  <w:num w:numId="7">
    <w:abstractNumId w:val="8"/>
  </w:num>
  <w:num w:numId="8">
    <w:abstractNumId w:val="1"/>
  </w:num>
  <w:num w:numId="9">
    <w:abstractNumId w:val="18"/>
    <w:lvlOverride w:ilvl="0">
      <w:startOverride w:val="1"/>
    </w:lvlOverride>
  </w:num>
  <w:num w:numId="10">
    <w:abstractNumId w:val="13"/>
  </w:num>
  <w:num w:numId="11">
    <w:abstractNumId w:val="16"/>
  </w:num>
  <w:num w:numId="12">
    <w:abstractNumId w:val="6"/>
  </w:num>
  <w:num w:numId="13">
    <w:abstractNumId w:val="17"/>
  </w:num>
  <w:num w:numId="14">
    <w:abstractNumId w:val="15"/>
  </w:num>
  <w:num w:numId="15">
    <w:abstractNumId w:val="9"/>
  </w:num>
  <w:num w:numId="16">
    <w:abstractNumId w:val="14"/>
  </w:num>
  <w:num w:numId="17">
    <w:abstractNumId w:val="11"/>
  </w:num>
  <w:num w:numId="18">
    <w:abstractNumId w:val="2"/>
  </w:num>
  <w:num w:numId="19">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74D"/>
    <w:rsid w:val="00001B3E"/>
    <w:rsid w:val="00001F79"/>
    <w:rsid w:val="00001FC3"/>
    <w:rsid w:val="000022AF"/>
    <w:rsid w:val="00002375"/>
    <w:rsid w:val="0000270A"/>
    <w:rsid w:val="00002A8E"/>
    <w:rsid w:val="00003131"/>
    <w:rsid w:val="00003227"/>
    <w:rsid w:val="00003466"/>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DAE"/>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2448"/>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1FD0"/>
    <w:rsid w:val="000321DC"/>
    <w:rsid w:val="000325EF"/>
    <w:rsid w:val="00032A0C"/>
    <w:rsid w:val="0003343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6F8"/>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FF3"/>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21C"/>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07E"/>
    <w:rsid w:val="00081383"/>
    <w:rsid w:val="000822AD"/>
    <w:rsid w:val="000826FF"/>
    <w:rsid w:val="00082A49"/>
    <w:rsid w:val="00082B9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41B"/>
    <w:rsid w:val="000928E9"/>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616"/>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40D"/>
    <w:rsid w:val="0010067A"/>
    <w:rsid w:val="001010D7"/>
    <w:rsid w:val="00101489"/>
    <w:rsid w:val="001017C8"/>
    <w:rsid w:val="00101A0E"/>
    <w:rsid w:val="00101ACE"/>
    <w:rsid w:val="00101D6C"/>
    <w:rsid w:val="00102147"/>
    <w:rsid w:val="001021DD"/>
    <w:rsid w:val="001021F1"/>
    <w:rsid w:val="00102366"/>
    <w:rsid w:val="00102A33"/>
    <w:rsid w:val="00102ACC"/>
    <w:rsid w:val="00102E56"/>
    <w:rsid w:val="00102F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2C"/>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9D8"/>
    <w:rsid w:val="00162262"/>
    <w:rsid w:val="001623A3"/>
    <w:rsid w:val="0016278E"/>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7DF"/>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D5"/>
    <w:rsid w:val="001A3037"/>
    <w:rsid w:val="001A30FB"/>
    <w:rsid w:val="001A36CF"/>
    <w:rsid w:val="001A3974"/>
    <w:rsid w:val="001A3BBA"/>
    <w:rsid w:val="001A3EC0"/>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313"/>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7BF"/>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B3C"/>
    <w:rsid w:val="001D2E6C"/>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5E5"/>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4D5"/>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02C"/>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B7"/>
    <w:rsid w:val="00203159"/>
    <w:rsid w:val="00203A6E"/>
    <w:rsid w:val="00203F00"/>
    <w:rsid w:val="00203F5C"/>
    <w:rsid w:val="002044AB"/>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866"/>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3328"/>
    <w:rsid w:val="002344C8"/>
    <w:rsid w:val="002349C5"/>
    <w:rsid w:val="00234B73"/>
    <w:rsid w:val="00235581"/>
    <w:rsid w:val="00235698"/>
    <w:rsid w:val="00236F71"/>
    <w:rsid w:val="002373FC"/>
    <w:rsid w:val="00237C6F"/>
    <w:rsid w:val="00237D22"/>
    <w:rsid w:val="00240116"/>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19C"/>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860"/>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0A2"/>
    <w:rsid w:val="002B7D56"/>
    <w:rsid w:val="002C016E"/>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A6B"/>
    <w:rsid w:val="002C61E0"/>
    <w:rsid w:val="002C6217"/>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0EB"/>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D92"/>
    <w:rsid w:val="002F7EC5"/>
    <w:rsid w:val="00300085"/>
    <w:rsid w:val="0030027C"/>
    <w:rsid w:val="003003AD"/>
    <w:rsid w:val="00300421"/>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4CE8"/>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46E"/>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041"/>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0E3E"/>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B18"/>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7F1"/>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158C"/>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1D7"/>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4A1"/>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82D"/>
    <w:rsid w:val="003F6853"/>
    <w:rsid w:val="003F688B"/>
    <w:rsid w:val="003F6930"/>
    <w:rsid w:val="003F697D"/>
    <w:rsid w:val="003F6A55"/>
    <w:rsid w:val="003F73A0"/>
    <w:rsid w:val="003F75DD"/>
    <w:rsid w:val="003F7908"/>
    <w:rsid w:val="003F7A7C"/>
    <w:rsid w:val="003F7DFF"/>
    <w:rsid w:val="004000BE"/>
    <w:rsid w:val="0040015E"/>
    <w:rsid w:val="00400427"/>
    <w:rsid w:val="00400615"/>
    <w:rsid w:val="00400D86"/>
    <w:rsid w:val="00400FBB"/>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A37"/>
    <w:rsid w:val="00420CB7"/>
    <w:rsid w:val="004213C2"/>
    <w:rsid w:val="004213E8"/>
    <w:rsid w:val="0042156E"/>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E4E"/>
    <w:rsid w:val="004425C2"/>
    <w:rsid w:val="004426FE"/>
    <w:rsid w:val="00442824"/>
    <w:rsid w:val="00442FFB"/>
    <w:rsid w:val="004430FD"/>
    <w:rsid w:val="00443586"/>
    <w:rsid w:val="004435E2"/>
    <w:rsid w:val="004439AB"/>
    <w:rsid w:val="00443A73"/>
    <w:rsid w:val="00443BC9"/>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639"/>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795C"/>
    <w:rsid w:val="00467F3C"/>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5CF"/>
    <w:rsid w:val="004A57FC"/>
    <w:rsid w:val="004A5D36"/>
    <w:rsid w:val="004A705C"/>
    <w:rsid w:val="004A7141"/>
    <w:rsid w:val="004A7172"/>
    <w:rsid w:val="004A7276"/>
    <w:rsid w:val="004A746B"/>
    <w:rsid w:val="004A770C"/>
    <w:rsid w:val="004A7EE7"/>
    <w:rsid w:val="004A7FB0"/>
    <w:rsid w:val="004B06D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BA1"/>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490"/>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AED"/>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274"/>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233"/>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120"/>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AD0"/>
    <w:rsid w:val="00534C83"/>
    <w:rsid w:val="00534EE4"/>
    <w:rsid w:val="00535A27"/>
    <w:rsid w:val="00535B60"/>
    <w:rsid w:val="00536AEE"/>
    <w:rsid w:val="00536D47"/>
    <w:rsid w:val="00537092"/>
    <w:rsid w:val="00537640"/>
    <w:rsid w:val="00537740"/>
    <w:rsid w:val="00537989"/>
    <w:rsid w:val="00537BE9"/>
    <w:rsid w:val="00540055"/>
    <w:rsid w:val="00540147"/>
    <w:rsid w:val="00540725"/>
    <w:rsid w:val="00540C7A"/>
    <w:rsid w:val="005417A0"/>
    <w:rsid w:val="0054183A"/>
    <w:rsid w:val="00541D0D"/>
    <w:rsid w:val="00541E2B"/>
    <w:rsid w:val="00542175"/>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005"/>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091"/>
    <w:rsid w:val="00594131"/>
    <w:rsid w:val="005943C6"/>
    <w:rsid w:val="005946E2"/>
    <w:rsid w:val="0059478F"/>
    <w:rsid w:val="0059486C"/>
    <w:rsid w:val="00595308"/>
    <w:rsid w:val="00595777"/>
    <w:rsid w:val="00595DA2"/>
    <w:rsid w:val="00595E51"/>
    <w:rsid w:val="00595E99"/>
    <w:rsid w:val="00596308"/>
    <w:rsid w:val="005968C4"/>
    <w:rsid w:val="00596C28"/>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B56"/>
    <w:rsid w:val="005A320D"/>
    <w:rsid w:val="005A36E3"/>
    <w:rsid w:val="005A3A31"/>
    <w:rsid w:val="005A416C"/>
    <w:rsid w:val="005A588D"/>
    <w:rsid w:val="005A59CF"/>
    <w:rsid w:val="005A60C1"/>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2D5"/>
    <w:rsid w:val="005C247C"/>
    <w:rsid w:val="005C2D32"/>
    <w:rsid w:val="005C376D"/>
    <w:rsid w:val="005C4B4D"/>
    <w:rsid w:val="005C4CD6"/>
    <w:rsid w:val="005C4DE3"/>
    <w:rsid w:val="005C5024"/>
    <w:rsid w:val="005C5062"/>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2338"/>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2859"/>
    <w:rsid w:val="00623427"/>
    <w:rsid w:val="00623AEB"/>
    <w:rsid w:val="00623E4E"/>
    <w:rsid w:val="00624C2C"/>
    <w:rsid w:val="00624C6E"/>
    <w:rsid w:val="00624FB3"/>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82"/>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74"/>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38"/>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CB4"/>
    <w:rsid w:val="006B1DA2"/>
    <w:rsid w:val="006B1F5F"/>
    <w:rsid w:val="006B2008"/>
    <w:rsid w:val="006B21E9"/>
    <w:rsid w:val="006B242D"/>
    <w:rsid w:val="006B2431"/>
    <w:rsid w:val="006B393F"/>
    <w:rsid w:val="006B3E55"/>
    <w:rsid w:val="006B401E"/>
    <w:rsid w:val="006B5111"/>
    <w:rsid w:val="006B6346"/>
    <w:rsid w:val="006B6AD0"/>
    <w:rsid w:val="006B6BA3"/>
    <w:rsid w:val="006B6C3F"/>
    <w:rsid w:val="006B6C83"/>
    <w:rsid w:val="006B6C95"/>
    <w:rsid w:val="006B725C"/>
    <w:rsid w:val="006B7864"/>
    <w:rsid w:val="006C03B2"/>
    <w:rsid w:val="006C09DD"/>
    <w:rsid w:val="006C0B08"/>
    <w:rsid w:val="006C1142"/>
    <w:rsid w:val="006C1384"/>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833"/>
    <w:rsid w:val="006D3D01"/>
    <w:rsid w:val="006D4133"/>
    <w:rsid w:val="006D4373"/>
    <w:rsid w:val="006D492A"/>
    <w:rsid w:val="006D493C"/>
    <w:rsid w:val="006D5457"/>
    <w:rsid w:val="006D59BF"/>
    <w:rsid w:val="006D5A62"/>
    <w:rsid w:val="006D5EC2"/>
    <w:rsid w:val="006D5F00"/>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323"/>
    <w:rsid w:val="006E28F8"/>
    <w:rsid w:val="006E2BAD"/>
    <w:rsid w:val="006E3D3A"/>
    <w:rsid w:val="006E4646"/>
    <w:rsid w:val="006E4FF7"/>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7B9"/>
    <w:rsid w:val="006F1D86"/>
    <w:rsid w:val="006F1E30"/>
    <w:rsid w:val="006F20A6"/>
    <w:rsid w:val="006F291E"/>
    <w:rsid w:val="006F3052"/>
    <w:rsid w:val="006F314D"/>
    <w:rsid w:val="006F3B01"/>
    <w:rsid w:val="006F3C66"/>
    <w:rsid w:val="006F4189"/>
    <w:rsid w:val="006F4241"/>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42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27EAA"/>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5D0"/>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B32"/>
    <w:rsid w:val="00751F76"/>
    <w:rsid w:val="0075211C"/>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EA7"/>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FCF"/>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BE"/>
    <w:rsid w:val="007947FB"/>
    <w:rsid w:val="00794DFE"/>
    <w:rsid w:val="007954AC"/>
    <w:rsid w:val="00795804"/>
    <w:rsid w:val="00795809"/>
    <w:rsid w:val="00795BA6"/>
    <w:rsid w:val="0079601B"/>
    <w:rsid w:val="007962E1"/>
    <w:rsid w:val="00796B15"/>
    <w:rsid w:val="00796E96"/>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6FC"/>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3F7"/>
    <w:rsid w:val="007C7578"/>
    <w:rsid w:val="007C779D"/>
    <w:rsid w:val="007C7EF3"/>
    <w:rsid w:val="007D020B"/>
    <w:rsid w:val="007D02A6"/>
    <w:rsid w:val="007D0645"/>
    <w:rsid w:val="007D098C"/>
    <w:rsid w:val="007D11B6"/>
    <w:rsid w:val="007D149C"/>
    <w:rsid w:val="007D163B"/>
    <w:rsid w:val="007D17BC"/>
    <w:rsid w:val="007D1B7C"/>
    <w:rsid w:val="007D214A"/>
    <w:rsid w:val="007D2D96"/>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E31"/>
    <w:rsid w:val="007E5FFD"/>
    <w:rsid w:val="007E6239"/>
    <w:rsid w:val="007E6735"/>
    <w:rsid w:val="007E67F4"/>
    <w:rsid w:val="007E732E"/>
    <w:rsid w:val="007E741E"/>
    <w:rsid w:val="007E7B2B"/>
    <w:rsid w:val="007E7E6F"/>
    <w:rsid w:val="007F05E0"/>
    <w:rsid w:val="007F0B77"/>
    <w:rsid w:val="007F0B82"/>
    <w:rsid w:val="007F0DD3"/>
    <w:rsid w:val="007F1083"/>
    <w:rsid w:val="007F1326"/>
    <w:rsid w:val="007F18C0"/>
    <w:rsid w:val="007F2477"/>
    <w:rsid w:val="007F2DBB"/>
    <w:rsid w:val="007F2ED4"/>
    <w:rsid w:val="007F3960"/>
    <w:rsid w:val="007F3C69"/>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1B4"/>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D2"/>
    <w:rsid w:val="008235E4"/>
    <w:rsid w:val="008237B2"/>
    <w:rsid w:val="00823B2A"/>
    <w:rsid w:val="00823F61"/>
    <w:rsid w:val="0082449E"/>
    <w:rsid w:val="008247A4"/>
    <w:rsid w:val="008249FF"/>
    <w:rsid w:val="008251EC"/>
    <w:rsid w:val="00825511"/>
    <w:rsid w:val="00825693"/>
    <w:rsid w:val="008258D7"/>
    <w:rsid w:val="00825EEF"/>
    <w:rsid w:val="00826204"/>
    <w:rsid w:val="008263E0"/>
    <w:rsid w:val="00826D90"/>
    <w:rsid w:val="00827015"/>
    <w:rsid w:val="00827109"/>
    <w:rsid w:val="008272E9"/>
    <w:rsid w:val="00827A41"/>
    <w:rsid w:val="00827AF3"/>
    <w:rsid w:val="0083179C"/>
    <w:rsid w:val="00832142"/>
    <w:rsid w:val="008327C9"/>
    <w:rsid w:val="00832C18"/>
    <w:rsid w:val="00832CAF"/>
    <w:rsid w:val="0083311A"/>
    <w:rsid w:val="008333BB"/>
    <w:rsid w:val="0083417A"/>
    <w:rsid w:val="00834512"/>
    <w:rsid w:val="008349E7"/>
    <w:rsid w:val="0083502E"/>
    <w:rsid w:val="008350E9"/>
    <w:rsid w:val="00835B82"/>
    <w:rsid w:val="00835F91"/>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17"/>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40"/>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D"/>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0E50"/>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5CD"/>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0523"/>
    <w:rsid w:val="008C1161"/>
    <w:rsid w:val="008C2135"/>
    <w:rsid w:val="008C2236"/>
    <w:rsid w:val="008C2426"/>
    <w:rsid w:val="008C2453"/>
    <w:rsid w:val="008C26B4"/>
    <w:rsid w:val="008C2767"/>
    <w:rsid w:val="008C2BC8"/>
    <w:rsid w:val="008C4B47"/>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08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00A"/>
    <w:rsid w:val="008F1CF8"/>
    <w:rsid w:val="008F2201"/>
    <w:rsid w:val="008F2A8C"/>
    <w:rsid w:val="008F2C69"/>
    <w:rsid w:val="008F3069"/>
    <w:rsid w:val="008F35F6"/>
    <w:rsid w:val="008F39AA"/>
    <w:rsid w:val="008F3D2D"/>
    <w:rsid w:val="008F3D7C"/>
    <w:rsid w:val="008F3DC9"/>
    <w:rsid w:val="008F4107"/>
    <w:rsid w:val="008F4B0F"/>
    <w:rsid w:val="008F4BFE"/>
    <w:rsid w:val="008F4E3F"/>
    <w:rsid w:val="008F535A"/>
    <w:rsid w:val="008F5406"/>
    <w:rsid w:val="008F5866"/>
    <w:rsid w:val="008F595E"/>
    <w:rsid w:val="008F5CC6"/>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881"/>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171A3"/>
    <w:rsid w:val="0092078E"/>
    <w:rsid w:val="00920848"/>
    <w:rsid w:val="00921520"/>
    <w:rsid w:val="009216BF"/>
    <w:rsid w:val="009218D2"/>
    <w:rsid w:val="00921A44"/>
    <w:rsid w:val="00921A74"/>
    <w:rsid w:val="00921C9F"/>
    <w:rsid w:val="00921ED5"/>
    <w:rsid w:val="00921FA1"/>
    <w:rsid w:val="009225B6"/>
    <w:rsid w:val="00922E35"/>
    <w:rsid w:val="00923151"/>
    <w:rsid w:val="009235CF"/>
    <w:rsid w:val="00923821"/>
    <w:rsid w:val="00924108"/>
    <w:rsid w:val="0092507E"/>
    <w:rsid w:val="009250C2"/>
    <w:rsid w:val="00925267"/>
    <w:rsid w:val="00925836"/>
    <w:rsid w:val="00925B66"/>
    <w:rsid w:val="00925DD1"/>
    <w:rsid w:val="009260EC"/>
    <w:rsid w:val="00926264"/>
    <w:rsid w:val="00926595"/>
    <w:rsid w:val="0092686F"/>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581B"/>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1D3"/>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CEE"/>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410"/>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90F"/>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6FD1"/>
    <w:rsid w:val="009B70E9"/>
    <w:rsid w:val="009B7564"/>
    <w:rsid w:val="009B7BB7"/>
    <w:rsid w:val="009B7FFA"/>
    <w:rsid w:val="009C00EF"/>
    <w:rsid w:val="009C0BC1"/>
    <w:rsid w:val="009C0DBE"/>
    <w:rsid w:val="009C19BC"/>
    <w:rsid w:val="009C19D2"/>
    <w:rsid w:val="009C1BF9"/>
    <w:rsid w:val="009C1D4B"/>
    <w:rsid w:val="009C1E0C"/>
    <w:rsid w:val="009C21E5"/>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546"/>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1A5"/>
    <w:rsid w:val="00A279DC"/>
    <w:rsid w:val="00A30703"/>
    <w:rsid w:val="00A30BAE"/>
    <w:rsid w:val="00A3135B"/>
    <w:rsid w:val="00A313D0"/>
    <w:rsid w:val="00A314A9"/>
    <w:rsid w:val="00A31591"/>
    <w:rsid w:val="00A31E88"/>
    <w:rsid w:val="00A3216A"/>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EBE"/>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3BC0"/>
    <w:rsid w:val="00A63F73"/>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3E8"/>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77975"/>
    <w:rsid w:val="00A806D6"/>
    <w:rsid w:val="00A8135C"/>
    <w:rsid w:val="00A81633"/>
    <w:rsid w:val="00A81694"/>
    <w:rsid w:val="00A81D9B"/>
    <w:rsid w:val="00A8221B"/>
    <w:rsid w:val="00A8238C"/>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A59"/>
    <w:rsid w:val="00AA2CD8"/>
    <w:rsid w:val="00AA30A2"/>
    <w:rsid w:val="00AA461D"/>
    <w:rsid w:val="00AA479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C9"/>
    <w:rsid w:val="00AB0ADE"/>
    <w:rsid w:val="00AB0B59"/>
    <w:rsid w:val="00AB0CA0"/>
    <w:rsid w:val="00AB102D"/>
    <w:rsid w:val="00AB1705"/>
    <w:rsid w:val="00AB1A33"/>
    <w:rsid w:val="00AB2857"/>
    <w:rsid w:val="00AB2EB7"/>
    <w:rsid w:val="00AB3299"/>
    <w:rsid w:val="00AB3418"/>
    <w:rsid w:val="00AB3491"/>
    <w:rsid w:val="00AB3789"/>
    <w:rsid w:val="00AB3865"/>
    <w:rsid w:val="00AB3E16"/>
    <w:rsid w:val="00AB3E3E"/>
    <w:rsid w:val="00AB3F13"/>
    <w:rsid w:val="00AB4157"/>
    <w:rsid w:val="00AB42FF"/>
    <w:rsid w:val="00AB4300"/>
    <w:rsid w:val="00AB476F"/>
    <w:rsid w:val="00AB513E"/>
    <w:rsid w:val="00AB51DA"/>
    <w:rsid w:val="00AB53BA"/>
    <w:rsid w:val="00AB541E"/>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2D19"/>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112"/>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1AB"/>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04"/>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23D"/>
    <w:rsid w:val="00B137BE"/>
    <w:rsid w:val="00B13829"/>
    <w:rsid w:val="00B13F1F"/>
    <w:rsid w:val="00B14021"/>
    <w:rsid w:val="00B14251"/>
    <w:rsid w:val="00B147CC"/>
    <w:rsid w:val="00B15141"/>
    <w:rsid w:val="00B151C6"/>
    <w:rsid w:val="00B15559"/>
    <w:rsid w:val="00B15916"/>
    <w:rsid w:val="00B16815"/>
    <w:rsid w:val="00B1692D"/>
    <w:rsid w:val="00B16B22"/>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08B9"/>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604"/>
    <w:rsid w:val="00B95A04"/>
    <w:rsid w:val="00B95C49"/>
    <w:rsid w:val="00B95EEF"/>
    <w:rsid w:val="00B95FD7"/>
    <w:rsid w:val="00B96228"/>
    <w:rsid w:val="00B96313"/>
    <w:rsid w:val="00B96CF0"/>
    <w:rsid w:val="00B96DA2"/>
    <w:rsid w:val="00B97771"/>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180"/>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44B"/>
    <w:rsid w:val="00BC2BC7"/>
    <w:rsid w:val="00BC2F45"/>
    <w:rsid w:val="00BC344E"/>
    <w:rsid w:val="00BC38B8"/>
    <w:rsid w:val="00BC39E6"/>
    <w:rsid w:val="00BC3CF8"/>
    <w:rsid w:val="00BC4B9C"/>
    <w:rsid w:val="00BC5181"/>
    <w:rsid w:val="00BC56C1"/>
    <w:rsid w:val="00BC5CE2"/>
    <w:rsid w:val="00BC642E"/>
    <w:rsid w:val="00BC6742"/>
    <w:rsid w:val="00BC71C5"/>
    <w:rsid w:val="00BC74BA"/>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57E4"/>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19"/>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8A5"/>
    <w:rsid w:val="00C47AE8"/>
    <w:rsid w:val="00C47B93"/>
    <w:rsid w:val="00C47BDE"/>
    <w:rsid w:val="00C47EC4"/>
    <w:rsid w:val="00C508B7"/>
    <w:rsid w:val="00C509D3"/>
    <w:rsid w:val="00C5149D"/>
    <w:rsid w:val="00C51696"/>
    <w:rsid w:val="00C5193F"/>
    <w:rsid w:val="00C51BD7"/>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379"/>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1D59"/>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795"/>
    <w:rsid w:val="00CA2919"/>
    <w:rsid w:val="00CA2C56"/>
    <w:rsid w:val="00CA49C0"/>
    <w:rsid w:val="00CA4A24"/>
    <w:rsid w:val="00CA4A3F"/>
    <w:rsid w:val="00CA4C14"/>
    <w:rsid w:val="00CA4F58"/>
    <w:rsid w:val="00CA512C"/>
    <w:rsid w:val="00CA51A0"/>
    <w:rsid w:val="00CA5DA3"/>
    <w:rsid w:val="00CA6164"/>
    <w:rsid w:val="00CA6BDF"/>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3DE"/>
    <w:rsid w:val="00CC74D5"/>
    <w:rsid w:val="00CC7A6D"/>
    <w:rsid w:val="00CC7DF5"/>
    <w:rsid w:val="00CD04B6"/>
    <w:rsid w:val="00CD0740"/>
    <w:rsid w:val="00CD0768"/>
    <w:rsid w:val="00CD0B87"/>
    <w:rsid w:val="00CD14CB"/>
    <w:rsid w:val="00CD179D"/>
    <w:rsid w:val="00CD1D0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0794"/>
    <w:rsid w:val="00CF18AB"/>
    <w:rsid w:val="00CF193E"/>
    <w:rsid w:val="00CF1AA6"/>
    <w:rsid w:val="00CF1C27"/>
    <w:rsid w:val="00CF20C8"/>
    <w:rsid w:val="00CF2639"/>
    <w:rsid w:val="00CF2EF5"/>
    <w:rsid w:val="00CF2FBF"/>
    <w:rsid w:val="00CF30A7"/>
    <w:rsid w:val="00CF33BA"/>
    <w:rsid w:val="00CF3E2B"/>
    <w:rsid w:val="00CF3F01"/>
    <w:rsid w:val="00CF4050"/>
    <w:rsid w:val="00CF41AE"/>
    <w:rsid w:val="00CF495B"/>
    <w:rsid w:val="00CF4B3B"/>
    <w:rsid w:val="00CF4F02"/>
    <w:rsid w:val="00CF4F88"/>
    <w:rsid w:val="00CF5EE9"/>
    <w:rsid w:val="00CF61A3"/>
    <w:rsid w:val="00CF66DE"/>
    <w:rsid w:val="00CF680D"/>
    <w:rsid w:val="00CF6848"/>
    <w:rsid w:val="00CF6AF3"/>
    <w:rsid w:val="00CF6C9A"/>
    <w:rsid w:val="00CF74F6"/>
    <w:rsid w:val="00CF76AE"/>
    <w:rsid w:val="00CF7CCF"/>
    <w:rsid w:val="00CF7D8D"/>
    <w:rsid w:val="00D0033A"/>
    <w:rsid w:val="00D00522"/>
    <w:rsid w:val="00D00B22"/>
    <w:rsid w:val="00D00CF5"/>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552A"/>
    <w:rsid w:val="00D15D9D"/>
    <w:rsid w:val="00D1624D"/>
    <w:rsid w:val="00D16ABB"/>
    <w:rsid w:val="00D1782F"/>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5A1"/>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08"/>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2B5"/>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1B3"/>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4E2C"/>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B8D"/>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2A8"/>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D1"/>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6226"/>
    <w:rsid w:val="00DE72D7"/>
    <w:rsid w:val="00DE752E"/>
    <w:rsid w:val="00DE7793"/>
    <w:rsid w:val="00DE7D03"/>
    <w:rsid w:val="00DE7F45"/>
    <w:rsid w:val="00DF02EC"/>
    <w:rsid w:val="00DF0820"/>
    <w:rsid w:val="00DF0D33"/>
    <w:rsid w:val="00DF0E63"/>
    <w:rsid w:val="00DF12DC"/>
    <w:rsid w:val="00DF1300"/>
    <w:rsid w:val="00DF1EB6"/>
    <w:rsid w:val="00DF1FD6"/>
    <w:rsid w:val="00DF21AF"/>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0D0"/>
    <w:rsid w:val="00DF7226"/>
    <w:rsid w:val="00DF799C"/>
    <w:rsid w:val="00DF7BC3"/>
    <w:rsid w:val="00E00368"/>
    <w:rsid w:val="00E005F5"/>
    <w:rsid w:val="00E00A07"/>
    <w:rsid w:val="00E00A92"/>
    <w:rsid w:val="00E01395"/>
    <w:rsid w:val="00E019EA"/>
    <w:rsid w:val="00E01A5C"/>
    <w:rsid w:val="00E023FC"/>
    <w:rsid w:val="00E028E6"/>
    <w:rsid w:val="00E02C20"/>
    <w:rsid w:val="00E0324B"/>
    <w:rsid w:val="00E0345F"/>
    <w:rsid w:val="00E03BEA"/>
    <w:rsid w:val="00E0401E"/>
    <w:rsid w:val="00E046C1"/>
    <w:rsid w:val="00E049EC"/>
    <w:rsid w:val="00E0525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24A"/>
    <w:rsid w:val="00E57623"/>
    <w:rsid w:val="00E6000E"/>
    <w:rsid w:val="00E60050"/>
    <w:rsid w:val="00E6014B"/>
    <w:rsid w:val="00E602C9"/>
    <w:rsid w:val="00E608B7"/>
    <w:rsid w:val="00E608E1"/>
    <w:rsid w:val="00E60C72"/>
    <w:rsid w:val="00E60E12"/>
    <w:rsid w:val="00E60F80"/>
    <w:rsid w:val="00E6134E"/>
    <w:rsid w:val="00E613CE"/>
    <w:rsid w:val="00E61DAC"/>
    <w:rsid w:val="00E61F86"/>
    <w:rsid w:val="00E62AF2"/>
    <w:rsid w:val="00E62C6B"/>
    <w:rsid w:val="00E62DDA"/>
    <w:rsid w:val="00E630F7"/>
    <w:rsid w:val="00E6311A"/>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865"/>
    <w:rsid w:val="00E82EE0"/>
    <w:rsid w:val="00E83280"/>
    <w:rsid w:val="00E832C9"/>
    <w:rsid w:val="00E8344D"/>
    <w:rsid w:val="00E83469"/>
    <w:rsid w:val="00E83E6E"/>
    <w:rsid w:val="00E8412F"/>
    <w:rsid w:val="00E843EF"/>
    <w:rsid w:val="00E84661"/>
    <w:rsid w:val="00E84934"/>
    <w:rsid w:val="00E84A69"/>
    <w:rsid w:val="00E84BAF"/>
    <w:rsid w:val="00E85311"/>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D59"/>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8D6"/>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A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0A78"/>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B1"/>
    <w:rsid w:val="00EE752C"/>
    <w:rsid w:val="00EE7D91"/>
    <w:rsid w:val="00EE7ECE"/>
    <w:rsid w:val="00EE7F2E"/>
    <w:rsid w:val="00EF082A"/>
    <w:rsid w:val="00EF0D58"/>
    <w:rsid w:val="00EF0E50"/>
    <w:rsid w:val="00EF16D6"/>
    <w:rsid w:val="00EF17D0"/>
    <w:rsid w:val="00EF209D"/>
    <w:rsid w:val="00EF20FD"/>
    <w:rsid w:val="00EF2457"/>
    <w:rsid w:val="00EF2786"/>
    <w:rsid w:val="00EF28E6"/>
    <w:rsid w:val="00EF2FDA"/>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F30"/>
    <w:rsid w:val="00F046FD"/>
    <w:rsid w:val="00F04D51"/>
    <w:rsid w:val="00F05EED"/>
    <w:rsid w:val="00F06F02"/>
    <w:rsid w:val="00F10437"/>
    <w:rsid w:val="00F10465"/>
    <w:rsid w:val="00F10864"/>
    <w:rsid w:val="00F1120C"/>
    <w:rsid w:val="00F1165E"/>
    <w:rsid w:val="00F11CF5"/>
    <w:rsid w:val="00F12B3D"/>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8EE"/>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CBE"/>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17E"/>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200"/>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5E2"/>
    <w:rsid w:val="00F94737"/>
    <w:rsid w:val="00F9495D"/>
    <w:rsid w:val="00F95013"/>
    <w:rsid w:val="00F951BD"/>
    <w:rsid w:val="00F9590D"/>
    <w:rsid w:val="00F95E92"/>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5A"/>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177"/>
    <w:rsid w:val="00FC53FA"/>
    <w:rsid w:val="00FC545C"/>
    <w:rsid w:val="00FC54D1"/>
    <w:rsid w:val="00FC553E"/>
    <w:rsid w:val="00FC65A0"/>
    <w:rsid w:val="00FC6B41"/>
    <w:rsid w:val="00FC6D8C"/>
    <w:rsid w:val="00FC791E"/>
    <w:rsid w:val="00FC7F93"/>
    <w:rsid w:val="00FD10D2"/>
    <w:rsid w:val="00FD235B"/>
    <w:rsid w:val="00FD23EF"/>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0CAD"/>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49AA"/>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9794392">
      <w:bodyDiv w:val="1"/>
      <w:marLeft w:val="0"/>
      <w:marRight w:val="0"/>
      <w:marTop w:val="0"/>
      <w:marBottom w:val="0"/>
      <w:divBdr>
        <w:top w:val="none" w:sz="0" w:space="0" w:color="auto"/>
        <w:left w:val="none" w:sz="0" w:space="0" w:color="auto"/>
        <w:bottom w:val="none" w:sz="0" w:space="0" w:color="auto"/>
        <w:right w:val="none" w:sz="0" w:space="0" w:color="auto"/>
      </w:divBdr>
      <w:divsChild>
        <w:div w:id="1691445702">
          <w:marLeft w:val="547"/>
          <w:marRight w:val="0"/>
          <w:marTop w:val="106"/>
          <w:marBottom w:val="0"/>
          <w:divBdr>
            <w:top w:val="none" w:sz="0" w:space="0" w:color="auto"/>
            <w:left w:val="none" w:sz="0" w:space="0" w:color="auto"/>
            <w:bottom w:val="none" w:sz="0" w:space="0" w:color="auto"/>
            <w:right w:val="none" w:sz="0" w:space="0" w:color="auto"/>
          </w:divBdr>
        </w:div>
        <w:div w:id="1182358356">
          <w:marLeft w:val="547"/>
          <w:marRight w:val="0"/>
          <w:marTop w:val="106"/>
          <w:marBottom w:val="0"/>
          <w:divBdr>
            <w:top w:val="none" w:sz="0" w:space="0" w:color="auto"/>
            <w:left w:val="none" w:sz="0" w:space="0" w:color="auto"/>
            <w:bottom w:val="none" w:sz="0" w:space="0" w:color="auto"/>
            <w:right w:val="none" w:sz="0" w:space="0" w:color="auto"/>
          </w:divBdr>
        </w:div>
        <w:div w:id="2037734056">
          <w:marLeft w:val="547"/>
          <w:marRight w:val="0"/>
          <w:marTop w:val="106"/>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13156">
      <w:bodyDiv w:val="1"/>
      <w:marLeft w:val="0"/>
      <w:marRight w:val="0"/>
      <w:marTop w:val="0"/>
      <w:marBottom w:val="0"/>
      <w:divBdr>
        <w:top w:val="none" w:sz="0" w:space="0" w:color="auto"/>
        <w:left w:val="none" w:sz="0" w:space="0" w:color="auto"/>
        <w:bottom w:val="none" w:sz="0" w:space="0" w:color="auto"/>
        <w:right w:val="none" w:sz="0" w:space="0" w:color="auto"/>
      </w:divBdr>
      <w:divsChild>
        <w:div w:id="12849147">
          <w:marLeft w:val="547"/>
          <w:marRight w:val="0"/>
          <w:marTop w:val="106"/>
          <w:marBottom w:val="0"/>
          <w:divBdr>
            <w:top w:val="none" w:sz="0" w:space="0" w:color="auto"/>
            <w:left w:val="none" w:sz="0" w:space="0" w:color="auto"/>
            <w:bottom w:val="none" w:sz="0" w:space="0" w:color="auto"/>
            <w:right w:val="none" w:sz="0" w:space="0" w:color="auto"/>
          </w:divBdr>
        </w:div>
        <w:div w:id="2108190038">
          <w:marLeft w:val="547"/>
          <w:marRight w:val="0"/>
          <w:marTop w:val="106"/>
          <w:marBottom w:val="0"/>
          <w:divBdr>
            <w:top w:val="none" w:sz="0" w:space="0" w:color="auto"/>
            <w:left w:val="none" w:sz="0" w:space="0" w:color="auto"/>
            <w:bottom w:val="none" w:sz="0" w:space="0" w:color="auto"/>
            <w:right w:val="none" w:sz="0" w:space="0" w:color="auto"/>
          </w:divBdr>
        </w:div>
        <w:div w:id="1719622691">
          <w:marLeft w:val="547"/>
          <w:marRight w:val="0"/>
          <w:marTop w:val="10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1583945">
      <w:bodyDiv w:val="1"/>
      <w:marLeft w:val="0"/>
      <w:marRight w:val="0"/>
      <w:marTop w:val="0"/>
      <w:marBottom w:val="0"/>
      <w:divBdr>
        <w:top w:val="none" w:sz="0" w:space="0" w:color="auto"/>
        <w:left w:val="none" w:sz="0" w:space="0" w:color="auto"/>
        <w:bottom w:val="none" w:sz="0" w:space="0" w:color="auto"/>
        <w:right w:val="none" w:sz="0" w:space="0" w:color="auto"/>
      </w:divBdr>
      <w:divsChild>
        <w:div w:id="26486478">
          <w:marLeft w:val="0"/>
          <w:marRight w:val="0"/>
          <w:marTop w:val="0"/>
          <w:marBottom w:val="0"/>
          <w:divBdr>
            <w:top w:val="none" w:sz="0" w:space="0" w:color="auto"/>
            <w:left w:val="none" w:sz="0" w:space="0" w:color="auto"/>
            <w:bottom w:val="none" w:sz="0" w:space="0" w:color="auto"/>
            <w:right w:val="none" w:sz="0" w:space="0" w:color="auto"/>
          </w:divBdr>
          <w:divsChild>
            <w:div w:id="2071878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HR33RHYHUWRF-4-957</_dlc_DocId>
    <_dlc_DocIdUrl xmlns="c06861ca-3f08-4d07-bff7-bb15bac121f4">
      <Url>https://projects.qualcomm.com/sites/pentari/_layouts/15/DocIdRedir.aspx?ID=HR33RHYHUWRF-4-957</Url>
      <Description>HR33RHYHUWRF-4-957</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CB2680-6880-4F24-B49F-757BC653EF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DE437376-A7B6-47B7-A9FE-9D6C62534131}">
  <ds:schemaRefs>
    <ds:schemaRef ds:uri="http://schemas.openxmlformats.org/package/2006/metadata/core-properties"/>
    <ds:schemaRef ds:uri="http://purl.org/dc/elements/1.1/"/>
    <ds:schemaRef ds:uri="http://purl.org/dc/terms/"/>
    <ds:schemaRef ds:uri="http://purl.org/dc/dcmitype/"/>
    <ds:schemaRef ds:uri="http://www.w3.org/XML/1998/namespace"/>
    <ds:schemaRef ds:uri="http://schemas.microsoft.com/office/2006/documentManagement/types"/>
    <ds:schemaRef ds:uri="c06861ca-3f08-4d07-bff7-bb15bac121f4"/>
    <ds:schemaRef ds:uri="http://schemas.microsoft.com/office/infopath/2007/PartnerControls"/>
    <ds:schemaRef ds:uri="http://schemas.microsoft.com/office/2006/metadata/properties"/>
  </ds:schemaRefs>
</ds:datastoreItem>
</file>

<file path=customXml/itemProps5.xml><?xml version="1.0" encoding="utf-8"?>
<ds:datastoreItem xmlns:ds="http://schemas.openxmlformats.org/officeDocument/2006/customXml" ds:itemID="{99BD9591-5E6F-4483-B75F-923930429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4</Pages>
  <Words>1437</Words>
  <Characters>8197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9615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Joseph Soriaga</cp:lastModifiedBy>
  <cp:revision>44</cp:revision>
  <cp:lastPrinted>2014-11-07T05:38:00Z</cp:lastPrinted>
  <dcterms:created xsi:type="dcterms:W3CDTF">2016-11-05T02:46:00Z</dcterms:created>
  <dcterms:modified xsi:type="dcterms:W3CDTF">2016-11-05T20:56:00Z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720e21b3-843c-4ca5-a693-eff2bc7be97d</vt:lpwstr>
  </property>
</Properties>
</file>