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C02" w:rsidRPr="005F4BD1" w:rsidRDefault="002D4C02" w:rsidP="002D4C02">
      <w:pPr>
        <w:pStyle w:val="a5"/>
        <w:tabs>
          <w:tab w:val="left" w:pos="1800"/>
        </w:tabs>
        <w:ind w:left="1800" w:hanging="1800"/>
        <w:rPr>
          <w:rFonts w:eastAsia="宋体"/>
          <w:sz w:val="22"/>
          <w:szCs w:val="22"/>
          <w:lang w:eastAsia="zh-CN"/>
        </w:rPr>
      </w:pPr>
      <w:r w:rsidRPr="005F4BD1">
        <w:rPr>
          <w:sz w:val="22"/>
          <w:szCs w:val="22"/>
        </w:rPr>
        <w:t>3GPP TSG RAN WG1 Meeting #</w:t>
      </w:r>
      <w:r>
        <w:rPr>
          <w:rFonts w:hint="eastAsia"/>
          <w:sz w:val="22"/>
          <w:szCs w:val="22"/>
        </w:rPr>
        <w:t>8</w:t>
      </w:r>
      <w:r>
        <w:rPr>
          <w:sz w:val="22"/>
          <w:szCs w:val="22"/>
        </w:rPr>
        <w:t>7</w:t>
      </w:r>
      <w:r>
        <w:rPr>
          <w:sz w:val="22"/>
          <w:szCs w:val="22"/>
        </w:rPr>
        <w:tab/>
      </w:r>
      <w:r>
        <w:rPr>
          <w:rFonts w:hint="eastAsia"/>
          <w:sz w:val="22"/>
          <w:szCs w:val="22"/>
        </w:rPr>
        <w:t xml:space="preserve"> </w:t>
      </w:r>
      <w:r w:rsidRPr="005F4BD1">
        <w:rPr>
          <w:rFonts w:hint="eastAsia"/>
          <w:sz w:val="22"/>
          <w:szCs w:val="22"/>
        </w:rPr>
        <w:t xml:space="preserve">                                                                </w:t>
      </w:r>
      <w:r>
        <w:rPr>
          <w:sz w:val="22"/>
          <w:szCs w:val="22"/>
        </w:rPr>
        <w:tab/>
      </w:r>
      <w:r>
        <w:rPr>
          <w:sz w:val="22"/>
          <w:szCs w:val="22"/>
        </w:rPr>
        <w:tab/>
      </w:r>
      <w:r>
        <w:rPr>
          <w:sz w:val="22"/>
          <w:szCs w:val="22"/>
        </w:rPr>
        <w:tab/>
      </w:r>
      <w:r w:rsidRPr="005F4BD1">
        <w:rPr>
          <w:sz w:val="22"/>
          <w:szCs w:val="22"/>
        </w:rPr>
        <w:t>R1-16</w:t>
      </w:r>
      <w:r>
        <w:rPr>
          <w:rFonts w:eastAsia="宋体"/>
          <w:sz w:val="22"/>
          <w:szCs w:val="22"/>
          <w:lang w:eastAsia="zh-CN"/>
        </w:rPr>
        <w:t>11365</w:t>
      </w:r>
    </w:p>
    <w:p w:rsidR="002D4C02" w:rsidRPr="005F4BD1" w:rsidRDefault="002D4C02" w:rsidP="002D4C02">
      <w:pPr>
        <w:pStyle w:val="a5"/>
        <w:tabs>
          <w:tab w:val="left" w:pos="1800"/>
        </w:tabs>
        <w:ind w:left="1800" w:hanging="1800"/>
        <w:rPr>
          <w:sz w:val="22"/>
          <w:szCs w:val="22"/>
        </w:rPr>
      </w:pPr>
      <w:r>
        <w:rPr>
          <w:sz w:val="22"/>
          <w:szCs w:val="22"/>
        </w:rPr>
        <w:t>Reno, NV, USA, 14</w:t>
      </w:r>
      <w:r w:rsidRPr="00556E64">
        <w:rPr>
          <w:sz w:val="22"/>
          <w:szCs w:val="22"/>
          <w:vertAlign w:val="superscript"/>
        </w:rPr>
        <w:t>th</w:t>
      </w:r>
      <w:r>
        <w:rPr>
          <w:sz w:val="22"/>
          <w:szCs w:val="22"/>
        </w:rPr>
        <w:t xml:space="preserve"> – 18</w:t>
      </w:r>
      <w:r w:rsidRPr="00556E64">
        <w:rPr>
          <w:sz w:val="22"/>
          <w:szCs w:val="22"/>
          <w:vertAlign w:val="superscript"/>
        </w:rPr>
        <w:t>th</w:t>
      </w:r>
      <w:r>
        <w:rPr>
          <w:sz w:val="22"/>
          <w:szCs w:val="22"/>
        </w:rPr>
        <w:t xml:space="preserve"> November</w:t>
      </w:r>
      <w:r w:rsidRPr="00556E64">
        <w:rPr>
          <w:sz w:val="22"/>
          <w:szCs w:val="22"/>
        </w:rPr>
        <w:t xml:space="preserve"> 2016</w:t>
      </w:r>
    </w:p>
    <w:p w:rsidR="002D4C02" w:rsidRDefault="002D4C02" w:rsidP="00DF1CB7">
      <w:pPr>
        <w:tabs>
          <w:tab w:val="right" w:pos="9630"/>
        </w:tabs>
        <w:spacing w:after="0"/>
        <w:rPr>
          <w:rFonts w:ascii="Arial" w:hAnsi="Arial" w:cs="Arial"/>
          <w:b/>
          <w:sz w:val="24"/>
        </w:rPr>
      </w:pPr>
    </w:p>
    <w:p w:rsidR="00DF1CB7" w:rsidRPr="00061DA0" w:rsidRDefault="00DF1CB7" w:rsidP="002D4C02">
      <w:pPr>
        <w:pStyle w:val="af5"/>
        <w:tabs>
          <w:tab w:val="left" w:pos="709"/>
          <w:tab w:val="right" w:pos="9639"/>
        </w:tabs>
        <w:wordWrap w:val="0"/>
        <w:spacing w:after="0"/>
        <w:ind w:right="24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2D4C02">
        <w:rPr>
          <w:rFonts w:ascii="Arial" w:hAnsi="Arial"/>
          <w:sz w:val="24"/>
        </w:rPr>
        <w:tab/>
        <w:t>7.1.1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1C0A5A" w:rsidRPr="001C0A5A">
        <w:rPr>
          <w:rFonts w:ascii="Arial" w:hAnsi="Arial"/>
          <w:sz w:val="24"/>
          <w:szCs w:val="24"/>
        </w:rPr>
        <w:t>Configurable DL control channel monitoring</w:t>
      </w:r>
      <w:r w:rsidR="002D4C02">
        <w:rPr>
          <w:rFonts w:ascii="Arial" w:hAnsi="Arial"/>
          <w:sz w:val="24"/>
          <w:szCs w:val="24"/>
        </w:rPr>
        <w:t xml:space="preserve"> for power saving and blank resource indication in NR</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DD213A" w:rsidRPr="00DD213A" w:rsidRDefault="00DD213A" w:rsidP="00DD213A">
      <w:r>
        <w:t>In RAN1#86bis, the blank resource indication for forward compatibility was agreed as follows,</w:t>
      </w:r>
    </w:p>
    <w:p w:rsidR="00DD213A" w:rsidRPr="005050D8" w:rsidRDefault="00DD213A" w:rsidP="00DD213A">
      <w:pPr>
        <w:numPr>
          <w:ilvl w:val="0"/>
          <w:numId w:val="23"/>
        </w:numPr>
        <w:spacing w:after="0"/>
      </w:pPr>
      <w:r w:rsidRPr="005050D8">
        <w:t xml:space="preserve">Explicit </w:t>
      </w:r>
      <w:proofErr w:type="spellStart"/>
      <w:r w:rsidRPr="005050D8">
        <w:t>signaling</w:t>
      </w:r>
      <w:proofErr w:type="spellEnd"/>
      <w:r w:rsidRPr="005050D8">
        <w:t xml:space="preserve"> to NR UEs </w:t>
      </w:r>
      <w:r>
        <w:rPr>
          <w:rFonts w:hint="eastAsia"/>
        </w:rPr>
        <w:t xml:space="preserve">can </w:t>
      </w:r>
      <w:r>
        <w:t>indicate</w:t>
      </w:r>
      <w:r w:rsidRPr="005050D8">
        <w:t xml:space="preserve"> </w:t>
      </w:r>
      <w:r>
        <w:rPr>
          <w:rFonts w:hint="eastAsia"/>
        </w:rPr>
        <w:t>reserved</w:t>
      </w:r>
      <w:r w:rsidRPr="005050D8">
        <w:t xml:space="preserve"> resources</w:t>
      </w:r>
    </w:p>
    <w:p w:rsidR="00DD213A" w:rsidRPr="005050D8" w:rsidRDefault="00DD213A" w:rsidP="00DD213A">
      <w:pPr>
        <w:numPr>
          <w:ilvl w:val="1"/>
          <w:numId w:val="23"/>
        </w:numPr>
        <w:spacing w:after="0"/>
      </w:pPr>
      <w:r w:rsidRPr="005050D8">
        <w:t xml:space="preserve">The details on </w:t>
      </w:r>
      <w:proofErr w:type="spellStart"/>
      <w:r w:rsidRPr="005050D8">
        <w:t>signaling</w:t>
      </w:r>
      <w:proofErr w:type="spellEnd"/>
      <w:r w:rsidRPr="005050D8">
        <w:t xml:space="preserve"> information and transmission are FFS </w:t>
      </w:r>
    </w:p>
    <w:p w:rsidR="00DD213A" w:rsidRPr="005050D8" w:rsidRDefault="00DD213A" w:rsidP="00DD213A">
      <w:pPr>
        <w:numPr>
          <w:ilvl w:val="2"/>
          <w:numId w:val="23"/>
        </w:numPr>
        <w:spacing w:after="0"/>
      </w:pPr>
      <w:r w:rsidRPr="005050D8">
        <w:t>e.g. granularity for blank resource indication</w:t>
      </w:r>
    </w:p>
    <w:p w:rsidR="00DD213A" w:rsidRPr="005050D8" w:rsidRDefault="00DD213A" w:rsidP="00DD213A">
      <w:pPr>
        <w:numPr>
          <w:ilvl w:val="2"/>
          <w:numId w:val="23"/>
        </w:numPr>
        <w:spacing w:after="0"/>
      </w:pPr>
      <w:r w:rsidRPr="005050D8">
        <w:t xml:space="preserve">e.g. RRC </w:t>
      </w:r>
      <w:proofErr w:type="spellStart"/>
      <w:r w:rsidRPr="005050D8">
        <w:t>signaling</w:t>
      </w:r>
      <w:proofErr w:type="spellEnd"/>
      <w:r w:rsidRPr="005050D8">
        <w:t xml:space="preserve"> and/or L1 </w:t>
      </w:r>
      <w:proofErr w:type="spellStart"/>
      <w:r w:rsidRPr="005050D8">
        <w:t>signaling</w:t>
      </w:r>
      <w:proofErr w:type="spellEnd"/>
      <w:r>
        <w:rPr>
          <w:rFonts w:hint="eastAsia"/>
        </w:rPr>
        <w:t xml:space="preserve"> (including DL control information)</w:t>
      </w:r>
    </w:p>
    <w:p w:rsidR="00DD213A" w:rsidRPr="005050D8" w:rsidRDefault="00DD213A" w:rsidP="00DD213A">
      <w:pPr>
        <w:numPr>
          <w:ilvl w:val="2"/>
          <w:numId w:val="23"/>
        </w:numPr>
        <w:spacing w:after="0"/>
      </w:pPr>
      <w:r w:rsidRPr="005050D8">
        <w:t xml:space="preserve">e.g. broadcast and/or unicast </w:t>
      </w:r>
      <w:proofErr w:type="spellStart"/>
      <w:r w:rsidRPr="005050D8">
        <w:t>signaling</w:t>
      </w:r>
      <w:proofErr w:type="spellEnd"/>
    </w:p>
    <w:p w:rsidR="00DD213A" w:rsidRDefault="00DD213A" w:rsidP="00DD213A">
      <w:pPr>
        <w:numPr>
          <w:ilvl w:val="2"/>
          <w:numId w:val="23"/>
        </w:numPr>
        <w:spacing w:after="0"/>
      </w:pPr>
      <w:r w:rsidRPr="005050D8">
        <w:t xml:space="preserve">e.g., whether this </w:t>
      </w:r>
      <w:proofErr w:type="spellStart"/>
      <w:r w:rsidRPr="005050D8">
        <w:t>signaling</w:t>
      </w:r>
      <w:proofErr w:type="spellEnd"/>
      <w:r w:rsidRPr="005050D8">
        <w:t xml:space="preserve"> is applicable to UE UL operation and/or DL operation and/or sidelink operation</w:t>
      </w:r>
    </w:p>
    <w:p w:rsidR="00DD213A" w:rsidRDefault="00DD213A" w:rsidP="00DD213A">
      <w:pPr>
        <w:numPr>
          <w:ilvl w:val="2"/>
          <w:numId w:val="23"/>
        </w:numPr>
        <w:spacing w:after="0"/>
      </w:pPr>
      <w:r>
        <w:rPr>
          <w:rFonts w:hint="eastAsia"/>
        </w:rPr>
        <w:t xml:space="preserve">FFS: combination of above </w:t>
      </w:r>
      <w:proofErr w:type="spellStart"/>
      <w:r>
        <w:t>signaling</w:t>
      </w:r>
      <w:proofErr w:type="spellEnd"/>
    </w:p>
    <w:p w:rsidR="00DD213A" w:rsidRDefault="00DD213A" w:rsidP="00150D5F">
      <w:pPr>
        <w:numPr>
          <w:ilvl w:val="2"/>
          <w:numId w:val="23"/>
        </w:numPr>
        <w:spacing w:after="0"/>
      </w:pPr>
      <w:r>
        <w:rPr>
          <w:rFonts w:hint="eastAsia"/>
        </w:rPr>
        <w:t xml:space="preserve">FFS: </w:t>
      </w:r>
      <w:r>
        <w:t>time and</w:t>
      </w:r>
      <w:r w:rsidRPr="005050D8">
        <w:t xml:space="preserve"> frequency</w:t>
      </w:r>
      <w:r>
        <w:rPr>
          <w:rFonts w:hint="eastAsia"/>
        </w:rPr>
        <w:t xml:space="preserve"> </w:t>
      </w:r>
      <w:r>
        <w:t>granularity</w:t>
      </w:r>
    </w:p>
    <w:p w:rsidR="00DD213A" w:rsidRDefault="00DD213A" w:rsidP="00DD213A">
      <w:pPr>
        <w:spacing w:after="0"/>
        <w:ind w:left="2160"/>
      </w:pPr>
    </w:p>
    <w:p w:rsidR="00150D5F" w:rsidRPr="00150D5F" w:rsidRDefault="00150D5F" w:rsidP="00150D5F">
      <w:pPr>
        <w:rPr>
          <w:lang w:val="en-US"/>
        </w:rPr>
      </w:pPr>
      <w:r>
        <w:t>In RAN1#86</w:t>
      </w:r>
      <w:r w:rsidR="00DD213A">
        <w:t xml:space="preserve">, </w:t>
      </w:r>
      <w:r w:rsidR="00D546BE">
        <w:rPr>
          <w:lang w:val="en-US"/>
        </w:rPr>
        <w:t>the</w:t>
      </w:r>
      <w:r>
        <w:rPr>
          <w:lang w:val="en-US"/>
        </w:rPr>
        <w:t xml:space="preserve"> UE energy consumption and power saving feature in NR frame structure design were a</w:t>
      </w:r>
      <w:r w:rsidR="00D546BE">
        <w:rPr>
          <w:lang w:val="en-US"/>
        </w:rPr>
        <w:t>greed in the following,</w:t>
      </w:r>
    </w:p>
    <w:p w:rsidR="00150D5F" w:rsidRPr="009E01F7" w:rsidRDefault="00150D5F" w:rsidP="00150D5F">
      <w:pPr>
        <w:numPr>
          <w:ilvl w:val="0"/>
          <w:numId w:val="19"/>
        </w:numPr>
        <w:spacing w:after="0"/>
        <w:rPr>
          <w:lang w:val="en-US"/>
        </w:rPr>
      </w:pPr>
      <w:r w:rsidRPr="000072B3">
        <w:t xml:space="preserve">Impact of UE </w:t>
      </w:r>
      <w:r>
        <w:rPr>
          <w:rFonts w:hint="eastAsia"/>
        </w:rPr>
        <w:t>DL reception</w:t>
      </w:r>
      <w:r>
        <w:t xml:space="preserve"> </w:t>
      </w:r>
      <w:r>
        <w:rPr>
          <w:rFonts w:hint="eastAsia"/>
        </w:rPr>
        <w:t>energy</w:t>
      </w:r>
      <w:r w:rsidRPr="000072B3">
        <w:t xml:space="preserve"> consumption </w:t>
      </w:r>
      <w:r>
        <w:t>should be studied</w:t>
      </w:r>
      <w:r>
        <w:rPr>
          <w:rFonts w:hint="eastAsia"/>
        </w:rPr>
        <w:t xml:space="preserve"> </w:t>
      </w:r>
      <w:r>
        <w:rPr>
          <w:rFonts w:hint="eastAsia"/>
          <w:iCs/>
        </w:rPr>
        <w:t xml:space="preserve">also considering the total power consumption mainly focusing on </w:t>
      </w:r>
      <w:proofErr w:type="spellStart"/>
      <w:r>
        <w:rPr>
          <w:rFonts w:hint="eastAsia"/>
          <w:iCs/>
        </w:rPr>
        <w:t>DoU</w:t>
      </w:r>
      <w:proofErr w:type="spellEnd"/>
    </w:p>
    <w:p w:rsidR="00150D5F" w:rsidRPr="00CE01D0"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physical layer DL control blind decoding in lack of grant</w:t>
      </w:r>
    </w:p>
    <w:p w:rsidR="00150D5F" w:rsidRPr="00BE75C2"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slot with the data</w:t>
      </w:r>
    </w:p>
    <w:p w:rsidR="00150D5F" w:rsidRPr="00BE75C2"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data reception process</w:t>
      </w:r>
    </w:p>
    <w:p w:rsidR="00150D5F" w:rsidRPr="00C8176F"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measurement</w:t>
      </w:r>
    </w:p>
    <w:p w:rsidR="00150D5F" w:rsidRPr="0029717A"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SS</w:t>
      </w:r>
    </w:p>
    <w:p w:rsidR="00150D5F" w:rsidRPr="006A6B35" w:rsidRDefault="00150D5F" w:rsidP="00150D5F">
      <w:pPr>
        <w:numPr>
          <w:ilvl w:val="0"/>
          <w:numId w:val="19"/>
        </w:numPr>
        <w:spacing w:after="0"/>
        <w:rPr>
          <w:lang w:val="en-US"/>
        </w:rPr>
      </w:pPr>
      <w:r w:rsidRPr="00E02D37">
        <w:rPr>
          <w:iCs/>
        </w:rPr>
        <w:t xml:space="preserve">UE power reduction techniques </w:t>
      </w:r>
      <w:r>
        <w:rPr>
          <w:rFonts w:hint="eastAsia"/>
          <w:iCs/>
        </w:rPr>
        <w:t xml:space="preserve">also </w:t>
      </w:r>
      <w:r w:rsidRPr="00E02D37">
        <w:rPr>
          <w:iCs/>
        </w:rPr>
        <w:t>should be studied</w:t>
      </w:r>
    </w:p>
    <w:p w:rsidR="00D546BE" w:rsidRPr="002219A5" w:rsidRDefault="00D546BE" w:rsidP="00D546BE">
      <w:pPr>
        <w:rPr>
          <w:highlight w:val="yellow"/>
          <w:lang w:val="en-US"/>
        </w:rPr>
      </w:pPr>
    </w:p>
    <w:p w:rsidR="00DD213A" w:rsidRDefault="009B243C" w:rsidP="00086ACB">
      <w:r>
        <w:t xml:space="preserve">The power consumptions related to DL control channel were analyzed in </w:t>
      </w:r>
      <w:r w:rsidR="005730B4">
        <w:fldChar w:fldCharType="begin"/>
      </w:r>
      <w:r>
        <w:instrText xml:space="preserve"> REF _Ref462216856 \r \h </w:instrText>
      </w:r>
      <w:r w:rsidR="005730B4">
        <w:fldChar w:fldCharType="separate"/>
      </w:r>
      <w:r w:rsidR="00DD213A">
        <w:t>[4]</w:t>
      </w:r>
      <w:r w:rsidR="005730B4">
        <w:fldChar w:fldCharType="end"/>
      </w:r>
      <w:r>
        <w:t xml:space="preserve">. In LTE, UE is required to decode the PDCCH/EPDCCH to check for its grant when it is not in sleeping mode.  </w:t>
      </w:r>
      <w:r w:rsidR="004C4AC2">
        <w:t xml:space="preserve">Only small percentage </w:t>
      </w:r>
      <w:r>
        <w:t xml:space="preserve">of PDCCH/EPDCCH decoding </w:t>
      </w:r>
      <w:r w:rsidR="004C4AC2">
        <w:t xml:space="preserve">has the results of positive confirmation of DL/UL grant.   </w:t>
      </w:r>
      <w:r>
        <w:t xml:space="preserve">It is observed in </w:t>
      </w:r>
      <w:r w:rsidR="005730B4">
        <w:fldChar w:fldCharType="begin"/>
      </w:r>
      <w:r>
        <w:instrText xml:space="preserve"> REF _Ref462216856 \r \h </w:instrText>
      </w:r>
      <w:r w:rsidR="005730B4">
        <w:fldChar w:fldCharType="separate"/>
      </w:r>
      <w:r w:rsidR="00DD213A">
        <w:t>[4]</w:t>
      </w:r>
      <w:r w:rsidR="005730B4">
        <w:fldChar w:fldCharType="end"/>
      </w:r>
      <w:r>
        <w:t xml:space="preserve"> that l</w:t>
      </w:r>
      <w:r w:rsidRPr="009B243C">
        <w:t>egacy connected mode DRX design and typical parameter settings result in large percentage of power spent in the active state but decoding PDCCH only without any grant</w:t>
      </w:r>
      <w:r>
        <w:t xml:space="preserve"> in LTE system</w:t>
      </w:r>
      <w:r w:rsidRPr="009B243C">
        <w:t>.</w:t>
      </w:r>
      <w:r>
        <w:t xml:space="preserve">     </w:t>
      </w:r>
      <w:r w:rsidR="004C4AC2">
        <w:t xml:space="preserve">Thus, efficient network access scheme with effectively DL control channel monitoring </w:t>
      </w:r>
      <w:r w:rsidR="004C4AC2">
        <w:rPr>
          <w:rFonts w:eastAsia="Malgun Gothic"/>
          <w:lang w:eastAsia="ko-KR"/>
        </w:rPr>
        <w:t xml:space="preserve">would minimize UE’s power consumption.   </w:t>
      </w:r>
    </w:p>
    <w:p w:rsidR="006D7C76" w:rsidRDefault="00DD213A" w:rsidP="00086ACB">
      <w:r>
        <w:t xml:space="preserve">The blank resource indication serves as a method of power saving and dynamic resource allocation.  If the blank resource is indicated to the UE, UE would make no assumption on the radio resource usage and perform no access to the network.  This allows the network to dynamically allocate the resource for different features, such as network energy saving, interference management, or shared access operation.  </w:t>
      </w:r>
      <w:r w:rsidR="00E811DF">
        <w:t>This p</w:t>
      </w:r>
      <w:r w:rsidR="00E07D72">
        <w:t>aper discusses configurable UE DL control channel monitoring in</w:t>
      </w:r>
      <w:r w:rsidR="00346CC0">
        <w:t xml:space="preserve"> NR </w:t>
      </w:r>
      <w:r w:rsidR="004C4AC2">
        <w:t>system design for UE power saving</w:t>
      </w:r>
      <w:r>
        <w:t xml:space="preserve"> and blank resource indication</w:t>
      </w:r>
      <w:r w:rsidR="00346CC0">
        <w:t xml:space="preserve">.  </w:t>
      </w:r>
    </w:p>
    <w:p w:rsidR="00693C74" w:rsidRDefault="00E07D72" w:rsidP="00BA7C9E">
      <w:pPr>
        <w:pStyle w:val="1"/>
        <w:rPr>
          <w:lang w:eastAsia="ja-JP"/>
        </w:rPr>
      </w:pPr>
      <w:r>
        <w:rPr>
          <w:lang w:eastAsia="ja-JP"/>
        </w:rPr>
        <w:lastRenderedPageBreak/>
        <w:t>UE power saving by configurable DL control channel monitoring</w:t>
      </w:r>
    </w:p>
    <w:p w:rsidR="007C591B" w:rsidRDefault="00795FF1" w:rsidP="00962BFF">
      <w:pPr>
        <w:spacing w:after="0"/>
        <w:rPr>
          <w:lang w:val="en-US"/>
        </w:rPr>
      </w:pPr>
      <w:r>
        <w:rPr>
          <w:lang w:val="en-US"/>
        </w:rPr>
        <w:t>The NR system design needs to support efficient network access</w:t>
      </w:r>
      <w:r w:rsidR="009B1FCB">
        <w:rPr>
          <w:lang w:val="en-US"/>
        </w:rPr>
        <w:t xml:space="preserve"> with minimum</w:t>
      </w:r>
      <w:r>
        <w:rPr>
          <w:lang w:val="en-US"/>
        </w:rPr>
        <w:t xml:space="preserve"> power consumption</w:t>
      </w:r>
      <w:r w:rsidR="009B1FCB">
        <w:rPr>
          <w:lang w:val="en-US"/>
        </w:rPr>
        <w:t>.</w:t>
      </w:r>
      <w:r w:rsidR="007C591B">
        <w:rPr>
          <w:lang w:val="en-US"/>
        </w:rPr>
        <w:t xml:space="preserve">  One of the most power consuming actions at the UE in LTE is the PDCCH/EPDCCH blind decoding as observed in </w:t>
      </w:r>
      <w:r w:rsidR="005730B4">
        <w:rPr>
          <w:lang w:val="en-US"/>
        </w:rPr>
        <w:fldChar w:fldCharType="begin"/>
      </w:r>
      <w:r w:rsidR="007C591B">
        <w:rPr>
          <w:lang w:val="en-US"/>
        </w:rPr>
        <w:instrText xml:space="preserve"> REF _Ref462216856 \r \h </w:instrText>
      </w:r>
      <w:r w:rsidR="005730B4">
        <w:rPr>
          <w:lang w:val="en-US"/>
        </w:rPr>
      </w:r>
      <w:r w:rsidR="005730B4">
        <w:rPr>
          <w:lang w:val="en-US"/>
        </w:rPr>
        <w:fldChar w:fldCharType="separate"/>
      </w:r>
      <w:r w:rsidR="007C591B">
        <w:rPr>
          <w:lang w:val="en-US"/>
        </w:rPr>
        <w:t>[4]</w:t>
      </w:r>
      <w:r w:rsidR="005730B4">
        <w:rPr>
          <w:lang w:val="en-US"/>
        </w:rPr>
        <w:fldChar w:fldCharType="end"/>
      </w:r>
      <w:r w:rsidR="007C591B">
        <w:rPr>
          <w:lang w:val="en-US"/>
        </w:rPr>
        <w:t xml:space="preserve">.   </w:t>
      </w:r>
      <w:r w:rsidR="000A52B8">
        <w:rPr>
          <w:lang w:val="en-US"/>
        </w:rPr>
        <w:t>Only small percentage</w:t>
      </w:r>
      <w:r w:rsidR="007C591B">
        <w:rPr>
          <w:lang w:val="en-US"/>
        </w:rPr>
        <w:t xml:space="preserve"> of </w:t>
      </w:r>
      <w:r w:rsidR="000A52B8">
        <w:rPr>
          <w:lang w:val="en-US"/>
        </w:rPr>
        <w:t xml:space="preserve">search results from </w:t>
      </w:r>
      <w:r w:rsidR="007C591B">
        <w:rPr>
          <w:lang w:val="en-US"/>
        </w:rPr>
        <w:t>PD</w:t>
      </w:r>
      <w:r w:rsidR="00D147BC">
        <w:rPr>
          <w:lang w:val="en-US"/>
        </w:rPr>
        <w:t xml:space="preserve">CCH/EPDCCH blind decoding </w:t>
      </w:r>
      <w:r w:rsidR="000A52B8">
        <w:rPr>
          <w:lang w:val="en-US"/>
        </w:rPr>
        <w:t xml:space="preserve">passes CRC.  The large power consumption had been spent on the PDCCH/EPDCCH blind decoding for other UEs when UE is not in sleeping mode.  </w:t>
      </w:r>
      <w:r w:rsidR="00117050">
        <w:rPr>
          <w:lang w:val="en-US"/>
        </w:rPr>
        <w:t xml:space="preserve"> The following two factors lead to the large power consumption of PDCCH/EPDCCH decoding in LTE.</w:t>
      </w:r>
    </w:p>
    <w:p w:rsidR="00117050" w:rsidRDefault="00117050" w:rsidP="00962BFF">
      <w:pPr>
        <w:spacing w:after="0"/>
        <w:rPr>
          <w:lang w:val="en-US"/>
        </w:rPr>
      </w:pPr>
    </w:p>
    <w:p w:rsidR="00117050" w:rsidRDefault="00117050" w:rsidP="00117050">
      <w:pPr>
        <w:pStyle w:val="afa"/>
        <w:numPr>
          <w:ilvl w:val="0"/>
          <w:numId w:val="22"/>
        </w:numPr>
        <w:rPr>
          <w:sz w:val="20"/>
          <w:szCs w:val="20"/>
        </w:rPr>
      </w:pPr>
      <w:r>
        <w:rPr>
          <w:sz w:val="20"/>
          <w:szCs w:val="20"/>
        </w:rPr>
        <w:t xml:space="preserve">Robust traffic arrival:  The data traffic arrival is bursty with heavy tail type probabilistic distribution.    The robust data arrival leads to large variation of data inter-arrival time.  The inter-arrival time of data traffic implies unsuccessful PDCCH/EPDCCH decoding for a given UE.  </w:t>
      </w:r>
    </w:p>
    <w:p w:rsidR="00795FF1" w:rsidRPr="008B5349" w:rsidRDefault="00117050" w:rsidP="00962BFF">
      <w:pPr>
        <w:pStyle w:val="afa"/>
        <w:numPr>
          <w:ilvl w:val="0"/>
          <w:numId w:val="22"/>
        </w:numPr>
        <w:rPr>
          <w:sz w:val="20"/>
          <w:szCs w:val="20"/>
        </w:rPr>
      </w:pPr>
      <w:r>
        <w:rPr>
          <w:sz w:val="20"/>
          <w:szCs w:val="20"/>
        </w:rPr>
        <w:t>PDCCH/EPDCCH decoding per subframe:  UE would decode PDCCH/EPDCCH every subframe to check if there is a DL or UL grant</w:t>
      </w:r>
      <w:r w:rsidR="008B5349">
        <w:rPr>
          <w:sz w:val="20"/>
          <w:szCs w:val="20"/>
        </w:rPr>
        <w:t xml:space="preserve"> when UE is not on DRX state</w:t>
      </w:r>
      <w:r>
        <w:rPr>
          <w:sz w:val="20"/>
          <w:szCs w:val="20"/>
        </w:rPr>
        <w:t xml:space="preserve">.   </w:t>
      </w:r>
      <w:r w:rsidR="008B5349">
        <w:rPr>
          <w:sz w:val="20"/>
          <w:szCs w:val="20"/>
        </w:rPr>
        <w:t xml:space="preserve"> </w:t>
      </w:r>
      <w:r w:rsidR="00795FF1" w:rsidRPr="008B5349">
        <w:rPr>
          <w:rStyle w:val="afe"/>
          <w:b w:val="0"/>
          <w:sz w:val="20"/>
          <w:szCs w:val="20"/>
        </w:rPr>
        <w:t>Current device power saving feature</w:t>
      </w:r>
      <w:r w:rsidR="004C4AC2" w:rsidRPr="008B5349">
        <w:rPr>
          <w:rStyle w:val="afe"/>
          <w:b w:val="0"/>
          <w:sz w:val="20"/>
          <w:szCs w:val="20"/>
        </w:rPr>
        <w:t xml:space="preserve"> for UE in IDLE and </w:t>
      </w:r>
      <w:r w:rsidR="00325EAA" w:rsidRPr="008B5349">
        <w:rPr>
          <w:rStyle w:val="afe"/>
          <w:b w:val="0"/>
          <w:sz w:val="20"/>
          <w:szCs w:val="20"/>
        </w:rPr>
        <w:t xml:space="preserve">inactive state </w:t>
      </w:r>
      <w:r w:rsidR="00795FF1" w:rsidRPr="008B5349">
        <w:rPr>
          <w:rStyle w:val="afe"/>
          <w:b w:val="0"/>
          <w:sz w:val="20"/>
          <w:szCs w:val="20"/>
        </w:rPr>
        <w:t>is for the network to configure the device with the DRX cycle for UE in the sleeping mode.   The device wakes up when there is data to transmit.  If no data to transmit, the device wakes up periodi</w:t>
      </w:r>
      <w:r w:rsidR="004C4AC2" w:rsidRPr="008B5349">
        <w:rPr>
          <w:rStyle w:val="afe"/>
          <w:b w:val="0"/>
          <w:sz w:val="20"/>
          <w:szCs w:val="20"/>
        </w:rPr>
        <w:t>cally and listens to paging or decodes the DL control channel for potential scheduling grant</w:t>
      </w:r>
      <w:r w:rsidR="00536B5D" w:rsidRPr="008B5349">
        <w:rPr>
          <w:rStyle w:val="afe"/>
          <w:b w:val="0"/>
          <w:sz w:val="20"/>
          <w:szCs w:val="20"/>
        </w:rPr>
        <w:t xml:space="preserve">.   </w:t>
      </w:r>
      <w:r w:rsidR="004C4AC2" w:rsidRPr="008B5349">
        <w:rPr>
          <w:rStyle w:val="afe"/>
          <w:b w:val="0"/>
          <w:sz w:val="20"/>
          <w:szCs w:val="20"/>
        </w:rPr>
        <w:t xml:space="preserve">Most of time, the DL control channel decoding does not have the results of any DL/UL grant.   </w:t>
      </w:r>
      <w:r w:rsidR="00536B5D" w:rsidRPr="008B5349">
        <w:rPr>
          <w:rStyle w:val="afe"/>
          <w:b w:val="0"/>
          <w:sz w:val="20"/>
          <w:szCs w:val="20"/>
        </w:rPr>
        <w:t xml:space="preserve">The configured DRX length has the trade-off between the amount of energy saving and latency.   If the DRX length is long, the UE will have less energy consumption but high latency in average for the network access.  The most energy efficiency mechanism is the on-demand wakeup by the network.  The device would stay in sleeping mode and will only wake up when the device has data to send or to receive without periodic wakeup.   </w:t>
      </w:r>
    </w:p>
    <w:p w:rsidR="00795FF1" w:rsidRPr="008B5349" w:rsidRDefault="00795FF1" w:rsidP="00962BFF">
      <w:pPr>
        <w:spacing w:after="0"/>
        <w:rPr>
          <w:lang w:val="en-US"/>
        </w:rPr>
      </w:pPr>
    </w:p>
    <w:p w:rsidR="00B74D46" w:rsidRDefault="008B5349" w:rsidP="003B62BC">
      <w:pPr>
        <w:rPr>
          <w:rStyle w:val="afe"/>
          <w:rFonts w:eastAsia="Times New Roman"/>
          <w:b w:val="0"/>
          <w:lang w:val="en-US"/>
        </w:rPr>
      </w:pPr>
      <w:r>
        <w:rPr>
          <w:rStyle w:val="afe"/>
          <w:rFonts w:eastAsia="Times New Roman"/>
          <w:b w:val="0"/>
          <w:lang w:val="en-US"/>
        </w:rPr>
        <w:t xml:space="preserve">The power saving scheme with DRX configuration does not have the mechanism to take into account of the system load and traffic arrival pattern.  If the system load is high, the average resource available for a UE would be </w:t>
      </w:r>
      <w:r w:rsidR="00B74D46">
        <w:rPr>
          <w:rStyle w:val="afe"/>
          <w:rFonts w:eastAsia="Times New Roman"/>
          <w:b w:val="0"/>
          <w:lang w:val="en-US"/>
        </w:rPr>
        <w:t>inversely proportional scaled down to the number of UEs.   The probability of a UE being scheduled is reduced.  The UE should not monitor the DL control channels every possible scheduling instance.   If the system load is low, the UE could be scheduled at most scheduled instance.  When DL traffic arrives in the light load system, the traffic could be scheduled any time without degradation.   With a shorter scheduling interval, such as slot or mini-slot, the UE could afford skipping a few scheduling instances.  Thus, one possible solution is to have configurable DL control channel monitor period for DL or UL grant as shown in Figure 2-1.   The DL control channel monitor period should be designed based on the latency requirements of specific service.  For URLLC, the period of DL control channel monitor should be short to reduce the end-to-end delay.   For mMTC, the perio</w:t>
      </w:r>
      <w:r w:rsidR="006D6D30">
        <w:rPr>
          <w:rStyle w:val="afe"/>
          <w:rFonts w:eastAsia="Times New Roman"/>
          <w:b w:val="0"/>
          <w:lang w:val="en-US"/>
        </w:rPr>
        <w:t>d of DL control channel monitor</w:t>
      </w:r>
      <w:r w:rsidR="00B74D46">
        <w:rPr>
          <w:rStyle w:val="afe"/>
          <w:rFonts w:eastAsia="Times New Roman"/>
          <w:b w:val="0"/>
          <w:lang w:val="en-US"/>
        </w:rPr>
        <w:t>ing could be long</w:t>
      </w:r>
      <w:r w:rsidR="006D6D30">
        <w:rPr>
          <w:rStyle w:val="afe"/>
          <w:rFonts w:eastAsia="Times New Roman"/>
          <w:b w:val="0"/>
          <w:lang w:val="en-US"/>
        </w:rPr>
        <w:t xml:space="preserve"> to have effective power saving since the inter-arrival time of MTC traffic is long.  </w:t>
      </w:r>
    </w:p>
    <w:p w:rsidR="00D4297E" w:rsidRDefault="00D4297E" w:rsidP="003B62BC">
      <w:pPr>
        <w:rPr>
          <w:rStyle w:val="afe"/>
          <w:rFonts w:eastAsia="Times New Roman"/>
          <w:b w:val="0"/>
          <w:lang w:val="en-US"/>
        </w:rPr>
      </w:pPr>
      <w:r>
        <w:rPr>
          <w:rStyle w:val="afe"/>
          <w:rFonts w:eastAsia="Times New Roman"/>
          <w:b w:val="0"/>
          <w:lang w:val="en-US"/>
        </w:rPr>
        <w:t>In RAN1#86bis, it was agreed to have UE-specific configuration of control channel monitoring as follows,</w:t>
      </w:r>
    </w:p>
    <w:p w:rsidR="00D4297E" w:rsidRPr="00F50BEF" w:rsidRDefault="00D4297E" w:rsidP="00D4297E">
      <w:pPr>
        <w:outlineLvl w:val="0"/>
        <w:rPr>
          <w:rFonts w:hint="eastAsia"/>
          <w:b/>
          <w:u w:val="single"/>
          <w:lang w:val="en-US"/>
        </w:rPr>
      </w:pPr>
      <w:r w:rsidRPr="00517988">
        <w:rPr>
          <w:rFonts w:hint="eastAsia"/>
          <w:b/>
          <w:highlight w:val="green"/>
          <w:u w:val="single"/>
          <w:lang w:val="en-US"/>
        </w:rPr>
        <w:t>Agreements:</w:t>
      </w:r>
    </w:p>
    <w:p w:rsidR="00D4297E" w:rsidRPr="00696CDD" w:rsidRDefault="00D4297E" w:rsidP="003B62BC">
      <w:pPr>
        <w:numPr>
          <w:ilvl w:val="0"/>
          <w:numId w:val="24"/>
        </w:numPr>
        <w:spacing w:after="0"/>
        <w:rPr>
          <w:rStyle w:val="afe"/>
          <w:b w:val="0"/>
          <w:bCs w:val="0"/>
          <w:lang w:val="en-US"/>
        </w:rPr>
      </w:pPr>
      <w:r>
        <w:rPr>
          <w:rFonts w:hint="eastAsia"/>
          <w:lang w:val="en-US"/>
        </w:rPr>
        <w:t>UE-specific DL control information</w:t>
      </w:r>
      <w:r w:rsidRPr="00F50BEF">
        <w:rPr>
          <w:lang w:val="en-US"/>
        </w:rPr>
        <w:t xml:space="preserve"> </w:t>
      </w:r>
      <w:r w:rsidRPr="00F50BEF">
        <w:rPr>
          <w:lang w:val="en-US"/>
        </w:rPr>
        <w:t xml:space="preserve">monitoring occasions </w:t>
      </w:r>
      <w:r w:rsidRPr="00F50BEF">
        <w:rPr>
          <w:rFonts w:hint="eastAsia"/>
          <w:lang w:val="en-US"/>
        </w:rPr>
        <w:t xml:space="preserve">at least </w:t>
      </w:r>
      <w:r w:rsidRPr="00F50BEF">
        <w:rPr>
          <w:lang w:val="en-US"/>
        </w:rPr>
        <w:t>in time domain can be configured</w:t>
      </w:r>
    </w:p>
    <w:p w:rsidR="008B5349" w:rsidRPr="00D4297E" w:rsidRDefault="006D6D30" w:rsidP="003B62BC">
      <w:pPr>
        <w:rPr>
          <w:rStyle w:val="afe"/>
          <w:rFonts w:eastAsia="Times New Roman"/>
          <w:b w:val="0"/>
          <w:lang w:val="en-US"/>
        </w:rPr>
      </w:pPr>
      <w:r>
        <w:rPr>
          <w:rStyle w:val="afe"/>
          <w:rFonts w:eastAsia="Times New Roman"/>
          <w:b w:val="0"/>
          <w:lang w:val="en-US"/>
        </w:rPr>
        <w:t>With the configurable DL control channel m</w:t>
      </w:r>
      <w:r w:rsidR="00D4297E">
        <w:rPr>
          <w:rStyle w:val="afe"/>
          <w:rFonts w:eastAsia="Times New Roman"/>
          <w:b w:val="0"/>
          <w:lang w:val="en-US"/>
        </w:rPr>
        <w:t>onitoring duty cycle</w:t>
      </w:r>
      <w:r>
        <w:rPr>
          <w:rStyle w:val="afe"/>
          <w:rFonts w:eastAsia="Times New Roman"/>
          <w:b w:val="0"/>
          <w:lang w:val="en-US"/>
        </w:rPr>
        <w:t xml:space="preserve">, the DRX cycle does not need to be long to save power.  This would reduce the average data access delay if the DRX cycle could be short.   A joint optimization of DRX cycle and DL control channel monitor period could minimize the UE power consumption on DL control channel decoding.   </w:t>
      </w:r>
    </w:p>
    <w:p w:rsidR="00086ACB" w:rsidRDefault="005E76A7" w:rsidP="00086ACB">
      <w:pPr>
        <w:rPr>
          <w:b/>
          <w:bCs/>
        </w:rPr>
      </w:pPr>
      <w:r>
        <w:rPr>
          <w:rStyle w:val="afe"/>
        </w:rPr>
        <w:t>Pr</w:t>
      </w:r>
      <w:r w:rsidR="001D1E4E">
        <w:rPr>
          <w:rStyle w:val="afe"/>
        </w:rPr>
        <w:t>oposal 1</w:t>
      </w:r>
      <w:r w:rsidR="00B74D46">
        <w:rPr>
          <w:rStyle w:val="afe"/>
        </w:rPr>
        <w:t xml:space="preserve">: </w:t>
      </w:r>
      <w:r w:rsidR="003353F3">
        <w:rPr>
          <w:rStyle w:val="afe"/>
        </w:rPr>
        <w:t xml:space="preserve"> UE is configured with </w:t>
      </w:r>
      <w:r w:rsidR="00D4297E">
        <w:rPr>
          <w:rStyle w:val="afe"/>
        </w:rPr>
        <w:t xml:space="preserve">a </w:t>
      </w:r>
      <w:r w:rsidR="003353F3">
        <w:rPr>
          <w:rStyle w:val="afe"/>
        </w:rPr>
        <w:t xml:space="preserve">duty cycle </w:t>
      </w:r>
      <w:r w:rsidR="006D6D30">
        <w:rPr>
          <w:rStyle w:val="afe"/>
        </w:rPr>
        <w:t xml:space="preserve">of DL control channel monitoring for power saving purpose.  </w:t>
      </w:r>
    </w:p>
    <w:p w:rsidR="00117050" w:rsidRDefault="00117050" w:rsidP="00086ACB">
      <w:pPr>
        <w:rPr>
          <w:b/>
          <w:bCs/>
        </w:rPr>
      </w:pPr>
    </w:p>
    <w:p w:rsidR="00117050" w:rsidRDefault="000A52B8" w:rsidP="00117050">
      <w:pPr>
        <w:keepNext/>
        <w:jc w:val="center"/>
      </w:pPr>
      <w:r w:rsidRPr="000A52B8">
        <w:rPr>
          <w:b/>
          <w:bCs/>
          <w:noProof/>
          <w:lang w:val="en-US" w:eastAsia="zh-CN"/>
        </w:rPr>
        <w:drawing>
          <wp:inline distT="0" distB="0" distL="0" distR="0">
            <wp:extent cx="5486400" cy="1713865"/>
            <wp:effectExtent l="0" t="0" r="0" b="0"/>
            <wp:docPr id="3"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64901" cy="2519700"/>
                      <a:chOff x="683563" y="3356992"/>
                      <a:chExt cx="8064901" cy="2519700"/>
                    </a:xfrm>
                  </a:grpSpPr>
                  <a:grpSp>
                    <a:nvGrpSpPr>
                      <a:cNvPr id="122" name="组合 121"/>
                      <a:cNvGrpSpPr/>
                    </a:nvGrpSpPr>
                    <a:grpSpPr>
                      <a:xfrm>
                        <a:off x="683563" y="3356992"/>
                        <a:ext cx="8064901" cy="2519700"/>
                        <a:chOff x="683563" y="3356992"/>
                        <a:chExt cx="8064901" cy="2519700"/>
                      </a:xfrm>
                    </a:grpSpPr>
                    <a:sp>
                      <a:nvSpPr>
                        <a:cNvPr id="5" name="TextBox 4"/>
                        <a:cNvSpPr txBox="1"/>
                      </a:nvSpPr>
                      <a:spPr>
                        <a:xfrm>
                          <a:off x="1163170" y="3717032"/>
                          <a:ext cx="763757" cy="153877"/>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Search  Space </a:t>
                            </a:r>
                            <a:endParaRPr lang="en-US" sz="800" dirty="0"/>
                          </a:p>
                        </a:txBody>
                        <a:useSpRect/>
                      </a:txSp>
                    </a:sp>
                    <a:sp>
                      <a:nvSpPr>
                        <a:cNvPr id="6" name="矩形 5"/>
                        <a:cNvSpPr/>
                      </a:nvSpPr>
                      <a:spPr>
                        <a:xfrm>
                          <a:off x="92339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1952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24000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6049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34164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1566402"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280978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924170"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683563"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15" name="直接连接符 14"/>
                        <a:cNvCxnSpPr/>
                      </a:nvCxnSpPr>
                      <a:spPr>
                        <a:xfrm>
                          <a:off x="906319"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16" name="矩形 15"/>
                        <a:cNvSpPr/>
                      </a:nvSpPr>
                      <a:spPr>
                        <a:xfrm>
                          <a:off x="1778850"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199889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133920"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01464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3612921"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40900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直接连接符 21"/>
                        <a:cNvCxnSpPr/>
                      </a:nvCxnSpPr>
                      <a:spPr>
                        <a:xfrm>
                          <a:off x="906319"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3" name="直接连接符 22"/>
                        <a:cNvCxnSpPr/>
                      </a:nvCxnSpPr>
                      <a:spPr>
                        <a:xfrm>
                          <a:off x="906319"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906319"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906319"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906319"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924170"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924170"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906319"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连接符 29"/>
                        <a:cNvCxnSpPr/>
                      </a:nvCxnSpPr>
                      <a:spPr>
                        <a:xfrm>
                          <a:off x="906319"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1" name="直接连接符 30"/>
                        <a:cNvCxnSpPr/>
                      </a:nvCxnSpPr>
                      <a:spPr>
                        <a:xfrm>
                          <a:off x="906319"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2" name="直接连接符 31"/>
                        <a:cNvCxnSpPr/>
                      </a:nvCxnSpPr>
                      <a:spPr>
                        <a:xfrm>
                          <a:off x="906319"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直接连接符 32"/>
                        <a:cNvCxnSpPr/>
                      </a:nvCxnSpPr>
                      <a:spPr>
                        <a:xfrm>
                          <a:off x="906319"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连接符 33"/>
                        <a:cNvCxnSpPr/>
                      </a:nvCxnSpPr>
                      <a:spPr>
                        <a:xfrm>
                          <a:off x="906319"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a:off x="906319"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36" name="矩形 35"/>
                        <a:cNvSpPr/>
                      </a:nvSpPr>
                      <a:spPr>
                        <a:xfrm>
                          <a:off x="1521670" y="3974184"/>
                          <a:ext cx="460149" cy="411443"/>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924170"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156356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1521671" y="4385626"/>
                          <a:ext cx="239000" cy="720025"/>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760670" y="4385626"/>
                          <a:ext cx="239000" cy="118289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2417920" y="3974184"/>
                          <a:ext cx="776750" cy="308582"/>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1563568" y="5105651"/>
                          <a:ext cx="197101" cy="462873"/>
                        </a:xfrm>
                        <a:prstGeom prst="rect">
                          <a:avLst/>
                        </a:prstGeom>
                        <a:solidFill>
                          <a:srgbClr val="00B0F0">
                            <a:alpha val="20000"/>
                          </a:srgbClr>
                        </a:solid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563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1563569" y="5105651"/>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2417920"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802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417920" y="428276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2417920" y="4282766"/>
                          <a:ext cx="776750" cy="128575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TextBox 48"/>
                        <a:cNvSpPr txBox="1"/>
                      </a:nvSpPr>
                      <a:spPr>
                        <a:xfrm>
                          <a:off x="1342420"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50" name="直接箭头连接符 49"/>
                        <a:cNvCxnSpPr/>
                      </a:nvCxnSpPr>
                      <a:spPr>
                        <a:xfrm>
                          <a:off x="92417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51" name="矩形 50"/>
                        <a:cNvSpPr/>
                      </a:nvSpPr>
                      <a:spPr>
                        <a:xfrm>
                          <a:off x="1103420"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114531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26"/>
                        <a:cNvSpPr>
                          <a:spLocks noChangeArrowheads="1"/>
                        </a:cNvSpPr>
                      </a:nvSpPr>
                      <a:spPr bwMode="auto">
                        <a:xfrm>
                          <a:off x="2178920" y="3974184"/>
                          <a:ext cx="2390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4" name="Freeform 102"/>
                        <a:cNvSpPr>
                          <a:spLocks/>
                        </a:cNvSpPr>
                      </a:nvSpPr>
                      <a:spPr bwMode="auto">
                        <a:xfrm rot="1029264">
                          <a:off x="1301050" y="3869290"/>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5" name="Freeform 102"/>
                        <a:cNvSpPr>
                          <a:spLocks/>
                        </a:cNvSpPr>
                      </a:nvSpPr>
                      <a:spPr bwMode="auto">
                        <a:xfrm rot="5996914">
                          <a:off x="1507440" y="4168218"/>
                          <a:ext cx="533433" cy="16133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6" name="Freeform 102"/>
                        <a:cNvSpPr>
                          <a:spLocks/>
                        </a:cNvSpPr>
                      </a:nvSpPr>
                      <a:spPr bwMode="auto">
                        <a:xfrm rot="15760076" flipV="1">
                          <a:off x="1658283" y="4463774"/>
                          <a:ext cx="709683" cy="615159"/>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7" name="矩形 56"/>
                        <a:cNvSpPr/>
                      </a:nvSpPr>
                      <a:spPr>
                        <a:xfrm>
                          <a:off x="320414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26"/>
                        <a:cNvSpPr>
                          <a:spLocks noChangeArrowheads="1"/>
                        </a:cNvSpPr>
                      </a:nvSpPr>
                      <a:spPr bwMode="auto">
                        <a:xfrm>
                          <a:off x="3433671"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9" name="Freeform 102"/>
                        <a:cNvSpPr>
                          <a:spLocks/>
                        </a:cNvSpPr>
                      </a:nvSpPr>
                      <a:spPr bwMode="auto">
                        <a:xfrm rot="5996914">
                          <a:off x="1403033" y="4677609"/>
                          <a:ext cx="751475" cy="304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cxnSp>
                      <a:nvCxnSpPr>
                        <a:cNvPr id="60" name="直接箭头连接符 59"/>
                        <a:cNvCxnSpPr/>
                      </a:nvCxnSpPr>
                      <a:spPr>
                        <a:xfrm>
                          <a:off x="241792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61" name="TextBox 60"/>
                        <a:cNvSpPr txBox="1"/>
                      </a:nvSpPr>
                      <a:spPr>
                        <a:xfrm>
                          <a:off x="2716671"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sp>
                      <a:nvSpPr>
                        <a:cNvPr id="62" name="TextBox 61"/>
                        <a:cNvSpPr txBox="1"/>
                      </a:nvSpPr>
                      <a:spPr>
                        <a:xfrm>
                          <a:off x="6059713" y="3717032"/>
                          <a:ext cx="763757" cy="153877"/>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Search  Space </a:t>
                            </a:r>
                            <a:endParaRPr lang="en-US" sz="800" dirty="0"/>
                          </a:p>
                        </a:txBody>
                        <a:useSpRect/>
                      </a:txSp>
                    </a:sp>
                    <a:sp>
                      <a:nvSpPr>
                        <a:cNvPr id="63" name="矩形 62"/>
                        <a:cNvSpPr/>
                      </a:nvSpPr>
                      <a:spPr>
                        <a:xfrm>
                          <a:off x="581993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709175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72966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75014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623818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6462945"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77063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5820713"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TextBox 70"/>
                        <a:cNvSpPr txBox="1"/>
                      </a:nvSpPr>
                      <a:spPr>
                        <a:xfrm>
                          <a:off x="5580106"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72" name="直接连接符 71"/>
                        <a:cNvCxnSpPr/>
                      </a:nvCxnSpPr>
                      <a:spPr>
                        <a:xfrm>
                          <a:off x="5802862"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73" name="矩形 72"/>
                        <a:cNvSpPr/>
                      </a:nvSpPr>
                      <a:spPr>
                        <a:xfrm>
                          <a:off x="6675393"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689543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矩形 74"/>
                        <a:cNvSpPr/>
                      </a:nvSpPr>
                      <a:spPr>
                        <a:xfrm>
                          <a:off x="6030463"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791118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矩形 76"/>
                        <a:cNvSpPr/>
                      </a:nvSpPr>
                      <a:spPr>
                        <a:xfrm>
                          <a:off x="850946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830554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直接连接符 78"/>
                        <a:cNvCxnSpPr/>
                      </a:nvCxnSpPr>
                      <a:spPr>
                        <a:xfrm>
                          <a:off x="5802862"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0" name="直接连接符 79"/>
                        <a:cNvCxnSpPr/>
                      </a:nvCxnSpPr>
                      <a:spPr>
                        <a:xfrm>
                          <a:off x="5802862"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81" name="直接连接符 80"/>
                        <a:cNvCxnSpPr/>
                      </a:nvCxnSpPr>
                      <a:spPr>
                        <a:xfrm>
                          <a:off x="5802862"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2" name="直接连接符 81"/>
                        <a:cNvCxnSpPr/>
                      </a:nvCxnSpPr>
                      <a:spPr>
                        <a:xfrm>
                          <a:off x="5802862"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3" name="直接连接符 82"/>
                        <a:cNvCxnSpPr/>
                      </a:nvCxnSpPr>
                      <a:spPr>
                        <a:xfrm>
                          <a:off x="5802862"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4" name="直接连接符 83"/>
                        <a:cNvCxnSpPr/>
                      </a:nvCxnSpPr>
                      <a:spPr>
                        <a:xfrm>
                          <a:off x="5820713"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5" name="直接连接符 84"/>
                        <a:cNvCxnSpPr/>
                      </a:nvCxnSpPr>
                      <a:spPr>
                        <a:xfrm>
                          <a:off x="5820713"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6" name="直接连接符 85"/>
                        <a:cNvCxnSpPr/>
                      </a:nvCxnSpPr>
                      <a:spPr>
                        <a:xfrm>
                          <a:off x="5802862"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7" name="直接连接符 86"/>
                        <a:cNvCxnSpPr/>
                      </a:nvCxnSpPr>
                      <a:spPr>
                        <a:xfrm>
                          <a:off x="5802862"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8" name="直接连接符 87"/>
                        <a:cNvCxnSpPr/>
                      </a:nvCxnSpPr>
                      <a:spPr>
                        <a:xfrm>
                          <a:off x="5802862"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9" name="直接连接符 88"/>
                        <a:cNvCxnSpPr/>
                      </a:nvCxnSpPr>
                      <a:spPr>
                        <a:xfrm>
                          <a:off x="5802862"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0" name="直接连接符 89"/>
                        <a:cNvCxnSpPr/>
                      </a:nvCxnSpPr>
                      <a:spPr>
                        <a:xfrm>
                          <a:off x="5802862"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1" name="直接连接符 90"/>
                        <a:cNvCxnSpPr/>
                      </a:nvCxnSpPr>
                      <a:spPr>
                        <a:xfrm>
                          <a:off x="5802862"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2" name="直接连接符 91"/>
                        <a:cNvCxnSpPr/>
                      </a:nvCxnSpPr>
                      <a:spPr>
                        <a:xfrm>
                          <a:off x="5802862"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93" name="矩形 92"/>
                        <a:cNvSpPr/>
                      </a:nvSpPr>
                      <a:spPr>
                        <a:xfrm>
                          <a:off x="5820713"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646011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矩形 94"/>
                        <a:cNvSpPr/>
                      </a:nvSpPr>
                      <a:spPr>
                        <a:xfrm>
                          <a:off x="6444208" y="4005064"/>
                          <a:ext cx="216024" cy="158417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矩形 95"/>
                        <a:cNvSpPr/>
                      </a:nvSpPr>
                      <a:spPr>
                        <a:xfrm>
                          <a:off x="7314462" y="3974184"/>
                          <a:ext cx="785929" cy="750960"/>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矩形 96"/>
                        <a:cNvSpPr/>
                      </a:nvSpPr>
                      <a:spPr>
                        <a:xfrm>
                          <a:off x="7314463"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矩形 97"/>
                        <a:cNvSpPr/>
                      </a:nvSpPr>
                      <a:spPr>
                        <a:xfrm>
                          <a:off x="7308304" y="472514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矩形 98"/>
                        <a:cNvSpPr/>
                      </a:nvSpPr>
                      <a:spPr>
                        <a:xfrm>
                          <a:off x="7308304" y="4725144"/>
                          <a:ext cx="792088" cy="86409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TextBox 99"/>
                        <a:cNvSpPr txBox="1"/>
                      </a:nvSpPr>
                      <a:spPr>
                        <a:xfrm>
                          <a:off x="6238963"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01" name="直接箭头连接符 100"/>
                        <a:cNvCxnSpPr/>
                      </a:nvCxnSpPr>
                      <a:spPr>
                        <a:xfrm>
                          <a:off x="582071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02" name="矩形 101"/>
                        <a:cNvSpPr/>
                      </a:nvSpPr>
                      <a:spPr>
                        <a:xfrm>
                          <a:off x="5999963"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矩形 102"/>
                        <a:cNvSpPr/>
                      </a:nvSpPr>
                      <a:spPr>
                        <a:xfrm>
                          <a:off x="604186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Rectangle 26"/>
                        <a:cNvSpPr>
                          <a:spLocks noChangeArrowheads="1"/>
                        </a:cNvSpPr>
                      </a:nvSpPr>
                      <a:spPr bwMode="auto">
                        <a:xfrm>
                          <a:off x="6876256" y="3974184"/>
                          <a:ext cx="438207"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105" name="Freeform 102"/>
                        <a:cNvSpPr>
                          <a:spLocks/>
                        </a:cNvSpPr>
                      </a:nvSpPr>
                      <a:spPr bwMode="auto">
                        <a:xfrm rot="1029264">
                          <a:off x="6197593" y="3869290"/>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6" name="Freeform 102"/>
                        <a:cNvSpPr>
                          <a:spLocks/>
                        </a:cNvSpPr>
                      </a:nvSpPr>
                      <a:spPr bwMode="auto">
                        <a:xfrm rot="5996914">
                          <a:off x="2492759" y="4107621"/>
                          <a:ext cx="342057" cy="159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7" name="Freeform 102"/>
                        <a:cNvSpPr>
                          <a:spLocks/>
                        </a:cNvSpPr>
                      </a:nvSpPr>
                      <a:spPr bwMode="auto">
                        <a:xfrm rot="6476922">
                          <a:off x="7271462" y="4275157"/>
                          <a:ext cx="715118" cy="33005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8" name="矩形 107"/>
                        <a:cNvSpPr/>
                      </a:nvSpPr>
                      <a:spPr>
                        <a:xfrm>
                          <a:off x="810068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Rectangle 26"/>
                        <a:cNvSpPr>
                          <a:spLocks noChangeArrowheads="1"/>
                        </a:cNvSpPr>
                      </a:nvSpPr>
                      <a:spPr bwMode="auto">
                        <a:xfrm>
                          <a:off x="8330214"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cxnSp>
                      <a:nvCxnSpPr>
                        <a:cNvPr id="110" name="直接箭头连接符 109"/>
                        <a:cNvCxnSpPr/>
                      </a:nvCxnSpPr>
                      <a:spPr>
                        <a:xfrm>
                          <a:off x="731446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7613214"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12" name="直接连接符 111"/>
                        <a:cNvCxnSpPr/>
                      </a:nvCxnSpPr>
                      <a:spPr>
                        <a:xfrm>
                          <a:off x="4067944" y="4725144"/>
                          <a:ext cx="1440160" cy="0"/>
                        </a:xfrm>
                        <a:prstGeom prst="line">
                          <a:avLst/>
                        </a:prstGeom>
                        <a:ln w="31750">
                          <a:prstDash val="sysDash"/>
                        </a:ln>
                      </a:spPr>
                      <a:style>
                        <a:lnRef idx="1">
                          <a:schemeClr val="accent1"/>
                        </a:lnRef>
                        <a:fillRef idx="0">
                          <a:schemeClr val="accent1"/>
                        </a:fillRef>
                        <a:effectRef idx="0">
                          <a:schemeClr val="accent1"/>
                        </a:effectRef>
                        <a:fontRef idx="minor">
                          <a:schemeClr val="tx1"/>
                        </a:fontRef>
                      </a:style>
                    </a:cxnSp>
                    <a:cxnSp>
                      <a:nvCxnSpPr>
                        <a:cNvPr id="113" name="直接箭头连接符 112"/>
                        <a:cNvCxnSpPr/>
                      </a:nvCxnSpPr>
                      <a:spPr>
                        <a:xfrm>
                          <a:off x="899592" y="3645024"/>
                          <a:ext cx="4896544"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4" name="矩形 113"/>
                        <a:cNvSpPr/>
                      </a:nvSpPr>
                      <a:spPr>
                        <a:xfrm>
                          <a:off x="899592"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矩形 114"/>
                        <a:cNvSpPr/>
                      </a:nvSpPr>
                      <a:spPr>
                        <a:xfrm>
                          <a:off x="5796136"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TextBox 117"/>
                        <a:cNvSpPr txBox="1"/>
                      </a:nvSpPr>
                      <a:spPr>
                        <a:xfrm>
                          <a:off x="1979712" y="3356992"/>
                          <a:ext cx="2890535" cy="215444"/>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Time Interval:  Period for UE to monitor DL control channel</a:t>
                            </a:r>
                            <a:r>
                              <a:rPr lang="en-US" sz="800" dirty="0" smtClean="0"/>
                              <a:t> </a:t>
                            </a:r>
                            <a:endParaRPr lang="en-US" sz="800" dirty="0"/>
                          </a:p>
                        </a:txBody>
                        <a:useSpRect/>
                      </a:txSp>
                    </a:sp>
                    <a:cxnSp>
                      <a:nvCxnSpPr>
                        <a:cNvPr id="120" name="直接连接符 119"/>
                        <a:cNvCxnSpPr/>
                      </a:nvCxnSpPr>
                      <a:spPr>
                        <a:xfrm>
                          <a:off x="899592" y="3356992"/>
                          <a:ext cx="0" cy="576064"/>
                        </a:xfrm>
                        <a:prstGeom prst="line">
                          <a:avLst/>
                        </a:prstGeom>
                      </a:spPr>
                      <a:style>
                        <a:lnRef idx="1">
                          <a:schemeClr val="accent1"/>
                        </a:lnRef>
                        <a:fillRef idx="0">
                          <a:schemeClr val="accent1"/>
                        </a:fillRef>
                        <a:effectRef idx="0">
                          <a:schemeClr val="accent1"/>
                        </a:effectRef>
                        <a:fontRef idx="minor">
                          <a:schemeClr val="tx1"/>
                        </a:fontRef>
                      </a:style>
                    </a:cxnSp>
                    <a:cxnSp>
                      <a:nvCxnSpPr>
                        <a:cNvPr id="121" name="直接连接符 120"/>
                        <a:cNvCxnSpPr/>
                      </a:nvCxnSpPr>
                      <a:spPr>
                        <a:xfrm>
                          <a:off x="5796136" y="3356992"/>
                          <a:ext cx="0" cy="576064"/>
                        </a:xfrm>
                        <a:prstGeom prst="line">
                          <a:avLst/>
                        </a:prstGeom>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0A52B8" w:rsidRDefault="00117050" w:rsidP="00117050">
      <w:pPr>
        <w:pStyle w:val="af9"/>
        <w:rPr>
          <w:b w:val="0"/>
          <w:bCs w:val="0"/>
        </w:rPr>
      </w:pPr>
      <w:r>
        <w:rPr>
          <w:b w:val="0"/>
          <w:bCs w:val="0"/>
        </w:rPr>
        <w:t xml:space="preserve">Figure </w:t>
      </w:r>
      <w:r w:rsidR="005730B4">
        <w:rPr>
          <w:b w:val="0"/>
          <w:bCs w:val="0"/>
        </w:rPr>
        <w:fldChar w:fldCharType="begin"/>
      </w:r>
      <w:r>
        <w:rPr>
          <w:b w:val="0"/>
          <w:bCs w:val="0"/>
        </w:rPr>
        <w:instrText xml:space="preserve"> STYLEREF 1 \s </w:instrText>
      </w:r>
      <w:r w:rsidR="005730B4">
        <w:rPr>
          <w:b w:val="0"/>
          <w:bCs w:val="0"/>
        </w:rPr>
        <w:fldChar w:fldCharType="separate"/>
      </w:r>
      <w:r>
        <w:rPr>
          <w:b w:val="0"/>
          <w:bCs w:val="0"/>
        </w:rPr>
        <w:t>2</w:t>
      </w:r>
      <w:r w:rsidR="005730B4">
        <w:rPr>
          <w:b w:val="0"/>
          <w:bCs w:val="0"/>
        </w:rPr>
        <w:fldChar w:fldCharType="end"/>
      </w:r>
      <w:r>
        <w:rPr>
          <w:b w:val="0"/>
          <w:bCs w:val="0"/>
        </w:rPr>
        <w:noBreakHyphen/>
      </w:r>
      <w:r w:rsidR="005730B4">
        <w:rPr>
          <w:b w:val="0"/>
          <w:bCs w:val="0"/>
        </w:rPr>
        <w:fldChar w:fldCharType="begin"/>
      </w:r>
      <w:r>
        <w:rPr>
          <w:b w:val="0"/>
          <w:bCs w:val="0"/>
        </w:rPr>
        <w:instrText xml:space="preserve"> SEQ Figure \* ARABIC \s 1 </w:instrText>
      </w:r>
      <w:r w:rsidR="005730B4">
        <w:rPr>
          <w:b w:val="0"/>
          <w:bCs w:val="0"/>
        </w:rPr>
        <w:fldChar w:fldCharType="separate"/>
      </w:r>
      <w:r>
        <w:rPr>
          <w:b w:val="0"/>
          <w:bCs w:val="0"/>
        </w:rPr>
        <w:t>1</w:t>
      </w:r>
      <w:r w:rsidR="005730B4">
        <w:rPr>
          <w:b w:val="0"/>
          <w:bCs w:val="0"/>
        </w:rPr>
        <w:fldChar w:fldCharType="end"/>
      </w:r>
      <w:r>
        <w:t>: Time Interval configured for UE to monitor DL control channel</w:t>
      </w:r>
    </w:p>
    <w:p w:rsidR="000A52B8" w:rsidRDefault="000A52B8" w:rsidP="00086ACB">
      <w:pPr>
        <w:rPr>
          <w:b/>
          <w:bCs/>
        </w:rPr>
      </w:pPr>
    </w:p>
    <w:p w:rsidR="000A52B8" w:rsidRPr="00415673" w:rsidRDefault="000A52B8" w:rsidP="00086ACB">
      <w:pPr>
        <w:rPr>
          <w:b/>
          <w:bCs/>
        </w:rPr>
      </w:pPr>
    </w:p>
    <w:p w:rsidR="003353F3" w:rsidRDefault="003353F3" w:rsidP="003353F3">
      <w:pPr>
        <w:pStyle w:val="1"/>
      </w:pPr>
      <w:r>
        <w:t>Blank Resource Indication</w:t>
      </w:r>
    </w:p>
    <w:p w:rsidR="00696CDD" w:rsidRDefault="003353F3" w:rsidP="003353F3">
      <w:pPr>
        <w:rPr>
          <w:lang w:eastAsia="en-US"/>
        </w:rPr>
      </w:pPr>
      <w:r>
        <w:rPr>
          <w:lang w:eastAsia="en-US"/>
        </w:rPr>
        <w:t xml:space="preserve">UE would search the DL and UL grant from the DL control channel at each slot.  If UE is configured with a duty cycle of DL control channel monitoring for power saving resource, UE would search the DL and UL grant only on the slots configured for DL control channel monitoring.   UE will not assume any DL transmission from the network on those slots not configured for DL control channel monitoring.  UE will also not assume any resource for UL transmission if it is not scheduled (dynamic scheduling or semi-persistent scheduling) by the </w:t>
      </w:r>
      <w:proofErr w:type="spellStart"/>
      <w:r>
        <w:rPr>
          <w:lang w:eastAsia="en-US"/>
        </w:rPr>
        <w:t>gNB</w:t>
      </w:r>
      <w:proofErr w:type="spellEnd"/>
      <w:r>
        <w:rPr>
          <w:lang w:eastAsia="en-US"/>
        </w:rPr>
        <w:t xml:space="preserve"> or preconfigured resource pool for grant free operation</w:t>
      </w:r>
      <w:r w:rsidR="00696CDD">
        <w:rPr>
          <w:lang w:eastAsia="en-US"/>
        </w:rPr>
        <w:t>.</w:t>
      </w:r>
      <w:r w:rsidR="00D4297E">
        <w:rPr>
          <w:lang w:eastAsia="en-US"/>
        </w:rPr>
        <w:t xml:space="preserve">  Since </w:t>
      </w:r>
      <w:r w:rsidR="00696CDD">
        <w:rPr>
          <w:lang w:eastAsia="en-US"/>
        </w:rPr>
        <w:t xml:space="preserve">it was agreed in RAN1#86bis that UE-specific DL control information monitoring occasions in time domain can be configured, DL control channel monitoring is UE-specifically configured with a duty cycle for the power saving and blank resource indication purposes.   UE should assume the slots not configured as the DL control channel monitoring occasions as blank resource.   </w:t>
      </w:r>
    </w:p>
    <w:p w:rsidR="003353F3" w:rsidRPr="00696CDD" w:rsidRDefault="00696CDD" w:rsidP="003353F3">
      <w:pPr>
        <w:rPr>
          <w:b/>
          <w:lang w:eastAsia="en-US"/>
        </w:rPr>
      </w:pPr>
      <w:r w:rsidRPr="00696CDD">
        <w:rPr>
          <w:b/>
          <w:lang w:eastAsia="en-US"/>
        </w:rPr>
        <w:t xml:space="preserve">Proposal 2: DL control channel monitoring is UE-specifically configured with a duty cycle for the power saving and blank resource indication purposes.   UE should assume the slots not configured as the DL control channel monitoring occasions as blank resource.   </w:t>
      </w:r>
    </w:p>
    <w:p w:rsidR="000859B2" w:rsidRPr="001D1EC3" w:rsidRDefault="000859B2" w:rsidP="00200DCD">
      <w:pPr>
        <w:pStyle w:val="1"/>
      </w:pPr>
      <w:r>
        <w:t>Conclusion</w:t>
      </w:r>
    </w:p>
    <w:p w:rsidR="006D6D30" w:rsidRDefault="00696CDD" w:rsidP="006D6D30">
      <w:r>
        <w:t>This paper discusses the UE-specific configuration of DL control channel monitoring for power saving and blank resource indication.  We propose the following,</w:t>
      </w:r>
      <w:r w:rsidR="006D6D30">
        <w:t xml:space="preserve"> </w:t>
      </w:r>
    </w:p>
    <w:p w:rsidR="00696CDD" w:rsidRPr="00696CDD" w:rsidRDefault="00F42B0B" w:rsidP="00696CDD">
      <w:pPr>
        <w:pStyle w:val="afa"/>
        <w:numPr>
          <w:ilvl w:val="0"/>
          <w:numId w:val="25"/>
        </w:numPr>
        <w:rPr>
          <w:rStyle w:val="afe"/>
          <w:b w:val="0"/>
          <w:sz w:val="20"/>
          <w:szCs w:val="20"/>
        </w:rPr>
      </w:pPr>
      <w:r w:rsidRPr="00696CDD">
        <w:rPr>
          <w:rStyle w:val="afe"/>
          <w:b w:val="0"/>
          <w:sz w:val="20"/>
          <w:szCs w:val="20"/>
        </w:rPr>
        <w:t xml:space="preserve">Proposal 1:  </w:t>
      </w:r>
      <w:r w:rsidR="00A86013" w:rsidRPr="00696CDD">
        <w:rPr>
          <w:rStyle w:val="afe"/>
          <w:b w:val="0"/>
          <w:sz w:val="20"/>
          <w:szCs w:val="20"/>
        </w:rPr>
        <w:t xml:space="preserve"> </w:t>
      </w:r>
      <w:r w:rsidR="003353F3" w:rsidRPr="00696CDD">
        <w:rPr>
          <w:rStyle w:val="afe"/>
          <w:b w:val="0"/>
          <w:sz w:val="20"/>
          <w:szCs w:val="20"/>
        </w:rPr>
        <w:t>UE is configured with duty cycle</w:t>
      </w:r>
      <w:r w:rsidR="006D6D30" w:rsidRPr="00696CDD">
        <w:rPr>
          <w:rStyle w:val="afe"/>
          <w:b w:val="0"/>
          <w:sz w:val="20"/>
          <w:szCs w:val="20"/>
        </w:rPr>
        <w:t xml:space="preserve"> of DL control channel monitoring for power saving purpose.  </w:t>
      </w:r>
      <w:r w:rsidR="00B840DC" w:rsidRPr="00696CDD">
        <w:rPr>
          <w:rStyle w:val="afe"/>
          <w:b w:val="0"/>
          <w:sz w:val="20"/>
          <w:szCs w:val="20"/>
        </w:rPr>
        <w:t xml:space="preserve">  </w:t>
      </w:r>
      <w:r w:rsidR="00A86013" w:rsidRPr="00696CDD">
        <w:rPr>
          <w:rStyle w:val="afe"/>
          <w:b w:val="0"/>
          <w:sz w:val="20"/>
          <w:szCs w:val="20"/>
        </w:rPr>
        <w:t xml:space="preserve"> </w:t>
      </w:r>
    </w:p>
    <w:p w:rsidR="00696CDD" w:rsidRPr="00696CDD" w:rsidRDefault="00696CDD" w:rsidP="00696CDD">
      <w:pPr>
        <w:pStyle w:val="afa"/>
        <w:numPr>
          <w:ilvl w:val="0"/>
          <w:numId w:val="25"/>
        </w:numPr>
        <w:rPr>
          <w:sz w:val="20"/>
          <w:szCs w:val="20"/>
          <w:lang w:eastAsia="en-US"/>
        </w:rPr>
      </w:pPr>
      <w:r w:rsidRPr="00696CDD">
        <w:rPr>
          <w:rStyle w:val="afe"/>
          <w:b w:val="0"/>
          <w:sz w:val="20"/>
          <w:szCs w:val="20"/>
        </w:rPr>
        <w:t xml:space="preserve">Proposal 2: </w:t>
      </w:r>
      <w:r w:rsidR="00A86013" w:rsidRPr="00696CDD">
        <w:rPr>
          <w:rStyle w:val="afe"/>
          <w:b w:val="0"/>
          <w:sz w:val="20"/>
          <w:szCs w:val="20"/>
        </w:rPr>
        <w:t xml:space="preserve"> </w:t>
      </w:r>
      <w:r w:rsidRPr="00696CDD">
        <w:rPr>
          <w:sz w:val="20"/>
          <w:szCs w:val="20"/>
          <w:lang w:eastAsia="en-US"/>
        </w:rPr>
        <w:t xml:space="preserve">DL control channel monitoring is UE-specifically configured with a duty cycle for the power saving and blank resource indication purposes.   UE should assume the slots not configured as the DL control channel monitoring occasions as blank resource.   </w:t>
      </w:r>
    </w:p>
    <w:p w:rsidR="00F42B0B" w:rsidRPr="00F42B0B" w:rsidRDefault="00F42B0B" w:rsidP="006D6D30">
      <w:pPr>
        <w:rPr>
          <w:rStyle w:val="afe"/>
          <w:b w:val="0"/>
        </w:rPr>
      </w:pPr>
    </w:p>
    <w:p w:rsidR="00F42B0B" w:rsidRDefault="00F42B0B" w:rsidP="00086ACB"/>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DD213A" w:rsidRPr="00DD213A" w:rsidRDefault="00DD213A" w:rsidP="00DD213A">
      <w:pPr>
        <w:pStyle w:val="afa"/>
        <w:numPr>
          <w:ilvl w:val="0"/>
          <w:numId w:val="6"/>
        </w:numPr>
        <w:rPr>
          <w:rFonts w:eastAsia="MS Mincho"/>
          <w:sz w:val="20"/>
          <w:szCs w:val="20"/>
        </w:rPr>
      </w:pPr>
      <w:r w:rsidRPr="00DD213A">
        <w:rPr>
          <w:rFonts w:eastAsia="MS Mincho"/>
          <w:sz w:val="20"/>
          <w:szCs w:val="20"/>
        </w:rPr>
        <w:t>R1-1610949</w:t>
      </w:r>
      <w:r>
        <w:rPr>
          <w:rFonts w:eastAsia="MS Mincho"/>
          <w:sz w:val="20"/>
          <w:szCs w:val="20"/>
        </w:rPr>
        <w:t>, “</w:t>
      </w:r>
      <w:r w:rsidRPr="00DD213A">
        <w:rPr>
          <w:rFonts w:eastAsia="MS Mincho"/>
          <w:sz w:val="20"/>
          <w:szCs w:val="20"/>
        </w:rPr>
        <w:t>WF on forward compatibility for NR</w:t>
      </w:r>
      <w:r>
        <w:rPr>
          <w:rFonts w:eastAsia="MS Mincho"/>
          <w:sz w:val="20"/>
          <w:szCs w:val="20"/>
        </w:rPr>
        <w:t xml:space="preserve">”,  </w:t>
      </w:r>
      <w:r w:rsidRPr="00DD213A">
        <w:rPr>
          <w:rFonts w:eastAsia="MS Mincho"/>
          <w:sz w:val="20"/>
          <w:szCs w:val="20"/>
        </w:rPr>
        <w:t xml:space="preserve">Samsung, LG Electronics, Nokia, ASB, Ericsson, </w:t>
      </w:r>
      <w:proofErr w:type="spellStart"/>
      <w:r w:rsidRPr="00DD213A">
        <w:rPr>
          <w:rFonts w:eastAsia="MS Mincho"/>
          <w:sz w:val="20"/>
          <w:szCs w:val="20"/>
        </w:rPr>
        <w:t>Huawei</w:t>
      </w:r>
      <w:proofErr w:type="spellEnd"/>
      <w:r w:rsidRPr="00DD213A">
        <w:rPr>
          <w:rFonts w:eastAsia="MS Mincho"/>
          <w:sz w:val="20"/>
          <w:szCs w:val="20"/>
        </w:rPr>
        <w:t xml:space="preserve">, </w:t>
      </w:r>
      <w:proofErr w:type="spellStart"/>
      <w:r w:rsidRPr="00DD213A">
        <w:rPr>
          <w:rFonts w:eastAsia="MS Mincho"/>
          <w:sz w:val="20"/>
          <w:szCs w:val="20"/>
        </w:rPr>
        <w:t>HiSilicon</w:t>
      </w:r>
      <w:proofErr w:type="spellEnd"/>
      <w:r w:rsidRPr="00DD213A">
        <w:rPr>
          <w:rFonts w:eastAsia="MS Mincho"/>
          <w:sz w:val="20"/>
          <w:szCs w:val="20"/>
        </w:rPr>
        <w:t>, Qualcomm, AT&amp;T, Panasonic</w:t>
      </w:r>
    </w:p>
    <w:p w:rsidR="00D4297E" w:rsidRPr="00D4297E" w:rsidRDefault="00D4297E" w:rsidP="00D4297E">
      <w:pPr>
        <w:pStyle w:val="afa"/>
        <w:numPr>
          <w:ilvl w:val="0"/>
          <w:numId w:val="6"/>
        </w:numPr>
        <w:rPr>
          <w:rFonts w:eastAsia="MS Mincho"/>
          <w:sz w:val="20"/>
          <w:szCs w:val="20"/>
        </w:rPr>
      </w:pPr>
      <w:bookmarkStart w:id="2" w:name="_Ref462216856"/>
      <w:r w:rsidRPr="00D4297E">
        <w:rPr>
          <w:rFonts w:eastAsia="MS Mincho"/>
          <w:sz w:val="20"/>
          <w:szCs w:val="20"/>
        </w:rPr>
        <w:t>R1-1610752</w:t>
      </w:r>
      <w:r>
        <w:rPr>
          <w:rFonts w:eastAsia="MS Mincho"/>
          <w:sz w:val="20"/>
          <w:szCs w:val="20"/>
        </w:rPr>
        <w:t>, “</w:t>
      </w:r>
      <w:r w:rsidRPr="00D4297E">
        <w:rPr>
          <w:rFonts w:eastAsia="MS Mincho"/>
          <w:sz w:val="20"/>
          <w:szCs w:val="20"/>
        </w:rPr>
        <w:t>Way forward on NR DCI monitoring</w:t>
      </w:r>
      <w:r>
        <w:rPr>
          <w:rFonts w:eastAsia="MS Mincho"/>
          <w:sz w:val="20"/>
          <w:szCs w:val="20"/>
        </w:rPr>
        <w:t xml:space="preserve">”, </w:t>
      </w:r>
      <w:r w:rsidRPr="00D4297E">
        <w:rPr>
          <w:rFonts w:eastAsia="MS Mincho" w:hint="eastAsia"/>
          <w:sz w:val="20"/>
          <w:szCs w:val="20"/>
        </w:rPr>
        <w:tab/>
      </w:r>
      <w:r w:rsidRPr="00D4297E">
        <w:rPr>
          <w:rFonts w:eastAsia="MS Mincho"/>
          <w:sz w:val="20"/>
          <w:szCs w:val="20"/>
        </w:rPr>
        <w:t>Intel, CATT, Ericsson, Panasonic, ETRI</w:t>
      </w:r>
    </w:p>
    <w:p w:rsidR="00684EC9" w:rsidRPr="00684EC9" w:rsidRDefault="00684EC9" w:rsidP="00684EC9">
      <w:pPr>
        <w:pStyle w:val="afa"/>
        <w:numPr>
          <w:ilvl w:val="0"/>
          <w:numId w:val="6"/>
        </w:numPr>
        <w:rPr>
          <w:rFonts w:eastAsia="MS Mincho"/>
          <w:sz w:val="20"/>
          <w:szCs w:val="20"/>
        </w:rPr>
      </w:pPr>
      <w:r w:rsidRPr="00684EC9">
        <w:rPr>
          <w:rFonts w:eastAsia="MS Mincho"/>
          <w:sz w:val="20"/>
          <w:szCs w:val="20"/>
        </w:rPr>
        <w:t>R1-166368</w:t>
      </w:r>
      <w:r>
        <w:rPr>
          <w:rFonts w:eastAsia="MS Mincho"/>
          <w:sz w:val="20"/>
          <w:szCs w:val="20"/>
        </w:rPr>
        <w:t>, “</w:t>
      </w:r>
      <w:r w:rsidRPr="00684EC9">
        <w:rPr>
          <w:rFonts w:eastAsia="MS Mincho"/>
          <w:sz w:val="20"/>
          <w:szCs w:val="20"/>
        </w:rPr>
        <w:t>UE Power Consideration based on Days-of-Use</w:t>
      </w:r>
      <w:r w:rsidRPr="00684EC9">
        <w:rPr>
          <w:rFonts w:eastAsia="MS Mincho"/>
          <w:sz w:val="20"/>
          <w:szCs w:val="20"/>
        </w:rPr>
        <w:tab/>
      </w:r>
      <w:r>
        <w:rPr>
          <w:rFonts w:eastAsia="MS Mincho"/>
          <w:sz w:val="20"/>
          <w:szCs w:val="20"/>
        </w:rPr>
        <w:t xml:space="preserve">“, </w:t>
      </w:r>
      <w:r w:rsidRPr="00684EC9">
        <w:rPr>
          <w:rFonts w:eastAsia="MS Mincho"/>
          <w:sz w:val="20"/>
          <w:szCs w:val="20"/>
        </w:rPr>
        <w:t>Qualcomm Incorporated</w:t>
      </w:r>
      <w:bookmarkEnd w:id="2"/>
    </w:p>
    <w:p w:rsidR="00684EC9" w:rsidRPr="00684EC9" w:rsidRDefault="00684EC9" w:rsidP="00684EC9">
      <w:pPr>
        <w:pStyle w:val="afa"/>
        <w:numPr>
          <w:ilvl w:val="0"/>
          <w:numId w:val="6"/>
        </w:numPr>
        <w:rPr>
          <w:rFonts w:eastAsia="MS Mincho"/>
          <w:sz w:val="20"/>
          <w:szCs w:val="20"/>
        </w:rPr>
      </w:pPr>
      <w:r w:rsidRPr="00684EC9">
        <w:rPr>
          <w:rFonts w:eastAsia="MS Mincho"/>
          <w:sz w:val="20"/>
          <w:szCs w:val="20"/>
        </w:rPr>
        <w:t>R1-168352</w:t>
      </w:r>
      <w:r>
        <w:rPr>
          <w:rFonts w:eastAsia="MS Mincho"/>
          <w:sz w:val="20"/>
          <w:szCs w:val="20"/>
        </w:rPr>
        <w:t>, “</w:t>
      </w:r>
      <w:r w:rsidRPr="00684EC9">
        <w:rPr>
          <w:rFonts w:eastAsia="MS Mincho"/>
          <w:sz w:val="20"/>
          <w:szCs w:val="20"/>
        </w:rPr>
        <w:t>WF on NR UE Power Consumption Reduction</w:t>
      </w:r>
      <w:r>
        <w:rPr>
          <w:rFonts w:eastAsia="MS Mincho"/>
          <w:sz w:val="20"/>
          <w:szCs w:val="20"/>
        </w:rPr>
        <w:t xml:space="preserve">”, </w:t>
      </w:r>
      <w:r w:rsidRPr="00684EC9">
        <w:rPr>
          <w:rFonts w:eastAsia="MS Mincho" w:hint="eastAsia"/>
          <w:sz w:val="20"/>
          <w:szCs w:val="20"/>
        </w:rPr>
        <w:t>Qualcomm</w:t>
      </w:r>
    </w:p>
    <w:p w:rsidR="00684EC9" w:rsidRPr="00684EC9" w:rsidRDefault="00684EC9" w:rsidP="0068526E">
      <w:pPr>
        <w:pStyle w:val="afa"/>
        <w:rPr>
          <w:rFonts w:eastAsia="MS Mincho"/>
          <w:sz w:val="20"/>
          <w:szCs w:val="20"/>
        </w:rPr>
      </w:pPr>
    </w:p>
    <w:bookmarkEnd w:id="0"/>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C5E" w:rsidRDefault="006B6C5E" w:rsidP="00086ACB">
      <w:r>
        <w:separator/>
      </w:r>
    </w:p>
  </w:endnote>
  <w:endnote w:type="continuationSeparator" w:id="0">
    <w:p w:rsidR="006B6C5E" w:rsidRDefault="006B6C5E"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730B4"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730B4"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696CDD">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C5E" w:rsidRDefault="006B6C5E" w:rsidP="00086ACB">
      <w:r>
        <w:separator/>
      </w:r>
    </w:p>
  </w:footnote>
  <w:footnote w:type="continuationSeparator" w:id="0">
    <w:p w:rsidR="006B6C5E" w:rsidRDefault="006B6C5E"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3">
    <w:nsid w:val="0EBC076D"/>
    <w:multiLevelType w:val="hybridMultilevel"/>
    <w:tmpl w:val="104ED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6">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BA24AF"/>
    <w:multiLevelType w:val="hybridMultilevel"/>
    <w:tmpl w:val="09DEC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7">
    <w:nsid w:val="507031A7"/>
    <w:multiLevelType w:val="hybridMultilevel"/>
    <w:tmpl w:val="2180B29A"/>
    <w:lvl w:ilvl="0" w:tplc="6A8845DA">
      <w:start w:val="1"/>
      <w:numFmt w:val="bullet"/>
      <w:lvlText w:val="•"/>
      <w:lvlJc w:val="left"/>
      <w:pPr>
        <w:tabs>
          <w:tab w:val="num" w:pos="720"/>
        </w:tabs>
        <w:ind w:left="720" w:hanging="360"/>
      </w:pPr>
      <w:rPr>
        <w:rFonts w:ascii="Arial" w:hAnsi="Arial" w:hint="default"/>
      </w:rPr>
    </w:lvl>
    <w:lvl w:ilvl="1" w:tplc="1C229AD8" w:tentative="1">
      <w:start w:val="1"/>
      <w:numFmt w:val="bullet"/>
      <w:lvlText w:val="•"/>
      <w:lvlJc w:val="left"/>
      <w:pPr>
        <w:tabs>
          <w:tab w:val="num" w:pos="1440"/>
        </w:tabs>
        <w:ind w:left="1440" w:hanging="360"/>
      </w:pPr>
      <w:rPr>
        <w:rFonts w:ascii="Arial" w:hAnsi="Arial" w:hint="default"/>
      </w:rPr>
    </w:lvl>
    <w:lvl w:ilvl="2" w:tplc="EA9E62FA" w:tentative="1">
      <w:start w:val="1"/>
      <w:numFmt w:val="bullet"/>
      <w:lvlText w:val="•"/>
      <w:lvlJc w:val="left"/>
      <w:pPr>
        <w:tabs>
          <w:tab w:val="num" w:pos="2160"/>
        </w:tabs>
        <w:ind w:left="2160" w:hanging="360"/>
      </w:pPr>
      <w:rPr>
        <w:rFonts w:ascii="Arial" w:hAnsi="Arial" w:hint="default"/>
      </w:rPr>
    </w:lvl>
    <w:lvl w:ilvl="3" w:tplc="72943AD2" w:tentative="1">
      <w:start w:val="1"/>
      <w:numFmt w:val="bullet"/>
      <w:lvlText w:val="•"/>
      <w:lvlJc w:val="left"/>
      <w:pPr>
        <w:tabs>
          <w:tab w:val="num" w:pos="2880"/>
        </w:tabs>
        <w:ind w:left="2880" w:hanging="360"/>
      </w:pPr>
      <w:rPr>
        <w:rFonts w:ascii="Arial" w:hAnsi="Arial" w:hint="default"/>
      </w:rPr>
    </w:lvl>
    <w:lvl w:ilvl="4" w:tplc="FDC2AE5C" w:tentative="1">
      <w:start w:val="1"/>
      <w:numFmt w:val="bullet"/>
      <w:lvlText w:val="•"/>
      <w:lvlJc w:val="left"/>
      <w:pPr>
        <w:tabs>
          <w:tab w:val="num" w:pos="3600"/>
        </w:tabs>
        <w:ind w:left="3600" w:hanging="360"/>
      </w:pPr>
      <w:rPr>
        <w:rFonts w:ascii="Arial" w:hAnsi="Arial" w:hint="default"/>
      </w:rPr>
    </w:lvl>
    <w:lvl w:ilvl="5" w:tplc="9E0CDE8A" w:tentative="1">
      <w:start w:val="1"/>
      <w:numFmt w:val="bullet"/>
      <w:lvlText w:val="•"/>
      <w:lvlJc w:val="left"/>
      <w:pPr>
        <w:tabs>
          <w:tab w:val="num" w:pos="4320"/>
        </w:tabs>
        <w:ind w:left="4320" w:hanging="360"/>
      </w:pPr>
      <w:rPr>
        <w:rFonts w:ascii="Arial" w:hAnsi="Arial" w:hint="default"/>
      </w:rPr>
    </w:lvl>
    <w:lvl w:ilvl="6" w:tplc="1954FA98" w:tentative="1">
      <w:start w:val="1"/>
      <w:numFmt w:val="bullet"/>
      <w:lvlText w:val="•"/>
      <w:lvlJc w:val="left"/>
      <w:pPr>
        <w:tabs>
          <w:tab w:val="num" w:pos="5040"/>
        </w:tabs>
        <w:ind w:left="5040" w:hanging="360"/>
      </w:pPr>
      <w:rPr>
        <w:rFonts w:ascii="Arial" w:hAnsi="Arial" w:hint="default"/>
      </w:rPr>
    </w:lvl>
    <w:lvl w:ilvl="7" w:tplc="402C266A" w:tentative="1">
      <w:start w:val="1"/>
      <w:numFmt w:val="bullet"/>
      <w:lvlText w:val="•"/>
      <w:lvlJc w:val="left"/>
      <w:pPr>
        <w:tabs>
          <w:tab w:val="num" w:pos="5760"/>
        </w:tabs>
        <w:ind w:left="5760" w:hanging="360"/>
      </w:pPr>
      <w:rPr>
        <w:rFonts w:ascii="Arial" w:hAnsi="Arial" w:hint="default"/>
      </w:rPr>
    </w:lvl>
    <w:lvl w:ilvl="8" w:tplc="2E967954" w:tentative="1">
      <w:start w:val="1"/>
      <w:numFmt w:val="bullet"/>
      <w:lvlText w:val="•"/>
      <w:lvlJc w:val="left"/>
      <w:pPr>
        <w:tabs>
          <w:tab w:val="num" w:pos="6480"/>
        </w:tabs>
        <w:ind w:left="6480" w:hanging="360"/>
      </w:pPr>
      <w:rPr>
        <w:rFonts w:ascii="Arial" w:hAnsi="Arial" w:hint="default"/>
      </w:rPr>
    </w:lvl>
  </w:abstractNum>
  <w:abstractNum w:abstractNumId="18">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22">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4"/>
  </w:num>
  <w:num w:numId="2">
    <w:abstractNumId w:val="19"/>
  </w:num>
  <w:num w:numId="3">
    <w:abstractNumId w:val="18"/>
  </w:num>
  <w:num w:numId="4">
    <w:abstractNumId w:val="7"/>
  </w:num>
  <w:num w:numId="5">
    <w:abstractNumId w:val="14"/>
  </w:num>
  <w:num w:numId="6">
    <w:abstractNumId w:val="8"/>
  </w:num>
  <w:num w:numId="7">
    <w:abstractNumId w:val="20"/>
  </w:num>
  <w:num w:numId="8">
    <w:abstractNumId w:val="22"/>
  </w:num>
  <w:num w:numId="9">
    <w:abstractNumId w:val="10"/>
  </w:num>
  <w:num w:numId="10">
    <w:abstractNumId w:val="12"/>
  </w:num>
  <w:num w:numId="11">
    <w:abstractNumId w:val="11"/>
  </w:num>
  <w:num w:numId="12">
    <w:abstractNumId w:val="6"/>
  </w:num>
  <w:num w:numId="13">
    <w:abstractNumId w:val="15"/>
  </w:num>
  <w:num w:numId="14">
    <w:abstractNumId w:val="9"/>
  </w:num>
  <w:num w:numId="15">
    <w:abstractNumId w:val="23"/>
  </w:num>
  <w:num w:numId="16">
    <w:abstractNumId w:val="4"/>
  </w:num>
  <w:num w:numId="17">
    <w:abstractNumId w:val="16"/>
  </w:num>
  <w:num w:numId="18">
    <w:abstractNumId w:val="5"/>
  </w:num>
  <w:num w:numId="19">
    <w:abstractNumId w:val="0"/>
  </w:num>
  <w:num w:numId="20">
    <w:abstractNumId w:val="1"/>
  </w:num>
  <w:num w:numId="21">
    <w:abstractNumId w:val="2"/>
  </w:num>
  <w:num w:numId="22">
    <w:abstractNumId w:val="13"/>
  </w:num>
  <w:num w:numId="23">
    <w:abstractNumId w:val="21"/>
  </w:num>
  <w:num w:numId="24">
    <w:abstractNumId w:val="17"/>
  </w:num>
  <w:num w:numId="25">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963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4DC"/>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2B8"/>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050"/>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5F"/>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0A5A"/>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1A18"/>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4C02"/>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6C8"/>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53F3"/>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5B83"/>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4AC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30B4"/>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EC9"/>
    <w:rsid w:val="0068526E"/>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6CDD"/>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B6C5E"/>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6D30"/>
    <w:rsid w:val="006D7C6C"/>
    <w:rsid w:val="006D7C76"/>
    <w:rsid w:val="006D7EFD"/>
    <w:rsid w:val="006E016F"/>
    <w:rsid w:val="006E0BCE"/>
    <w:rsid w:val="006E2066"/>
    <w:rsid w:val="006E363F"/>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22E"/>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91B"/>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442C"/>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7DC"/>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349"/>
    <w:rsid w:val="008B5579"/>
    <w:rsid w:val="008B6355"/>
    <w:rsid w:val="008B720A"/>
    <w:rsid w:val="008B7B72"/>
    <w:rsid w:val="008C0526"/>
    <w:rsid w:val="008C0DF0"/>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0149"/>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0B4"/>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FCB"/>
    <w:rsid w:val="009B2340"/>
    <w:rsid w:val="009B243C"/>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40AB"/>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5C8"/>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29B5"/>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46"/>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6785"/>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673"/>
    <w:rsid w:val="00CE7CEC"/>
    <w:rsid w:val="00CF13A3"/>
    <w:rsid w:val="00CF365D"/>
    <w:rsid w:val="00CF42D3"/>
    <w:rsid w:val="00CF4827"/>
    <w:rsid w:val="00CF5230"/>
    <w:rsid w:val="00CF5991"/>
    <w:rsid w:val="00CF5D74"/>
    <w:rsid w:val="00CF5FA6"/>
    <w:rsid w:val="00CF614B"/>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7BC"/>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9F"/>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97E"/>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13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07D72"/>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974E7"/>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4ACB"/>
    <w:rsid w:val="00EF678F"/>
    <w:rsid w:val="00EF6A71"/>
    <w:rsid w:val="00F0000C"/>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1499"/>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24A"/>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F442C"/>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5E61080-8CF5-4E45-A50F-D53B39C2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1592</TotalTime>
  <Pages>3</Pages>
  <Words>1361</Words>
  <Characters>7760</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9103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42</cp:revision>
  <cp:lastPrinted>2006-02-09T13:55:00Z</cp:lastPrinted>
  <dcterms:created xsi:type="dcterms:W3CDTF">2016-04-01T07:08:00Z</dcterms:created>
  <dcterms:modified xsi:type="dcterms:W3CDTF">2016-11-04T20:44:00Z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