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4398C18D" w:rsidR="00CA26CE" w:rsidRPr="00CA26CE" w:rsidRDefault="00CA26CE" w:rsidP="00CA26CE">
      <w:pPr>
        <w:pStyle w:val="Header"/>
        <w:rPr>
          <w:bCs/>
          <w:noProof w:val="0"/>
          <w:sz w:val="24"/>
          <w:lang w:val="en-GB"/>
        </w:rPr>
      </w:pPr>
      <w:r w:rsidRPr="00CA26CE">
        <w:rPr>
          <w:bCs/>
          <w:noProof w:val="0"/>
          <w:sz w:val="24"/>
          <w:lang w:val="en-GB"/>
        </w:rPr>
        <w:t>3GPP TSG-RAN WG1 #86</w:t>
      </w:r>
      <w:r>
        <w:rPr>
          <w:bCs/>
          <w:noProof w:val="0"/>
          <w:sz w:val="24"/>
          <w:lang w:val="en-GB"/>
        </w:rPr>
        <w:t xml:space="preserve"> 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8536A4">
        <w:rPr>
          <w:bCs/>
          <w:noProof w:val="0"/>
          <w:sz w:val="24"/>
          <w:lang w:val="en-GB"/>
        </w:rPr>
        <w:t>R1-1610241</w:t>
      </w:r>
    </w:p>
    <w:p w14:paraId="4E10A334" w14:textId="66630686" w:rsidR="00AA65C9" w:rsidRDefault="00DB3682" w:rsidP="00CA26CE">
      <w:pPr>
        <w:pStyle w:val="Header"/>
        <w:rPr>
          <w:bCs/>
          <w:noProof w:val="0"/>
          <w:sz w:val="24"/>
          <w:lang w:val="en-GB"/>
        </w:rPr>
      </w:pPr>
      <w:r>
        <w:rPr>
          <w:bCs/>
          <w:noProof w:val="0"/>
          <w:sz w:val="24"/>
          <w:lang w:val="en-GB"/>
        </w:rPr>
        <w:t>Lis</w:t>
      </w:r>
      <w:r w:rsidR="00CA26CE" w:rsidRPr="00CA26CE">
        <w:rPr>
          <w:bCs/>
          <w:noProof w:val="0"/>
          <w:sz w:val="24"/>
          <w:lang w:val="en-GB"/>
        </w:rPr>
        <w:t>bon, Portugal, October 10-14, 2016</w:t>
      </w:r>
    </w:p>
    <w:p w14:paraId="6CC4E3B9" w14:textId="77777777" w:rsidR="00CA26CE" w:rsidRPr="0016316A" w:rsidRDefault="00CA26CE" w:rsidP="00CA26CE">
      <w:pPr>
        <w:pStyle w:val="Header"/>
        <w:rPr>
          <w:bCs/>
          <w:noProof w:val="0"/>
          <w:sz w:val="24"/>
          <w:lang w:val="en-GB" w:eastAsia="ja-JP"/>
        </w:rPr>
      </w:pPr>
    </w:p>
    <w:p w14:paraId="6F51EFCF" w14:textId="70AB201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E7A94">
        <w:rPr>
          <w:rFonts w:cs="Arial"/>
          <w:b/>
          <w:bCs/>
          <w:sz w:val="24"/>
        </w:rPr>
        <w:t>8.1.4.1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43B5CF5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70490">
        <w:rPr>
          <w:rFonts w:ascii="Arial" w:hAnsi="Arial" w:cs="Arial"/>
          <w:b/>
          <w:bCs/>
          <w:sz w:val="24"/>
        </w:rPr>
        <w:t xml:space="preserve">On </w:t>
      </w:r>
      <w:r w:rsidR="0045423B">
        <w:rPr>
          <w:rFonts w:ascii="Arial" w:hAnsi="Arial" w:cs="Arial"/>
          <w:b/>
          <w:bCs/>
          <w:sz w:val="24"/>
        </w:rPr>
        <w:t>Beam Management</w:t>
      </w:r>
      <w:r w:rsidR="00FA7FA9">
        <w:rPr>
          <w:rFonts w:ascii="Arial" w:hAnsi="Arial" w:cs="Arial"/>
          <w:b/>
          <w:bCs/>
          <w:sz w:val="24"/>
        </w:rPr>
        <w:t xml:space="preserve"> for NR</w:t>
      </w:r>
      <w:r w:rsidR="00970490">
        <w:rPr>
          <w:rFonts w:ascii="Arial" w:hAnsi="Arial" w:cs="Arial"/>
          <w:b/>
          <w:bCs/>
          <w:sz w:val="24"/>
        </w:rPr>
        <w:t xml:space="preserve"> – Reciprocity Assumptions</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991BB97" w14:textId="7603AAAD" w:rsidR="0045423B" w:rsidRDefault="00EE7A94" w:rsidP="00E13EE4">
      <w:pPr>
        <w:spacing w:after="120"/>
        <w:jc w:val="both"/>
        <w:rPr>
          <w:bCs/>
        </w:rPr>
      </w:pPr>
      <w:r>
        <w:rPr>
          <w:bCs/>
        </w:rPr>
        <w:t>RAN1#86 made the following agreements for DL beam management</w:t>
      </w:r>
      <w:r w:rsidR="00F55998">
        <w:rPr>
          <w:bCs/>
        </w:rPr>
        <w:t xml:space="preserve"> [3]</w:t>
      </w:r>
      <w:r>
        <w:rPr>
          <w:bCs/>
        </w:rPr>
        <w:t>:</w:t>
      </w:r>
    </w:p>
    <w:tbl>
      <w:tblPr>
        <w:tblStyle w:val="TableGrid"/>
        <w:tblW w:w="0" w:type="auto"/>
        <w:tblLook w:val="04A0" w:firstRow="1" w:lastRow="0" w:firstColumn="1" w:lastColumn="0" w:noHBand="0" w:noVBand="1"/>
      </w:tblPr>
      <w:tblGrid>
        <w:gridCol w:w="9629"/>
      </w:tblGrid>
      <w:tr w:rsidR="00EE7A94" w14:paraId="4E99081E" w14:textId="77777777" w:rsidTr="00EE7A94">
        <w:tc>
          <w:tcPr>
            <w:tcW w:w="9629" w:type="dxa"/>
          </w:tcPr>
          <w:p w14:paraId="75978E1B" w14:textId="77777777" w:rsidR="00EE7A94" w:rsidRPr="00EE7A94" w:rsidRDefault="00EE7A94" w:rsidP="00EE7A94">
            <w:pPr>
              <w:overflowPunct/>
              <w:autoSpaceDE/>
              <w:autoSpaceDN/>
              <w:adjustRightInd/>
              <w:spacing w:after="0"/>
              <w:textAlignment w:val="auto"/>
              <w:rPr>
                <w:rFonts w:ascii="Times" w:eastAsia="MS Mincho" w:hAnsi="Times"/>
                <w:szCs w:val="24"/>
                <w:lang w:val="en-US" w:eastAsia="ja-JP"/>
              </w:rPr>
            </w:pPr>
            <w:r w:rsidRPr="00EE7A94">
              <w:rPr>
                <w:rFonts w:ascii="Times" w:eastAsia="MS Mincho" w:hAnsi="Times" w:hint="eastAsia"/>
                <w:szCs w:val="24"/>
                <w:highlight w:val="green"/>
                <w:lang w:val="en-US" w:eastAsia="ja-JP"/>
              </w:rPr>
              <w:t>Agreements:</w:t>
            </w:r>
            <w:r w:rsidRPr="00EE7A94">
              <w:rPr>
                <w:rFonts w:ascii="Times" w:eastAsia="MS Mincho" w:hAnsi="Times"/>
                <w:szCs w:val="24"/>
                <w:lang w:val="en-US" w:eastAsia="ja-JP"/>
              </w:rPr>
              <w:t xml:space="preserve"> The following DL L1/L2 beam management procedures are supported within one or multiple TRPs:</w:t>
            </w:r>
          </w:p>
          <w:p w14:paraId="52338922"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P-1: is used to enable UE measurement on different TRP Tx beams to support selection of TRP Tx beams/UE Rx beam(s)</w:t>
            </w:r>
          </w:p>
          <w:p w14:paraId="1E20C9C6"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TRP, it typically includes a intra/inter-TRP Tx beam sweep from a set of different beams</w:t>
            </w:r>
          </w:p>
          <w:p w14:paraId="6AE98466"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UE, it typically includes a UE Rx beam sweep from a set of different beams</w:t>
            </w:r>
          </w:p>
          <w:p w14:paraId="1B89243C"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 xml:space="preserve">FFS: </w:t>
            </w:r>
            <w:r w:rsidRPr="00EE7A94">
              <w:rPr>
                <w:rFonts w:eastAsia="MS Mincho"/>
                <w:lang w:val="en-US" w:eastAsia="ja-JP"/>
              </w:rPr>
              <w:t>TRP Tx beam and UE Rx beam can be determined jointly or sequentially</w:t>
            </w:r>
          </w:p>
          <w:p w14:paraId="773FC9EA"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P-2: is used to enable UE measurement on different TRP Tx beams to possibly change inter/intra-TRP Tx beam(s)</w:t>
            </w:r>
          </w:p>
          <w:p w14:paraId="65321815"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From  a </w:t>
            </w:r>
            <w:r w:rsidRPr="00EE7A94">
              <w:rPr>
                <w:rFonts w:eastAsia="MS Mincho" w:hint="eastAsia"/>
                <w:lang w:val="en-US" w:eastAsia="ja-JP"/>
              </w:rPr>
              <w:t xml:space="preserve">possibly </w:t>
            </w:r>
            <w:r w:rsidRPr="00EE7A94">
              <w:rPr>
                <w:rFonts w:eastAsia="MS Mincho"/>
                <w:lang w:val="en-US" w:eastAsia="ja-JP"/>
              </w:rPr>
              <w:t>smaller set of beams for beam refinement</w:t>
            </w:r>
            <w:r w:rsidRPr="00EE7A94">
              <w:rPr>
                <w:rFonts w:eastAsia="MS Mincho" w:hint="eastAsia"/>
                <w:lang w:val="en-US" w:eastAsia="ja-JP"/>
              </w:rPr>
              <w:t xml:space="preserve"> than in P-1</w:t>
            </w:r>
          </w:p>
          <w:p w14:paraId="4DD2C40E"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P-2 can be a special case of P-1</w:t>
            </w:r>
          </w:p>
          <w:p w14:paraId="29B8328A"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P-3: is used to enable UE measurement on the same TRP Tx beam to change UE Rx beam in the case UE uses beamforming</w:t>
            </w:r>
          </w:p>
          <w:p w14:paraId="1A77AFBA"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Strive for the same procedure design for Intra-TRP and inter-TRP beam management</w:t>
            </w:r>
          </w:p>
          <w:p w14:paraId="7C9D3301"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Note: UE may not know </w:t>
            </w:r>
            <w:r w:rsidRPr="00EE7A94">
              <w:rPr>
                <w:rFonts w:eastAsia="MS Mincho" w:hint="eastAsia"/>
                <w:lang w:val="en-US" w:eastAsia="ja-JP"/>
              </w:rPr>
              <w:t xml:space="preserve">whether it is intra-TRP or inter </w:t>
            </w:r>
            <w:r w:rsidRPr="00EE7A94">
              <w:rPr>
                <w:rFonts w:eastAsia="MS Mincho"/>
                <w:lang w:val="en-US" w:eastAsia="ja-JP"/>
              </w:rPr>
              <w:t>TRP</w:t>
            </w:r>
            <w:r w:rsidRPr="00EE7A94">
              <w:rPr>
                <w:rFonts w:eastAsia="MS Mincho" w:hint="eastAsia"/>
                <w:lang w:val="en-US" w:eastAsia="ja-JP"/>
              </w:rPr>
              <w:t xml:space="preserve"> beam</w:t>
            </w:r>
            <w:r w:rsidRPr="00EE7A94">
              <w:rPr>
                <w:rFonts w:eastAsia="MS Mincho"/>
                <w:lang w:val="en-US" w:eastAsia="ja-JP"/>
              </w:rPr>
              <w:t xml:space="preserve"> </w:t>
            </w:r>
          </w:p>
          <w:p w14:paraId="35BAB5A9"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P-2&amp;P-3 can be performed jointly and/or multiple times to achieve e.g. TRP Tx/UE Rx beam change simultaneously</w:t>
            </w:r>
          </w:p>
          <w:p w14:paraId="56D7D774"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P-3 may or may not have physical layer procedure spec. impact</w:t>
            </w:r>
          </w:p>
          <w:p w14:paraId="31716CC9"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Support managing multiple Tx/Rx beam pairs for a UE</w:t>
            </w:r>
          </w:p>
          <w:p w14:paraId="67672738"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A</w:t>
            </w:r>
            <w:r w:rsidRPr="00EE7A94">
              <w:rPr>
                <w:rFonts w:eastAsia="MS Mincho"/>
                <w:lang w:val="en-US" w:eastAsia="ja-JP"/>
              </w:rPr>
              <w:t xml:space="preserve">ssistance information from another carrier can be </w:t>
            </w:r>
            <w:r w:rsidRPr="00EE7A94">
              <w:rPr>
                <w:rFonts w:eastAsia="MS Mincho" w:hint="eastAsia"/>
                <w:lang w:val="en-US" w:eastAsia="ja-JP"/>
              </w:rPr>
              <w:t>studied</w:t>
            </w:r>
            <w:r w:rsidRPr="00EE7A94">
              <w:rPr>
                <w:rFonts w:eastAsia="MS Mincho"/>
                <w:lang w:val="en-US" w:eastAsia="ja-JP"/>
              </w:rPr>
              <w:t xml:space="preserve"> in beam management procedures</w:t>
            </w:r>
          </w:p>
          <w:p w14:paraId="7B588521"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applied to any frequency band</w:t>
            </w:r>
          </w:p>
          <w:p w14:paraId="0504BD06" w14:textId="77777777" w:rsid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used in single/multiple beam(s) per TRP</w:t>
            </w:r>
          </w:p>
          <w:p w14:paraId="335E9579" w14:textId="562B25BB" w:rsidR="00EE7A94" w:rsidRDefault="00EE7A94" w:rsidP="00EE7A94">
            <w:pPr>
              <w:numPr>
                <w:ilvl w:val="0"/>
                <w:numId w:val="30"/>
              </w:numPr>
              <w:overflowPunct/>
              <w:autoSpaceDE/>
              <w:autoSpaceDN/>
              <w:adjustRightInd/>
              <w:spacing w:after="0"/>
              <w:contextualSpacing/>
              <w:textAlignment w:val="auto"/>
              <w:rPr>
                <w:bCs/>
              </w:rPr>
            </w:pPr>
            <w:r w:rsidRPr="00EE7A94">
              <w:rPr>
                <w:rFonts w:ascii="Times" w:eastAsia="MS Mincho" w:hAnsi="Times"/>
                <w:szCs w:val="24"/>
                <w:lang w:val="en-US"/>
              </w:rPr>
              <w:t>Note: multi/single beam based initial access and mobility treated within a separate RAN1 agenda item</w:t>
            </w:r>
          </w:p>
        </w:tc>
      </w:tr>
    </w:tbl>
    <w:p w14:paraId="0771B1A1" w14:textId="77777777" w:rsidR="00EE7A94" w:rsidRDefault="00EE7A94" w:rsidP="00E13EE4">
      <w:pPr>
        <w:spacing w:after="120"/>
        <w:jc w:val="both"/>
        <w:rPr>
          <w:bCs/>
        </w:rPr>
      </w:pPr>
    </w:p>
    <w:p w14:paraId="21A6C49F" w14:textId="476FB75D" w:rsidR="00D34956" w:rsidRDefault="00B83E6A" w:rsidP="00E13EE4">
      <w:pPr>
        <w:spacing w:after="120"/>
        <w:jc w:val="both"/>
        <w:rPr>
          <w:bCs/>
        </w:rPr>
      </w:pPr>
      <w:r>
        <w:rPr>
          <w:bCs/>
        </w:rPr>
        <w:t>R</w:t>
      </w:r>
      <w:r w:rsidR="00D34956">
        <w:rPr>
          <w:bCs/>
        </w:rPr>
        <w:t>elated to different reciprocity assumptions in beam management procedures the following agreements were reached</w:t>
      </w:r>
      <w:r w:rsidR="003D41FE">
        <w:rPr>
          <w:bCs/>
        </w:rPr>
        <w:t xml:space="preserve"> [3]</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5F6724F6" w14:textId="77777777" w:rsidR="00D34956" w:rsidRPr="00D34956" w:rsidRDefault="00D34956" w:rsidP="00D34956">
            <w:pPr>
              <w:overflowPunct/>
              <w:autoSpaceDE/>
              <w:autoSpaceDN/>
              <w:adjustRightInd/>
              <w:spacing w:after="0"/>
              <w:textAlignment w:val="auto"/>
              <w:rPr>
                <w:rFonts w:ascii="Times" w:eastAsia="MS Mincho" w:hAnsi="Times"/>
                <w:szCs w:val="24"/>
                <w:lang w:eastAsia="ja-JP"/>
              </w:rPr>
            </w:pPr>
            <w:r w:rsidRPr="00D34956">
              <w:rPr>
                <w:rFonts w:ascii="Times" w:eastAsia="MS Mincho" w:hAnsi="Times" w:hint="eastAsia"/>
                <w:b/>
                <w:szCs w:val="24"/>
                <w:highlight w:val="green"/>
                <w:u w:val="single"/>
                <w:lang w:eastAsia="ja-JP"/>
              </w:rPr>
              <w:t>A</w:t>
            </w:r>
            <w:r w:rsidRPr="00D34956">
              <w:rPr>
                <w:rFonts w:ascii="Times" w:eastAsia="MS Mincho" w:hAnsi="Times"/>
                <w:b/>
                <w:szCs w:val="24"/>
                <w:highlight w:val="green"/>
                <w:u w:val="single"/>
                <w:lang w:eastAsia="ja-JP"/>
              </w:rPr>
              <w:t>greement</w:t>
            </w:r>
            <w:r w:rsidRPr="00D34956">
              <w:rPr>
                <w:rFonts w:ascii="Times" w:eastAsia="MS Mincho" w:hAnsi="Times" w:hint="eastAsia"/>
                <w:b/>
                <w:szCs w:val="24"/>
                <w:highlight w:val="green"/>
                <w:u w:val="single"/>
                <w:lang w:eastAsia="ja-JP"/>
              </w:rPr>
              <w:t>s</w:t>
            </w:r>
            <w:r w:rsidRPr="00D34956">
              <w:rPr>
                <w:rFonts w:ascii="Times" w:eastAsia="MS Mincho" w:hAnsi="Times"/>
                <w:szCs w:val="24"/>
                <w:highlight w:val="green"/>
                <w:lang w:eastAsia="ja-JP"/>
              </w:rPr>
              <w:t>:</w:t>
            </w:r>
          </w:p>
          <w:p w14:paraId="1301DB65" w14:textId="77777777" w:rsidR="00D34956" w:rsidRPr="00D34956" w:rsidRDefault="00D34956" w:rsidP="00D34956">
            <w:pPr>
              <w:numPr>
                <w:ilvl w:val="0"/>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 xml:space="preserve">Consider different channel reciprocity assumptions in beam management procedures </w:t>
            </w:r>
          </w:p>
          <w:p w14:paraId="494A65FE"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At a TRP or UE, with TX and RX channel reciprocity (full or partial) (e.g., beam reciprocity), TX beam (or RX beam) can be obtained from RX beam (or TX beam) to reduce overhead and latency</w:t>
            </w:r>
          </w:p>
          <w:p w14:paraId="463792DF"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Without TX and RX channel reciprocity, beam management procedure may require TX and RX beam sweeping in both DL and UL links</w:t>
            </w:r>
          </w:p>
          <w:p w14:paraId="5D0A476E" w14:textId="77777777" w:rsidR="00D34956" w:rsidRPr="00D34956" w:rsidRDefault="00D34956" w:rsidP="00D34956">
            <w:pPr>
              <w:numPr>
                <w:ilvl w:val="0"/>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RAN1 study different methods of determining Tx and Rx beam(s) for communication on one link direction (uplink or downlink), e.g.,</w:t>
            </w:r>
          </w:p>
          <w:p w14:paraId="6E633FAB"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Joint determination: Tx beam and Rx beam are determined jointly</w:t>
            </w:r>
          </w:p>
          <w:p w14:paraId="708E74DC"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 xml:space="preserve">Separate determination: Tx beam or Rx beam are determined sequentially. </w:t>
            </w:r>
          </w:p>
          <w:p w14:paraId="242611F0" w14:textId="77777777" w:rsid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Multi-stage determination: for instance, coarse Tx-Rx beam determination followed by fine Tx-Rx beam determination</w:t>
            </w:r>
          </w:p>
          <w:p w14:paraId="63499399" w14:textId="638ADAF5" w:rsidR="00D34956" w:rsidRPr="00D34956" w:rsidRDefault="00D34956" w:rsidP="00D34956">
            <w:pPr>
              <w:pStyle w:val="ListParagraph"/>
              <w:numPr>
                <w:ilvl w:val="0"/>
                <w:numId w:val="36"/>
              </w:numPr>
              <w:spacing w:after="120"/>
              <w:jc w:val="both"/>
              <w:rPr>
                <w:bCs/>
                <w:lang w:val="en-US"/>
              </w:rPr>
            </w:pPr>
            <w:r w:rsidRPr="00D34956">
              <w:rPr>
                <w:rFonts w:ascii="Times" w:eastAsia="MS Mincho" w:hAnsi="Times"/>
                <w:sz w:val="20"/>
                <w:lang w:val="en-US" w:eastAsia="ja-JP"/>
              </w:rPr>
              <w:t>Study beam management procedure with and without explicit signaling of beam(s) or beam group(s) used for transmission</w:t>
            </w:r>
          </w:p>
        </w:tc>
      </w:tr>
    </w:tbl>
    <w:p w14:paraId="59FB8BC7" w14:textId="77777777" w:rsidR="00D34956" w:rsidRDefault="00D34956" w:rsidP="00E13EE4">
      <w:pPr>
        <w:spacing w:after="120"/>
        <w:jc w:val="both"/>
        <w:rPr>
          <w:bCs/>
        </w:rPr>
      </w:pPr>
    </w:p>
    <w:p w14:paraId="735D8217" w14:textId="03D61852" w:rsidR="00B83E6A" w:rsidRDefault="00B83E6A" w:rsidP="00E13EE4">
      <w:pPr>
        <w:spacing w:after="120"/>
        <w:jc w:val="both"/>
        <w:rPr>
          <w:bCs/>
        </w:rPr>
      </w:pPr>
      <w:r>
        <w:rPr>
          <w:bCs/>
        </w:rPr>
        <w:lastRenderedPageBreak/>
        <w:t>Finally, the scope of the beam management from mobility perspective is intra-cell mobility, i.e. beam level mobility within</w:t>
      </w:r>
      <w:r w:rsidR="008666E6">
        <w:rPr>
          <w:bCs/>
        </w:rPr>
        <w:t xml:space="preserve"> a cell as </w:t>
      </w:r>
      <w:r w:rsidR="003D41FE">
        <w:rPr>
          <w:bCs/>
        </w:rPr>
        <w:t xml:space="preserve">described in [4]: </w:t>
      </w:r>
    </w:p>
    <w:p w14:paraId="54AD589B" w14:textId="7CF90935" w:rsidR="003D41FE" w:rsidRDefault="003D41FE" w:rsidP="003D41FE">
      <w:pPr>
        <w:spacing w:after="120"/>
        <w:jc w:val="center"/>
        <w:rPr>
          <w:bCs/>
        </w:rPr>
      </w:pPr>
      <w:r>
        <w:rPr>
          <w:bCs/>
          <w:noProof/>
          <w:lang w:eastAsia="en-GB"/>
        </w:rPr>
        <w:drawing>
          <wp:inline distT="0" distB="0" distL="0" distR="0" wp14:anchorId="48AF8F2A" wp14:editId="1AEB33EF">
            <wp:extent cx="1571235" cy="13356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78015" cy="1341396"/>
                    </a:xfrm>
                    <a:prstGeom prst="rect">
                      <a:avLst/>
                    </a:prstGeom>
                    <a:noFill/>
                  </pic:spPr>
                </pic:pic>
              </a:graphicData>
            </a:graphic>
          </wp:inline>
        </w:drawing>
      </w:r>
    </w:p>
    <w:p w14:paraId="1DF305FE" w14:textId="41BC7C99" w:rsidR="00D34956" w:rsidRPr="00D34956" w:rsidRDefault="008D4B8A" w:rsidP="00D34956">
      <w:pPr>
        <w:pStyle w:val="Heading1"/>
      </w:pPr>
      <w:r>
        <w:rPr>
          <w:color w:val="000000"/>
        </w:rPr>
        <w:t>2</w:t>
      </w:r>
      <w:r w:rsidR="004B23AD" w:rsidRPr="00A51522">
        <w:rPr>
          <w:color w:val="000000"/>
        </w:rPr>
        <w:tab/>
      </w:r>
      <w:r w:rsidR="00D87E43">
        <w:rPr>
          <w:color w:val="000000"/>
        </w:rPr>
        <w:t>Beam acquisition methods</w:t>
      </w:r>
    </w:p>
    <w:p w14:paraId="3FFF2C3A" w14:textId="51CC13F7" w:rsidR="00D34956" w:rsidRDefault="00AF4B19" w:rsidP="006A53E0">
      <w:pPr>
        <w:jc w:val="both"/>
        <w:rPr>
          <w:lang w:val="en-US" w:eastAsia="x-none"/>
        </w:rPr>
      </w:pPr>
      <w:r>
        <w:rPr>
          <w:lang w:val="en-US" w:eastAsia="x-none"/>
        </w:rPr>
        <w:t xml:space="preserve">In this section we further discuss different methods of determining TRP TX and RX beam(s) for communication in downlink and uplink for different reciprocity </w:t>
      </w:r>
      <w:r w:rsidR="00D87E43">
        <w:rPr>
          <w:lang w:val="en-US" w:eastAsia="x-none"/>
        </w:rPr>
        <w:t xml:space="preserve">assumptions. </w:t>
      </w:r>
    </w:p>
    <w:p w14:paraId="31283CF5" w14:textId="0C752756" w:rsidR="00D87E43" w:rsidRDefault="00D87E43" w:rsidP="00D87E43">
      <w:pPr>
        <w:pStyle w:val="Heading2"/>
        <w:rPr>
          <w:lang w:val="en-US"/>
        </w:rPr>
      </w:pPr>
      <w:r>
        <w:rPr>
          <w:lang w:val="en-US"/>
        </w:rPr>
        <w:t>2.1</w:t>
      </w:r>
      <w:r>
        <w:rPr>
          <w:lang w:val="en-US"/>
        </w:rPr>
        <w:tab/>
        <w:t>Reciprocity case</w:t>
      </w:r>
    </w:p>
    <w:p w14:paraId="7704C136" w14:textId="020A2975" w:rsidR="00D87E43" w:rsidRPr="00D87E43" w:rsidRDefault="00D87E43" w:rsidP="006A53E0">
      <w:pPr>
        <w:jc w:val="both"/>
        <w:rPr>
          <w:lang w:val="en-US"/>
        </w:rPr>
      </w:pPr>
      <w:r>
        <w:rPr>
          <w:lang w:val="en-US"/>
        </w:rPr>
        <w:t>As captured in the above agreements, “</w:t>
      </w:r>
      <w:r w:rsidRPr="00D87E43">
        <w:rPr>
          <w:lang w:val="en-US"/>
        </w:rPr>
        <w:t>At a TRP or UE, with TX and RX channel reciprocity (full or partial) (e.g., beam reciprocity), TX beam (or RX beam) can be obtained from RX beam (or TX beam) to reduce overhead and latency</w:t>
      </w:r>
      <w:r>
        <w:rPr>
          <w:lang w:val="en-US"/>
        </w:rPr>
        <w:t xml:space="preserve">”. </w:t>
      </w:r>
    </w:p>
    <w:p w14:paraId="30D9B727" w14:textId="436F1532" w:rsidR="003D41FE" w:rsidRPr="00D438F1" w:rsidRDefault="003D41FE" w:rsidP="006A53E0">
      <w:pPr>
        <w:jc w:val="both"/>
      </w:pPr>
      <w:r w:rsidRPr="00D438F1">
        <w:rPr>
          <w:lang w:val="en-US" w:eastAsia="x-none"/>
        </w:rPr>
        <w:t>NR system is one-to-many system whe</w:t>
      </w:r>
      <w:r>
        <w:rPr>
          <w:lang w:val="en-US" w:eastAsia="x-none"/>
        </w:rPr>
        <w:t>re</w:t>
      </w:r>
      <w:r w:rsidRPr="00D438F1">
        <w:rPr>
          <w:lang w:val="en-US" w:eastAsia="x-none"/>
        </w:rPr>
        <w:t xml:space="preserve"> one cell</w:t>
      </w:r>
      <w:r>
        <w:rPr>
          <w:lang w:val="en-US" w:eastAsia="x-none"/>
        </w:rPr>
        <w:t xml:space="preserve"> (one or multiple TPRs)</w:t>
      </w:r>
      <w:r w:rsidRPr="00D438F1">
        <w:rPr>
          <w:lang w:val="en-US" w:eastAsia="x-none"/>
        </w:rPr>
        <w:t xml:space="preserve"> serves multiple UEs </w:t>
      </w:r>
      <w:r w:rsidRPr="00D438F1">
        <w:t xml:space="preserve">at a time. To minimize </w:t>
      </w:r>
      <w:r w:rsidR="00A96FEF">
        <w:t xml:space="preserve">the </w:t>
      </w:r>
      <w:r w:rsidRPr="00D438F1">
        <w:t xml:space="preserve">overhead required for beam search and alignment between BS beams and beams of each UE, </w:t>
      </w:r>
      <w:r w:rsidR="00A96FEF">
        <w:t xml:space="preserve">an </w:t>
      </w:r>
      <w:r w:rsidRPr="00D438F1">
        <w:t xml:space="preserve">asymmetric approach is considered where the beam procedures rely on the BS side beam sweeping in broadcast manner and where the BS beams are identifiable in the system. In other words, beam management procedures are anchored to BS beams that are advertised over time. </w:t>
      </w:r>
    </w:p>
    <w:p w14:paraId="34DCC747" w14:textId="3D3CFC3B" w:rsidR="003D41FE" w:rsidRDefault="003D41FE" w:rsidP="006A53E0">
      <w:pPr>
        <w:jc w:val="both"/>
      </w:pPr>
      <w:r>
        <w:rPr>
          <w:lang w:eastAsia="x-none"/>
        </w:rPr>
        <w:t xml:space="preserve">Upon detection of BS beams, </w:t>
      </w:r>
      <w:r w:rsidRPr="00D438F1">
        <w:rPr>
          <w:lang w:eastAsia="x-none"/>
        </w:rPr>
        <w:t xml:space="preserve">the UE measures </w:t>
      </w:r>
      <w:r w:rsidR="00245A54">
        <w:rPr>
          <w:lang w:eastAsia="x-none"/>
        </w:rPr>
        <w:t xml:space="preserve">the </w:t>
      </w:r>
      <w:r w:rsidRPr="00D438F1">
        <w:rPr>
          <w:lang w:eastAsia="x-none"/>
        </w:rPr>
        <w:t xml:space="preserve">strength of BS beams of the serving cell </w:t>
      </w:r>
      <w:r w:rsidR="00245A54">
        <w:rPr>
          <w:lang w:eastAsia="x-none"/>
        </w:rPr>
        <w:t xml:space="preserve">as a </w:t>
      </w:r>
      <w:r w:rsidRPr="00D438F1">
        <w:rPr>
          <w:lang w:eastAsia="x-none"/>
        </w:rPr>
        <w:t>continuous process, and provide</w:t>
      </w:r>
      <w:r w:rsidR="00245A54">
        <w:rPr>
          <w:lang w:eastAsia="x-none"/>
        </w:rPr>
        <w:t>s</w:t>
      </w:r>
      <w:r w:rsidRPr="00D438F1">
        <w:rPr>
          <w:lang w:eastAsia="x-none"/>
        </w:rPr>
        <w:t xml:space="preserve"> measurement results to the BS. Based on the UE feedback, the BS determines the serving BS </w:t>
      </w:r>
      <w:r>
        <w:rPr>
          <w:lang w:eastAsia="x-none"/>
        </w:rPr>
        <w:t xml:space="preserve">DL and UL </w:t>
      </w:r>
      <w:r w:rsidRPr="00D438F1">
        <w:rPr>
          <w:lang w:eastAsia="x-none"/>
        </w:rPr>
        <w:t>beam(s) for the UE. The procedure comprises updating the set of beams that can be used to serve the UE</w:t>
      </w:r>
      <w:r>
        <w:rPr>
          <w:lang w:eastAsia="x-none"/>
        </w:rPr>
        <w:t>.</w:t>
      </w:r>
    </w:p>
    <w:p w14:paraId="1C3189C7" w14:textId="1D65C99D" w:rsidR="00B83E6A" w:rsidRPr="00D438F1" w:rsidRDefault="00B83E6A" w:rsidP="006A53E0">
      <w:pPr>
        <w:jc w:val="both"/>
      </w:pPr>
      <w:r w:rsidRPr="00D438F1">
        <w:t>The beam management procedure involves dedicated signal</w:t>
      </w:r>
      <w:r w:rsidR="003D41FE">
        <w:t>l</w:t>
      </w:r>
      <w:r w:rsidRPr="00D438F1">
        <w:t>ing between BS and UE for:</w:t>
      </w:r>
    </w:p>
    <w:p w14:paraId="745DAB9A" w14:textId="2817AC41" w:rsidR="003D41FE" w:rsidRDefault="003D41FE" w:rsidP="006A53E0">
      <w:pPr>
        <w:numPr>
          <w:ilvl w:val="0"/>
          <w:numId w:val="39"/>
        </w:numPr>
        <w:jc w:val="both"/>
      </w:pPr>
      <w:r>
        <w:t>Downlink signals for detecting and measuring BS DL beam</w:t>
      </w:r>
      <w:bookmarkStart w:id="0" w:name="_GoBack"/>
      <w:bookmarkEnd w:id="0"/>
      <w:r>
        <w:t>s to be used for both DL and UL at BS</w:t>
      </w:r>
    </w:p>
    <w:p w14:paraId="337F4EF7" w14:textId="77777777" w:rsidR="00B83E6A" w:rsidRPr="00D438F1" w:rsidRDefault="00B83E6A" w:rsidP="006A53E0">
      <w:pPr>
        <w:numPr>
          <w:ilvl w:val="0"/>
          <w:numId w:val="39"/>
        </w:numPr>
        <w:jc w:val="both"/>
      </w:pPr>
      <w:r w:rsidRPr="00D438F1">
        <w:t>providing beam measurements result to the BS by the UE</w:t>
      </w:r>
    </w:p>
    <w:p w14:paraId="360531FF" w14:textId="77777777" w:rsidR="00B83E6A" w:rsidRPr="00D438F1" w:rsidRDefault="00B83E6A" w:rsidP="006A53E0">
      <w:pPr>
        <w:numPr>
          <w:ilvl w:val="0"/>
          <w:numId w:val="39"/>
        </w:numPr>
        <w:jc w:val="both"/>
      </w:pPr>
      <w:r w:rsidRPr="00D438F1">
        <w:t>configuring serving BS beam(s) for the downlink control</w:t>
      </w:r>
    </w:p>
    <w:p w14:paraId="005BDC6E" w14:textId="77777777" w:rsidR="00B83E6A" w:rsidRPr="00D438F1" w:rsidRDefault="00B83E6A" w:rsidP="006A53E0">
      <w:pPr>
        <w:numPr>
          <w:ilvl w:val="0"/>
          <w:numId w:val="39"/>
        </w:numPr>
        <w:jc w:val="both"/>
      </w:pPr>
      <w:r w:rsidRPr="00D438F1">
        <w:t>configuring candidate serving BS beam(s) for the downlink data</w:t>
      </w:r>
    </w:p>
    <w:p w14:paraId="5F2424CD" w14:textId="77777777" w:rsidR="00B83E6A" w:rsidRPr="00D438F1" w:rsidRDefault="00B83E6A" w:rsidP="006A53E0">
      <w:pPr>
        <w:numPr>
          <w:ilvl w:val="0"/>
          <w:numId w:val="39"/>
        </w:numPr>
        <w:jc w:val="both"/>
      </w:pPr>
      <w:r w:rsidRPr="00D438F1">
        <w:t>configuring candidate serving BS beam(s) for the uplink control and data</w:t>
      </w:r>
    </w:p>
    <w:p w14:paraId="3533AAFE" w14:textId="55C40BD3" w:rsidR="009656AE" w:rsidRDefault="00B83E6A" w:rsidP="006A53E0">
      <w:pPr>
        <w:jc w:val="both"/>
      </w:pPr>
      <w:r>
        <w:rPr>
          <w:lang w:eastAsia="x-none"/>
        </w:rPr>
        <w:t>B</w:t>
      </w:r>
      <w:r w:rsidRPr="00D438F1">
        <w:rPr>
          <w:lang w:eastAsia="x-none"/>
        </w:rPr>
        <w:t xml:space="preserve">eam management procedures </w:t>
      </w:r>
      <w:r w:rsidR="00A64394">
        <w:rPr>
          <w:lang w:eastAsia="x-none"/>
        </w:rPr>
        <w:t>are preferably built upon downlink</w:t>
      </w:r>
      <w:r w:rsidRPr="00D438F1">
        <w:rPr>
          <w:lang w:eastAsia="x-none"/>
        </w:rPr>
        <w:t xml:space="preserve"> </w:t>
      </w:r>
      <w:r w:rsidR="00A64394">
        <w:rPr>
          <w:lang w:eastAsia="x-none"/>
        </w:rPr>
        <w:t>beam reference signal</w:t>
      </w:r>
      <w:r w:rsidRPr="00D438F1">
        <w:rPr>
          <w:lang w:eastAsia="x-none"/>
        </w:rPr>
        <w:t xml:space="preserve"> transmissions uniquely identifying </w:t>
      </w:r>
      <w:r>
        <w:rPr>
          <w:lang w:eastAsia="x-none"/>
        </w:rPr>
        <w:t>BS</w:t>
      </w:r>
      <w:r w:rsidRPr="00D438F1">
        <w:rPr>
          <w:lang w:eastAsia="x-none"/>
        </w:rPr>
        <w:t xml:space="preserve"> beams</w:t>
      </w:r>
      <w:r w:rsidR="00A64394">
        <w:rPr>
          <w:lang w:eastAsia="x-none"/>
        </w:rPr>
        <w:t xml:space="preserve"> of the serving cell</w:t>
      </w:r>
      <w:r w:rsidRPr="00D438F1">
        <w:rPr>
          <w:lang w:eastAsia="x-none"/>
        </w:rPr>
        <w:t xml:space="preserve">. Detecting and measuring BRSs the UE would be able to track intra-cell beams </w:t>
      </w:r>
      <w:r>
        <w:rPr>
          <w:lang w:eastAsia="x-none"/>
        </w:rPr>
        <w:t xml:space="preserve">for the purpose of </w:t>
      </w:r>
      <w:r w:rsidRPr="00D438F1">
        <w:rPr>
          <w:lang w:eastAsia="x-none"/>
        </w:rPr>
        <w:t xml:space="preserve">beam level mobility. </w:t>
      </w:r>
      <w:r w:rsidR="009656AE">
        <w:t>BS may transmit such signals</w:t>
      </w:r>
      <w:r w:rsidR="00B55DE0">
        <w:t xml:space="preserve"> at least</w:t>
      </w:r>
      <w:r w:rsidR="009656AE">
        <w:t xml:space="preserve"> periodically as depicted in the </w:t>
      </w:r>
      <w:r w:rsidR="009656AE">
        <w:fldChar w:fldCharType="begin"/>
      </w:r>
      <w:r w:rsidR="009656AE">
        <w:instrText xml:space="preserve"> REF _Ref462666017 </w:instrText>
      </w:r>
      <w:r w:rsidR="006A53E0">
        <w:instrText xml:space="preserve"> \* MERGEFORMAT </w:instrText>
      </w:r>
      <w:r w:rsidR="009656AE">
        <w:fldChar w:fldCharType="separate"/>
      </w:r>
      <w:r w:rsidR="009656AE">
        <w:t xml:space="preserve">Figure </w:t>
      </w:r>
      <w:r w:rsidR="009656AE">
        <w:rPr>
          <w:noProof/>
        </w:rPr>
        <w:t>1</w:t>
      </w:r>
      <w:r w:rsidR="009656AE">
        <w:fldChar w:fldCharType="end"/>
      </w:r>
      <w:r w:rsidR="002371E6">
        <w:t xml:space="preserve"> o</w:t>
      </w:r>
      <w:r w:rsidR="00141829">
        <w:t xml:space="preserve">n periodical downlink sweeping subframes. That periodical BRS would also be basis for initial BS DL and UL beam acquisition in initial access. </w:t>
      </w:r>
    </w:p>
    <w:p w14:paraId="1A33ADB0" w14:textId="77777777" w:rsidR="009656AE" w:rsidRDefault="009656AE" w:rsidP="009656AE"/>
    <w:p w14:paraId="4B9B037E" w14:textId="77777777" w:rsidR="009656AE" w:rsidRDefault="009656AE" w:rsidP="009656AE">
      <w:pPr>
        <w:jc w:val="center"/>
      </w:pPr>
      <w:r>
        <w:object w:dxaOrig="7163" w:dyaOrig="6571" w14:anchorId="5D482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87.2pt" o:ole="">
            <v:imagedata r:id="rId12" o:title=""/>
          </v:shape>
          <o:OLEObject Type="Embed" ProgID="Visio.Drawing.11" ShapeID="_x0000_i1025" DrawAspect="Content" ObjectID="_1536756888" r:id="rId13"/>
        </w:object>
      </w:r>
    </w:p>
    <w:p w14:paraId="08A4B933" w14:textId="519CF769" w:rsidR="00B83E6A" w:rsidRPr="009656AE" w:rsidRDefault="009656AE" w:rsidP="009656AE">
      <w:pPr>
        <w:pStyle w:val="Caption"/>
        <w:jc w:val="center"/>
        <w:rPr>
          <w:lang w:val="en-US"/>
        </w:rPr>
      </w:pPr>
      <w:bookmarkStart w:id="1" w:name="_Ref462666017"/>
      <w:r>
        <w:t xml:space="preserve">Figure </w:t>
      </w:r>
      <w:r w:rsidR="003B2B61">
        <w:fldChar w:fldCharType="begin"/>
      </w:r>
      <w:r w:rsidR="003B2B61">
        <w:instrText xml:space="preserve"> SEQ Figure \* ARABIC </w:instrText>
      </w:r>
      <w:r w:rsidR="003B2B61">
        <w:fldChar w:fldCharType="separate"/>
      </w:r>
      <w:r w:rsidR="005E221B">
        <w:rPr>
          <w:noProof/>
        </w:rPr>
        <w:t>1</w:t>
      </w:r>
      <w:r w:rsidR="003B2B61">
        <w:rPr>
          <w:noProof/>
        </w:rPr>
        <w:fldChar w:fldCharType="end"/>
      </w:r>
      <w:bookmarkEnd w:id="1"/>
      <w:r w:rsidRPr="009656AE">
        <w:rPr>
          <w:lang w:val="en-US"/>
        </w:rPr>
        <w:t xml:space="preserve"> </w:t>
      </w:r>
      <w:r>
        <w:t>Illustration of periodic beam specific signals</w:t>
      </w:r>
      <w:r w:rsidRPr="009656AE">
        <w:rPr>
          <w:lang w:val="en-US"/>
        </w:rPr>
        <w:t>.</w:t>
      </w:r>
    </w:p>
    <w:p w14:paraId="32618A88" w14:textId="12019AD6" w:rsidR="00B83E6A" w:rsidRDefault="00B83E6A" w:rsidP="00B83E6A">
      <w:pPr>
        <w:rPr>
          <w:b/>
          <w:lang w:eastAsia="x-none"/>
        </w:rPr>
      </w:pPr>
      <w:r w:rsidRPr="00D438F1">
        <w:rPr>
          <w:b/>
          <w:lang w:eastAsia="x-none"/>
        </w:rPr>
        <w:t xml:space="preserve">Proposal </w:t>
      </w:r>
      <w:r w:rsidR="00141829">
        <w:rPr>
          <w:b/>
          <w:lang w:eastAsia="x-none"/>
        </w:rPr>
        <w:t>1</w:t>
      </w:r>
      <w:r w:rsidRPr="00D438F1">
        <w:rPr>
          <w:b/>
          <w:lang w:eastAsia="x-none"/>
        </w:rPr>
        <w:t xml:space="preserve">: </w:t>
      </w:r>
      <w:r w:rsidR="00784201">
        <w:rPr>
          <w:b/>
          <w:lang w:eastAsia="x-none"/>
        </w:rPr>
        <w:t>Support d</w:t>
      </w:r>
      <w:r w:rsidR="00A64394">
        <w:rPr>
          <w:b/>
          <w:lang w:eastAsia="x-none"/>
        </w:rPr>
        <w:t>ownlink Beam Reference Signals (BRSs)</w:t>
      </w:r>
      <w:r w:rsidRPr="00D438F1">
        <w:rPr>
          <w:b/>
          <w:lang w:eastAsia="x-none"/>
        </w:rPr>
        <w:t xml:space="preserve"> uniquely identifying BS beams </w:t>
      </w:r>
      <w:r w:rsidR="00A64394">
        <w:rPr>
          <w:b/>
          <w:lang w:eastAsia="x-none"/>
        </w:rPr>
        <w:t xml:space="preserve">of the serving </w:t>
      </w:r>
      <w:r w:rsidR="009656AE">
        <w:rPr>
          <w:b/>
          <w:lang w:eastAsia="x-none"/>
        </w:rPr>
        <w:t xml:space="preserve">cell </w:t>
      </w:r>
      <w:r w:rsidR="00784201">
        <w:rPr>
          <w:b/>
          <w:lang w:eastAsia="x-none"/>
        </w:rPr>
        <w:t>a</w:t>
      </w:r>
      <w:r w:rsidR="00A64394">
        <w:rPr>
          <w:b/>
          <w:lang w:eastAsia="x-none"/>
        </w:rPr>
        <w:t>s</w:t>
      </w:r>
      <w:r w:rsidRPr="00D438F1">
        <w:rPr>
          <w:b/>
          <w:lang w:eastAsia="x-none"/>
        </w:rPr>
        <w:t xml:space="preserve"> basis for beam management procedures</w:t>
      </w:r>
      <w:r w:rsidR="00A64394">
        <w:rPr>
          <w:b/>
          <w:lang w:eastAsia="x-none"/>
        </w:rPr>
        <w:t xml:space="preserve"> in reciprocity case for both DL and UL BS beam selection</w:t>
      </w:r>
      <w:r w:rsidRPr="00D438F1">
        <w:rPr>
          <w:b/>
          <w:lang w:eastAsia="x-none"/>
        </w:rPr>
        <w:t>.</w:t>
      </w:r>
    </w:p>
    <w:p w14:paraId="1C36558C" w14:textId="23CA70F8" w:rsidR="00AF4B19" w:rsidRDefault="00AF4B19" w:rsidP="00AF4B19">
      <w:pPr>
        <w:pStyle w:val="Heading2"/>
        <w:rPr>
          <w:lang w:val="en-US"/>
        </w:rPr>
      </w:pPr>
      <w:r>
        <w:rPr>
          <w:lang w:val="en-US"/>
        </w:rPr>
        <w:t>2.2</w:t>
      </w:r>
      <w:r>
        <w:rPr>
          <w:lang w:val="en-US"/>
        </w:rPr>
        <w:tab/>
        <w:t>Non-reciprocity case</w:t>
      </w:r>
    </w:p>
    <w:p w14:paraId="1D26BF7A" w14:textId="542F4FE0" w:rsidR="00D87E43" w:rsidRDefault="00D87E43" w:rsidP="006A53E0">
      <w:pPr>
        <w:jc w:val="both"/>
        <w:rPr>
          <w:lang w:val="en-US"/>
        </w:rPr>
      </w:pPr>
      <w:r>
        <w:rPr>
          <w:lang w:val="en-US"/>
        </w:rPr>
        <w:t>As captured in the above agreements, “</w:t>
      </w:r>
      <w:r w:rsidRPr="00D87E43">
        <w:rPr>
          <w:lang w:val="en-US"/>
        </w:rPr>
        <w:t>Without TX and RX channel reciprocity, beam management procedure may require TX and RX beam sweeping in both DL and UL links</w:t>
      </w:r>
      <w:r>
        <w:rPr>
          <w:lang w:val="en-US"/>
        </w:rPr>
        <w:t>”.</w:t>
      </w:r>
    </w:p>
    <w:p w14:paraId="458E7713" w14:textId="705B6C25" w:rsidR="009656AE" w:rsidRDefault="009656AE" w:rsidP="006A53E0">
      <w:pPr>
        <w:jc w:val="both"/>
        <w:rPr>
          <w:lang w:val="en-US"/>
        </w:rPr>
      </w:pPr>
      <w:r>
        <w:rPr>
          <w:lang w:val="en-US"/>
        </w:rPr>
        <w:t xml:space="preserve">Also in non-reciprocity case the DL BRS would be basis for DL BS beam management. </w:t>
      </w:r>
      <w:r w:rsidR="00665396">
        <w:rPr>
          <w:lang w:val="en-US"/>
        </w:rPr>
        <w:t>However, as the reciprocity does not hold, and linkage between DL and UL cannot be made and hence f</w:t>
      </w:r>
      <w:r>
        <w:rPr>
          <w:lang w:val="en-US"/>
        </w:rPr>
        <w:t>or UL BS beam management</w:t>
      </w:r>
      <w:r w:rsidR="00702772">
        <w:rPr>
          <w:lang w:val="en-US"/>
        </w:rPr>
        <w:t>,</w:t>
      </w:r>
      <w:r>
        <w:rPr>
          <w:lang w:val="en-US"/>
        </w:rPr>
        <w:t xml:space="preserve"> two </w:t>
      </w:r>
      <w:r w:rsidR="00702772">
        <w:rPr>
          <w:lang w:val="en-US"/>
        </w:rPr>
        <w:t>non-mutually exclusive</w:t>
      </w:r>
      <w:r w:rsidR="00335247">
        <w:rPr>
          <w:lang w:val="en-US"/>
        </w:rPr>
        <w:t xml:space="preserve"> (from specification perspective)</w:t>
      </w:r>
      <w:r w:rsidR="00702772">
        <w:rPr>
          <w:lang w:val="en-US"/>
        </w:rPr>
        <w:t xml:space="preserve"> </w:t>
      </w:r>
      <w:r>
        <w:rPr>
          <w:lang w:val="en-US"/>
        </w:rPr>
        <w:t>options are identified:</w:t>
      </w:r>
    </w:p>
    <w:p w14:paraId="285CA10D" w14:textId="02229C81" w:rsidR="00AF4B19" w:rsidRDefault="009656AE" w:rsidP="006A53E0">
      <w:pPr>
        <w:pStyle w:val="ListParagraph"/>
        <w:numPr>
          <w:ilvl w:val="0"/>
          <w:numId w:val="38"/>
        </w:numPr>
        <w:jc w:val="both"/>
        <w:rPr>
          <w:sz w:val="20"/>
          <w:lang w:val="en-US"/>
        </w:rPr>
      </w:pPr>
      <w:r>
        <w:rPr>
          <w:sz w:val="20"/>
          <w:lang w:val="en-US"/>
        </w:rPr>
        <w:t xml:space="preserve">Define UL signal for </w:t>
      </w:r>
      <w:r w:rsidR="00AF4B19" w:rsidRPr="00AF4B19">
        <w:rPr>
          <w:sz w:val="20"/>
          <w:lang w:val="en-US"/>
        </w:rPr>
        <w:t xml:space="preserve">UL </w:t>
      </w:r>
      <w:r>
        <w:rPr>
          <w:sz w:val="20"/>
          <w:lang w:val="en-US"/>
        </w:rPr>
        <w:t xml:space="preserve">beam </w:t>
      </w:r>
      <w:r w:rsidR="00AF4B19" w:rsidRPr="00AF4B19">
        <w:rPr>
          <w:sz w:val="20"/>
          <w:lang w:val="en-US"/>
        </w:rPr>
        <w:t>sweeping</w:t>
      </w:r>
      <w:r>
        <w:rPr>
          <w:sz w:val="20"/>
          <w:lang w:val="en-US"/>
        </w:rPr>
        <w:t xml:space="preserve"> at BS</w:t>
      </w:r>
    </w:p>
    <w:p w14:paraId="0D5AC41C" w14:textId="04DAA6DB" w:rsidR="00AF4B19" w:rsidRPr="00AF4B19" w:rsidRDefault="00AF4B19" w:rsidP="006A53E0">
      <w:pPr>
        <w:pStyle w:val="ListParagraph"/>
        <w:numPr>
          <w:ilvl w:val="0"/>
          <w:numId w:val="38"/>
        </w:numPr>
        <w:jc w:val="both"/>
        <w:rPr>
          <w:sz w:val="20"/>
          <w:lang w:val="en-US"/>
        </w:rPr>
      </w:pPr>
      <w:r>
        <w:rPr>
          <w:sz w:val="20"/>
          <w:lang w:val="en-US"/>
        </w:rPr>
        <w:t>Utilize digital subsystem receiver</w:t>
      </w:r>
      <w:r w:rsidR="009656AE">
        <w:rPr>
          <w:sz w:val="20"/>
          <w:lang w:val="en-US"/>
        </w:rPr>
        <w:t xml:space="preserve"> at BS</w:t>
      </w:r>
    </w:p>
    <w:p w14:paraId="6EFD9635" w14:textId="77777777" w:rsidR="00994165" w:rsidRDefault="00994165" w:rsidP="006A53E0">
      <w:pPr>
        <w:jc w:val="both"/>
        <w:rPr>
          <w:lang w:val="en-US" w:eastAsia="x-none"/>
        </w:rPr>
      </w:pPr>
    </w:p>
    <w:p w14:paraId="1178657E" w14:textId="335E6451" w:rsidR="00994165" w:rsidRDefault="00994165" w:rsidP="006A53E0">
      <w:pPr>
        <w:jc w:val="both"/>
        <w:rPr>
          <w:lang w:val="en-US" w:eastAsia="x-none"/>
        </w:rPr>
      </w:pPr>
      <w:r>
        <w:rPr>
          <w:lang w:val="en-US" w:eastAsia="x-none"/>
        </w:rPr>
        <w:t xml:space="preserve">In </w:t>
      </w:r>
      <w:r w:rsidR="00335247">
        <w:rPr>
          <w:lang w:val="en-US" w:eastAsia="x-none"/>
        </w:rPr>
        <w:t xml:space="preserve">option </w:t>
      </w:r>
      <w:r>
        <w:rPr>
          <w:lang w:val="en-US" w:eastAsia="x-none"/>
        </w:rPr>
        <w:t>1</w:t>
      </w:r>
      <w:r w:rsidR="00683829">
        <w:rPr>
          <w:lang w:val="en-US" w:eastAsia="x-none"/>
        </w:rPr>
        <w:t>,</w:t>
      </w:r>
      <w:r>
        <w:rPr>
          <w:lang w:val="en-US" w:eastAsia="x-none"/>
        </w:rPr>
        <w:t xml:space="preserve"> a UE would be configured to transmit certain UL reference signal multiple times to the </w:t>
      </w:r>
      <w:r w:rsidR="00683829">
        <w:rPr>
          <w:lang w:val="en-US" w:eastAsia="x-none"/>
        </w:rPr>
        <w:t>BS. The signal can be e.g. PRACH preamble or SRS type sig</w:t>
      </w:r>
      <w:r w:rsidR="00970490">
        <w:rPr>
          <w:lang w:val="en-US" w:eastAsia="x-none"/>
        </w:rPr>
        <w:t xml:space="preserve">nal. In any case, UL sweeping operation is required. </w:t>
      </w:r>
    </w:p>
    <w:p w14:paraId="533B9401" w14:textId="799812D3" w:rsidR="00970490" w:rsidRDefault="00970490" w:rsidP="006A53E0">
      <w:pPr>
        <w:jc w:val="both"/>
        <w:rPr>
          <w:lang w:val="en-US" w:eastAsia="x-none"/>
        </w:rPr>
      </w:pPr>
      <w:r>
        <w:rPr>
          <w:lang w:val="en-US" w:eastAsia="x-none"/>
        </w:rPr>
        <w:t xml:space="preserve">In </w:t>
      </w:r>
      <w:r w:rsidR="00335247">
        <w:rPr>
          <w:lang w:val="en-US" w:eastAsia="x-none"/>
        </w:rPr>
        <w:t xml:space="preserve">option </w:t>
      </w:r>
      <w:r>
        <w:rPr>
          <w:lang w:val="en-US" w:eastAsia="x-none"/>
        </w:rPr>
        <w:t xml:space="preserve">2, a BS may be equipped with a narrowband digital subsystem RX e.g. for DoA estimation from UL signal without needing UL sweeping operation. To support this </w:t>
      </w:r>
      <w:r w:rsidR="00335247">
        <w:rPr>
          <w:lang w:val="en-US" w:eastAsia="x-none"/>
        </w:rPr>
        <w:t>setup along the utilization</w:t>
      </w:r>
      <w:r>
        <w:rPr>
          <w:lang w:val="en-US" w:eastAsia="x-none"/>
        </w:rPr>
        <w:t xml:space="preserve"> </w:t>
      </w:r>
      <w:r w:rsidR="00335247">
        <w:rPr>
          <w:lang w:val="en-US" w:eastAsia="x-none"/>
        </w:rPr>
        <w:t xml:space="preserve">of </w:t>
      </w:r>
      <w:r>
        <w:rPr>
          <w:lang w:val="en-US" w:eastAsia="x-none"/>
        </w:rPr>
        <w:t xml:space="preserve">hybrid architecture, UL reference signal to determine BS UL beam for the UE should support narrowband option. </w:t>
      </w:r>
    </w:p>
    <w:p w14:paraId="19035C5D" w14:textId="2E79217E" w:rsidR="005E221B" w:rsidRDefault="005E221B" w:rsidP="006A53E0">
      <w:pPr>
        <w:jc w:val="both"/>
        <w:rPr>
          <w:lang w:val="en-US" w:eastAsia="x-none"/>
        </w:rPr>
      </w:pPr>
      <w:r>
        <w:rPr>
          <w:lang w:val="en-US" w:eastAsia="x-none"/>
        </w:rPr>
        <w:t xml:space="preserve">Above options are illustrated in </w:t>
      </w:r>
    </w:p>
    <w:p w14:paraId="30FB29A3" w14:textId="33802E7F" w:rsidR="005E221B" w:rsidRDefault="005E221B" w:rsidP="005E221B">
      <w:pPr>
        <w:jc w:val="center"/>
        <w:rPr>
          <w:lang w:val="en-US" w:eastAsia="x-none"/>
        </w:rPr>
      </w:pPr>
      <w:r>
        <w:rPr>
          <w:noProof/>
          <w:lang w:eastAsia="en-GB"/>
        </w:rPr>
        <w:drawing>
          <wp:inline distT="0" distB="0" distL="0" distR="0" wp14:anchorId="30282749" wp14:editId="08FB1D69">
            <wp:extent cx="4101987" cy="209279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6194" cy="2094944"/>
                    </a:xfrm>
                    <a:prstGeom prst="rect">
                      <a:avLst/>
                    </a:prstGeom>
                    <a:noFill/>
                  </pic:spPr>
                </pic:pic>
              </a:graphicData>
            </a:graphic>
          </wp:inline>
        </w:drawing>
      </w:r>
    </w:p>
    <w:p w14:paraId="24A40D61" w14:textId="133CCB56" w:rsidR="005E221B" w:rsidRPr="005E221B" w:rsidRDefault="005E221B" w:rsidP="005E221B">
      <w:pPr>
        <w:pStyle w:val="Caption"/>
        <w:jc w:val="center"/>
        <w:rPr>
          <w:lang w:val="en-US"/>
        </w:rPr>
      </w:pPr>
      <w:r>
        <w:t xml:space="preserve">Figure </w:t>
      </w:r>
      <w:r w:rsidR="003B2B61">
        <w:fldChar w:fldCharType="begin"/>
      </w:r>
      <w:r w:rsidR="003B2B61">
        <w:instrText xml:space="preserve"> SEQ Figure \* ARABIC </w:instrText>
      </w:r>
      <w:r w:rsidR="003B2B61">
        <w:fldChar w:fldCharType="separate"/>
      </w:r>
      <w:r>
        <w:rPr>
          <w:noProof/>
        </w:rPr>
        <w:t>2</w:t>
      </w:r>
      <w:r w:rsidR="003B2B61">
        <w:rPr>
          <w:noProof/>
        </w:rPr>
        <w:fldChar w:fldCharType="end"/>
      </w:r>
      <w:r w:rsidRPr="005E221B">
        <w:rPr>
          <w:lang w:val="en-US"/>
        </w:rPr>
        <w:t xml:space="preserve"> Options for BS UL beam selection in non-reciprocity case. </w:t>
      </w:r>
    </w:p>
    <w:p w14:paraId="7F420850" w14:textId="4FF129B2" w:rsidR="00D34956" w:rsidRDefault="00D34956" w:rsidP="006A53E0">
      <w:pPr>
        <w:jc w:val="both"/>
        <w:rPr>
          <w:b/>
          <w:lang w:val="en-US" w:eastAsia="x-none"/>
        </w:rPr>
      </w:pPr>
      <w:r>
        <w:rPr>
          <w:b/>
          <w:lang w:val="en-US" w:eastAsia="x-none"/>
        </w:rPr>
        <w:t xml:space="preserve">Observation 1: In non-reciprocity case, use of digital subsystem RX at BS can enable TRP RX beam acquisition without explicit UL sweeping operation. </w:t>
      </w:r>
    </w:p>
    <w:p w14:paraId="34495377" w14:textId="3BCB4DA8" w:rsidR="00F14C71" w:rsidRPr="00970490" w:rsidRDefault="00D34956" w:rsidP="006A53E0">
      <w:pPr>
        <w:jc w:val="both"/>
        <w:rPr>
          <w:b/>
          <w:lang w:val="en-US" w:eastAsia="x-none"/>
        </w:rPr>
      </w:pPr>
      <w:r w:rsidRPr="00970490">
        <w:rPr>
          <w:b/>
          <w:lang w:val="en-US" w:eastAsia="x-none"/>
        </w:rPr>
        <w:lastRenderedPageBreak/>
        <w:t xml:space="preserve">Proposal </w:t>
      </w:r>
      <w:r w:rsidR="00970490">
        <w:rPr>
          <w:b/>
          <w:lang w:val="en-US" w:eastAsia="x-none"/>
        </w:rPr>
        <w:t>3</w:t>
      </w:r>
      <w:r w:rsidRPr="00970490">
        <w:rPr>
          <w:b/>
          <w:lang w:val="en-US" w:eastAsia="x-none"/>
        </w:rPr>
        <w:t xml:space="preserve">: </w:t>
      </w:r>
      <w:r w:rsidR="00970490" w:rsidRPr="00970490">
        <w:rPr>
          <w:b/>
          <w:lang w:val="en-US" w:eastAsia="x-none"/>
        </w:rPr>
        <w:t>UL reference signal to determine BS UL beam for the UE should support narrowband option.</w:t>
      </w:r>
      <w:r w:rsidR="00280F1E" w:rsidRPr="00D34956">
        <w:rPr>
          <w:lang w:val="en-US" w:eastAsia="x-none"/>
        </w:rPr>
        <w:t xml:space="preserve"> </w:t>
      </w:r>
    </w:p>
    <w:p w14:paraId="0BC393AC" w14:textId="2645BD7D" w:rsidR="009040DC" w:rsidRPr="009040DC" w:rsidRDefault="009040DC" w:rsidP="009040DC">
      <w:pPr>
        <w:rPr>
          <w:lang w:val="en-US" w:eastAsia="x-none"/>
        </w:rPr>
      </w:pP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080869D2" w:rsidR="00620244" w:rsidRDefault="00B74C8F" w:rsidP="006A53E0">
      <w:pPr>
        <w:jc w:val="both"/>
        <w:rPr>
          <w:lang w:val="en-US"/>
        </w:rPr>
      </w:pPr>
      <w:r>
        <w:rPr>
          <w:lang w:val="en-US"/>
        </w:rPr>
        <w:t xml:space="preserve">In this contribution </w:t>
      </w:r>
      <w:r w:rsidR="004919F0">
        <w:rPr>
          <w:lang w:val="en-US"/>
        </w:rPr>
        <w:t xml:space="preserve">relation between reciprocity assumptions and beam management procedures are discussed. </w:t>
      </w:r>
      <w:r w:rsidR="001E0417">
        <w:rPr>
          <w:lang w:val="en-US"/>
        </w:rPr>
        <w:t>Based on discussion the following proposal is made</w:t>
      </w:r>
      <w:r>
        <w:rPr>
          <w:lang w:val="en-US"/>
        </w:rPr>
        <w:t>:</w:t>
      </w:r>
    </w:p>
    <w:p w14:paraId="04FE3AFA" w14:textId="77777777" w:rsidR="00624013" w:rsidRDefault="00624013" w:rsidP="00624013">
      <w:pPr>
        <w:rPr>
          <w:b/>
          <w:lang w:eastAsia="x-none"/>
        </w:rPr>
      </w:pPr>
      <w:r w:rsidRPr="00D438F1">
        <w:rPr>
          <w:b/>
          <w:lang w:eastAsia="x-none"/>
        </w:rPr>
        <w:t xml:space="preserve">Proposal </w:t>
      </w:r>
      <w:r>
        <w:rPr>
          <w:b/>
          <w:lang w:eastAsia="x-none"/>
        </w:rPr>
        <w:t>1</w:t>
      </w:r>
      <w:r w:rsidRPr="00D438F1">
        <w:rPr>
          <w:b/>
          <w:lang w:eastAsia="x-none"/>
        </w:rPr>
        <w:t xml:space="preserve">: </w:t>
      </w:r>
      <w:r>
        <w:rPr>
          <w:b/>
          <w:lang w:eastAsia="x-none"/>
        </w:rPr>
        <w:t>Support downlink Beam Reference Signals (BRSs)</w:t>
      </w:r>
      <w:r w:rsidRPr="00D438F1">
        <w:rPr>
          <w:b/>
          <w:lang w:eastAsia="x-none"/>
        </w:rPr>
        <w:t xml:space="preserve"> uniquely identifying BS beams </w:t>
      </w:r>
      <w:r>
        <w:rPr>
          <w:b/>
          <w:lang w:eastAsia="x-none"/>
        </w:rPr>
        <w:t>of the serving cell as</w:t>
      </w:r>
      <w:r w:rsidRPr="00D438F1">
        <w:rPr>
          <w:b/>
          <w:lang w:eastAsia="x-none"/>
        </w:rPr>
        <w:t xml:space="preserve"> basis for beam management procedures</w:t>
      </w:r>
      <w:r>
        <w:rPr>
          <w:b/>
          <w:lang w:eastAsia="x-none"/>
        </w:rPr>
        <w:t xml:space="preserve"> in reciprocity case for both DL and UL BS beam selection</w:t>
      </w:r>
      <w:r w:rsidRPr="00D438F1">
        <w:rPr>
          <w:b/>
          <w:lang w:eastAsia="x-none"/>
        </w:rPr>
        <w:t>.</w:t>
      </w:r>
    </w:p>
    <w:p w14:paraId="3512B128" w14:textId="77777777" w:rsidR="004919F0" w:rsidRDefault="004919F0" w:rsidP="006A53E0">
      <w:pPr>
        <w:jc w:val="both"/>
        <w:rPr>
          <w:b/>
          <w:lang w:val="en-US" w:eastAsia="x-none"/>
        </w:rPr>
      </w:pPr>
      <w:r>
        <w:rPr>
          <w:b/>
          <w:lang w:val="en-US" w:eastAsia="x-none"/>
        </w:rPr>
        <w:t xml:space="preserve">Observation 1: In non-reciprocity case, use of digital subsystem RX at BS can enable TRP RX beam acquisition without explicit UL sweeping operation. </w:t>
      </w:r>
    </w:p>
    <w:p w14:paraId="79E95535" w14:textId="292318B6" w:rsidR="00D34956" w:rsidRDefault="004919F0" w:rsidP="006A53E0">
      <w:pPr>
        <w:jc w:val="both"/>
        <w:rPr>
          <w:lang w:val="en-US"/>
        </w:rPr>
      </w:pPr>
      <w:r w:rsidRPr="00970490">
        <w:rPr>
          <w:b/>
          <w:lang w:val="en-US" w:eastAsia="x-none"/>
        </w:rPr>
        <w:t xml:space="preserve">Proposal </w:t>
      </w:r>
      <w:r>
        <w:rPr>
          <w:b/>
          <w:lang w:val="en-US" w:eastAsia="x-none"/>
        </w:rPr>
        <w:t>3</w:t>
      </w:r>
      <w:r w:rsidRPr="00970490">
        <w:rPr>
          <w:b/>
          <w:lang w:val="en-US" w:eastAsia="x-none"/>
        </w:rPr>
        <w:t>: UL reference signal to determine BS UL beam for the UE should support narrowband option.</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1BA30307" w:rsidR="00F55998" w:rsidRDefault="00F55998" w:rsidP="006F1D85">
      <w:pPr>
        <w:numPr>
          <w:ilvl w:val="0"/>
          <w:numId w:val="1"/>
        </w:numPr>
        <w:rPr>
          <w:sz w:val="18"/>
        </w:rPr>
      </w:pPr>
      <w:r>
        <w:rPr>
          <w:sz w:val="18"/>
        </w:rPr>
        <w:t>RAN1 #86 Chairman Notes</w:t>
      </w:r>
    </w:p>
    <w:p w14:paraId="46664C67" w14:textId="2B533AA3" w:rsidR="00F55998" w:rsidRDefault="00F55998" w:rsidP="006F1D85">
      <w:pPr>
        <w:numPr>
          <w:ilvl w:val="0"/>
          <w:numId w:val="1"/>
        </w:numPr>
        <w:rPr>
          <w:sz w:val="18"/>
        </w:rPr>
      </w:pPr>
      <w:r>
        <w:rPr>
          <w:sz w:val="18"/>
        </w:rPr>
        <w:t>R1-168468, “Definitions supporting beam related procedures”, Nokia, Qualcomm, CATT, Intel, NTT DoCoMo, Mediatek, Ericsson, ASB, Samsung, LG</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55005" w14:textId="77777777" w:rsidR="00B57010" w:rsidRDefault="00B57010">
      <w:r>
        <w:separator/>
      </w:r>
    </w:p>
  </w:endnote>
  <w:endnote w:type="continuationSeparator" w:id="0">
    <w:p w14:paraId="77B2BFFA" w14:textId="77777777" w:rsidR="00B57010" w:rsidRDefault="00B5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08F85" w14:textId="77777777" w:rsidR="00B57010" w:rsidRDefault="00B57010">
      <w:r>
        <w:separator/>
      </w:r>
    </w:p>
  </w:footnote>
  <w:footnote w:type="continuationSeparator" w:id="0">
    <w:p w14:paraId="568D2908" w14:textId="77777777" w:rsidR="00B57010" w:rsidRDefault="00B570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0"/>
  </w:num>
  <w:num w:numId="4">
    <w:abstractNumId w:val="38"/>
  </w:num>
  <w:num w:numId="5">
    <w:abstractNumId w:val="37"/>
  </w:num>
  <w:num w:numId="6">
    <w:abstractNumId w:val="28"/>
  </w:num>
  <w:num w:numId="7">
    <w:abstractNumId w:val="8"/>
    <w:lvlOverride w:ilvl="0">
      <w:startOverride w:val="1"/>
    </w:lvlOverride>
  </w:num>
  <w:num w:numId="8">
    <w:abstractNumId w:val="9"/>
  </w:num>
  <w:num w:numId="9">
    <w:abstractNumId w:val="27"/>
  </w:num>
  <w:num w:numId="10">
    <w:abstractNumId w:val="19"/>
  </w:num>
  <w:num w:numId="11">
    <w:abstractNumId w:val="23"/>
  </w:num>
  <w:num w:numId="12">
    <w:abstractNumId w:val="4"/>
  </w:num>
  <w:num w:numId="13">
    <w:abstractNumId w:val="35"/>
  </w:num>
  <w:num w:numId="14">
    <w:abstractNumId w:val="21"/>
  </w:num>
  <w:num w:numId="15">
    <w:abstractNumId w:val="13"/>
  </w:num>
  <w:num w:numId="16">
    <w:abstractNumId w:val="16"/>
  </w:num>
  <w:num w:numId="17">
    <w:abstractNumId w:val="34"/>
  </w:num>
  <w:num w:numId="18">
    <w:abstractNumId w:val="32"/>
  </w:num>
  <w:num w:numId="19">
    <w:abstractNumId w:val="3"/>
  </w:num>
  <w:num w:numId="20">
    <w:abstractNumId w:val="7"/>
  </w:num>
  <w:num w:numId="21">
    <w:abstractNumId w:val="12"/>
  </w:num>
  <w:num w:numId="22">
    <w:abstractNumId w:val="1"/>
  </w:num>
  <w:num w:numId="23">
    <w:abstractNumId w:val="25"/>
  </w:num>
  <w:num w:numId="24">
    <w:abstractNumId w:val="20"/>
  </w:num>
  <w:num w:numId="25">
    <w:abstractNumId w:val="31"/>
  </w:num>
  <w:num w:numId="26">
    <w:abstractNumId w:val="15"/>
  </w:num>
  <w:num w:numId="27">
    <w:abstractNumId w:val="36"/>
  </w:num>
  <w:num w:numId="28">
    <w:abstractNumId w:val="11"/>
  </w:num>
  <w:num w:numId="29">
    <w:abstractNumId w:val="2"/>
  </w:num>
  <w:num w:numId="30">
    <w:abstractNumId w:val="26"/>
  </w:num>
  <w:num w:numId="31">
    <w:abstractNumId w:val="14"/>
  </w:num>
  <w:num w:numId="32">
    <w:abstractNumId w:val="33"/>
  </w:num>
  <w:num w:numId="33">
    <w:abstractNumId w:val="29"/>
  </w:num>
  <w:num w:numId="34">
    <w:abstractNumId w:val="17"/>
  </w:num>
  <w:num w:numId="35">
    <w:abstractNumId w:val="30"/>
  </w:num>
  <w:num w:numId="36">
    <w:abstractNumId w:val="0"/>
  </w:num>
  <w:num w:numId="37">
    <w:abstractNumId w:val="24"/>
  </w:num>
  <w:num w:numId="38">
    <w:abstractNumId w:val="5"/>
  </w:num>
  <w:num w:numId="3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E22"/>
    <w:rsid w:val="0024336B"/>
    <w:rsid w:val="0024424F"/>
    <w:rsid w:val="00244D28"/>
    <w:rsid w:val="00245720"/>
    <w:rsid w:val="00245A54"/>
    <w:rsid w:val="00245FD5"/>
    <w:rsid w:val="002477DF"/>
    <w:rsid w:val="00251AD6"/>
    <w:rsid w:val="00252C17"/>
    <w:rsid w:val="0025307F"/>
    <w:rsid w:val="002551BD"/>
    <w:rsid w:val="002568D0"/>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23B"/>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508B9"/>
    <w:rsid w:val="00650CA1"/>
    <w:rsid w:val="00651854"/>
    <w:rsid w:val="006539E8"/>
    <w:rsid w:val="006565D8"/>
    <w:rsid w:val="00656B96"/>
    <w:rsid w:val="0065736B"/>
    <w:rsid w:val="00657AE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29"/>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96FEF"/>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228"/>
    <w:rsid w:val="00AD69FF"/>
    <w:rsid w:val="00AD702B"/>
    <w:rsid w:val="00AD72E6"/>
    <w:rsid w:val="00AD7C95"/>
    <w:rsid w:val="00AE30FC"/>
    <w:rsid w:val="00AE3DE1"/>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5DE0"/>
    <w:rsid w:val="00B57010"/>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682"/>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E77A0"/>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4C7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49831-CF5A-402C-B0D7-EA21E000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2</cp:revision>
  <cp:lastPrinted>2016-06-20T11:35:00Z</cp:lastPrinted>
  <dcterms:created xsi:type="dcterms:W3CDTF">2016-09-30T13:08:00Z</dcterms:created>
  <dcterms:modified xsi:type="dcterms:W3CDTF">2016-09-30T13:08:00Z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