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CB10E" w14:textId="243090B6" w:rsidR="00A7221B" w:rsidRPr="00D84F6F" w:rsidRDefault="00A7221B" w:rsidP="00A7221B">
      <w:pPr>
        <w:pStyle w:val="Header"/>
        <w:rPr>
          <w:bCs/>
          <w:noProof w:val="0"/>
          <w:sz w:val="24"/>
          <w:lang w:val="de-DE"/>
        </w:rPr>
      </w:pPr>
      <w:bookmarkStart w:id="0" w:name="_GoBack"/>
      <w:bookmarkEnd w:id="0"/>
      <w:r w:rsidRPr="00D84F6F">
        <w:rPr>
          <w:bCs/>
          <w:noProof w:val="0"/>
          <w:sz w:val="24"/>
          <w:lang w:val="de-DE"/>
        </w:rPr>
        <w:t>3GPP TSG-RAN WG1 #86 Bis</w:t>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r>
      <w:r w:rsidRPr="00D84F6F">
        <w:rPr>
          <w:bCs/>
          <w:noProof w:val="0"/>
          <w:sz w:val="24"/>
          <w:lang w:val="de-DE"/>
        </w:rPr>
        <w:tab/>
        <w:t>R1-16</w:t>
      </w:r>
      <w:r w:rsidR="0019340B">
        <w:rPr>
          <w:bCs/>
          <w:noProof w:val="0"/>
          <w:sz w:val="24"/>
          <w:lang w:val="de-DE"/>
        </w:rPr>
        <w:t>09664</w:t>
      </w:r>
    </w:p>
    <w:p w14:paraId="1FC12CF8" w14:textId="1CFB37D9" w:rsidR="00A7221B" w:rsidRDefault="00A7221B" w:rsidP="00A7221B">
      <w:pPr>
        <w:pStyle w:val="Header"/>
        <w:rPr>
          <w:bCs/>
          <w:noProof w:val="0"/>
          <w:sz w:val="24"/>
          <w:lang w:val="en-GB"/>
        </w:rPr>
      </w:pPr>
      <w:r w:rsidRPr="00CA26CE">
        <w:rPr>
          <w:bCs/>
          <w:noProof w:val="0"/>
          <w:sz w:val="24"/>
          <w:lang w:val="en-GB"/>
        </w:rPr>
        <w:t>Lisbon, Portugal, October 10-14, 2016</w:t>
      </w:r>
    </w:p>
    <w:p w14:paraId="50E6F97D" w14:textId="77777777" w:rsidR="00A7221B" w:rsidRPr="0016316A" w:rsidRDefault="00A7221B" w:rsidP="00A7221B">
      <w:pPr>
        <w:pStyle w:val="Header"/>
        <w:rPr>
          <w:bCs/>
          <w:noProof w:val="0"/>
          <w:sz w:val="24"/>
          <w:lang w:val="en-GB" w:eastAsia="ja-JP"/>
        </w:rPr>
      </w:pPr>
    </w:p>
    <w:p w14:paraId="47FE109E" w14:textId="5E8DCBCB" w:rsidR="00A7221B" w:rsidRPr="001E5981" w:rsidRDefault="00A7221B" w:rsidP="00A7221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3076E">
        <w:rPr>
          <w:rFonts w:cs="Arial"/>
          <w:b/>
          <w:bCs/>
          <w:sz w:val="24"/>
        </w:rPr>
        <w:t>8.1.2.2</w:t>
      </w:r>
    </w:p>
    <w:p w14:paraId="78D05FED"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6CFD01D4"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A1139">
        <w:rPr>
          <w:rFonts w:ascii="Arial" w:hAnsi="Arial" w:cs="Arial"/>
          <w:b/>
          <w:bCs/>
          <w:sz w:val="24"/>
        </w:rPr>
        <w:t xml:space="preserve">Comparison of slot and mini-slot based approaches for URLLC </w:t>
      </w:r>
    </w:p>
    <w:p w14:paraId="413C103C"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847AF21" w14:textId="77777777" w:rsidR="0034111C" w:rsidRPr="0016316A" w:rsidRDefault="0034111C">
      <w:pPr>
        <w:pStyle w:val="Heading1"/>
      </w:pPr>
      <w:r w:rsidRPr="0016316A">
        <w:t>1</w:t>
      </w:r>
      <w:r w:rsidRPr="0016316A">
        <w:tab/>
      </w:r>
      <w:r w:rsidR="00EE7FA7" w:rsidRPr="0016316A">
        <w:t>Introduction</w:t>
      </w:r>
    </w:p>
    <w:p w14:paraId="31165CF5"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41F8DFEC" w14:textId="494B4840" w:rsidR="00A7245F" w:rsidRPr="00A7245F" w:rsidRDefault="00A7245F" w:rsidP="00AD1EA8">
      <w:pPr>
        <w:spacing w:after="0"/>
        <w:jc w:val="both"/>
        <w:rPr>
          <w:bCs/>
        </w:rPr>
      </w:pPr>
      <w:r>
        <w:rPr>
          <w:bCs/>
        </w:rPr>
        <w:t>One of the scenario</w:t>
      </w:r>
      <w:r w:rsidR="006C059E">
        <w:rPr>
          <w:bCs/>
        </w:rPr>
        <w:t>s</w:t>
      </w:r>
      <w:r>
        <w:rPr>
          <w:bCs/>
        </w:rPr>
        <w:t xml:space="preserve"> considered in [1] is </w:t>
      </w:r>
      <w:r w:rsidR="000B2FEC">
        <w:rPr>
          <w:bCs/>
        </w:rPr>
        <w:t>u</w:t>
      </w:r>
      <w:r w:rsidR="000B2FEC" w:rsidRPr="00A7245F">
        <w:rPr>
          <w:bCs/>
        </w:rPr>
        <w:t>ltra-reliable</w:t>
      </w:r>
      <w:r w:rsidRPr="00A7245F">
        <w:rPr>
          <w:bCs/>
        </w:rPr>
        <w:t xml:space="preserve"> and low latency communications</w:t>
      </w:r>
      <w:r>
        <w:rPr>
          <w:bCs/>
        </w:rPr>
        <w:t xml:space="preserve"> (URLLC). </w:t>
      </w:r>
      <w:r w:rsidRPr="00A7245F">
        <w:rPr>
          <w:bCs/>
        </w:rPr>
        <w:t>For U</w:t>
      </w:r>
      <w:r w:rsidR="00AD1EA8">
        <w:rPr>
          <w:bCs/>
        </w:rPr>
        <w:t>RLLC, the critical KPIs include</w:t>
      </w:r>
      <w:r w:rsidRPr="00A7245F">
        <w:rPr>
          <w:bCs/>
        </w:rPr>
        <w:t xml:space="preserve"> use</w:t>
      </w:r>
      <w:r>
        <w:rPr>
          <w:bCs/>
        </w:rPr>
        <w:t>r plane latency and reliability</w:t>
      </w:r>
      <w:r w:rsidR="001870B9">
        <w:rPr>
          <w:bCs/>
        </w:rPr>
        <w:t xml:space="preserve"> among others</w:t>
      </w:r>
      <w:r>
        <w:rPr>
          <w:bCs/>
        </w:rPr>
        <w:t>. The key requirements for URLLC relate to U-plane latency and reliability [2]:</w:t>
      </w:r>
    </w:p>
    <w:p w14:paraId="03B32E10" w14:textId="77777777" w:rsidR="00A7245F" w:rsidRPr="00024A12" w:rsidRDefault="00A7245F" w:rsidP="00A7245F">
      <w:pPr>
        <w:pStyle w:val="ListParagraph"/>
        <w:numPr>
          <w:ilvl w:val="0"/>
          <w:numId w:val="7"/>
        </w:numPr>
        <w:spacing w:after="120"/>
        <w:jc w:val="both"/>
        <w:rPr>
          <w:bCs/>
          <w:sz w:val="20"/>
          <w:lang w:val="en-US"/>
        </w:rPr>
      </w:pPr>
      <w:r w:rsidRPr="00024A12">
        <w:rPr>
          <w:bCs/>
          <w:sz w:val="20"/>
          <w:lang w:val="en-US"/>
        </w:rPr>
        <w:t>For URLLC the target for user plane latency should be 0.5ms for UL, and 0.5ms for DL.</w:t>
      </w:r>
    </w:p>
    <w:p w14:paraId="0BFAE0AD" w14:textId="77777777" w:rsidR="00A7245F" w:rsidRPr="00A7245F" w:rsidRDefault="00A7245F" w:rsidP="00A7245F">
      <w:pPr>
        <w:pStyle w:val="ListParagraph"/>
        <w:numPr>
          <w:ilvl w:val="0"/>
          <w:numId w:val="7"/>
        </w:numPr>
        <w:spacing w:after="120"/>
        <w:jc w:val="both"/>
        <w:rPr>
          <w:bCs/>
          <w:sz w:val="20"/>
          <w:lang w:val="en-US"/>
        </w:rPr>
      </w:pPr>
      <w:r w:rsidRPr="00024A12">
        <w:rPr>
          <w:bCs/>
          <w:sz w:val="20"/>
          <w:lang w:val="en-US"/>
        </w:rPr>
        <w:t>The target for reliability should be 1-10</w:t>
      </w:r>
      <w:r w:rsidRPr="00F056DA">
        <w:rPr>
          <w:bCs/>
          <w:sz w:val="20"/>
          <w:vertAlign w:val="superscript"/>
          <w:lang w:val="en-US"/>
        </w:rPr>
        <w:t>-5</w:t>
      </w:r>
      <w:r w:rsidRPr="00024A12">
        <w:rPr>
          <w:bCs/>
          <w:sz w:val="20"/>
          <w:lang w:val="en-US"/>
        </w:rPr>
        <w:t xml:space="preserve"> within 1ms.</w:t>
      </w:r>
    </w:p>
    <w:p w14:paraId="3289FD8D" w14:textId="6C9A3375" w:rsidR="005C6531" w:rsidRDefault="00DD1B70" w:rsidP="005C6531">
      <w:pPr>
        <w:spacing w:after="120"/>
        <w:jc w:val="both"/>
        <w:rPr>
          <w:bCs/>
        </w:rPr>
      </w:pPr>
      <w:r>
        <w:rPr>
          <w:rFonts w:eastAsia="MS Mincho"/>
          <w:lang w:val="en-US" w:eastAsia="ja-JP"/>
        </w:rPr>
        <w:t xml:space="preserve">Two </w:t>
      </w:r>
      <w:r w:rsidR="00AD1EA8">
        <w:rPr>
          <w:rFonts w:eastAsia="MS Mincho"/>
          <w:lang w:eastAsia="ja-JP"/>
        </w:rPr>
        <w:t>possible scheduling unit</w:t>
      </w:r>
      <w:r>
        <w:rPr>
          <w:rFonts w:eastAsia="MS Mincho"/>
          <w:lang w:eastAsia="ja-JP"/>
        </w:rPr>
        <w:t xml:space="preserve"> lengths for URLLC are slot and mini-slot</w:t>
      </w:r>
      <w:r w:rsidR="00A7245F" w:rsidRPr="00EF769F">
        <w:rPr>
          <w:bCs/>
        </w:rPr>
        <w:t>.</w:t>
      </w:r>
      <w:r w:rsidR="005C6531">
        <w:rPr>
          <w:bCs/>
        </w:rPr>
        <w:t xml:space="preserve"> </w:t>
      </w:r>
      <w:r w:rsidR="0005112D">
        <w:rPr>
          <w:rFonts w:eastAsia="Malgun Gothic"/>
        </w:rPr>
        <w:t xml:space="preserve">In RAN1 #86, the following agreements related to </w:t>
      </w:r>
      <w:r w:rsidR="007157D1">
        <w:rPr>
          <w:rFonts w:eastAsia="Malgun Gothic"/>
        </w:rPr>
        <w:t xml:space="preserve">subframe, </w:t>
      </w:r>
      <w:r w:rsidR="0005112D">
        <w:rPr>
          <w:rFonts w:eastAsia="Malgun Gothic"/>
        </w:rPr>
        <w:t>slot</w:t>
      </w:r>
      <w:r w:rsidR="007157D1">
        <w:rPr>
          <w:rFonts w:eastAsia="Malgun Gothic"/>
        </w:rPr>
        <w:t xml:space="preserve"> and mini-slot</w:t>
      </w:r>
      <w:r w:rsidR="0005112D">
        <w:rPr>
          <w:rFonts w:eastAsia="Malgun Gothic"/>
        </w:rPr>
        <w:t xml:space="preserve"> structures </w:t>
      </w:r>
      <w:r w:rsidR="0005112D">
        <w:rPr>
          <w:bCs/>
        </w:rPr>
        <w:t>were made [3]</w:t>
      </w:r>
      <w:r w:rsidR="0005112D">
        <w:rPr>
          <w:rFonts w:eastAsia="Malgun Gothic"/>
        </w:rPr>
        <w:t>:</w:t>
      </w:r>
    </w:p>
    <w:p w14:paraId="72D0E69B" w14:textId="77777777" w:rsidR="00A7221B" w:rsidRPr="00A7221B" w:rsidRDefault="00A7221B" w:rsidP="00A7221B">
      <w:pPr>
        <w:overflowPunct/>
        <w:autoSpaceDE/>
        <w:autoSpaceDN/>
        <w:adjustRightInd/>
        <w:spacing w:after="0"/>
        <w:textAlignment w:val="auto"/>
        <w:rPr>
          <w:rFonts w:eastAsia="MS Mincho"/>
          <w:sz w:val="16"/>
          <w:lang w:val="en-US" w:eastAsia="ja-JP"/>
        </w:rPr>
      </w:pPr>
    </w:p>
    <w:p w14:paraId="532BC716" w14:textId="77777777" w:rsidR="00A7221B" w:rsidRPr="007157D1" w:rsidRDefault="00A7221B" w:rsidP="00A7221B">
      <w:pPr>
        <w:spacing w:after="0"/>
        <w:ind w:left="284"/>
        <w:rPr>
          <w:rFonts w:eastAsia="MS Mincho"/>
          <w:b/>
          <w:sz w:val="16"/>
          <w:u w:val="single"/>
          <w:lang w:eastAsia="ja-JP"/>
        </w:rPr>
      </w:pPr>
      <w:r w:rsidRPr="007157D1">
        <w:rPr>
          <w:rFonts w:eastAsia="MS Mincho" w:hint="eastAsia"/>
          <w:b/>
          <w:sz w:val="16"/>
          <w:highlight w:val="green"/>
          <w:u w:val="single"/>
          <w:lang w:eastAsia="ja-JP"/>
        </w:rPr>
        <w:t>Agreements:</w:t>
      </w:r>
    </w:p>
    <w:p w14:paraId="51817DB8" w14:textId="77777777" w:rsidR="00A7221B" w:rsidRPr="007157D1" w:rsidRDefault="00A7221B" w:rsidP="00A7221B">
      <w:pPr>
        <w:numPr>
          <w:ilvl w:val="0"/>
          <w:numId w:val="17"/>
        </w:numPr>
        <w:tabs>
          <w:tab w:val="clear" w:pos="720"/>
          <w:tab w:val="num" w:pos="1004"/>
        </w:tabs>
        <w:overflowPunct/>
        <w:autoSpaceDE/>
        <w:autoSpaceDN/>
        <w:adjustRightInd/>
        <w:spacing w:after="0"/>
        <w:ind w:left="1004"/>
        <w:textAlignment w:val="auto"/>
        <w:rPr>
          <w:rFonts w:eastAsia="MS Mincho"/>
          <w:sz w:val="16"/>
          <w:lang w:val="en-US" w:eastAsia="ja-JP"/>
        </w:rPr>
      </w:pPr>
      <w:r w:rsidRPr="007157D1">
        <w:rPr>
          <w:rFonts w:eastAsia="MS Mincho"/>
          <w:sz w:val="16"/>
          <w:lang w:val="en-US" w:eastAsia="ja-JP"/>
        </w:rPr>
        <w:t xml:space="preserve">A subframe duration is defined by </w:t>
      </w:r>
      <w:r w:rsidRPr="007157D1">
        <w:rPr>
          <w:rFonts w:eastAsia="MS Mincho" w:hint="eastAsia"/>
          <w:sz w:val="16"/>
          <w:lang w:val="en-US" w:eastAsia="ja-JP"/>
        </w:rPr>
        <w:t xml:space="preserve">the duration of </w:t>
      </w:r>
      <w:r w:rsidRPr="007157D1">
        <w:rPr>
          <w:rFonts w:eastAsia="MS Mincho"/>
          <w:i/>
          <w:iCs/>
          <w:sz w:val="16"/>
          <w:lang w:val="en-US" w:eastAsia="ja-JP"/>
        </w:rPr>
        <w:t>x</w:t>
      </w:r>
      <w:r w:rsidRPr="007157D1">
        <w:rPr>
          <w:rFonts w:eastAsia="MS Mincho"/>
          <w:sz w:val="16"/>
          <w:lang w:val="en-US" w:eastAsia="ja-JP"/>
        </w:rPr>
        <w:t xml:space="preserve"> OFDM symbols given </w:t>
      </w:r>
      <w:r w:rsidRPr="007157D1">
        <w:rPr>
          <w:rFonts w:eastAsia="MS Mincho" w:hint="eastAsia"/>
          <w:sz w:val="16"/>
          <w:lang w:val="en-US" w:eastAsia="ja-JP"/>
        </w:rPr>
        <w:t xml:space="preserve">a reference numerology </w:t>
      </w:r>
    </w:p>
    <w:p w14:paraId="6FC0D6CE" w14:textId="77777777" w:rsidR="00A7221B" w:rsidRPr="007157D1" w:rsidRDefault="00A7221B" w:rsidP="00A7221B">
      <w:pPr>
        <w:numPr>
          <w:ilvl w:val="1"/>
          <w:numId w:val="17"/>
        </w:numPr>
        <w:tabs>
          <w:tab w:val="clear" w:pos="1440"/>
          <w:tab w:val="num" w:pos="1724"/>
        </w:tabs>
        <w:overflowPunct/>
        <w:autoSpaceDE/>
        <w:autoSpaceDN/>
        <w:adjustRightInd/>
        <w:spacing w:after="0"/>
        <w:ind w:left="1724"/>
        <w:textAlignment w:val="auto"/>
        <w:rPr>
          <w:rFonts w:eastAsia="MS Mincho"/>
          <w:sz w:val="16"/>
          <w:lang w:val="en-US" w:eastAsia="ja-JP"/>
        </w:rPr>
      </w:pPr>
      <w:r w:rsidRPr="007157D1">
        <w:rPr>
          <w:rFonts w:eastAsia="MS Mincho" w:hint="eastAsia"/>
          <w:sz w:val="16"/>
          <w:lang w:val="en-US" w:eastAsia="ja-JP"/>
        </w:rPr>
        <w:t xml:space="preserve">With the same CP overhead, a single value of </w:t>
      </w:r>
      <w:r w:rsidRPr="007157D1">
        <w:rPr>
          <w:rFonts w:eastAsia="MS Mincho" w:hint="eastAsia"/>
          <w:i/>
          <w:sz w:val="16"/>
          <w:lang w:val="en-US" w:eastAsia="ja-JP"/>
        </w:rPr>
        <w:t>x</w:t>
      </w:r>
      <w:r w:rsidRPr="007157D1">
        <w:rPr>
          <w:rFonts w:eastAsia="MS Mincho" w:hint="eastAsia"/>
          <w:sz w:val="16"/>
          <w:lang w:val="en-US" w:eastAsia="ja-JP"/>
        </w:rPr>
        <w:t xml:space="preserve"> is specified irrespective of the </w:t>
      </w:r>
      <w:r w:rsidRPr="007157D1">
        <w:rPr>
          <w:rFonts w:eastAsia="MS Mincho"/>
          <w:sz w:val="16"/>
          <w:lang w:val="en-US" w:eastAsia="ja-JP"/>
        </w:rPr>
        <w:t>subcarrier</w:t>
      </w:r>
      <w:r w:rsidRPr="007157D1">
        <w:rPr>
          <w:rFonts w:eastAsia="MS Mincho" w:hint="eastAsia"/>
          <w:sz w:val="16"/>
          <w:lang w:val="en-US" w:eastAsia="ja-JP"/>
        </w:rPr>
        <w:t xml:space="preserve"> spacing value chosen for the reference numerology</w:t>
      </w:r>
    </w:p>
    <w:p w14:paraId="53FD8A4E" w14:textId="77777777" w:rsidR="00A7221B" w:rsidRPr="007157D1" w:rsidRDefault="00A7221B" w:rsidP="00A7221B">
      <w:pPr>
        <w:numPr>
          <w:ilvl w:val="1"/>
          <w:numId w:val="17"/>
        </w:numPr>
        <w:tabs>
          <w:tab w:val="clear" w:pos="1440"/>
          <w:tab w:val="num" w:pos="1724"/>
        </w:tabs>
        <w:overflowPunct/>
        <w:autoSpaceDE/>
        <w:autoSpaceDN/>
        <w:adjustRightInd/>
        <w:spacing w:after="0"/>
        <w:ind w:left="1724"/>
        <w:textAlignment w:val="auto"/>
        <w:rPr>
          <w:rFonts w:eastAsia="MS Mincho"/>
          <w:sz w:val="16"/>
          <w:lang w:val="en-US" w:eastAsia="ja-JP"/>
        </w:rPr>
      </w:pPr>
      <w:r w:rsidRPr="007157D1">
        <w:rPr>
          <w:rFonts w:eastAsia="MS Mincho"/>
          <w:sz w:val="16"/>
          <w:lang w:val="en-US" w:eastAsia="ja-JP"/>
        </w:rPr>
        <w:t xml:space="preserve">This does not preclude multiple </w:t>
      </w:r>
      <w:r w:rsidRPr="007157D1">
        <w:rPr>
          <w:rFonts w:eastAsia="MS Mincho" w:hint="eastAsia"/>
          <w:sz w:val="16"/>
          <w:lang w:val="en-US" w:eastAsia="ja-JP"/>
        </w:rPr>
        <w:t xml:space="preserve">data transmission </w:t>
      </w:r>
      <w:r w:rsidRPr="007157D1">
        <w:rPr>
          <w:rFonts w:eastAsia="MS Mincho"/>
          <w:sz w:val="16"/>
          <w:lang w:val="en-US" w:eastAsia="ja-JP"/>
        </w:rPr>
        <w:t xml:space="preserve">opportunities </w:t>
      </w:r>
      <w:r w:rsidRPr="007157D1">
        <w:rPr>
          <w:rFonts w:eastAsia="MS Mincho" w:hint="eastAsia"/>
          <w:sz w:val="16"/>
          <w:lang w:val="en-US" w:eastAsia="ja-JP"/>
        </w:rPr>
        <w:t xml:space="preserve">in time </w:t>
      </w:r>
      <w:r w:rsidRPr="007157D1">
        <w:rPr>
          <w:rFonts w:eastAsia="MS Mincho"/>
          <w:sz w:val="16"/>
          <w:lang w:val="en-US" w:eastAsia="ja-JP"/>
        </w:rPr>
        <w:t>within a subframe duration</w:t>
      </w:r>
    </w:p>
    <w:p w14:paraId="40AFBAB6" w14:textId="77777777" w:rsidR="00A7221B" w:rsidRPr="007157D1" w:rsidRDefault="00A7221B" w:rsidP="00A7221B">
      <w:pPr>
        <w:numPr>
          <w:ilvl w:val="1"/>
          <w:numId w:val="17"/>
        </w:numPr>
        <w:tabs>
          <w:tab w:val="clear" w:pos="1440"/>
          <w:tab w:val="num" w:pos="1724"/>
        </w:tabs>
        <w:overflowPunct/>
        <w:autoSpaceDE/>
        <w:autoSpaceDN/>
        <w:adjustRightInd/>
        <w:spacing w:after="0"/>
        <w:ind w:left="1724"/>
        <w:textAlignment w:val="auto"/>
        <w:rPr>
          <w:rFonts w:eastAsia="MS Mincho"/>
          <w:sz w:val="16"/>
          <w:lang w:val="en-US" w:eastAsia="ja-JP"/>
        </w:rPr>
      </w:pPr>
      <w:r w:rsidRPr="007157D1">
        <w:rPr>
          <w:rFonts w:eastAsia="MS Mincho" w:hint="eastAsia"/>
          <w:sz w:val="16"/>
          <w:lang w:val="en-US" w:eastAsia="ja-JP"/>
        </w:rPr>
        <w:t xml:space="preserve">This does not preclude multiple control transmission </w:t>
      </w:r>
      <w:r w:rsidRPr="007157D1">
        <w:rPr>
          <w:rFonts w:eastAsia="MS Mincho"/>
          <w:sz w:val="16"/>
          <w:lang w:val="en-US" w:eastAsia="ja-JP"/>
        </w:rPr>
        <w:t>opportunities</w:t>
      </w:r>
      <w:r w:rsidRPr="007157D1">
        <w:rPr>
          <w:rFonts w:eastAsia="MS Mincho" w:hint="eastAsia"/>
          <w:sz w:val="16"/>
          <w:lang w:val="en-US" w:eastAsia="ja-JP"/>
        </w:rPr>
        <w:t xml:space="preserve"> in time for both DL and UL within the subframe duration</w:t>
      </w:r>
    </w:p>
    <w:p w14:paraId="309AB2EE" w14:textId="77777777" w:rsidR="00A7221B" w:rsidRPr="007157D1" w:rsidRDefault="00A7221B" w:rsidP="00A7221B">
      <w:pPr>
        <w:numPr>
          <w:ilvl w:val="1"/>
          <w:numId w:val="17"/>
        </w:numPr>
        <w:tabs>
          <w:tab w:val="clear" w:pos="1440"/>
          <w:tab w:val="num" w:pos="1724"/>
        </w:tabs>
        <w:overflowPunct/>
        <w:autoSpaceDE/>
        <w:autoSpaceDN/>
        <w:adjustRightInd/>
        <w:spacing w:after="0"/>
        <w:ind w:left="1724"/>
        <w:textAlignment w:val="auto"/>
        <w:rPr>
          <w:rFonts w:eastAsia="MS Mincho"/>
          <w:sz w:val="16"/>
          <w:lang w:val="en-US" w:eastAsia="ja-JP"/>
        </w:rPr>
      </w:pPr>
      <w:r w:rsidRPr="007157D1">
        <w:rPr>
          <w:rFonts w:eastAsia="MS Mincho"/>
          <w:sz w:val="16"/>
          <w:lang w:val="en-US" w:eastAsia="ja-JP"/>
        </w:rPr>
        <w:t xml:space="preserve">This does not preclude one </w:t>
      </w:r>
      <w:r w:rsidRPr="007157D1">
        <w:rPr>
          <w:rFonts w:eastAsia="MS Mincho" w:hint="eastAsia"/>
          <w:sz w:val="16"/>
          <w:lang w:val="en-US" w:eastAsia="ja-JP"/>
        </w:rPr>
        <w:t>data transmission to span</w:t>
      </w:r>
      <w:r w:rsidRPr="007157D1">
        <w:rPr>
          <w:rFonts w:eastAsia="MS Mincho"/>
          <w:sz w:val="16"/>
          <w:lang w:val="en-US" w:eastAsia="ja-JP"/>
        </w:rPr>
        <w:t xml:space="preserve"> over multiple subframe durations</w:t>
      </w:r>
    </w:p>
    <w:p w14:paraId="39CF33FF" w14:textId="77777777" w:rsidR="00A7221B" w:rsidRPr="007157D1" w:rsidRDefault="00A7221B" w:rsidP="00A7221B">
      <w:pPr>
        <w:numPr>
          <w:ilvl w:val="0"/>
          <w:numId w:val="17"/>
        </w:numPr>
        <w:tabs>
          <w:tab w:val="clear" w:pos="720"/>
          <w:tab w:val="num" w:pos="1004"/>
        </w:tabs>
        <w:overflowPunct/>
        <w:autoSpaceDE/>
        <w:autoSpaceDN/>
        <w:adjustRightInd/>
        <w:spacing w:after="0"/>
        <w:ind w:left="1004"/>
        <w:textAlignment w:val="auto"/>
        <w:rPr>
          <w:rFonts w:eastAsia="MS Mincho"/>
          <w:sz w:val="16"/>
          <w:lang w:val="en-US" w:eastAsia="ja-JP"/>
        </w:rPr>
      </w:pPr>
      <w:r w:rsidRPr="007157D1">
        <w:rPr>
          <w:rFonts w:eastAsia="MS Mincho"/>
          <w:sz w:val="16"/>
          <w:lang w:val="en-US" w:eastAsia="ja-JP"/>
        </w:rPr>
        <w:t xml:space="preserve">A UE </w:t>
      </w:r>
      <w:r w:rsidRPr="007157D1">
        <w:rPr>
          <w:rFonts w:eastAsia="MS Mincho" w:hint="eastAsia"/>
          <w:sz w:val="16"/>
          <w:lang w:val="en-US" w:eastAsia="ja-JP"/>
        </w:rPr>
        <w:t>ha</w:t>
      </w:r>
      <w:r w:rsidRPr="007157D1">
        <w:rPr>
          <w:rFonts w:eastAsia="MS Mincho"/>
          <w:sz w:val="16"/>
          <w:lang w:val="en-US" w:eastAsia="ja-JP"/>
        </w:rPr>
        <w:t>s one reference numerology in a given NR carrier which defines subframe duration</w:t>
      </w:r>
      <w:r w:rsidRPr="007157D1">
        <w:rPr>
          <w:rFonts w:eastAsia="MS Mincho" w:hint="eastAsia"/>
          <w:sz w:val="16"/>
          <w:lang w:val="en-US" w:eastAsia="ja-JP"/>
        </w:rPr>
        <w:t xml:space="preserve"> for the given NR carrier</w:t>
      </w:r>
    </w:p>
    <w:p w14:paraId="5D0A87D0" w14:textId="77777777" w:rsidR="00A7221B" w:rsidRPr="007157D1" w:rsidRDefault="00A7221B" w:rsidP="00A7221B">
      <w:pPr>
        <w:numPr>
          <w:ilvl w:val="1"/>
          <w:numId w:val="17"/>
        </w:numPr>
        <w:tabs>
          <w:tab w:val="clear" w:pos="1440"/>
          <w:tab w:val="num" w:pos="1724"/>
        </w:tabs>
        <w:overflowPunct/>
        <w:autoSpaceDE/>
        <w:autoSpaceDN/>
        <w:adjustRightInd/>
        <w:spacing w:after="0"/>
        <w:ind w:left="1724"/>
        <w:textAlignment w:val="auto"/>
        <w:rPr>
          <w:rFonts w:eastAsia="MS Mincho"/>
          <w:sz w:val="16"/>
          <w:lang w:val="en-US" w:eastAsia="ja-JP"/>
        </w:rPr>
      </w:pPr>
      <w:r w:rsidRPr="007157D1">
        <w:rPr>
          <w:rFonts w:eastAsia="MS Mincho" w:hint="eastAsia"/>
          <w:sz w:val="16"/>
          <w:lang w:val="en-US" w:eastAsia="ja-JP"/>
        </w:rPr>
        <w:t>FFS: In a given NR carrier, whether different UEs may have different reference numerologies or may not</w:t>
      </w:r>
    </w:p>
    <w:p w14:paraId="78093005" w14:textId="77777777" w:rsidR="00A7221B" w:rsidRPr="007157D1" w:rsidRDefault="00A7221B" w:rsidP="00A7221B">
      <w:pPr>
        <w:numPr>
          <w:ilvl w:val="0"/>
          <w:numId w:val="17"/>
        </w:numPr>
        <w:tabs>
          <w:tab w:val="clear" w:pos="720"/>
          <w:tab w:val="num" w:pos="1004"/>
        </w:tabs>
        <w:overflowPunct/>
        <w:autoSpaceDE/>
        <w:autoSpaceDN/>
        <w:adjustRightInd/>
        <w:spacing w:after="0"/>
        <w:ind w:left="1004"/>
        <w:textAlignment w:val="auto"/>
        <w:rPr>
          <w:rFonts w:eastAsia="MS Mincho"/>
          <w:sz w:val="16"/>
          <w:lang w:val="en-US" w:eastAsia="ja-JP"/>
        </w:rPr>
      </w:pPr>
      <w:r w:rsidRPr="007157D1">
        <w:rPr>
          <w:rFonts w:eastAsia="MS Mincho"/>
          <w:sz w:val="16"/>
          <w:lang w:val="en-US" w:eastAsia="ja-JP"/>
        </w:rPr>
        <w:t>Specification supports multiplexing numerologies in TDM and/or FDM within/across (a) subframe duration(s)</w:t>
      </w:r>
      <w:r w:rsidRPr="007157D1">
        <w:rPr>
          <w:rFonts w:eastAsia="MS Mincho" w:hint="eastAsia"/>
          <w:sz w:val="16"/>
          <w:lang w:val="en-US" w:eastAsia="ja-JP"/>
        </w:rPr>
        <w:t xml:space="preserve"> from a UE perspective</w:t>
      </w:r>
    </w:p>
    <w:p w14:paraId="13841A84" w14:textId="77777777" w:rsidR="00A7221B" w:rsidRPr="007157D1" w:rsidRDefault="00A7221B" w:rsidP="00A7221B">
      <w:pPr>
        <w:spacing w:after="0"/>
        <w:ind w:firstLine="284"/>
        <w:rPr>
          <w:rFonts w:eastAsia="MS Mincho"/>
          <w:b/>
          <w:sz w:val="16"/>
          <w:highlight w:val="green"/>
          <w:u w:val="single"/>
          <w:lang w:val="en-US" w:eastAsia="ja-JP"/>
        </w:rPr>
      </w:pPr>
    </w:p>
    <w:p w14:paraId="4DFA069B" w14:textId="77777777" w:rsidR="00A7221B" w:rsidRPr="007157D1" w:rsidRDefault="00A7221B" w:rsidP="00A7221B">
      <w:pPr>
        <w:spacing w:after="0"/>
        <w:ind w:firstLine="284"/>
        <w:rPr>
          <w:rFonts w:eastAsia="MS Mincho"/>
          <w:b/>
          <w:sz w:val="16"/>
          <w:u w:val="single"/>
          <w:lang w:val="en-US" w:eastAsia="ja-JP"/>
        </w:rPr>
      </w:pPr>
      <w:r w:rsidRPr="007157D1">
        <w:rPr>
          <w:rFonts w:eastAsia="MS Mincho" w:hint="eastAsia"/>
          <w:b/>
          <w:sz w:val="16"/>
          <w:highlight w:val="green"/>
          <w:u w:val="single"/>
          <w:lang w:val="en-US" w:eastAsia="ja-JP"/>
        </w:rPr>
        <w:t>Agreements:</w:t>
      </w:r>
    </w:p>
    <w:p w14:paraId="0BDC3B2F" w14:textId="77777777" w:rsidR="00A7221B" w:rsidRPr="007157D1" w:rsidRDefault="00A7221B" w:rsidP="00A7221B">
      <w:pPr>
        <w:numPr>
          <w:ilvl w:val="0"/>
          <w:numId w:val="16"/>
        </w:numPr>
        <w:overflowPunct/>
        <w:autoSpaceDE/>
        <w:autoSpaceDN/>
        <w:adjustRightInd/>
        <w:spacing w:after="0"/>
        <w:textAlignment w:val="auto"/>
        <w:rPr>
          <w:rFonts w:eastAsia="MS Mincho"/>
          <w:sz w:val="16"/>
          <w:lang w:val="en-US" w:eastAsia="ja-JP"/>
        </w:rPr>
      </w:pPr>
      <w:r w:rsidRPr="007157D1">
        <w:rPr>
          <w:rFonts w:eastAsia="MS Mincho" w:hint="eastAsia"/>
          <w:sz w:val="16"/>
          <w:lang w:val="en-US" w:eastAsia="ja-JP"/>
        </w:rPr>
        <w:t xml:space="preserve">Followings are considered as starting points of NR frame structure at least within the CP overhead </w:t>
      </w:r>
    </w:p>
    <w:p w14:paraId="1AD72982"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Subframe</w:t>
      </w:r>
    </w:p>
    <w:p w14:paraId="4B6012E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Already agreed upon</w:t>
      </w:r>
    </w:p>
    <w:p w14:paraId="3FC1137C"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Assume x=14 in the reference numerology for subframe definition (for normal CP)</w:t>
      </w:r>
    </w:p>
    <w:p w14:paraId="6D155C67"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FFS: y=x and/or y=x/2</w:t>
      </w:r>
      <w:r w:rsidRPr="007157D1">
        <w:rPr>
          <w:rFonts w:eastAsia="MS Mincho" w:hint="eastAsia"/>
          <w:sz w:val="16"/>
          <w:lang w:val="en-US" w:eastAsia="ja-JP"/>
        </w:rPr>
        <w:t xml:space="preserve"> and/or y is signalled</w:t>
      </w:r>
    </w:p>
    <w:p w14:paraId="6786CBE2"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Slot</w:t>
      </w:r>
    </w:p>
    <w:p w14:paraId="39488FAB"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Slot of duration y OFDM symbols in the numerology used for transmission</w:t>
      </w:r>
    </w:p>
    <w:p w14:paraId="2FBC628C"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 xml:space="preserve">An integer number of slots fit within one subframe duration (at least for </w:t>
      </w:r>
      <w:r w:rsidRPr="007157D1">
        <w:rPr>
          <w:rFonts w:eastAsia="MS Mincho" w:hint="eastAsia"/>
          <w:sz w:val="16"/>
          <w:lang w:val="en-US" w:eastAsia="ja-JP"/>
        </w:rPr>
        <w:t>subcarrier spacing is larger</w:t>
      </w:r>
      <w:r w:rsidRPr="007157D1">
        <w:rPr>
          <w:rFonts w:eastAsia="MS Mincho"/>
          <w:sz w:val="16"/>
          <w:lang w:val="en-US" w:eastAsia="ja-JP"/>
        </w:rPr>
        <w:t xml:space="preserve"> than or equal the reference numerology)</w:t>
      </w:r>
    </w:p>
    <w:p w14:paraId="691D5D03"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beginning</w:t>
      </w:r>
      <w:r w:rsidRPr="007157D1">
        <w:rPr>
          <w:rFonts w:eastAsia="MS Mincho" w:hint="eastAsia"/>
          <w:sz w:val="16"/>
          <w:lang w:val="en-US" w:eastAsia="ja-JP"/>
        </w:rPr>
        <w:t xml:space="preserve"> only</w:t>
      </w:r>
    </w:p>
    <w:p w14:paraId="26863939"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end</w:t>
      </w:r>
      <w:r w:rsidRPr="007157D1">
        <w:rPr>
          <w:rFonts w:eastAsia="MS Mincho" w:hint="eastAsia"/>
          <w:sz w:val="16"/>
          <w:lang w:val="en-US" w:eastAsia="ja-JP"/>
        </w:rPr>
        <w:t xml:space="preserve"> only</w:t>
      </w:r>
    </w:p>
    <w:p w14:paraId="064E0039"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The structure allows for ctrl at the end and at the beginning</w:t>
      </w:r>
    </w:p>
    <w:p w14:paraId="796B4D3D"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hint="eastAsia"/>
          <w:sz w:val="16"/>
          <w:lang w:val="en-US" w:eastAsia="ja-JP"/>
        </w:rPr>
        <w:t>Other structure is not precluded</w:t>
      </w:r>
    </w:p>
    <w:p w14:paraId="247F28C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One possible scheduling unit</w:t>
      </w:r>
    </w:p>
    <w:p w14:paraId="3D4B36E0" w14:textId="77777777" w:rsidR="00A7221B" w:rsidRPr="007157D1" w:rsidRDefault="00A7221B" w:rsidP="00A7221B">
      <w:pPr>
        <w:numPr>
          <w:ilvl w:val="1"/>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Mini-slot</w:t>
      </w:r>
    </w:p>
    <w:p w14:paraId="09850326"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Should at least support transmission shorter than y OFDM symbols in the numerology used for transmission</w:t>
      </w:r>
    </w:p>
    <w:p w14:paraId="4ED67F21" w14:textId="77777777" w:rsidR="00A7221B" w:rsidRPr="007157D1" w:rsidRDefault="00A7221B" w:rsidP="00A7221B">
      <w:pPr>
        <w:numPr>
          <w:ilvl w:val="2"/>
          <w:numId w:val="16"/>
        </w:numPr>
        <w:overflowPunct/>
        <w:autoSpaceDE/>
        <w:autoSpaceDN/>
        <w:adjustRightInd/>
        <w:spacing w:after="0"/>
        <w:textAlignment w:val="auto"/>
        <w:rPr>
          <w:rFonts w:eastAsia="MS Mincho"/>
          <w:sz w:val="16"/>
          <w:lang w:val="en-US" w:eastAsia="ja-JP"/>
        </w:rPr>
      </w:pPr>
      <w:r w:rsidRPr="007157D1">
        <w:rPr>
          <w:rFonts w:eastAsia="MS Mincho"/>
          <w:sz w:val="16"/>
          <w:lang w:val="en-US" w:eastAsia="ja-JP"/>
        </w:rPr>
        <w:t>May contain ctrl at the beginning and/or ctrl at the end</w:t>
      </w:r>
    </w:p>
    <w:p w14:paraId="15D7E2EB" w14:textId="77777777" w:rsidR="00A7221B" w:rsidRPr="007157D1" w:rsidRDefault="00A7221B" w:rsidP="00A7221B">
      <w:pPr>
        <w:numPr>
          <w:ilvl w:val="2"/>
          <w:numId w:val="16"/>
        </w:numPr>
        <w:overflowPunct/>
        <w:autoSpaceDE/>
        <w:autoSpaceDN/>
        <w:adjustRightInd/>
        <w:spacing w:after="0"/>
        <w:ind w:hanging="357"/>
        <w:textAlignment w:val="auto"/>
        <w:rPr>
          <w:rFonts w:eastAsia="MS Mincho"/>
          <w:sz w:val="16"/>
          <w:lang w:val="en-US" w:eastAsia="ja-JP"/>
        </w:rPr>
      </w:pPr>
      <w:r w:rsidRPr="007157D1">
        <w:rPr>
          <w:rFonts w:eastAsia="MS Mincho"/>
          <w:sz w:val="16"/>
          <w:lang w:val="en-US" w:eastAsia="ja-JP"/>
        </w:rPr>
        <w:t>The smallest mini-slot is the smallest possible scheduling unit (FFS: smallest number of symbols)</w:t>
      </w:r>
    </w:p>
    <w:p w14:paraId="16290141" w14:textId="77777777" w:rsidR="00A7221B" w:rsidRPr="007157D1" w:rsidRDefault="00A7221B" w:rsidP="00A7221B">
      <w:pPr>
        <w:numPr>
          <w:ilvl w:val="1"/>
          <w:numId w:val="16"/>
        </w:numPr>
        <w:overflowPunct/>
        <w:autoSpaceDE/>
        <w:autoSpaceDN/>
        <w:adjustRightInd/>
        <w:spacing w:after="0"/>
        <w:ind w:hanging="357"/>
        <w:jc w:val="both"/>
        <w:textAlignment w:val="auto"/>
        <w:rPr>
          <w:rFonts w:eastAsia="MS Mincho"/>
          <w:sz w:val="16"/>
          <w:lang w:val="en-US" w:eastAsia="ja-JP"/>
        </w:rPr>
      </w:pPr>
      <w:r w:rsidRPr="007157D1">
        <w:rPr>
          <w:rFonts w:eastAsia="MS Mincho"/>
          <w:sz w:val="16"/>
          <w:lang w:val="en-US" w:eastAsia="ja-JP"/>
        </w:rPr>
        <w:t>Note: the names are for the purpose of discussion. Whether some terms can be merged or not is FFS</w:t>
      </w:r>
    </w:p>
    <w:p w14:paraId="3E21D0B6" w14:textId="77777777" w:rsidR="00A7221B" w:rsidRPr="007157D1" w:rsidRDefault="00A7221B" w:rsidP="00A7221B">
      <w:pPr>
        <w:numPr>
          <w:ilvl w:val="1"/>
          <w:numId w:val="16"/>
        </w:numPr>
        <w:overflowPunct/>
        <w:autoSpaceDE/>
        <w:autoSpaceDN/>
        <w:adjustRightInd/>
        <w:spacing w:after="120"/>
        <w:jc w:val="both"/>
        <w:textAlignment w:val="auto"/>
        <w:rPr>
          <w:rFonts w:eastAsia="MS Mincho"/>
          <w:sz w:val="16"/>
          <w:lang w:val="en-US" w:eastAsia="ja-JP"/>
        </w:rPr>
      </w:pPr>
      <w:r w:rsidRPr="007157D1">
        <w:rPr>
          <w:rFonts w:eastAsia="MS Mincho" w:hint="eastAsia"/>
          <w:sz w:val="16"/>
          <w:lang w:val="en-US" w:eastAsia="ja-JP"/>
        </w:rPr>
        <w:t>FFS whether NR frame structure needs to support both slot and mini-slot or these can be merged</w:t>
      </w:r>
    </w:p>
    <w:p w14:paraId="3250B581" w14:textId="72B4EF1C" w:rsidR="0005112D" w:rsidRPr="007157D1" w:rsidRDefault="007157D1" w:rsidP="0005112D">
      <w:pPr>
        <w:overflowPunct/>
        <w:autoSpaceDE/>
        <w:autoSpaceDN/>
        <w:adjustRightInd/>
        <w:spacing w:after="120"/>
        <w:jc w:val="both"/>
        <w:textAlignment w:val="auto"/>
        <w:rPr>
          <w:rFonts w:eastAsia="MS Mincho"/>
          <w:lang w:val="en-US" w:eastAsia="ja-JP"/>
        </w:rPr>
      </w:pPr>
      <w:r w:rsidRPr="007157D1">
        <w:rPr>
          <w:rFonts w:eastAsia="MS Mincho"/>
          <w:lang w:val="en-US" w:eastAsia="ja-JP"/>
        </w:rPr>
        <w:t xml:space="preserve">In this contribution we compare the feasibility of different options/formats to achieve URLLC </w:t>
      </w:r>
      <w:r w:rsidR="00E827DD">
        <w:rPr>
          <w:rFonts w:eastAsia="MS Mincho"/>
          <w:lang w:val="en-US" w:eastAsia="ja-JP"/>
        </w:rPr>
        <w:t>requirements in NR</w:t>
      </w:r>
      <w:r w:rsidRPr="007157D1">
        <w:rPr>
          <w:rFonts w:eastAsia="MS Mincho"/>
          <w:lang w:val="en-US" w:eastAsia="ja-JP"/>
        </w:rPr>
        <w:t>.</w:t>
      </w:r>
      <w:r w:rsidR="00F73090">
        <w:rPr>
          <w:rFonts w:eastAsia="MS Mincho"/>
          <w:lang w:val="en-US" w:eastAsia="ja-JP"/>
        </w:rPr>
        <w:t xml:space="preserve"> Both link </w:t>
      </w:r>
      <w:r w:rsidR="000C7FDC">
        <w:rPr>
          <w:rFonts w:eastAsia="MS Mincho"/>
          <w:lang w:val="en-US" w:eastAsia="ja-JP"/>
        </w:rPr>
        <w:t>performance</w:t>
      </w:r>
      <w:r w:rsidR="00AD1EA8">
        <w:rPr>
          <w:rFonts w:eastAsia="MS Mincho"/>
          <w:lang w:val="en-US" w:eastAsia="ja-JP"/>
        </w:rPr>
        <w:t xml:space="preserve"> and latency</w:t>
      </w:r>
      <w:r w:rsidR="00F73090">
        <w:rPr>
          <w:rFonts w:eastAsia="MS Mincho"/>
          <w:lang w:val="en-US" w:eastAsia="ja-JP"/>
        </w:rPr>
        <w:t xml:space="preserve"> are considered.</w:t>
      </w:r>
      <w:r w:rsidRPr="007157D1">
        <w:rPr>
          <w:rFonts w:eastAsia="MS Mincho"/>
          <w:lang w:val="en-US" w:eastAsia="ja-JP"/>
        </w:rPr>
        <w:t xml:space="preserve"> In </w:t>
      </w:r>
      <w:r>
        <w:rPr>
          <w:rFonts w:eastAsia="MS Mincho"/>
          <w:lang w:val="en-US" w:eastAsia="ja-JP"/>
        </w:rPr>
        <w:t xml:space="preserve">a </w:t>
      </w:r>
      <w:r w:rsidRPr="007157D1">
        <w:rPr>
          <w:rFonts w:eastAsia="MS Mincho"/>
          <w:lang w:val="en-US" w:eastAsia="ja-JP"/>
        </w:rPr>
        <w:t>companion contribution</w:t>
      </w:r>
      <w:r>
        <w:rPr>
          <w:rFonts w:eastAsia="MS Mincho"/>
          <w:lang w:val="en-US" w:eastAsia="ja-JP"/>
        </w:rPr>
        <w:t xml:space="preserve"> [3]</w:t>
      </w:r>
      <w:r w:rsidRPr="007157D1">
        <w:rPr>
          <w:rFonts w:eastAsia="MS Mincho"/>
          <w:lang w:val="en-US" w:eastAsia="ja-JP"/>
        </w:rPr>
        <w:t xml:space="preserve"> we provide further details related to </w:t>
      </w:r>
      <w:r>
        <w:rPr>
          <w:rFonts w:eastAsia="MS Mincho"/>
          <w:lang w:val="en-US" w:eastAsia="ja-JP"/>
        </w:rPr>
        <w:t xml:space="preserve">mini-slot </w:t>
      </w:r>
      <w:r w:rsidR="00BC733C">
        <w:rPr>
          <w:rFonts w:eastAsia="MS Mincho"/>
          <w:lang w:val="en-US" w:eastAsia="ja-JP"/>
        </w:rPr>
        <w:t>structures</w:t>
      </w:r>
      <w:r>
        <w:rPr>
          <w:rFonts w:eastAsia="MS Mincho"/>
          <w:lang w:val="en-US" w:eastAsia="ja-JP"/>
        </w:rPr>
        <w:t>.</w:t>
      </w:r>
    </w:p>
    <w:p w14:paraId="5D4FD21B" w14:textId="77777777" w:rsidR="004B23AD" w:rsidRDefault="008D4B8A" w:rsidP="004B23AD">
      <w:pPr>
        <w:pStyle w:val="Heading1"/>
      </w:pPr>
      <w:r>
        <w:rPr>
          <w:color w:val="000000"/>
        </w:rPr>
        <w:lastRenderedPageBreak/>
        <w:t>2</w:t>
      </w:r>
      <w:r w:rsidR="004B23AD" w:rsidRPr="00A51522">
        <w:rPr>
          <w:color w:val="000000"/>
        </w:rPr>
        <w:tab/>
      </w:r>
      <w:r w:rsidR="00BC733C">
        <w:t>URLLC transmission formats</w:t>
      </w:r>
    </w:p>
    <w:p w14:paraId="5A3C3125" w14:textId="2245FCAF" w:rsidR="00BC733C" w:rsidRDefault="00BC733C" w:rsidP="00BC733C">
      <w:pPr>
        <w:overflowPunct/>
        <w:autoSpaceDE/>
        <w:autoSpaceDN/>
        <w:adjustRightInd/>
        <w:spacing w:after="0"/>
        <w:textAlignment w:val="auto"/>
        <w:rPr>
          <w:rFonts w:eastAsia="MS Mincho"/>
          <w:lang w:eastAsia="ja-JP"/>
        </w:rPr>
      </w:pPr>
      <w:r>
        <w:rPr>
          <w:rFonts w:eastAsia="MS Mincho"/>
          <w:lang w:val="en-US" w:eastAsia="ja-JP"/>
        </w:rPr>
        <w:t>As</w:t>
      </w:r>
      <w:r>
        <w:rPr>
          <w:rFonts w:eastAsia="MS Mincho"/>
          <w:lang w:eastAsia="ja-JP"/>
        </w:rPr>
        <w:t xml:space="preserve"> agreed in RAN1#86, two possible scheduling units being considered for the NR are 1) slot and 2) mini-slot. Both of them can be used to support URLLC. </w:t>
      </w:r>
    </w:p>
    <w:p w14:paraId="52364264" w14:textId="77777777" w:rsidR="00BC733C" w:rsidRDefault="00BC733C" w:rsidP="00BC733C">
      <w:pPr>
        <w:overflowPunct/>
        <w:autoSpaceDE/>
        <w:autoSpaceDN/>
        <w:adjustRightInd/>
        <w:spacing w:after="0"/>
        <w:textAlignment w:val="auto"/>
        <w:rPr>
          <w:rFonts w:eastAsia="MS Mincho"/>
          <w:lang w:eastAsia="ja-JP"/>
        </w:rPr>
      </w:pPr>
      <w:r>
        <w:rPr>
          <w:rFonts w:eastAsia="MS Mincho"/>
          <w:lang w:eastAsia="ja-JP"/>
        </w:rPr>
        <w:t xml:space="preserve">       </w:t>
      </w:r>
    </w:p>
    <w:p w14:paraId="069DCA07" w14:textId="77777777" w:rsidR="00BC733C" w:rsidRDefault="00BC733C" w:rsidP="00BC733C">
      <w:pPr>
        <w:pStyle w:val="Heading2"/>
        <w:rPr>
          <w:sz w:val="28"/>
        </w:rPr>
      </w:pPr>
      <w:r>
        <w:rPr>
          <w:sz w:val="28"/>
          <w:lang w:eastAsia="zh-CN"/>
        </w:rPr>
        <w:t>2</w:t>
      </w:r>
      <w:r w:rsidRPr="00AF48D5">
        <w:rPr>
          <w:sz w:val="28"/>
          <w:lang w:eastAsia="zh-CN"/>
        </w:rPr>
        <w:t>.</w:t>
      </w:r>
      <w:r>
        <w:rPr>
          <w:sz w:val="28"/>
          <w:lang w:eastAsia="zh-CN"/>
        </w:rPr>
        <w:t>1</w:t>
      </w:r>
      <w:r w:rsidRPr="00AF48D5">
        <w:rPr>
          <w:sz w:val="28"/>
        </w:rPr>
        <w:tab/>
      </w:r>
      <w:r>
        <w:rPr>
          <w:sz w:val="28"/>
        </w:rPr>
        <w:t>Slot based transmission</w:t>
      </w:r>
    </w:p>
    <w:p w14:paraId="6E5C1DE5" w14:textId="77777777" w:rsidR="000D0BEE" w:rsidRDefault="003B1979" w:rsidP="000D0BEE">
      <w:r>
        <w:t>Large subcarrier spacing (such as 60 kHz) combined</w:t>
      </w:r>
      <w:r w:rsidR="00F71E72">
        <w:t xml:space="preserve"> with</w:t>
      </w:r>
      <w:r>
        <w:t xml:space="preserve"> short slot length (y=7) </w:t>
      </w:r>
      <w:r w:rsidR="00DC109B">
        <w:t>is one option</w:t>
      </w:r>
      <w:r>
        <w:t xml:space="preserve"> to support URLLC service</w:t>
      </w:r>
      <w:r w:rsidR="00DC109B">
        <w:t>s</w:t>
      </w:r>
      <w:r>
        <w:t xml:space="preserve">. Figure 1 illustrates the corresponding slot formats for bi-directional DL </w:t>
      </w:r>
      <w:r w:rsidR="00B335D5">
        <w:t>and</w:t>
      </w:r>
      <w:r>
        <w:t xml:space="preserve"> UL slot</w:t>
      </w:r>
      <w:r w:rsidR="00B335D5">
        <w:t>s</w:t>
      </w:r>
      <w:r>
        <w:t xml:space="preserve">, </w:t>
      </w:r>
      <w:r w:rsidR="00B335D5">
        <w:t xml:space="preserve">having </w:t>
      </w:r>
      <w:r>
        <w:t xml:space="preserve">inbuilt support for low latency. Scaled numerology allows to reduce latency while keeping the </w:t>
      </w:r>
      <w:r w:rsidR="009B1A67">
        <w:t>overhead</w:t>
      </w:r>
      <w:r>
        <w:t xml:space="preserve"> unchanged. </w:t>
      </w:r>
    </w:p>
    <w:p w14:paraId="5EF3D29A" w14:textId="77777777" w:rsidR="009423CA" w:rsidRDefault="000D0BEE" w:rsidP="000D0BEE">
      <w:r>
        <w:t xml:space="preserve">Link performance results </w:t>
      </w:r>
      <w:r w:rsidR="009423CA">
        <w:t>shown in the Appendix indicate that slot based transmission with 60 kHz subcarrier spacing provides a good link performance in the scenarios where the delay spread of the channel stays within the cyclic prefix length. Hence, this approach can be seen as a natural option for providing low latency when operating at high carrier frequencies, and/or in the scenarios with small/moderate delay spread.</w:t>
      </w:r>
    </w:p>
    <w:p w14:paraId="4AE333E3" w14:textId="71FB949F" w:rsidR="009B1A67" w:rsidRDefault="009B1A67" w:rsidP="009B1A67">
      <w:pPr>
        <w:rPr>
          <w:i/>
        </w:rPr>
      </w:pPr>
      <w:r>
        <w:rPr>
          <w:b/>
          <w:i/>
        </w:rPr>
        <w:t xml:space="preserve">Observation </w:t>
      </w:r>
      <w:r w:rsidRPr="00367367">
        <w:rPr>
          <w:b/>
          <w:i/>
        </w:rPr>
        <w:t>#</w:t>
      </w:r>
      <w:r>
        <w:rPr>
          <w:b/>
          <w:i/>
        </w:rPr>
        <w:t>1</w:t>
      </w:r>
      <w:r>
        <w:t xml:space="preserve">: </w:t>
      </w:r>
      <w:r>
        <w:rPr>
          <w:i/>
        </w:rPr>
        <w:t>S</w:t>
      </w:r>
      <w:r w:rsidRPr="00A96C52">
        <w:rPr>
          <w:i/>
        </w:rPr>
        <w:t>hort symbol/</w:t>
      </w:r>
      <w:r w:rsidR="00714278">
        <w:rPr>
          <w:i/>
        </w:rPr>
        <w:t>slot</w:t>
      </w:r>
      <w:r w:rsidR="00714278" w:rsidRPr="00A96C52">
        <w:rPr>
          <w:i/>
        </w:rPr>
        <w:t xml:space="preserve"> </w:t>
      </w:r>
      <w:r w:rsidR="00AB743C">
        <w:rPr>
          <w:i/>
        </w:rPr>
        <w:t>length</w:t>
      </w:r>
      <w:r w:rsidR="009423CA">
        <w:rPr>
          <w:i/>
        </w:rPr>
        <w:t xml:space="preserve"> supports </w:t>
      </w:r>
      <w:r w:rsidR="00AB743C">
        <w:rPr>
          <w:i/>
        </w:rPr>
        <w:t xml:space="preserve">URLLC </w:t>
      </w:r>
      <w:r w:rsidR="009423CA" w:rsidRPr="009423CA">
        <w:rPr>
          <w:i/>
        </w:rPr>
        <w:t>when operating at high carrier frequencies, and/or in the scenarios with small/moderate delay spread</w:t>
      </w:r>
      <w:r w:rsidR="003B1979">
        <w:rPr>
          <w:i/>
        </w:rPr>
        <w:t>.</w:t>
      </w:r>
    </w:p>
    <w:p w14:paraId="094A726C" w14:textId="77777777" w:rsidR="00DC109B" w:rsidRDefault="00DC109B" w:rsidP="009B1A67">
      <w:pPr>
        <w:rPr>
          <w:i/>
        </w:rPr>
      </w:pPr>
    </w:p>
    <w:p w14:paraId="08143C61" w14:textId="5B8189CD" w:rsidR="00BC733C" w:rsidRDefault="00433D07" w:rsidP="00DC3B36">
      <w:pPr>
        <w:pStyle w:val="Caption"/>
        <w:spacing w:before="0" w:after="0"/>
        <w:jc w:val="center"/>
      </w:pPr>
      <w:r w:rsidRPr="00433D07">
        <w:rPr>
          <w:lang w:val="en-US"/>
        </w:rPr>
        <w:t xml:space="preserve"> </w:t>
      </w:r>
      <w:r w:rsidRPr="00433D07">
        <w:rPr>
          <w:noProof/>
          <w:lang w:val="en-US"/>
        </w:rPr>
        <w:drawing>
          <wp:inline distT="0" distB="0" distL="0" distR="0" wp14:anchorId="5D255C48" wp14:editId="61F7D098">
            <wp:extent cx="3948306" cy="1139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2191" cy="1143081"/>
                    </a:xfrm>
                    <a:prstGeom prst="rect">
                      <a:avLst/>
                    </a:prstGeom>
                    <a:noFill/>
                    <a:ln>
                      <a:noFill/>
                    </a:ln>
                  </pic:spPr>
                </pic:pic>
              </a:graphicData>
            </a:graphic>
          </wp:inline>
        </w:drawing>
      </w:r>
      <w:r w:rsidR="00BC733C" w:rsidRPr="00BC733C">
        <w:rPr>
          <w:lang w:val="en-US"/>
        </w:rPr>
        <w:t xml:space="preserve">   </w:t>
      </w:r>
      <w:r w:rsidR="00BC733C" w:rsidRPr="00515074">
        <w:rPr>
          <w:noProof/>
          <w:lang w:val="en-US"/>
        </w:rPr>
        <w:drawing>
          <wp:inline distT="0" distB="0" distL="0" distR="0" wp14:anchorId="5E379DB1" wp14:editId="16A967A5">
            <wp:extent cx="621241" cy="470365"/>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2809" cy="494267"/>
                    </a:xfrm>
                    <a:prstGeom prst="rect">
                      <a:avLst/>
                    </a:prstGeom>
                    <a:noFill/>
                    <a:ln>
                      <a:noFill/>
                    </a:ln>
                  </pic:spPr>
                </pic:pic>
              </a:graphicData>
            </a:graphic>
          </wp:inline>
        </w:drawing>
      </w:r>
    </w:p>
    <w:p w14:paraId="0B5D0FFC" w14:textId="77777777" w:rsidR="00BC733C" w:rsidRPr="00BC733C" w:rsidRDefault="00BC733C" w:rsidP="00BC733C">
      <w:pPr>
        <w:pStyle w:val="Caption"/>
        <w:jc w:val="center"/>
        <w:rPr>
          <w:lang w:val="en-US"/>
        </w:rPr>
      </w:pPr>
      <w:r>
        <w:t xml:space="preserve">Figure </w:t>
      </w:r>
      <w:r w:rsidR="00FE729C">
        <w:fldChar w:fldCharType="begin"/>
      </w:r>
      <w:r w:rsidR="00FE729C">
        <w:instrText xml:space="preserve"> SEQ Figure \* ARABIC </w:instrText>
      </w:r>
      <w:r w:rsidR="00FE729C">
        <w:fldChar w:fldCharType="separate"/>
      </w:r>
      <w:r w:rsidR="00084FA4">
        <w:rPr>
          <w:noProof/>
        </w:rPr>
        <w:t>1</w:t>
      </w:r>
      <w:r w:rsidR="00FE729C">
        <w:rPr>
          <w:noProof/>
        </w:rPr>
        <w:fldChar w:fldCharType="end"/>
      </w:r>
      <w:r w:rsidRPr="00BC733C">
        <w:rPr>
          <w:lang w:val="en-US"/>
        </w:rPr>
        <w:t xml:space="preserve">. </w:t>
      </w:r>
      <w:r>
        <w:rPr>
          <w:lang w:val="en-US"/>
        </w:rPr>
        <w:t>URLLC transmissio</w:t>
      </w:r>
      <w:r w:rsidR="003B1979">
        <w:rPr>
          <w:lang w:val="en-US"/>
        </w:rPr>
        <w:t>n based on bi-directional slots</w:t>
      </w:r>
      <w:r w:rsidR="00B335D5">
        <w:rPr>
          <w:lang w:val="en-US"/>
        </w:rPr>
        <w:t>, y=7, SCS = 60 kHz.</w:t>
      </w:r>
    </w:p>
    <w:p w14:paraId="0C3AF99C" w14:textId="77777777" w:rsidR="00BC733C" w:rsidRDefault="00BC733C" w:rsidP="00BC733C"/>
    <w:p w14:paraId="4D869EF4" w14:textId="77777777" w:rsidR="00BC733C" w:rsidRDefault="00BC733C" w:rsidP="00BC733C">
      <w:pPr>
        <w:pStyle w:val="Heading2"/>
        <w:rPr>
          <w:sz w:val="28"/>
        </w:rPr>
      </w:pPr>
      <w:r>
        <w:rPr>
          <w:sz w:val="28"/>
          <w:lang w:eastAsia="zh-CN"/>
        </w:rPr>
        <w:t>2</w:t>
      </w:r>
      <w:r w:rsidRPr="00AF48D5">
        <w:rPr>
          <w:sz w:val="28"/>
          <w:lang w:eastAsia="zh-CN"/>
        </w:rPr>
        <w:t>.</w:t>
      </w:r>
      <w:r>
        <w:rPr>
          <w:sz w:val="28"/>
          <w:lang w:eastAsia="zh-CN"/>
        </w:rPr>
        <w:t>2</w:t>
      </w:r>
      <w:r w:rsidRPr="00AF48D5">
        <w:rPr>
          <w:sz w:val="28"/>
        </w:rPr>
        <w:tab/>
      </w:r>
      <w:r>
        <w:rPr>
          <w:sz w:val="28"/>
        </w:rPr>
        <w:t>Mini-slot based transmission</w:t>
      </w:r>
    </w:p>
    <w:p w14:paraId="408CC2D8" w14:textId="2A2C70D3" w:rsidR="00DC109B" w:rsidRDefault="009423CA" w:rsidP="00DC109B">
      <w:r>
        <w:t xml:space="preserve">Mini-slot with </w:t>
      </w:r>
      <w:r w:rsidR="00DC109B">
        <w:t>one or two OFDMA symbols,</w:t>
      </w:r>
      <w:r>
        <w:t xml:space="preserve"> on</w:t>
      </w:r>
      <w:r w:rsidR="00DC109B">
        <w:t xml:space="preserve"> top of numerology with a </w:t>
      </w:r>
      <w:r w:rsidR="00933AC7">
        <w:t xml:space="preserve">small </w:t>
      </w:r>
      <w:r w:rsidR="00DC109B">
        <w:t>subcarrier spacing (such as 15 kHz) is another option to support URLLC services. Figure 2 illustrates the corresponding mini-slot formats for DL and UL cases</w:t>
      </w:r>
      <w:r>
        <w:t xml:space="preserve"> assuming </w:t>
      </w:r>
      <w:r w:rsidR="008E6BB4">
        <w:t>a mini-slot duration of one symbol (</w:t>
      </w:r>
      <w:r>
        <w:t>y=1</w:t>
      </w:r>
      <w:r w:rsidR="008E6BB4">
        <w:t>)</w:t>
      </w:r>
      <w:r w:rsidR="00DC109B">
        <w:t xml:space="preserve">. Mini-slot design considerations are given in </w:t>
      </w:r>
      <w:r w:rsidR="00DC109B">
        <w:rPr>
          <w:rFonts w:eastAsia="MS Mincho"/>
          <w:lang w:val="en-US" w:eastAsia="ja-JP"/>
        </w:rPr>
        <w:t xml:space="preserve">a </w:t>
      </w:r>
      <w:r w:rsidR="00DC109B" w:rsidRPr="007157D1">
        <w:rPr>
          <w:rFonts w:eastAsia="MS Mincho"/>
          <w:lang w:val="en-US" w:eastAsia="ja-JP"/>
        </w:rPr>
        <w:t>companion contribution</w:t>
      </w:r>
      <w:r w:rsidR="00DC109B">
        <w:rPr>
          <w:rFonts w:eastAsia="MS Mincho"/>
          <w:lang w:val="en-US" w:eastAsia="ja-JP"/>
        </w:rPr>
        <w:t xml:space="preserve"> [3].</w:t>
      </w:r>
      <w:r w:rsidR="00DC109B" w:rsidRPr="007157D1">
        <w:rPr>
          <w:rFonts w:eastAsia="MS Mincho"/>
          <w:lang w:val="en-US" w:eastAsia="ja-JP"/>
        </w:rPr>
        <w:t xml:space="preserve"> </w:t>
      </w:r>
      <w:r w:rsidR="00DC109B">
        <w:t xml:space="preserve"> </w:t>
      </w:r>
    </w:p>
    <w:p w14:paraId="731BA7E4" w14:textId="7ACDA213" w:rsidR="00DC109B" w:rsidRDefault="009423CA" w:rsidP="00DC109B">
      <w:r>
        <w:t xml:space="preserve">Link performance results shown in the Appendix indicate that mini-slot </w:t>
      </w:r>
      <w:r w:rsidR="00CF780E">
        <w:t>(</w:t>
      </w:r>
      <w:r>
        <w:t>with y=1 and y=2</w:t>
      </w:r>
      <w:r w:rsidR="00CF780E">
        <w:t>)</w:t>
      </w:r>
      <w:r>
        <w:t xml:space="preserve"> provides a robust performance also with large delay spreads. Hence this</w:t>
      </w:r>
      <w:r w:rsidR="00DC109B">
        <w:t xml:space="preserve"> approach</w:t>
      </w:r>
      <w:r w:rsidR="00DC109B" w:rsidRPr="00DC109B">
        <w:t xml:space="preserve"> </w:t>
      </w:r>
      <w:r w:rsidR="00DC109B">
        <w:t xml:space="preserve">can be seen as a </w:t>
      </w:r>
      <w:r w:rsidR="00B8142A">
        <w:t>feasible</w:t>
      </w:r>
      <w:r w:rsidR="00DC109B">
        <w:t xml:space="preserve"> option in the scenarios requiring</w:t>
      </w:r>
      <w:r w:rsidR="00DC109B" w:rsidRPr="00DC109B">
        <w:t xml:space="preserve"> </w:t>
      </w:r>
      <w:r w:rsidR="00B8142A">
        <w:t xml:space="preserve">smaller subcarrier spacing and/or larger </w:t>
      </w:r>
      <w:r w:rsidR="00DC109B">
        <w:t>slot</w:t>
      </w:r>
      <w:r w:rsidR="00DC109B" w:rsidRPr="00DC109B">
        <w:t xml:space="preserve"> length</w:t>
      </w:r>
      <w:r w:rsidR="00B8142A">
        <w:t xml:space="preserve">. </w:t>
      </w:r>
      <w:r w:rsidR="00DC3B36">
        <w:t>An example of such scenario is</w:t>
      </w:r>
      <w:r w:rsidR="00DC109B" w:rsidRPr="00DC109B">
        <w:t xml:space="preserve"> eMBB service running in the wide area</w:t>
      </w:r>
      <w:r w:rsidR="00B8142A">
        <w:t>, below 6 GHz</w:t>
      </w:r>
      <w:r w:rsidR="00DC109B" w:rsidRPr="00DC109B">
        <w:t xml:space="preserve">. </w:t>
      </w:r>
      <w:r>
        <w:t>In</w:t>
      </w:r>
      <w:r w:rsidR="00DC109B" w:rsidRPr="00DC109B">
        <w:t xml:space="preserve"> these scenarios</w:t>
      </w:r>
      <w:r w:rsidR="00DC109B">
        <w:t xml:space="preserve">, mini-slot </w:t>
      </w:r>
      <w:r w:rsidR="00B8142A">
        <w:t xml:space="preserve">approach </w:t>
      </w:r>
      <w:r w:rsidR="00DC109B">
        <w:t xml:space="preserve">can be seen as the most economical way to </w:t>
      </w:r>
      <w:r w:rsidR="00DC109B" w:rsidRPr="00DC109B">
        <w:t xml:space="preserve">support URLLC services on top of </w:t>
      </w:r>
      <w:r w:rsidR="00DC3B36">
        <w:t xml:space="preserve">eMBB service based on </w:t>
      </w:r>
      <w:r w:rsidR="00B8142A">
        <w:t>15 kHz numerology</w:t>
      </w:r>
      <w:r w:rsidR="00DC109B" w:rsidRPr="00DC109B">
        <w:t>.</w:t>
      </w:r>
    </w:p>
    <w:p w14:paraId="0704C45A" w14:textId="05F10607" w:rsidR="00DC109B" w:rsidRDefault="009423CA" w:rsidP="00DC109B">
      <w:pPr>
        <w:rPr>
          <w:i/>
        </w:rPr>
      </w:pPr>
      <w:r>
        <w:rPr>
          <w:b/>
          <w:i/>
        </w:rPr>
        <w:t>O</w:t>
      </w:r>
      <w:r w:rsidR="00DC109B">
        <w:rPr>
          <w:b/>
          <w:i/>
        </w:rPr>
        <w:t xml:space="preserve">bservation </w:t>
      </w:r>
      <w:r w:rsidR="00DC109B" w:rsidRPr="00367367">
        <w:rPr>
          <w:b/>
          <w:i/>
        </w:rPr>
        <w:t>#</w:t>
      </w:r>
      <w:r w:rsidR="00DC109B">
        <w:rPr>
          <w:b/>
          <w:i/>
        </w:rPr>
        <w:t>2</w:t>
      </w:r>
      <w:r w:rsidR="00DC109B">
        <w:t xml:space="preserve">: </w:t>
      </w:r>
      <w:r w:rsidR="00DC109B">
        <w:rPr>
          <w:i/>
        </w:rPr>
        <w:t>Mini-slot</w:t>
      </w:r>
      <w:r w:rsidR="00501198">
        <w:rPr>
          <w:i/>
        </w:rPr>
        <w:t xml:space="preserve"> </w:t>
      </w:r>
      <w:r w:rsidR="00B8142A">
        <w:rPr>
          <w:i/>
        </w:rPr>
        <w:t xml:space="preserve">approach can facilitate </w:t>
      </w:r>
      <w:r w:rsidR="00501198">
        <w:rPr>
          <w:i/>
        </w:rPr>
        <w:t xml:space="preserve">latency reduction </w:t>
      </w:r>
      <w:r w:rsidR="00C11114">
        <w:rPr>
          <w:i/>
        </w:rPr>
        <w:t>in the scenario</w:t>
      </w:r>
      <w:r w:rsidR="00DC45D4">
        <w:rPr>
          <w:i/>
        </w:rPr>
        <w:t>s requiring</w:t>
      </w:r>
      <w:r w:rsidR="00B8142A">
        <w:rPr>
          <w:i/>
        </w:rPr>
        <w:t xml:space="preserve"> 15 kHz subcarrier spacing</w:t>
      </w:r>
      <w:r w:rsidR="00E03F9F">
        <w:rPr>
          <w:i/>
        </w:rPr>
        <w:t>.</w:t>
      </w:r>
    </w:p>
    <w:p w14:paraId="5CED612C" w14:textId="77777777" w:rsidR="00DC109B" w:rsidRPr="00DC109B" w:rsidRDefault="00DC109B" w:rsidP="00DC109B"/>
    <w:p w14:paraId="19B5C2D5" w14:textId="77777777" w:rsidR="00B335D5" w:rsidRPr="00BC733C" w:rsidRDefault="00B335D5" w:rsidP="00DC3B36">
      <w:pPr>
        <w:spacing w:after="0"/>
        <w:jc w:val="center"/>
      </w:pPr>
      <w:r w:rsidRPr="00B335D5">
        <w:rPr>
          <w:noProof/>
          <w:lang w:val="en-US"/>
        </w:rPr>
        <w:lastRenderedPageBreak/>
        <w:drawing>
          <wp:inline distT="0" distB="0" distL="0" distR="0" wp14:anchorId="7BF9DE55" wp14:editId="3BD36854">
            <wp:extent cx="4126633" cy="162811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4062" cy="1634987"/>
                    </a:xfrm>
                    <a:prstGeom prst="rect">
                      <a:avLst/>
                    </a:prstGeom>
                    <a:noFill/>
                    <a:ln>
                      <a:noFill/>
                    </a:ln>
                  </pic:spPr>
                </pic:pic>
              </a:graphicData>
            </a:graphic>
          </wp:inline>
        </w:drawing>
      </w:r>
    </w:p>
    <w:p w14:paraId="6D0023CB" w14:textId="77777777" w:rsidR="00B335D5" w:rsidRPr="00BC733C" w:rsidRDefault="00B335D5" w:rsidP="00B335D5">
      <w:pPr>
        <w:pStyle w:val="Caption"/>
        <w:jc w:val="center"/>
        <w:rPr>
          <w:lang w:val="en-US"/>
        </w:rPr>
      </w:pPr>
      <w:r>
        <w:t xml:space="preserve">Figure </w:t>
      </w:r>
      <w:r w:rsidR="00FE729C">
        <w:fldChar w:fldCharType="begin"/>
      </w:r>
      <w:r w:rsidR="00FE729C">
        <w:instrText xml:space="preserve"> SEQ Figure \* ARABIC </w:instrText>
      </w:r>
      <w:r w:rsidR="00FE729C">
        <w:fldChar w:fldCharType="separate"/>
      </w:r>
      <w:r w:rsidR="00084FA4">
        <w:rPr>
          <w:noProof/>
        </w:rPr>
        <w:t>2</w:t>
      </w:r>
      <w:r w:rsidR="00FE729C">
        <w:rPr>
          <w:noProof/>
        </w:rPr>
        <w:fldChar w:fldCharType="end"/>
      </w:r>
      <w:r w:rsidRPr="00BC733C">
        <w:rPr>
          <w:lang w:val="en-US"/>
        </w:rPr>
        <w:t xml:space="preserve">. </w:t>
      </w:r>
      <w:r>
        <w:rPr>
          <w:lang w:val="en-US"/>
        </w:rPr>
        <w:t>URLLC transmission based on mini-slots, y=1, SCS=15 kHz.</w:t>
      </w:r>
    </w:p>
    <w:p w14:paraId="396A0859" w14:textId="77777777" w:rsidR="00BC733C" w:rsidRPr="00B335D5" w:rsidRDefault="00BC733C" w:rsidP="00D970EC">
      <w:pPr>
        <w:overflowPunct/>
        <w:autoSpaceDE/>
        <w:autoSpaceDN/>
        <w:adjustRightInd/>
        <w:spacing w:after="0"/>
        <w:jc w:val="both"/>
        <w:textAlignment w:val="auto"/>
        <w:rPr>
          <w:lang w:val="en-US"/>
        </w:rPr>
      </w:pPr>
    </w:p>
    <w:p w14:paraId="33CF23DC" w14:textId="77777777" w:rsidR="00BC733C" w:rsidRDefault="00BC733C" w:rsidP="00D970EC">
      <w:pPr>
        <w:overflowPunct/>
        <w:autoSpaceDE/>
        <w:autoSpaceDN/>
        <w:adjustRightInd/>
        <w:spacing w:after="0"/>
        <w:jc w:val="both"/>
        <w:textAlignment w:val="auto"/>
      </w:pPr>
    </w:p>
    <w:p w14:paraId="2C9F8D7C" w14:textId="77777777" w:rsidR="001C1366" w:rsidRDefault="001C1366" w:rsidP="001C1366">
      <w:pPr>
        <w:pStyle w:val="Heading1"/>
      </w:pPr>
      <w:r>
        <w:rPr>
          <w:color w:val="000000"/>
        </w:rPr>
        <w:t>3</w:t>
      </w:r>
      <w:r w:rsidRPr="00A51522">
        <w:rPr>
          <w:color w:val="000000"/>
        </w:rPr>
        <w:tab/>
      </w:r>
      <w:r w:rsidR="00DB521B">
        <w:t>Different Usage scenarios for URLLC</w:t>
      </w:r>
    </w:p>
    <w:p w14:paraId="00038A5E" w14:textId="77777777" w:rsidR="002367CB" w:rsidRDefault="002367CB" w:rsidP="002367CB">
      <w:r>
        <w:t xml:space="preserve">In this section, we consider different ways </w:t>
      </w:r>
      <w:r w:rsidR="000A3BB6">
        <w:t xml:space="preserve">to realize </w:t>
      </w:r>
      <w:r>
        <w:t xml:space="preserve">URLLC in the NR TDD scenario.  </w:t>
      </w:r>
    </w:p>
    <w:p w14:paraId="22DFF418" w14:textId="77777777" w:rsidR="002367CB" w:rsidRPr="00DC3B36" w:rsidRDefault="002367CB" w:rsidP="002367CB">
      <w:pPr>
        <w:pStyle w:val="Heading2"/>
        <w:rPr>
          <w:sz w:val="28"/>
        </w:rPr>
      </w:pPr>
      <w:r w:rsidRPr="00DC3B36">
        <w:rPr>
          <w:sz w:val="28"/>
          <w:lang w:eastAsia="zh-CN"/>
        </w:rPr>
        <w:t>3.1</w:t>
      </w:r>
      <w:r w:rsidRPr="00DC3B36">
        <w:rPr>
          <w:sz w:val="28"/>
        </w:rPr>
        <w:tab/>
        <w:t xml:space="preserve">Single numerology </w:t>
      </w:r>
    </w:p>
    <w:p w14:paraId="04A3FC30" w14:textId="7AD933F9" w:rsidR="00B8142A" w:rsidRDefault="002367CB" w:rsidP="00C24180">
      <w:r>
        <w:t>As discussed, s</w:t>
      </w:r>
      <w:r w:rsidRPr="002367CB">
        <w:t>hort symbol/</w:t>
      </w:r>
      <w:r w:rsidR="00B8142A">
        <w:t>slot</w:t>
      </w:r>
      <w:r w:rsidRPr="002367CB">
        <w:t xml:space="preserve"> </w:t>
      </w:r>
      <w:r w:rsidR="00B8142A">
        <w:t xml:space="preserve">length </w:t>
      </w:r>
      <w:r w:rsidRPr="002367CB">
        <w:t xml:space="preserve">on top of bi-directional subframe provides inbuilt support for </w:t>
      </w:r>
      <w:r w:rsidR="00B8142A">
        <w:t>low latency</w:t>
      </w:r>
      <w:r w:rsidRPr="002367CB">
        <w:t>.</w:t>
      </w:r>
      <w:r w:rsidR="00B8142A">
        <w:t xml:space="preserve"> This approach can be seen as a natural option for </w:t>
      </w:r>
      <w:r w:rsidR="00AB743C">
        <w:t>URLLC</w:t>
      </w:r>
      <w:r w:rsidR="00B8142A">
        <w:t xml:space="preserve"> when operating at high carrier frequencies, and/or in the scenarios with small/moderate delay spread. On the other hand, mini-slot approach can be used </w:t>
      </w:r>
      <w:r w:rsidR="00DC45D4">
        <w:t xml:space="preserve">to </w:t>
      </w:r>
      <w:r w:rsidR="00B8142A">
        <w:t xml:space="preserve">support </w:t>
      </w:r>
      <w:r w:rsidR="00AB743C">
        <w:t>URLLC</w:t>
      </w:r>
      <w:r w:rsidR="00B8142A">
        <w:t xml:space="preserve"> in the scenarios with large delay spread and 15 kHz subcarrier spacing. </w:t>
      </w:r>
      <w:r w:rsidR="00DC3B36">
        <w:t xml:space="preserve">Based on the discussion, it seems </w:t>
      </w:r>
      <w:r w:rsidR="000E531C">
        <w:t>to be</w:t>
      </w:r>
      <w:r w:rsidR="00DC3B36">
        <w:t xml:space="preserve"> possible</w:t>
      </w:r>
      <w:r w:rsidR="000E531C">
        <w:t xml:space="preserve"> to support both eMBB and URLLC simultaneously on the same carrier</w:t>
      </w:r>
      <w:r w:rsidR="00CF780E">
        <w:t>, with a single numerology</w:t>
      </w:r>
      <w:r w:rsidR="000E531C">
        <w:t>,</w:t>
      </w:r>
      <w:r w:rsidR="00CF780E">
        <w:t xml:space="preserve"> and</w:t>
      </w:r>
      <w:r w:rsidR="000E531C">
        <w:t xml:space="preserve"> without compromising</w:t>
      </w:r>
      <w:r w:rsidR="00CF780E">
        <w:t xml:space="preserve"> the</w:t>
      </w:r>
      <w:r w:rsidR="000E531C">
        <w:t xml:space="preserve"> URLLC performance</w:t>
      </w:r>
      <w:r w:rsidR="00DC3B36">
        <w:t>.</w:t>
      </w:r>
    </w:p>
    <w:p w14:paraId="220E78F8" w14:textId="77777777" w:rsidR="00813990" w:rsidRPr="00EA5E0F" w:rsidRDefault="00813990" w:rsidP="00813990">
      <w:pPr>
        <w:overflowPunct/>
        <w:autoSpaceDE/>
        <w:autoSpaceDN/>
        <w:adjustRightInd/>
        <w:spacing w:after="0"/>
        <w:textAlignment w:val="auto"/>
        <w:rPr>
          <w:rFonts w:eastAsia="MS Mincho"/>
          <w:b/>
          <w:i/>
          <w:lang w:val="en-US" w:eastAsia="ja-JP"/>
        </w:rPr>
      </w:pPr>
      <w:r>
        <w:rPr>
          <w:rFonts w:eastAsia="MS Mincho"/>
          <w:b/>
          <w:i/>
          <w:lang w:val="en-US" w:eastAsia="ja-JP"/>
        </w:rPr>
        <w:t>Observation #</w:t>
      </w:r>
      <w:r w:rsidR="00DC3B36">
        <w:rPr>
          <w:rFonts w:eastAsia="MS Mincho"/>
          <w:b/>
          <w:i/>
          <w:lang w:val="en-US" w:eastAsia="ja-JP"/>
        </w:rPr>
        <w:t>3</w:t>
      </w:r>
      <w:r w:rsidRPr="0069334C">
        <w:rPr>
          <w:rFonts w:eastAsia="MS Mincho"/>
          <w:b/>
          <w:i/>
          <w:lang w:val="en-US" w:eastAsia="ja-JP"/>
        </w:rPr>
        <w:t xml:space="preserve">: </w:t>
      </w:r>
      <w:r w:rsidR="00DC3B36">
        <w:rPr>
          <w:rFonts w:eastAsia="MS Mincho"/>
          <w:i/>
          <w:lang w:val="en-US" w:eastAsia="ja-JP"/>
        </w:rPr>
        <w:t>From latency point of view, it is possible to support eMBB and URLLC</w:t>
      </w:r>
      <w:r>
        <w:rPr>
          <w:rFonts w:eastAsia="MS Mincho"/>
          <w:i/>
          <w:lang w:val="en-US" w:eastAsia="ja-JP"/>
        </w:rPr>
        <w:t xml:space="preserve"> with a single numerology</w:t>
      </w:r>
      <w:r w:rsidR="00F20133">
        <w:rPr>
          <w:rFonts w:eastAsia="MS Mincho"/>
          <w:i/>
          <w:lang w:val="en-US" w:eastAsia="ja-JP"/>
        </w:rPr>
        <w:t>.</w:t>
      </w:r>
    </w:p>
    <w:p w14:paraId="204394C8" w14:textId="77777777" w:rsidR="00F55B18" w:rsidRPr="00813990" w:rsidRDefault="00F55B18" w:rsidP="00C24180">
      <w:pPr>
        <w:rPr>
          <w:lang w:val="en-US"/>
        </w:rPr>
      </w:pPr>
    </w:p>
    <w:p w14:paraId="5BAF6DD8" w14:textId="77777777" w:rsidR="00A7245F" w:rsidRPr="00DC3B36" w:rsidRDefault="004D256C" w:rsidP="00A7245F">
      <w:pPr>
        <w:pStyle w:val="Heading2"/>
        <w:rPr>
          <w:sz w:val="28"/>
        </w:rPr>
      </w:pPr>
      <w:r w:rsidRPr="00DC3B36">
        <w:rPr>
          <w:sz w:val="28"/>
          <w:lang w:eastAsia="zh-CN"/>
        </w:rPr>
        <w:t>3</w:t>
      </w:r>
      <w:r w:rsidR="00A7245F" w:rsidRPr="00DC3B36">
        <w:rPr>
          <w:sz w:val="28"/>
          <w:lang w:eastAsia="zh-CN"/>
        </w:rPr>
        <w:t>.</w:t>
      </w:r>
      <w:r w:rsidR="00643825" w:rsidRPr="00DC3B36">
        <w:rPr>
          <w:sz w:val="28"/>
          <w:lang w:eastAsia="zh-CN"/>
        </w:rPr>
        <w:t>2</w:t>
      </w:r>
      <w:r w:rsidR="00A7245F" w:rsidRPr="00DC3B36">
        <w:rPr>
          <w:sz w:val="28"/>
        </w:rPr>
        <w:tab/>
      </w:r>
      <w:r w:rsidR="0053533D" w:rsidRPr="00DC3B36">
        <w:rPr>
          <w:sz w:val="28"/>
        </w:rPr>
        <w:t xml:space="preserve">Mixed numerology based on FDM </w:t>
      </w:r>
    </w:p>
    <w:p w14:paraId="7415EDF7" w14:textId="77777777" w:rsidR="006E7656" w:rsidRDefault="00C11B25" w:rsidP="00496260">
      <w:r>
        <w:t>It was agreed in RAN1#85 that m</w:t>
      </w:r>
      <w:r w:rsidRPr="00C11B25">
        <w:t>ultiplexing different numerologies within a same NR carrier bandwidth (from the network perspective) is supported</w:t>
      </w:r>
      <w:r w:rsidR="005147E6">
        <w:t>.</w:t>
      </w:r>
      <w:r w:rsidR="006E7656">
        <w:t xml:space="preserve"> One scenario behind this is multiplexing URLLC and eMBB within a same NR carrier bandwidth. </w:t>
      </w:r>
      <w:r w:rsidR="005147E6">
        <w:t xml:space="preserve"> </w:t>
      </w:r>
    </w:p>
    <w:p w14:paraId="085713DF" w14:textId="77777777" w:rsidR="00C24180" w:rsidRDefault="00C24180" w:rsidP="00496260">
      <w:r>
        <w:t xml:space="preserve">Figure </w:t>
      </w:r>
      <w:r w:rsidR="00DC3B36">
        <w:t>3</w:t>
      </w:r>
      <w:r>
        <w:t xml:space="preserve"> illustrates a scenario where URLLC traffic based on 60 kHz subcarrier spacing is multiplexed with 15 kHz eMBB </w:t>
      </w:r>
      <w:r w:rsidR="00F55B18">
        <w:t>using</w:t>
      </w:r>
      <w:r>
        <w:t xml:space="preserve"> FDM. </w:t>
      </w:r>
      <w:r w:rsidR="005147E6">
        <w:t xml:space="preserve">It is noted that when using TDD with half-duplex operation, it is highly beneficial to be able to achieve symbol boundary alignment with different numerologies. </w:t>
      </w:r>
      <w:r w:rsidR="00643825">
        <w:t>This allows e.g. alignment of</w:t>
      </w:r>
      <w:r w:rsidR="005147E6">
        <w:t xml:space="preserve"> GP </w:t>
      </w:r>
      <w:r w:rsidR="00643825">
        <w:t xml:space="preserve">between </w:t>
      </w:r>
      <w:r w:rsidR="005147E6">
        <w:t xml:space="preserve">different numerologies with symbol resolution and </w:t>
      </w:r>
      <w:r w:rsidR="005147E6" w:rsidRPr="006D632E">
        <w:t>without additional guard time</w:t>
      </w:r>
      <w:r w:rsidR="00643825">
        <w:t xml:space="preserve"> [</w:t>
      </w:r>
      <w:r w:rsidR="00DC3B36">
        <w:t>4</w:t>
      </w:r>
      <w:r w:rsidR="00643825">
        <w:t>]</w:t>
      </w:r>
      <w:r w:rsidR="005147E6">
        <w:t>.</w:t>
      </w:r>
      <w:r w:rsidR="00FD5E84">
        <w:t xml:space="preserve"> </w:t>
      </w:r>
    </w:p>
    <w:p w14:paraId="54A56A7F" w14:textId="77777777" w:rsidR="00C11B25" w:rsidRPr="00C11B25" w:rsidRDefault="00DC3B36" w:rsidP="00496260">
      <w:r>
        <w:t xml:space="preserve">When comparing mixed numerology based on FDM against mini-slot approach shown in Figure 2, it can be noted that mini-slot approach can achieve comparable latency performance with better </w:t>
      </w:r>
      <w:r w:rsidR="00EA41DC">
        <w:t xml:space="preserve">link </w:t>
      </w:r>
      <w:r>
        <w:t xml:space="preserve">performance </w:t>
      </w:r>
      <w:r w:rsidRPr="0032612F">
        <w:t>(</w:t>
      </w:r>
      <w:r w:rsidR="0032612F">
        <w:t>see Appendix)</w:t>
      </w:r>
      <w:r>
        <w:t xml:space="preserve">, and without </w:t>
      </w:r>
      <w:r w:rsidR="00AB1671">
        <w:t xml:space="preserve">the need for </w:t>
      </w:r>
      <w:r>
        <w:t>guard band. Based on that, it seems that URLLC is not a good en</w:t>
      </w:r>
      <w:r w:rsidR="00EA41DC">
        <w:t>ough motivation for mixed numerology based on FDM.</w:t>
      </w:r>
      <w:r>
        <w:t xml:space="preserve"> </w:t>
      </w:r>
    </w:p>
    <w:p w14:paraId="68F36F83" w14:textId="77777777" w:rsidR="005147E6" w:rsidRDefault="005147E6" w:rsidP="005147E6">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DC3B36">
        <w:rPr>
          <w:rFonts w:eastAsia="MS Mincho"/>
          <w:b/>
          <w:i/>
          <w:lang w:val="en-US" w:eastAsia="ja-JP"/>
        </w:rPr>
        <w:t>4</w:t>
      </w:r>
      <w:r w:rsidRPr="0069334C">
        <w:rPr>
          <w:rFonts w:eastAsia="MS Mincho"/>
          <w:b/>
          <w:i/>
          <w:lang w:val="en-US" w:eastAsia="ja-JP"/>
        </w:rPr>
        <w:t xml:space="preserve">: </w:t>
      </w:r>
      <w:r w:rsidR="00EA41DC" w:rsidRPr="00EA41DC">
        <w:rPr>
          <w:rFonts w:eastAsia="MS Mincho"/>
          <w:i/>
          <w:lang w:val="en-US" w:eastAsia="ja-JP"/>
        </w:rPr>
        <w:t xml:space="preserve">URLLC </w:t>
      </w:r>
      <w:r w:rsidR="00EA41DC">
        <w:rPr>
          <w:rFonts w:eastAsia="MS Mincho"/>
          <w:i/>
          <w:lang w:val="en-US" w:eastAsia="ja-JP"/>
        </w:rPr>
        <w:t xml:space="preserve">does not provide a strong </w:t>
      </w:r>
      <w:r w:rsidR="00EA41DC" w:rsidRPr="00EA41DC">
        <w:rPr>
          <w:rFonts w:eastAsia="MS Mincho"/>
          <w:i/>
          <w:lang w:val="en-US" w:eastAsia="ja-JP"/>
        </w:rPr>
        <w:t>motivation for mixed numerology based on FDM</w:t>
      </w:r>
      <w:r w:rsidR="00643825">
        <w:rPr>
          <w:rFonts w:eastAsia="MS Mincho"/>
          <w:i/>
          <w:lang w:val="en-US" w:eastAsia="ja-JP"/>
        </w:rPr>
        <w:t>.</w:t>
      </w:r>
    </w:p>
    <w:p w14:paraId="5E09EB93" w14:textId="77777777" w:rsidR="00DC3B36" w:rsidRPr="00EA41DC" w:rsidRDefault="00DC3B36" w:rsidP="005147E6">
      <w:pPr>
        <w:overflowPunct/>
        <w:autoSpaceDE/>
        <w:autoSpaceDN/>
        <w:adjustRightInd/>
        <w:spacing w:after="0"/>
        <w:textAlignment w:val="auto"/>
        <w:rPr>
          <w:i/>
          <w:lang w:val="en-US"/>
        </w:rPr>
      </w:pPr>
    </w:p>
    <w:p w14:paraId="3D9F5153" w14:textId="77777777" w:rsidR="00EA41DC" w:rsidRPr="005147E6" w:rsidRDefault="00EA41DC" w:rsidP="005147E6">
      <w:pPr>
        <w:overflowPunct/>
        <w:autoSpaceDE/>
        <w:autoSpaceDN/>
        <w:adjustRightInd/>
        <w:spacing w:after="0"/>
        <w:textAlignment w:val="auto"/>
        <w:rPr>
          <w:i/>
        </w:rPr>
      </w:pPr>
    </w:p>
    <w:p w14:paraId="23FFBEB6" w14:textId="77777777" w:rsidR="00FD5E84" w:rsidRDefault="00DC3B36" w:rsidP="00DC3B36">
      <w:pPr>
        <w:keepNext/>
        <w:spacing w:after="0"/>
        <w:jc w:val="center"/>
      </w:pPr>
      <w:r w:rsidRPr="00DC3B36">
        <w:rPr>
          <w:noProof/>
          <w:lang w:val="en-US"/>
        </w:rPr>
        <w:drawing>
          <wp:inline distT="0" distB="0" distL="0" distR="0" wp14:anchorId="38562553" wp14:editId="5BE2AD94">
            <wp:extent cx="4508283" cy="101231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0184" cy="1014989"/>
                    </a:xfrm>
                    <a:prstGeom prst="rect">
                      <a:avLst/>
                    </a:prstGeom>
                    <a:noFill/>
                    <a:ln>
                      <a:noFill/>
                    </a:ln>
                  </pic:spPr>
                </pic:pic>
              </a:graphicData>
            </a:graphic>
          </wp:inline>
        </w:drawing>
      </w:r>
    </w:p>
    <w:p w14:paraId="254412A0" w14:textId="77777777" w:rsidR="004F0CFB" w:rsidRPr="001E5981" w:rsidRDefault="004F0CFB" w:rsidP="004F0CFB">
      <w:pPr>
        <w:pStyle w:val="Caption"/>
        <w:jc w:val="center"/>
        <w:rPr>
          <w:lang w:val="en-US"/>
        </w:rPr>
      </w:pPr>
      <w:r w:rsidRPr="00A51522">
        <w:t xml:space="preserve">Figure </w:t>
      </w:r>
      <w:r w:rsidR="00FE729C">
        <w:fldChar w:fldCharType="begin"/>
      </w:r>
      <w:r w:rsidR="00FE729C">
        <w:instrText xml:space="preserve"> SEQ Figure \* ARABIC </w:instrText>
      </w:r>
      <w:r w:rsidR="00FE729C">
        <w:fldChar w:fldCharType="separate"/>
      </w:r>
      <w:r w:rsidR="00084FA4">
        <w:rPr>
          <w:noProof/>
        </w:rPr>
        <w:t>3</w:t>
      </w:r>
      <w:r w:rsidR="00FE729C">
        <w:rPr>
          <w:noProof/>
        </w:rPr>
        <w:fldChar w:fldCharType="end"/>
      </w:r>
      <w:r w:rsidRPr="001E5981">
        <w:rPr>
          <w:lang w:val="en-US"/>
        </w:rPr>
        <w:t xml:space="preserve">. </w:t>
      </w:r>
      <w:r>
        <w:rPr>
          <w:lang w:val="en-US"/>
        </w:rPr>
        <w:t>Mixed numerology</w:t>
      </w:r>
      <w:r w:rsidR="008566CF">
        <w:rPr>
          <w:lang w:val="en-US"/>
        </w:rPr>
        <w:t>, FDM</w:t>
      </w:r>
      <w:r w:rsidR="00F55B18">
        <w:rPr>
          <w:lang w:val="en-US"/>
        </w:rPr>
        <w:t>.</w:t>
      </w:r>
    </w:p>
    <w:p w14:paraId="3F8B5B0B" w14:textId="77777777" w:rsidR="00A7245F" w:rsidRPr="00EF769F" w:rsidRDefault="00A7245F" w:rsidP="00A7245F">
      <w:pPr>
        <w:spacing w:after="0"/>
        <w:ind w:left="283" w:hanging="283"/>
        <w:rPr>
          <w:lang w:val="en-US"/>
        </w:rPr>
      </w:pPr>
    </w:p>
    <w:p w14:paraId="402F8D12" w14:textId="77777777" w:rsidR="00A7245F" w:rsidRDefault="00B00789" w:rsidP="00A7245F">
      <w:pPr>
        <w:pStyle w:val="Heading1"/>
      </w:pPr>
      <w:r>
        <w:rPr>
          <w:color w:val="000000"/>
        </w:rPr>
        <w:lastRenderedPageBreak/>
        <w:t xml:space="preserve">4. </w:t>
      </w:r>
      <w:r w:rsidR="00DB521B">
        <w:rPr>
          <w:color w:val="000000"/>
        </w:rPr>
        <w:t xml:space="preserve"> </w:t>
      </w:r>
      <w:r w:rsidR="00C03BC6">
        <w:rPr>
          <w:color w:val="000000"/>
        </w:rPr>
        <w:t>Latency analysis</w:t>
      </w:r>
    </w:p>
    <w:p w14:paraId="7B43D183" w14:textId="77777777" w:rsidR="004E77B3" w:rsidRDefault="004E77B3" w:rsidP="004E77B3">
      <w:r>
        <w:t>According to [</w:t>
      </w:r>
      <w:r w:rsidR="0032612F">
        <w:rPr>
          <w:szCs w:val="22"/>
        </w:rPr>
        <w:t>5</w:t>
      </w:r>
      <w:r>
        <w:t>], t</w:t>
      </w:r>
      <w:r w:rsidRPr="00C31182">
        <w:t xml:space="preserve">he </w:t>
      </w:r>
      <w:r>
        <w:t>TDD</w:t>
      </w:r>
      <w:r w:rsidRPr="00C31182">
        <w:t xml:space="preserve"> U-plane one way latency for a scheduled UE consists of the fixed node processing delays</w:t>
      </w:r>
      <w:r w:rsidRPr="00C31182">
        <w:rPr>
          <w:rFonts w:hint="eastAsia"/>
        </w:rPr>
        <w:t xml:space="preserve">, </w:t>
      </w:r>
      <w:r w:rsidRPr="00C31182">
        <w:t>radio frame alignment</w:t>
      </w:r>
      <w:r>
        <w:t xml:space="preserve"> time (t</w:t>
      </w:r>
      <w:r w:rsidRPr="002B3A4F">
        <w:rPr>
          <w:vertAlign w:val="subscript"/>
        </w:rPr>
        <w:t>FA</w:t>
      </w:r>
      <w:r>
        <w:t>)</w:t>
      </w:r>
      <w:r w:rsidRPr="00C31182">
        <w:t xml:space="preserve"> and TTI duration</w:t>
      </w:r>
      <w:r>
        <w:rPr>
          <w:rFonts w:hint="eastAsia"/>
        </w:rPr>
        <w:t xml:space="preserve"> </w:t>
      </w:r>
      <w:r>
        <w:t>(t</w:t>
      </w:r>
      <w:r>
        <w:rPr>
          <w:vertAlign w:val="subscript"/>
        </w:rPr>
        <w:t>TTI</w:t>
      </w:r>
      <w:r>
        <w:t>)</w:t>
      </w:r>
      <w:r w:rsidRPr="00C31182">
        <w:t>.</w:t>
      </w:r>
      <w:r>
        <w:t xml:space="preserve"> This is illustrated in </w:t>
      </w:r>
      <w:r w:rsidR="004D2B01">
        <w:fldChar w:fldCharType="begin"/>
      </w:r>
      <w:r>
        <w:instrText xml:space="preserve"> REF _Ref450647634 \h </w:instrText>
      </w:r>
      <w:r w:rsidR="004D2B01">
        <w:fldChar w:fldCharType="separate"/>
      </w:r>
      <w:r w:rsidR="0032612F">
        <w:t xml:space="preserve">Figure </w:t>
      </w:r>
      <w:r w:rsidR="0032612F">
        <w:rPr>
          <w:noProof/>
        </w:rPr>
        <w:t>5</w:t>
      </w:r>
      <w:r w:rsidR="004D2B01">
        <w:fldChar w:fldCharType="end"/>
      </w:r>
      <w:r>
        <w:t xml:space="preserve"> for </w:t>
      </w:r>
      <w:r w:rsidR="000E05AC">
        <w:t xml:space="preserve">LTE </w:t>
      </w:r>
      <w:r>
        <w:t xml:space="preserve">downlink and in </w:t>
      </w:r>
      <w:r w:rsidR="004D2B01">
        <w:fldChar w:fldCharType="begin"/>
      </w:r>
      <w:r>
        <w:instrText xml:space="preserve"> REF _Ref450647642 \h </w:instrText>
      </w:r>
      <w:r w:rsidR="004D2B01">
        <w:fldChar w:fldCharType="separate"/>
      </w:r>
      <w:r w:rsidR="0032612F">
        <w:t xml:space="preserve">Figure </w:t>
      </w:r>
      <w:r w:rsidR="0032612F">
        <w:rPr>
          <w:noProof/>
        </w:rPr>
        <w:t>6</w:t>
      </w:r>
      <w:r w:rsidR="004D2B01">
        <w:fldChar w:fldCharType="end"/>
      </w:r>
      <w:r>
        <w:t xml:space="preserve"> for </w:t>
      </w:r>
      <w:r w:rsidR="000E05AC">
        <w:t xml:space="preserve">LTE </w:t>
      </w:r>
      <w:r>
        <w:t>uplink.</w:t>
      </w:r>
    </w:p>
    <w:p w14:paraId="73C996F5" w14:textId="77777777" w:rsidR="004E77B3" w:rsidRDefault="004E77B3" w:rsidP="004E77B3">
      <w:pPr>
        <w:jc w:val="center"/>
      </w:pPr>
      <w:r>
        <w:rPr>
          <w:noProof/>
          <w:lang w:val="en-US"/>
        </w:rPr>
        <w:drawing>
          <wp:inline distT="0" distB="0" distL="0" distR="0" wp14:anchorId="2229EB19" wp14:editId="3D2CD9E0">
            <wp:extent cx="2880000" cy="58518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585189"/>
                    </a:xfrm>
                    <a:prstGeom prst="rect">
                      <a:avLst/>
                    </a:prstGeom>
                    <a:noFill/>
                  </pic:spPr>
                </pic:pic>
              </a:graphicData>
            </a:graphic>
          </wp:inline>
        </w:drawing>
      </w:r>
    </w:p>
    <w:p w14:paraId="17B12553" w14:textId="77777777" w:rsidR="004E77B3" w:rsidRPr="00203EAC" w:rsidRDefault="004E77B3" w:rsidP="004E77B3">
      <w:pPr>
        <w:pStyle w:val="Caption"/>
        <w:jc w:val="center"/>
        <w:rPr>
          <w:lang w:val="en-US"/>
        </w:rPr>
      </w:pPr>
      <w:bookmarkStart w:id="1" w:name="_Ref450647634"/>
      <w:r>
        <w:t xml:space="preserve">Figure </w:t>
      </w:r>
      <w:r w:rsidR="00FE729C">
        <w:fldChar w:fldCharType="begin"/>
      </w:r>
      <w:r w:rsidR="00FE729C">
        <w:instrText xml:space="preserve"> SEQ Figure \* ARABIC </w:instrText>
      </w:r>
      <w:r w:rsidR="00FE729C">
        <w:fldChar w:fldCharType="separate"/>
      </w:r>
      <w:r w:rsidR="00084FA4">
        <w:rPr>
          <w:noProof/>
        </w:rPr>
        <w:t>4</w:t>
      </w:r>
      <w:r w:rsidR="00FE729C">
        <w:rPr>
          <w:noProof/>
        </w:rPr>
        <w:fldChar w:fldCharType="end"/>
      </w:r>
      <w:bookmarkEnd w:id="1"/>
      <w:r w:rsidR="007551C0" w:rsidRPr="007551C0">
        <w:rPr>
          <w:noProof/>
          <w:lang w:val="en-US"/>
        </w:rPr>
        <w:t>.</w:t>
      </w:r>
      <w:r w:rsidRPr="00203EAC">
        <w:rPr>
          <w:b w:val="0"/>
          <w:lang w:val="en-US"/>
        </w:rPr>
        <w:t xml:space="preserve"> </w:t>
      </w:r>
      <w:r w:rsidRPr="000B2FEC">
        <w:rPr>
          <w:lang w:val="en-US"/>
        </w:rPr>
        <w:t>User plane latency components for TDD LTE DL.</w:t>
      </w:r>
    </w:p>
    <w:p w14:paraId="01F19F6C" w14:textId="77777777" w:rsidR="004E77B3" w:rsidRDefault="004E77B3" w:rsidP="004E77B3">
      <w:pPr>
        <w:overflowPunct/>
        <w:autoSpaceDE/>
        <w:autoSpaceDN/>
        <w:adjustRightInd/>
        <w:spacing w:after="0"/>
        <w:textAlignment w:val="auto"/>
        <w:rPr>
          <w:bCs/>
        </w:rPr>
      </w:pPr>
    </w:p>
    <w:p w14:paraId="2D7DA38A" w14:textId="77777777" w:rsidR="004E77B3" w:rsidRDefault="004E77B3" w:rsidP="004E77B3">
      <w:pPr>
        <w:overflowPunct/>
        <w:autoSpaceDE/>
        <w:autoSpaceDN/>
        <w:adjustRightInd/>
        <w:spacing w:after="0"/>
        <w:jc w:val="center"/>
        <w:textAlignment w:val="auto"/>
        <w:rPr>
          <w:bCs/>
        </w:rPr>
      </w:pPr>
      <w:r>
        <w:rPr>
          <w:bCs/>
          <w:noProof/>
          <w:lang w:val="en-US"/>
        </w:rPr>
        <w:drawing>
          <wp:inline distT="0" distB="0" distL="0" distR="0" wp14:anchorId="7CAF3E43" wp14:editId="69F49303">
            <wp:extent cx="2880000" cy="58760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587607"/>
                    </a:xfrm>
                    <a:prstGeom prst="rect">
                      <a:avLst/>
                    </a:prstGeom>
                    <a:noFill/>
                  </pic:spPr>
                </pic:pic>
              </a:graphicData>
            </a:graphic>
          </wp:inline>
        </w:drawing>
      </w:r>
    </w:p>
    <w:p w14:paraId="47F7AC8B" w14:textId="77777777" w:rsidR="004E77B3" w:rsidRPr="002B3A4F" w:rsidRDefault="004E77B3" w:rsidP="004E77B3">
      <w:pPr>
        <w:pStyle w:val="Caption"/>
        <w:jc w:val="center"/>
        <w:rPr>
          <w:b w:val="0"/>
          <w:bCs/>
          <w:lang w:val="en-US"/>
        </w:rPr>
      </w:pPr>
      <w:bookmarkStart w:id="2" w:name="_Ref450647642"/>
      <w:r>
        <w:t xml:space="preserve">Figure </w:t>
      </w:r>
      <w:r w:rsidR="00FE729C">
        <w:fldChar w:fldCharType="begin"/>
      </w:r>
      <w:r w:rsidR="00FE729C">
        <w:instrText xml:space="preserve"> SEQ Figure \* ARABIC </w:instrText>
      </w:r>
      <w:r w:rsidR="00FE729C">
        <w:fldChar w:fldCharType="separate"/>
      </w:r>
      <w:r w:rsidR="00084FA4">
        <w:rPr>
          <w:noProof/>
        </w:rPr>
        <w:t>5</w:t>
      </w:r>
      <w:r w:rsidR="00FE729C">
        <w:rPr>
          <w:noProof/>
        </w:rPr>
        <w:fldChar w:fldCharType="end"/>
      </w:r>
      <w:bookmarkEnd w:id="2"/>
      <w:r w:rsidR="007551C0" w:rsidRPr="007551C0">
        <w:rPr>
          <w:noProof/>
          <w:lang w:val="en-US"/>
        </w:rPr>
        <w:t>.</w:t>
      </w:r>
      <w:r w:rsidRPr="002B3A4F">
        <w:rPr>
          <w:b w:val="0"/>
          <w:lang w:val="en-US"/>
        </w:rPr>
        <w:t xml:space="preserve"> </w:t>
      </w:r>
      <w:r w:rsidRPr="000B2FEC">
        <w:rPr>
          <w:lang w:val="en-US"/>
        </w:rPr>
        <w:t>User plane latency components for TDD LTE UL.</w:t>
      </w:r>
    </w:p>
    <w:p w14:paraId="03A31EF3" w14:textId="77777777" w:rsidR="004E77B3" w:rsidRDefault="004E77B3" w:rsidP="004E77B3">
      <w:pPr>
        <w:overflowPunct/>
        <w:autoSpaceDE/>
        <w:autoSpaceDN/>
        <w:adjustRightInd/>
        <w:spacing w:after="0"/>
        <w:textAlignment w:val="auto"/>
        <w:rPr>
          <w:bCs/>
        </w:rPr>
      </w:pPr>
    </w:p>
    <w:p w14:paraId="23E70A93" w14:textId="77777777" w:rsidR="004E77B3" w:rsidRPr="00F73A7E" w:rsidRDefault="004E77B3" w:rsidP="004E77B3">
      <w:r>
        <w:t>In LTE, t</w:t>
      </w:r>
      <w:r w:rsidRPr="000837E3">
        <w:rPr>
          <w:vertAlign w:val="subscript"/>
        </w:rPr>
        <w:t>TTI</w:t>
      </w:r>
      <w:r>
        <w:t xml:space="preserve"> is 1 ms, the total one-way processing time is 1.5 ms + 1 ms = 2.5 ms and t</w:t>
      </w:r>
      <w:r w:rsidRPr="00BB2953">
        <w:rPr>
          <w:vertAlign w:val="subscript"/>
        </w:rPr>
        <w:t>FA</w:t>
      </w:r>
      <w:r>
        <w:t xml:space="preserve"> depends on the selected TDD UL/DL configuration. </w:t>
      </w:r>
      <w:r>
        <w:rPr>
          <w:bCs/>
        </w:rPr>
        <w:t xml:space="preserve">In addition, in case of non-zero HARQ re-transmission probability, a component representing the average HARQ re-transmission latency should be added to the total user plane latency calculation. In case of reasonable BLER, user plane latency can be seen to be highly dominated by the initial transmission. Thus, the HARQ terms is not seen to play a </w:t>
      </w:r>
      <w:r w:rsidRPr="00F73A7E">
        <w:rPr>
          <w:bCs/>
        </w:rPr>
        <w:t xml:space="preserve">significant role in this analysis </w:t>
      </w:r>
      <w:r w:rsidR="001C33A4">
        <w:rPr>
          <w:bCs/>
        </w:rPr>
        <w:t xml:space="preserve">on the average latency </w:t>
      </w:r>
      <w:r w:rsidRPr="00F73A7E">
        <w:rPr>
          <w:bCs/>
        </w:rPr>
        <w:t>and is ignored in the following for simplicity.</w:t>
      </w:r>
    </w:p>
    <w:p w14:paraId="718D6904" w14:textId="77777777" w:rsidR="00F73A7E" w:rsidRPr="00F73A7E" w:rsidRDefault="004E77B3" w:rsidP="0019340B">
      <w:pPr>
        <w:spacing w:after="0"/>
      </w:pPr>
      <w:r w:rsidRPr="00F73A7E">
        <w:t xml:space="preserve">For </w:t>
      </w:r>
      <w:r w:rsidR="0032612F">
        <w:t>NR</w:t>
      </w:r>
      <w:r w:rsidRPr="00F73A7E">
        <w:t>, certain improvement to the 1.5 ms a</w:t>
      </w:r>
      <w:r w:rsidR="00C323AD">
        <w:t>nd 1 ms UE/BS</w:t>
      </w:r>
      <w:r w:rsidRPr="00F73A7E">
        <w:t xml:space="preserve"> processing times of LTE could be assumed. Table 1 summarizes </w:t>
      </w:r>
      <w:r w:rsidR="0032612F">
        <w:t xml:space="preserve">NR </w:t>
      </w:r>
      <w:r w:rsidRPr="00F73A7E">
        <w:t xml:space="preserve">user plane latency in downlink for </w:t>
      </w:r>
    </w:p>
    <w:p w14:paraId="5902A075" w14:textId="5741C3D9" w:rsidR="00F73A7E" w:rsidRPr="00F73A7E" w:rsidRDefault="00433D07" w:rsidP="00F73A7E">
      <w:pPr>
        <w:pStyle w:val="ListParagraph"/>
        <w:numPr>
          <w:ilvl w:val="0"/>
          <w:numId w:val="12"/>
        </w:numPr>
        <w:rPr>
          <w:rFonts w:eastAsia="MS Mincho"/>
          <w:sz w:val="20"/>
          <w:szCs w:val="20"/>
          <w:lang w:val="en-US"/>
        </w:rPr>
      </w:pPr>
      <w:r>
        <w:rPr>
          <w:sz w:val="20"/>
          <w:szCs w:val="20"/>
          <w:lang w:val="en-US"/>
        </w:rPr>
        <w:t xml:space="preserve">Slot-based format </w:t>
      </w:r>
      <w:r w:rsidR="004E77B3" w:rsidRPr="00F73A7E">
        <w:rPr>
          <w:sz w:val="20"/>
          <w:szCs w:val="20"/>
          <w:lang w:val="en-US"/>
        </w:rPr>
        <w:t>(N=4,</w:t>
      </w:r>
      <w:r>
        <w:rPr>
          <w:sz w:val="20"/>
          <w:szCs w:val="20"/>
          <w:lang w:val="en-US"/>
        </w:rPr>
        <w:t xml:space="preserve"> SCS=60 kHz, scenario according to Figure 1</w:t>
      </w:r>
      <w:r w:rsidR="00F73A7E" w:rsidRPr="00F73A7E">
        <w:rPr>
          <w:sz w:val="20"/>
          <w:szCs w:val="20"/>
          <w:lang w:val="en-US"/>
        </w:rPr>
        <w:t xml:space="preserve">) </w:t>
      </w:r>
    </w:p>
    <w:p w14:paraId="54D298D2" w14:textId="4DDBE44B" w:rsidR="00F73A7E" w:rsidRPr="0019340B" w:rsidRDefault="00433D07" w:rsidP="0019340B">
      <w:pPr>
        <w:pStyle w:val="ListParagraph"/>
        <w:numPr>
          <w:ilvl w:val="0"/>
          <w:numId w:val="12"/>
        </w:numPr>
        <w:ind w:left="714" w:hanging="357"/>
        <w:rPr>
          <w:rFonts w:eastAsia="MS Mincho"/>
          <w:sz w:val="20"/>
          <w:szCs w:val="20"/>
          <w:lang w:val="en-US"/>
        </w:rPr>
      </w:pPr>
      <w:r>
        <w:rPr>
          <w:sz w:val="20"/>
          <w:szCs w:val="20"/>
          <w:lang w:val="en-US"/>
        </w:rPr>
        <w:t>Mini-slot based format</w:t>
      </w:r>
      <w:r w:rsidR="00BC4AB0">
        <w:rPr>
          <w:sz w:val="20"/>
          <w:szCs w:val="20"/>
          <w:lang w:val="en-US"/>
        </w:rPr>
        <w:t xml:space="preserve"> (N=1, </w:t>
      </w:r>
      <w:r>
        <w:rPr>
          <w:sz w:val="20"/>
          <w:szCs w:val="20"/>
          <w:lang w:val="en-US"/>
        </w:rPr>
        <w:t xml:space="preserve">SCS=15 kHz, </w:t>
      </w:r>
      <w:r w:rsidR="00F07D32">
        <w:rPr>
          <w:sz w:val="20"/>
          <w:szCs w:val="20"/>
          <w:lang w:val="en-US"/>
        </w:rPr>
        <w:t>y=1</w:t>
      </w:r>
      <w:r w:rsidR="00E26849">
        <w:rPr>
          <w:sz w:val="20"/>
          <w:szCs w:val="20"/>
          <w:lang w:val="en-US"/>
        </w:rPr>
        <w:t xml:space="preserve">, </w:t>
      </w:r>
      <w:r>
        <w:rPr>
          <w:sz w:val="20"/>
          <w:szCs w:val="20"/>
          <w:lang w:val="en-US"/>
        </w:rPr>
        <w:t>mini-</w:t>
      </w:r>
      <w:r w:rsidR="00F07D32">
        <w:rPr>
          <w:sz w:val="20"/>
          <w:szCs w:val="20"/>
          <w:lang w:val="en-US"/>
        </w:rPr>
        <w:t xml:space="preserve">slots are assigned in </w:t>
      </w:r>
      <w:r w:rsidR="00E26849">
        <w:rPr>
          <w:sz w:val="20"/>
          <w:szCs w:val="20"/>
          <w:lang w:val="en-US"/>
        </w:rPr>
        <w:t xml:space="preserve">a </w:t>
      </w:r>
      <w:r w:rsidR="00F07D32">
        <w:rPr>
          <w:sz w:val="20"/>
          <w:szCs w:val="20"/>
          <w:lang w:val="en-US"/>
        </w:rPr>
        <w:t xml:space="preserve">semi-static manner according to principle shown in Figure </w:t>
      </w:r>
      <w:r w:rsidR="000C7FDC">
        <w:rPr>
          <w:sz w:val="20"/>
          <w:szCs w:val="20"/>
          <w:lang w:val="en-US"/>
        </w:rPr>
        <w:t>6</w:t>
      </w:r>
      <w:r w:rsidR="004E77B3" w:rsidRPr="00F73A7E">
        <w:rPr>
          <w:sz w:val="20"/>
          <w:szCs w:val="20"/>
          <w:lang w:val="en-US"/>
        </w:rPr>
        <w:t>)</w:t>
      </w:r>
    </w:p>
    <w:p w14:paraId="2E3D94D8" w14:textId="38D16390" w:rsidR="004E77B3" w:rsidRPr="00280984" w:rsidRDefault="004E77B3" w:rsidP="004E77B3">
      <w:pPr>
        <w:rPr>
          <w:rFonts w:eastAsia="MS Mincho"/>
          <w:lang w:val="en-US"/>
        </w:rPr>
      </w:pPr>
      <w:r w:rsidRPr="00F73A7E">
        <w:rPr>
          <w:lang w:val="en-US"/>
        </w:rPr>
        <w:t>including certain processing time reductions w.r.t</w:t>
      </w:r>
      <w:r w:rsidR="00BD2D60">
        <w:rPr>
          <w:lang w:val="en-US"/>
        </w:rPr>
        <w:t>.</w:t>
      </w:r>
      <w:r w:rsidRPr="00F73A7E">
        <w:rPr>
          <w:lang w:val="en-US"/>
        </w:rPr>
        <w:t xml:space="preserve"> LTE. </w:t>
      </w:r>
      <w:r w:rsidR="00F73A7E">
        <w:t>Here it is assumed that the</w:t>
      </w:r>
      <w:r>
        <w:t xml:space="preserve"> 0.5 ms URLLC </w:t>
      </w:r>
      <w:r w:rsidRPr="00F73A7E">
        <w:rPr>
          <w:rFonts w:eastAsia="MS Mincho"/>
          <w:lang w:val="en-US"/>
        </w:rPr>
        <w:t>target for user plane latency needs to be valid simultaneously for both UL and DL traffic</w:t>
      </w:r>
      <w:r w:rsidR="00F73A7E">
        <w:rPr>
          <w:rFonts w:eastAsia="MS Mincho"/>
          <w:lang w:val="en-US"/>
        </w:rPr>
        <w:t>.</w:t>
      </w:r>
    </w:p>
    <w:p w14:paraId="6EFE6354" w14:textId="4BD5B2D8" w:rsidR="00F07D32" w:rsidRDefault="00E26849" w:rsidP="0019340B">
      <w:pPr>
        <w:jc w:val="center"/>
      </w:pPr>
      <w:r w:rsidRPr="00E26849">
        <w:rPr>
          <w:noProof/>
          <w:lang w:val="en-US"/>
        </w:rPr>
        <w:drawing>
          <wp:inline distT="0" distB="0" distL="0" distR="0" wp14:anchorId="398FB10E" wp14:editId="234A5574">
            <wp:extent cx="2730947" cy="19174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667" cy="1921428"/>
                    </a:xfrm>
                    <a:prstGeom prst="rect">
                      <a:avLst/>
                    </a:prstGeom>
                    <a:noFill/>
                    <a:ln>
                      <a:noFill/>
                    </a:ln>
                  </pic:spPr>
                </pic:pic>
              </a:graphicData>
            </a:graphic>
          </wp:inline>
        </w:drawing>
      </w:r>
    </w:p>
    <w:p w14:paraId="3035827B" w14:textId="3C9F9E99" w:rsidR="00F07D32" w:rsidRDefault="00E26849" w:rsidP="0019340B">
      <w:pPr>
        <w:pStyle w:val="Caption"/>
        <w:jc w:val="center"/>
        <w:rPr>
          <w:lang w:val="en-US"/>
        </w:rPr>
      </w:pPr>
      <w:r>
        <w:t xml:space="preserve">Figure </w:t>
      </w:r>
      <w:r>
        <w:fldChar w:fldCharType="begin"/>
      </w:r>
      <w:r>
        <w:instrText xml:space="preserve"> SEQ Figure \* ARABIC </w:instrText>
      </w:r>
      <w:r>
        <w:fldChar w:fldCharType="separate"/>
      </w:r>
      <w:r w:rsidR="00084FA4">
        <w:rPr>
          <w:noProof/>
        </w:rPr>
        <w:t>6</w:t>
      </w:r>
      <w:r>
        <w:rPr>
          <w:noProof/>
        </w:rPr>
        <w:fldChar w:fldCharType="end"/>
      </w:r>
      <w:r w:rsidRPr="007551C0">
        <w:rPr>
          <w:noProof/>
          <w:lang w:val="en-US"/>
        </w:rPr>
        <w:t>.</w:t>
      </w:r>
      <w:r w:rsidRPr="002B3A4F">
        <w:rPr>
          <w:b w:val="0"/>
          <w:lang w:val="en-US"/>
        </w:rPr>
        <w:t xml:space="preserve"> </w:t>
      </w:r>
      <w:r>
        <w:rPr>
          <w:lang w:val="en-US"/>
        </w:rPr>
        <w:t>Semi-static allocation of mini-slots (N=1, 15 kHz).</w:t>
      </w:r>
    </w:p>
    <w:p w14:paraId="353E6D57" w14:textId="77777777" w:rsidR="00E26849" w:rsidRPr="0019340B" w:rsidRDefault="00E26849" w:rsidP="00DD1B70">
      <w:pPr>
        <w:rPr>
          <w:lang w:val="en-US"/>
        </w:rPr>
      </w:pPr>
    </w:p>
    <w:p w14:paraId="0B83F32C" w14:textId="38E9DD96" w:rsidR="004E77B3" w:rsidRDefault="004E77B3" w:rsidP="004E77B3">
      <w:r>
        <w:t xml:space="preserve">It can be seen from </w:t>
      </w:r>
      <w:r w:rsidR="00D67F79">
        <w:t xml:space="preserve">Table 1 </w:t>
      </w:r>
      <w:r>
        <w:t xml:space="preserve">that the 0.5 ms URLLC requirement can be achieved </w:t>
      </w:r>
      <w:r w:rsidR="00073406">
        <w:t>with</w:t>
      </w:r>
      <w:r w:rsidR="00280984">
        <w:t xml:space="preserve"> </w:t>
      </w:r>
      <w:r w:rsidR="00073406">
        <w:t>~</w:t>
      </w:r>
      <w:r>
        <w:t xml:space="preserve">10x smaller processing times </w:t>
      </w:r>
      <w:r w:rsidR="00073406">
        <w:t>w.r.t</w:t>
      </w:r>
      <w:r w:rsidR="00B27710">
        <w:t>.</w:t>
      </w:r>
      <w:r>
        <w:t xml:space="preserve"> LTE</w:t>
      </w:r>
      <w:r w:rsidR="00073406">
        <w:t xml:space="preserve"> for both short and long symbol configurations</w:t>
      </w:r>
      <w:r>
        <w:t>. Similar analysis could also be done for UL with same conclusion.</w:t>
      </w:r>
    </w:p>
    <w:p w14:paraId="28EC3EA8" w14:textId="72B6B9C8" w:rsidR="00433D07" w:rsidRDefault="00433D07" w:rsidP="00433D07">
      <w:r>
        <w:rPr>
          <w:b/>
          <w:i/>
        </w:rPr>
        <w:t xml:space="preserve">Observation </w:t>
      </w:r>
      <w:r w:rsidRPr="00367367">
        <w:rPr>
          <w:b/>
          <w:i/>
        </w:rPr>
        <w:t>#</w:t>
      </w:r>
      <w:r w:rsidR="007C5994">
        <w:rPr>
          <w:b/>
          <w:i/>
        </w:rPr>
        <w:t>5</w:t>
      </w:r>
      <w:r>
        <w:t xml:space="preserve">: </w:t>
      </w:r>
      <w:r w:rsidRPr="00B27710">
        <w:rPr>
          <w:i/>
        </w:rPr>
        <w:t xml:space="preserve">It is possible to achieve the URLLC 0.5 ms user plane latency target with both short and long symbol configurations in case </w:t>
      </w:r>
      <w:r>
        <w:rPr>
          <w:i/>
        </w:rPr>
        <w:t xml:space="preserve">assuming </w:t>
      </w:r>
      <w:r w:rsidRPr="005A1C17">
        <w:rPr>
          <w:i/>
        </w:rPr>
        <w:t>~10x processing time improvement w.r.t LTE</w:t>
      </w:r>
      <w:r>
        <w:rPr>
          <w:i/>
        </w:rPr>
        <w:t>.</w:t>
      </w:r>
    </w:p>
    <w:p w14:paraId="7A18EA95" w14:textId="77777777" w:rsidR="00433D07" w:rsidRPr="00BA507A" w:rsidRDefault="00433D07" w:rsidP="004E77B3"/>
    <w:p w14:paraId="60148426" w14:textId="77777777" w:rsidR="004F06A3" w:rsidRDefault="004F06A3" w:rsidP="004E77B3">
      <w:pPr>
        <w:pStyle w:val="Caption"/>
        <w:jc w:val="center"/>
      </w:pPr>
    </w:p>
    <w:p w14:paraId="0E1E833E" w14:textId="77777777" w:rsidR="004F06A3" w:rsidRDefault="004F06A3" w:rsidP="004E77B3">
      <w:pPr>
        <w:pStyle w:val="Caption"/>
        <w:jc w:val="center"/>
      </w:pPr>
    </w:p>
    <w:p w14:paraId="208407B0" w14:textId="77777777" w:rsidR="00D67F79" w:rsidRPr="00DD1B70" w:rsidRDefault="00D67F79" w:rsidP="0019340B"/>
    <w:p w14:paraId="439DA868" w14:textId="77777777" w:rsidR="004E77B3" w:rsidRDefault="004E77B3" w:rsidP="004E77B3">
      <w:pPr>
        <w:pStyle w:val="Caption"/>
        <w:jc w:val="center"/>
      </w:pPr>
      <w:r>
        <w:t xml:space="preserve">Table </w:t>
      </w:r>
      <w:r w:rsidR="00FE729C">
        <w:fldChar w:fldCharType="begin"/>
      </w:r>
      <w:r w:rsidR="00FE729C">
        <w:instrText xml:space="preserve"> SEQ Table \* ARABIC </w:instrText>
      </w:r>
      <w:r w:rsidR="00FE729C">
        <w:fldChar w:fldCharType="separate"/>
      </w:r>
      <w:r w:rsidR="00A96E33">
        <w:rPr>
          <w:noProof/>
        </w:rPr>
        <w:t>1</w:t>
      </w:r>
      <w:r w:rsidR="00FE729C">
        <w:rPr>
          <w:noProof/>
        </w:rPr>
        <w:fldChar w:fldCharType="end"/>
      </w:r>
      <w:r w:rsidRPr="005E0167">
        <w:rPr>
          <w:lang w:val="en-US"/>
        </w:rPr>
        <w:t xml:space="preserve">. </w:t>
      </w:r>
      <w:r w:rsidRPr="000B2FEC">
        <w:t xml:space="preserve">U-plane latency analysis </w:t>
      </w:r>
      <w:r w:rsidRPr="000B2FEC">
        <w:rPr>
          <w:lang w:val="en-US"/>
        </w:rPr>
        <w:t>(</w:t>
      </w:r>
      <w:r w:rsidRPr="000B2FEC">
        <w:t>with 0% HARQ BLER</w:t>
      </w:r>
      <w:r w:rsidRPr="000B2FEC">
        <w:rPr>
          <w:lang w:val="en-US"/>
        </w:rPr>
        <w:t>)</w:t>
      </w:r>
      <w:r w:rsidR="00B272B0" w:rsidRPr="000B2FEC">
        <w:rPr>
          <w:lang w:val="en-US"/>
        </w:rPr>
        <w:t xml:space="preserve"> for DL</w:t>
      </w:r>
      <w:r w:rsidRPr="000B2FEC">
        <w:t>.</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693"/>
        <w:gridCol w:w="1985"/>
        <w:gridCol w:w="2126"/>
        <w:gridCol w:w="1134"/>
      </w:tblGrid>
      <w:tr w:rsidR="00F73A7E" w:rsidRPr="00705E07" w14:paraId="2C8B6724" w14:textId="77777777" w:rsidTr="00B272B0">
        <w:trPr>
          <w:jc w:val="center"/>
        </w:trPr>
        <w:tc>
          <w:tcPr>
            <w:tcW w:w="701" w:type="dxa"/>
            <w:shd w:val="clear" w:color="auto" w:fill="auto"/>
            <w:noWrap/>
          </w:tcPr>
          <w:p w14:paraId="1252712E" w14:textId="77777777" w:rsidR="00F73A7E" w:rsidRPr="00280984" w:rsidRDefault="00F73A7E" w:rsidP="00030D80">
            <w:pPr>
              <w:pStyle w:val="TAC"/>
              <w:rPr>
                <w:b/>
                <w:sz w:val="16"/>
              </w:rPr>
            </w:pPr>
            <w:r w:rsidRPr="00280984">
              <w:rPr>
                <w:b/>
                <w:sz w:val="16"/>
              </w:rPr>
              <w:t>Step</w:t>
            </w:r>
          </w:p>
        </w:tc>
        <w:tc>
          <w:tcPr>
            <w:tcW w:w="2693" w:type="dxa"/>
            <w:shd w:val="clear" w:color="auto" w:fill="auto"/>
          </w:tcPr>
          <w:p w14:paraId="7FCCAB8D" w14:textId="77777777" w:rsidR="00F73A7E" w:rsidRPr="00280984" w:rsidRDefault="00F73A7E" w:rsidP="00030D80">
            <w:pPr>
              <w:pStyle w:val="TAC"/>
              <w:rPr>
                <w:b/>
                <w:sz w:val="16"/>
              </w:rPr>
            </w:pPr>
            <w:r w:rsidRPr="00280984">
              <w:rPr>
                <w:b/>
                <w:sz w:val="16"/>
              </w:rPr>
              <w:t>Description</w:t>
            </w:r>
          </w:p>
        </w:tc>
        <w:tc>
          <w:tcPr>
            <w:tcW w:w="1985" w:type="dxa"/>
          </w:tcPr>
          <w:p w14:paraId="69DE491D" w14:textId="7EE68F51" w:rsidR="00F73A7E" w:rsidRPr="00280984" w:rsidRDefault="0032612F" w:rsidP="00DD1B70">
            <w:pPr>
              <w:pStyle w:val="TAC"/>
              <w:rPr>
                <w:b/>
                <w:sz w:val="16"/>
              </w:rPr>
            </w:pPr>
            <w:r>
              <w:rPr>
                <w:b/>
                <w:sz w:val="16"/>
              </w:rPr>
              <w:t>NR</w:t>
            </w:r>
            <w:r w:rsidR="00F73A7E" w:rsidRPr="00280984">
              <w:rPr>
                <w:b/>
                <w:sz w:val="16"/>
              </w:rPr>
              <w:t xml:space="preserve"> short symbol (</w:t>
            </w:r>
            <w:r w:rsidR="00E26849">
              <w:rPr>
                <w:b/>
                <w:sz w:val="16"/>
              </w:rPr>
              <w:t>60 kHz SCS</w:t>
            </w:r>
            <w:r w:rsidR="00F73A7E" w:rsidRPr="00280984">
              <w:rPr>
                <w:b/>
                <w:sz w:val="16"/>
              </w:rPr>
              <w:t xml:space="preserve">) / bi-directional </w:t>
            </w:r>
            <w:r w:rsidR="00631257">
              <w:rPr>
                <w:b/>
                <w:sz w:val="16"/>
              </w:rPr>
              <w:t>slot</w:t>
            </w:r>
          </w:p>
        </w:tc>
        <w:tc>
          <w:tcPr>
            <w:tcW w:w="2126" w:type="dxa"/>
          </w:tcPr>
          <w:p w14:paraId="0FA7D859" w14:textId="6E150FBB" w:rsidR="00F73A7E" w:rsidRPr="0019340B" w:rsidRDefault="0032612F" w:rsidP="00DD1B70">
            <w:pPr>
              <w:pStyle w:val="TAC"/>
              <w:rPr>
                <w:b/>
                <w:sz w:val="16"/>
              </w:rPr>
            </w:pPr>
            <w:r w:rsidRPr="0019340B">
              <w:rPr>
                <w:b/>
                <w:sz w:val="16"/>
              </w:rPr>
              <w:t>NR</w:t>
            </w:r>
            <w:r w:rsidR="00F73A7E" w:rsidRPr="0019340B">
              <w:rPr>
                <w:b/>
                <w:sz w:val="16"/>
              </w:rPr>
              <w:t xml:space="preserve"> long symbol (</w:t>
            </w:r>
            <w:r w:rsidR="00E26849">
              <w:rPr>
                <w:b/>
                <w:sz w:val="16"/>
              </w:rPr>
              <w:t>15 kHz SCS</w:t>
            </w:r>
            <w:r w:rsidR="00F73A7E" w:rsidRPr="0019340B">
              <w:rPr>
                <w:b/>
                <w:sz w:val="16"/>
              </w:rPr>
              <w:t xml:space="preserve">) / </w:t>
            </w:r>
            <w:r w:rsidR="00AB1671" w:rsidRPr="0019340B">
              <w:rPr>
                <w:b/>
                <w:sz w:val="16"/>
              </w:rPr>
              <w:t>mini-slot length = 1</w:t>
            </w:r>
            <w:r w:rsidR="00E26849">
              <w:rPr>
                <w:b/>
                <w:sz w:val="16"/>
              </w:rPr>
              <w:t xml:space="preserve"> OFDMA symbol</w:t>
            </w:r>
          </w:p>
        </w:tc>
        <w:tc>
          <w:tcPr>
            <w:tcW w:w="1134" w:type="dxa"/>
          </w:tcPr>
          <w:p w14:paraId="352376A5" w14:textId="77777777" w:rsidR="00F73A7E" w:rsidRPr="00280984" w:rsidRDefault="00F73A7E" w:rsidP="003173BA">
            <w:pPr>
              <w:pStyle w:val="TAC"/>
              <w:rPr>
                <w:b/>
                <w:sz w:val="16"/>
              </w:rPr>
            </w:pPr>
            <w:r w:rsidRPr="00280984">
              <w:rPr>
                <w:b/>
                <w:sz w:val="16"/>
              </w:rPr>
              <w:t xml:space="preserve">LTE DL </w:t>
            </w:r>
            <w:r w:rsidRPr="00280984">
              <w:rPr>
                <w:sz w:val="16"/>
              </w:rPr>
              <w:t>[</w:t>
            </w:r>
            <w:r w:rsidR="003173BA">
              <w:rPr>
                <w:sz w:val="16"/>
              </w:rPr>
              <w:t>4</w:t>
            </w:r>
            <w:r w:rsidRPr="00280984">
              <w:rPr>
                <w:sz w:val="16"/>
              </w:rPr>
              <w:t>]</w:t>
            </w:r>
          </w:p>
        </w:tc>
      </w:tr>
      <w:tr w:rsidR="00F73A7E" w:rsidRPr="00705E07" w14:paraId="0C9B1ECB" w14:textId="77777777" w:rsidTr="00B272B0">
        <w:trPr>
          <w:jc w:val="center"/>
        </w:trPr>
        <w:tc>
          <w:tcPr>
            <w:tcW w:w="701" w:type="dxa"/>
            <w:shd w:val="clear" w:color="auto" w:fill="auto"/>
            <w:noWrap/>
          </w:tcPr>
          <w:p w14:paraId="7B00A9B0" w14:textId="77777777" w:rsidR="00F73A7E" w:rsidRPr="00280984" w:rsidRDefault="00F73A7E" w:rsidP="00030D80">
            <w:pPr>
              <w:pStyle w:val="TAC"/>
              <w:rPr>
                <w:sz w:val="16"/>
              </w:rPr>
            </w:pPr>
          </w:p>
        </w:tc>
        <w:tc>
          <w:tcPr>
            <w:tcW w:w="2693" w:type="dxa"/>
            <w:shd w:val="clear" w:color="auto" w:fill="auto"/>
          </w:tcPr>
          <w:p w14:paraId="637ACE6E" w14:textId="77777777" w:rsidR="00F73A7E" w:rsidRPr="00280984" w:rsidRDefault="00F73A7E" w:rsidP="00030D80">
            <w:pPr>
              <w:pStyle w:val="TAC"/>
              <w:rPr>
                <w:sz w:val="16"/>
              </w:rPr>
            </w:pPr>
            <w:r w:rsidRPr="00280984">
              <w:rPr>
                <w:sz w:val="16"/>
              </w:rPr>
              <w:t>Processing time reduction vs LTE</w:t>
            </w:r>
          </w:p>
        </w:tc>
        <w:tc>
          <w:tcPr>
            <w:tcW w:w="1985" w:type="dxa"/>
          </w:tcPr>
          <w:p w14:paraId="794E37C9" w14:textId="77777777" w:rsidR="00F73A7E" w:rsidRPr="00280984" w:rsidRDefault="00F73A7E" w:rsidP="00030D80">
            <w:pPr>
              <w:pStyle w:val="TAC"/>
              <w:rPr>
                <w:sz w:val="16"/>
              </w:rPr>
            </w:pPr>
            <w:r w:rsidRPr="00280984">
              <w:rPr>
                <w:sz w:val="16"/>
              </w:rPr>
              <w:t>10x</w:t>
            </w:r>
          </w:p>
        </w:tc>
        <w:tc>
          <w:tcPr>
            <w:tcW w:w="2126" w:type="dxa"/>
          </w:tcPr>
          <w:p w14:paraId="48BF1474" w14:textId="77777777" w:rsidR="00F73A7E" w:rsidRPr="0019340B" w:rsidRDefault="00F73A7E" w:rsidP="00030D80">
            <w:pPr>
              <w:pStyle w:val="TAC"/>
              <w:rPr>
                <w:sz w:val="16"/>
              </w:rPr>
            </w:pPr>
            <w:r w:rsidRPr="0019340B">
              <w:rPr>
                <w:sz w:val="16"/>
              </w:rPr>
              <w:t>~9x</w:t>
            </w:r>
          </w:p>
        </w:tc>
        <w:tc>
          <w:tcPr>
            <w:tcW w:w="1134" w:type="dxa"/>
          </w:tcPr>
          <w:p w14:paraId="6580787C" w14:textId="77777777" w:rsidR="00F73A7E" w:rsidRPr="00280984" w:rsidRDefault="00F73A7E" w:rsidP="00030D80">
            <w:pPr>
              <w:pStyle w:val="TAC"/>
              <w:rPr>
                <w:sz w:val="16"/>
              </w:rPr>
            </w:pPr>
            <w:r w:rsidRPr="00280984">
              <w:rPr>
                <w:sz w:val="16"/>
              </w:rPr>
              <w:t>N/A</w:t>
            </w:r>
          </w:p>
        </w:tc>
      </w:tr>
      <w:tr w:rsidR="00F73A7E" w:rsidRPr="00705E07" w14:paraId="335995B0" w14:textId="77777777" w:rsidTr="00B272B0">
        <w:trPr>
          <w:jc w:val="center"/>
        </w:trPr>
        <w:tc>
          <w:tcPr>
            <w:tcW w:w="701" w:type="dxa"/>
            <w:shd w:val="clear" w:color="auto" w:fill="auto"/>
            <w:noWrap/>
          </w:tcPr>
          <w:p w14:paraId="35F8FAE2" w14:textId="77777777" w:rsidR="00F73A7E" w:rsidRPr="00280984" w:rsidRDefault="00F73A7E" w:rsidP="00030D80">
            <w:pPr>
              <w:pStyle w:val="TAC"/>
              <w:rPr>
                <w:sz w:val="16"/>
              </w:rPr>
            </w:pPr>
            <w:r w:rsidRPr="00280984">
              <w:rPr>
                <w:rFonts w:hint="eastAsia"/>
                <w:sz w:val="16"/>
              </w:rPr>
              <w:t>1</w:t>
            </w:r>
          </w:p>
        </w:tc>
        <w:tc>
          <w:tcPr>
            <w:tcW w:w="2693" w:type="dxa"/>
            <w:shd w:val="clear" w:color="auto" w:fill="auto"/>
          </w:tcPr>
          <w:p w14:paraId="2BBD7F3A" w14:textId="77777777" w:rsidR="00F73A7E" w:rsidRPr="00280984" w:rsidRDefault="00B3324B" w:rsidP="00030D80">
            <w:pPr>
              <w:pStyle w:val="TAC"/>
              <w:rPr>
                <w:sz w:val="16"/>
              </w:rPr>
            </w:pPr>
            <w:r>
              <w:rPr>
                <w:sz w:val="16"/>
              </w:rPr>
              <w:t>BS</w:t>
            </w:r>
            <w:r w:rsidR="00F73A7E" w:rsidRPr="00280984">
              <w:rPr>
                <w:rFonts w:hint="eastAsia"/>
                <w:sz w:val="16"/>
              </w:rPr>
              <w:t xml:space="preserve"> Processing Delay</w:t>
            </w:r>
          </w:p>
        </w:tc>
        <w:tc>
          <w:tcPr>
            <w:tcW w:w="1985" w:type="dxa"/>
          </w:tcPr>
          <w:p w14:paraId="1FC6A6B8" w14:textId="77777777" w:rsidR="00F73A7E" w:rsidRPr="00280984" w:rsidRDefault="00F73A7E" w:rsidP="00030D80">
            <w:pPr>
              <w:pStyle w:val="TAC"/>
              <w:rPr>
                <w:sz w:val="16"/>
              </w:rPr>
            </w:pPr>
            <w:r w:rsidRPr="00280984">
              <w:rPr>
                <w:sz w:val="16"/>
              </w:rPr>
              <w:t>100 us</w:t>
            </w:r>
          </w:p>
        </w:tc>
        <w:tc>
          <w:tcPr>
            <w:tcW w:w="2126" w:type="dxa"/>
          </w:tcPr>
          <w:p w14:paraId="22F6A1BC" w14:textId="77777777" w:rsidR="00F73A7E" w:rsidRPr="0019340B" w:rsidRDefault="00F73A7E" w:rsidP="00030D80">
            <w:pPr>
              <w:pStyle w:val="TAC"/>
              <w:rPr>
                <w:sz w:val="16"/>
              </w:rPr>
            </w:pPr>
            <w:r w:rsidRPr="0019340B">
              <w:rPr>
                <w:sz w:val="16"/>
              </w:rPr>
              <w:t>114.3 us</w:t>
            </w:r>
          </w:p>
        </w:tc>
        <w:tc>
          <w:tcPr>
            <w:tcW w:w="1134" w:type="dxa"/>
          </w:tcPr>
          <w:p w14:paraId="6AA7684F" w14:textId="77777777" w:rsidR="00F73A7E" w:rsidRPr="00280984" w:rsidRDefault="00F73A7E" w:rsidP="00030D80">
            <w:pPr>
              <w:pStyle w:val="TAC"/>
              <w:rPr>
                <w:sz w:val="16"/>
              </w:rPr>
            </w:pPr>
            <w:r w:rsidRPr="00280984">
              <w:rPr>
                <w:sz w:val="16"/>
              </w:rPr>
              <w:t>1 ms</w:t>
            </w:r>
          </w:p>
        </w:tc>
      </w:tr>
      <w:tr w:rsidR="00F73A7E" w:rsidRPr="00705E07" w14:paraId="7FB9E9CD" w14:textId="77777777" w:rsidTr="00B272B0">
        <w:trPr>
          <w:jc w:val="center"/>
        </w:trPr>
        <w:tc>
          <w:tcPr>
            <w:tcW w:w="701" w:type="dxa"/>
            <w:shd w:val="clear" w:color="auto" w:fill="auto"/>
            <w:noWrap/>
          </w:tcPr>
          <w:p w14:paraId="0ED04580" w14:textId="77777777" w:rsidR="00F73A7E" w:rsidRPr="00280984" w:rsidRDefault="00F73A7E" w:rsidP="00030D80">
            <w:pPr>
              <w:pStyle w:val="TAC"/>
              <w:rPr>
                <w:sz w:val="16"/>
              </w:rPr>
            </w:pPr>
            <w:r w:rsidRPr="00280984">
              <w:rPr>
                <w:rFonts w:hint="eastAsia"/>
                <w:sz w:val="16"/>
              </w:rPr>
              <w:t>2</w:t>
            </w:r>
          </w:p>
        </w:tc>
        <w:tc>
          <w:tcPr>
            <w:tcW w:w="2693" w:type="dxa"/>
            <w:shd w:val="clear" w:color="auto" w:fill="auto"/>
          </w:tcPr>
          <w:p w14:paraId="6706FAB1" w14:textId="77777777" w:rsidR="00F73A7E" w:rsidRPr="00280984" w:rsidRDefault="00F73A7E" w:rsidP="00030D80">
            <w:pPr>
              <w:pStyle w:val="TAC"/>
              <w:rPr>
                <w:sz w:val="16"/>
              </w:rPr>
            </w:pPr>
            <w:r w:rsidRPr="00280984">
              <w:rPr>
                <w:rFonts w:hint="eastAsia"/>
                <w:sz w:val="16"/>
              </w:rPr>
              <w:t>Frame Alignment</w:t>
            </w:r>
          </w:p>
        </w:tc>
        <w:tc>
          <w:tcPr>
            <w:tcW w:w="1985" w:type="dxa"/>
          </w:tcPr>
          <w:p w14:paraId="11CC452D" w14:textId="77777777" w:rsidR="00F73A7E" w:rsidRPr="00280984" w:rsidRDefault="00F73A7E" w:rsidP="00030D80">
            <w:pPr>
              <w:pStyle w:val="TAC"/>
              <w:rPr>
                <w:sz w:val="16"/>
              </w:rPr>
            </w:pPr>
            <w:r w:rsidRPr="00280984">
              <w:rPr>
                <w:sz w:val="16"/>
              </w:rPr>
              <w:t>125 us</w:t>
            </w:r>
          </w:p>
        </w:tc>
        <w:tc>
          <w:tcPr>
            <w:tcW w:w="2126" w:type="dxa"/>
          </w:tcPr>
          <w:p w14:paraId="64867FE6" w14:textId="77777777" w:rsidR="00F73A7E" w:rsidRPr="0019340B" w:rsidRDefault="00F73A7E" w:rsidP="00030D80">
            <w:pPr>
              <w:pStyle w:val="TAC"/>
              <w:rPr>
                <w:sz w:val="16"/>
              </w:rPr>
            </w:pPr>
            <w:r w:rsidRPr="0019340B">
              <w:rPr>
                <w:sz w:val="16"/>
              </w:rPr>
              <w:t>142.9 us</w:t>
            </w:r>
          </w:p>
        </w:tc>
        <w:tc>
          <w:tcPr>
            <w:tcW w:w="1134" w:type="dxa"/>
          </w:tcPr>
          <w:p w14:paraId="16E58F5F" w14:textId="77777777" w:rsidR="00F73A7E" w:rsidRPr="00280984" w:rsidRDefault="00F73A7E" w:rsidP="00030D80">
            <w:pPr>
              <w:pStyle w:val="TAC"/>
              <w:rPr>
                <w:sz w:val="16"/>
              </w:rPr>
            </w:pPr>
            <w:r w:rsidRPr="00280984">
              <w:rPr>
                <w:rFonts w:hint="eastAsia"/>
                <w:sz w:val="16"/>
              </w:rPr>
              <w:t>0.6</w:t>
            </w:r>
            <w:r w:rsidRPr="00280984">
              <w:rPr>
                <w:sz w:val="16"/>
              </w:rPr>
              <w:t xml:space="preserve">-1.7 </w:t>
            </w:r>
            <w:r w:rsidRPr="00280984">
              <w:rPr>
                <w:rFonts w:hint="eastAsia"/>
                <w:sz w:val="16"/>
              </w:rPr>
              <w:t>ms</w:t>
            </w:r>
          </w:p>
        </w:tc>
      </w:tr>
      <w:tr w:rsidR="00F73A7E" w:rsidRPr="00705E07" w14:paraId="7DD9E860" w14:textId="77777777" w:rsidTr="00B272B0">
        <w:trPr>
          <w:jc w:val="center"/>
        </w:trPr>
        <w:tc>
          <w:tcPr>
            <w:tcW w:w="701" w:type="dxa"/>
            <w:shd w:val="clear" w:color="auto" w:fill="auto"/>
            <w:noWrap/>
          </w:tcPr>
          <w:p w14:paraId="1A4B69D1" w14:textId="77777777" w:rsidR="00F73A7E" w:rsidRPr="00280984" w:rsidRDefault="00F73A7E" w:rsidP="00030D80">
            <w:pPr>
              <w:pStyle w:val="TAC"/>
              <w:rPr>
                <w:sz w:val="16"/>
              </w:rPr>
            </w:pPr>
            <w:r w:rsidRPr="00280984">
              <w:rPr>
                <w:rFonts w:hint="eastAsia"/>
                <w:sz w:val="16"/>
              </w:rPr>
              <w:t>3</w:t>
            </w:r>
          </w:p>
        </w:tc>
        <w:tc>
          <w:tcPr>
            <w:tcW w:w="2693" w:type="dxa"/>
            <w:shd w:val="clear" w:color="auto" w:fill="auto"/>
          </w:tcPr>
          <w:p w14:paraId="5A2732A4" w14:textId="77777777" w:rsidR="00F73A7E" w:rsidRPr="00280984" w:rsidRDefault="00F73A7E" w:rsidP="00030D80">
            <w:pPr>
              <w:pStyle w:val="TAC"/>
              <w:rPr>
                <w:sz w:val="16"/>
              </w:rPr>
            </w:pPr>
            <w:r w:rsidRPr="00280984">
              <w:rPr>
                <w:rFonts w:hint="eastAsia"/>
                <w:sz w:val="16"/>
              </w:rPr>
              <w:t>TTI duration</w:t>
            </w:r>
          </w:p>
        </w:tc>
        <w:tc>
          <w:tcPr>
            <w:tcW w:w="1985" w:type="dxa"/>
          </w:tcPr>
          <w:p w14:paraId="2CCEB4DE" w14:textId="77777777" w:rsidR="00F73A7E" w:rsidRPr="00280984" w:rsidRDefault="00F73A7E" w:rsidP="00030D80">
            <w:pPr>
              <w:pStyle w:val="TAC"/>
              <w:rPr>
                <w:sz w:val="16"/>
              </w:rPr>
            </w:pPr>
            <w:r w:rsidRPr="00280984">
              <w:rPr>
                <w:sz w:val="16"/>
              </w:rPr>
              <w:t>125 us</w:t>
            </w:r>
          </w:p>
        </w:tc>
        <w:tc>
          <w:tcPr>
            <w:tcW w:w="2126" w:type="dxa"/>
          </w:tcPr>
          <w:p w14:paraId="10FD62B9" w14:textId="77777777" w:rsidR="00F73A7E" w:rsidRPr="0019340B" w:rsidRDefault="00F73A7E" w:rsidP="00030D80">
            <w:pPr>
              <w:pStyle w:val="TAC"/>
              <w:rPr>
                <w:sz w:val="16"/>
              </w:rPr>
            </w:pPr>
            <w:r w:rsidRPr="0019340B">
              <w:rPr>
                <w:sz w:val="16"/>
              </w:rPr>
              <w:t>71.4 us</w:t>
            </w:r>
          </w:p>
        </w:tc>
        <w:tc>
          <w:tcPr>
            <w:tcW w:w="1134" w:type="dxa"/>
          </w:tcPr>
          <w:p w14:paraId="63C0FDEA" w14:textId="77777777" w:rsidR="00F73A7E" w:rsidRPr="00280984" w:rsidRDefault="00F73A7E" w:rsidP="00030D80">
            <w:pPr>
              <w:pStyle w:val="TAC"/>
              <w:rPr>
                <w:sz w:val="16"/>
              </w:rPr>
            </w:pPr>
            <w:r w:rsidRPr="00280984">
              <w:rPr>
                <w:sz w:val="16"/>
              </w:rPr>
              <w:t>1 ms</w:t>
            </w:r>
          </w:p>
        </w:tc>
      </w:tr>
      <w:tr w:rsidR="00F73A7E" w:rsidRPr="00705E07" w14:paraId="2A2BB2C3" w14:textId="77777777" w:rsidTr="00B272B0">
        <w:trPr>
          <w:jc w:val="center"/>
        </w:trPr>
        <w:tc>
          <w:tcPr>
            <w:tcW w:w="701" w:type="dxa"/>
            <w:shd w:val="clear" w:color="auto" w:fill="auto"/>
            <w:noWrap/>
          </w:tcPr>
          <w:p w14:paraId="2BB49A12" w14:textId="77777777" w:rsidR="00F73A7E" w:rsidRPr="00280984" w:rsidRDefault="00F73A7E" w:rsidP="00030D80">
            <w:pPr>
              <w:pStyle w:val="TAC"/>
              <w:rPr>
                <w:sz w:val="16"/>
              </w:rPr>
            </w:pPr>
            <w:r w:rsidRPr="00280984">
              <w:rPr>
                <w:sz w:val="16"/>
              </w:rPr>
              <w:t>4</w:t>
            </w:r>
          </w:p>
        </w:tc>
        <w:tc>
          <w:tcPr>
            <w:tcW w:w="2693" w:type="dxa"/>
            <w:shd w:val="clear" w:color="auto" w:fill="auto"/>
          </w:tcPr>
          <w:p w14:paraId="4A876D4B" w14:textId="77777777" w:rsidR="00F73A7E" w:rsidRPr="00280984" w:rsidRDefault="00F73A7E" w:rsidP="00030D80">
            <w:pPr>
              <w:pStyle w:val="TAC"/>
              <w:rPr>
                <w:sz w:val="16"/>
              </w:rPr>
            </w:pPr>
            <w:r w:rsidRPr="00280984">
              <w:rPr>
                <w:rFonts w:hint="eastAsia"/>
                <w:sz w:val="16"/>
              </w:rPr>
              <w:t>UE Processing Delay</w:t>
            </w:r>
          </w:p>
        </w:tc>
        <w:tc>
          <w:tcPr>
            <w:tcW w:w="1985" w:type="dxa"/>
          </w:tcPr>
          <w:p w14:paraId="4878BE65" w14:textId="77777777" w:rsidR="00F73A7E" w:rsidRPr="00280984" w:rsidRDefault="00F73A7E" w:rsidP="00030D80">
            <w:pPr>
              <w:pStyle w:val="TAC"/>
              <w:rPr>
                <w:sz w:val="16"/>
              </w:rPr>
            </w:pPr>
            <w:r w:rsidRPr="00280984">
              <w:rPr>
                <w:sz w:val="16"/>
              </w:rPr>
              <w:t>150 us</w:t>
            </w:r>
          </w:p>
        </w:tc>
        <w:tc>
          <w:tcPr>
            <w:tcW w:w="2126" w:type="dxa"/>
          </w:tcPr>
          <w:p w14:paraId="5B2D14F6" w14:textId="77777777" w:rsidR="00F73A7E" w:rsidRPr="0019340B" w:rsidRDefault="00F73A7E" w:rsidP="00030D80">
            <w:pPr>
              <w:pStyle w:val="TAC"/>
              <w:rPr>
                <w:sz w:val="16"/>
              </w:rPr>
            </w:pPr>
            <w:r w:rsidRPr="0019340B">
              <w:rPr>
                <w:sz w:val="16"/>
              </w:rPr>
              <w:t>171.4 us</w:t>
            </w:r>
          </w:p>
        </w:tc>
        <w:tc>
          <w:tcPr>
            <w:tcW w:w="1134" w:type="dxa"/>
          </w:tcPr>
          <w:p w14:paraId="6B8A0D43" w14:textId="77777777" w:rsidR="00F73A7E" w:rsidRPr="00280984" w:rsidRDefault="00F73A7E" w:rsidP="00030D80">
            <w:pPr>
              <w:pStyle w:val="TAC"/>
              <w:rPr>
                <w:sz w:val="16"/>
              </w:rPr>
            </w:pPr>
            <w:r w:rsidRPr="00280984">
              <w:rPr>
                <w:sz w:val="16"/>
              </w:rPr>
              <w:t>1.5 ms</w:t>
            </w:r>
          </w:p>
        </w:tc>
      </w:tr>
      <w:tr w:rsidR="00F73A7E" w:rsidRPr="00705E07" w14:paraId="4A6F3121" w14:textId="77777777" w:rsidTr="00B272B0">
        <w:trPr>
          <w:jc w:val="center"/>
        </w:trPr>
        <w:tc>
          <w:tcPr>
            <w:tcW w:w="701" w:type="dxa"/>
            <w:noWrap/>
          </w:tcPr>
          <w:p w14:paraId="69759A36" w14:textId="77777777" w:rsidR="00F73A7E" w:rsidRPr="00280984" w:rsidRDefault="00F73A7E" w:rsidP="00030D80">
            <w:pPr>
              <w:pStyle w:val="TAC"/>
              <w:rPr>
                <w:color w:val="FF0000"/>
                <w:sz w:val="16"/>
              </w:rPr>
            </w:pPr>
          </w:p>
        </w:tc>
        <w:tc>
          <w:tcPr>
            <w:tcW w:w="2693" w:type="dxa"/>
          </w:tcPr>
          <w:p w14:paraId="5FA9EC5F" w14:textId="77777777" w:rsidR="00F73A7E" w:rsidRPr="00280984" w:rsidRDefault="00F73A7E" w:rsidP="00030D80">
            <w:pPr>
              <w:pStyle w:val="TAC"/>
              <w:rPr>
                <w:b/>
                <w:bCs/>
                <w:sz w:val="16"/>
              </w:rPr>
            </w:pPr>
            <w:r w:rsidRPr="00280984">
              <w:rPr>
                <w:b/>
                <w:bCs/>
                <w:sz w:val="16"/>
              </w:rPr>
              <w:t xml:space="preserve">Total </w:t>
            </w:r>
            <w:r w:rsidRPr="00280984">
              <w:rPr>
                <w:rFonts w:hint="eastAsia"/>
                <w:b/>
                <w:bCs/>
                <w:sz w:val="16"/>
              </w:rPr>
              <w:t>one way delay</w:t>
            </w:r>
          </w:p>
        </w:tc>
        <w:tc>
          <w:tcPr>
            <w:tcW w:w="1985" w:type="dxa"/>
          </w:tcPr>
          <w:p w14:paraId="14DDE1CA" w14:textId="77777777" w:rsidR="00F73A7E" w:rsidRPr="00280984" w:rsidRDefault="00F73A7E" w:rsidP="00030D80">
            <w:pPr>
              <w:pStyle w:val="TAC"/>
              <w:rPr>
                <w:b/>
                <w:bCs/>
                <w:sz w:val="16"/>
              </w:rPr>
            </w:pPr>
            <w:r w:rsidRPr="00280984">
              <w:rPr>
                <w:b/>
                <w:bCs/>
                <w:sz w:val="16"/>
              </w:rPr>
              <w:t>500 us</w:t>
            </w:r>
          </w:p>
        </w:tc>
        <w:tc>
          <w:tcPr>
            <w:tcW w:w="2126" w:type="dxa"/>
          </w:tcPr>
          <w:p w14:paraId="1F2BBDBA" w14:textId="77777777" w:rsidR="00F73A7E" w:rsidRPr="0019340B" w:rsidRDefault="00F73A7E" w:rsidP="00030D80">
            <w:pPr>
              <w:pStyle w:val="TAC"/>
              <w:rPr>
                <w:b/>
                <w:bCs/>
                <w:sz w:val="16"/>
              </w:rPr>
            </w:pPr>
            <w:r w:rsidRPr="0019340B">
              <w:rPr>
                <w:b/>
                <w:bCs/>
                <w:sz w:val="16"/>
              </w:rPr>
              <w:t>500 us</w:t>
            </w:r>
          </w:p>
        </w:tc>
        <w:tc>
          <w:tcPr>
            <w:tcW w:w="1134" w:type="dxa"/>
          </w:tcPr>
          <w:p w14:paraId="6C1A5D03" w14:textId="77777777" w:rsidR="00F73A7E" w:rsidRPr="00280984" w:rsidRDefault="00F73A7E" w:rsidP="00030D80">
            <w:pPr>
              <w:pStyle w:val="TAC"/>
              <w:rPr>
                <w:b/>
                <w:bCs/>
                <w:sz w:val="16"/>
              </w:rPr>
            </w:pPr>
            <w:r w:rsidRPr="00280984">
              <w:rPr>
                <w:rFonts w:hint="eastAsia"/>
                <w:b/>
                <w:bCs/>
                <w:sz w:val="16"/>
              </w:rPr>
              <w:t>4.1</w:t>
            </w:r>
            <w:r w:rsidRPr="00280984">
              <w:rPr>
                <w:b/>
                <w:bCs/>
                <w:sz w:val="16"/>
              </w:rPr>
              <w:t xml:space="preserve">-5.2 </w:t>
            </w:r>
            <w:r w:rsidRPr="00280984">
              <w:rPr>
                <w:rFonts w:hint="eastAsia"/>
                <w:b/>
                <w:bCs/>
                <w:sz w:val="16"/>
              </w:rPr>
              <w:t>ms</w:t>
            </w:r>
          </w:p>
        </w:tc>
      </w:tr>
    </w:tbl>
    <w:p w14:paraId="26BC8E57" w14:textId="77777777" w:rsidR="00073406" w:rsidRDefault="00073406" w:rsidP="004E77B3"/>
    <w:p w14:paraId="0841FB5B" w14:textId="39097C22" w:rsidR="002E7507" w:rsidRDefault="002E7507" w:rsidP="002E7507">
      <w:r>
        <w:t xml:space="preserve">Time diagram for UE initiated scheduling latency is illustrated in </w:t>
      </w:r>
      <w:r w:rsidR="00D67F79">
        <w:t>Figure 8</w:t>
      </w:r>
      <w:r>
        <w:t xml:space="preserve"> and respective analysis is given in </w:t>
      </w:r>
      <w:r w:rsidR="004D2B01">
        <w:fldChar w:fldCharType="begin"/>
      </w:r>
      <w:r>
        <w:instrText xml:space="preserve"> REF _Ref458161253 \h </w:instrText>
      </w:r>
      <w:r w:rsidR="004D2B01">
        <w:fldChar w:fldCharType="separate"/>
      </w:r>
      <w:r w:rsidR="00A96E33">
        <w:t xml:space="preserve">Table </w:t>
      </w:r>
      <w:r w:rsidR="00A96E33">
        <w:rPr>
          <w:noProof/>
        </w:rPr>
        <w:t>2</w:t>
      </w:r>
      <w:r w:rsidR="004D2B01">
        <w:fldChar w:fldCharType="end"/>
      </w:r>
      <w:r>
        <w:t xml:space="preserve">.    It can be </w:t>
      </w:r>
      <w:r w:rsidR="00B27710">
        <w:t>noted that it is</w:t>
      </w:r>
      <w:r w:rsidR="00B27710" w:rsidRPr="00B27710">
        <w:t xml:space="preserve"> possible to achieve the URLLC latency target (0.5 ms) also with scheduled UE initiated access with short symbol configurations assuming ~10x processing time improvement w.r.t</w:t>
      </w:r>
      <w:r w:rsidR="00B27710">
        <w:t>.</w:t>
      </w:r>
      <w:r w:rsidR="00B27710" w:rsidRPr="00B27710">
        <w:t xml:space="preserve"> LTE</w:t>
      </w:r>
      <w:r w:rsidR="00B27710">
        <w:t>.</w:t>
      </w:r>
      <w:r w:rsidR="00D44C0E">
        <w:t xml:space="preserve"> </w:t>
      </w:r>
      <w:r w:rsidR="00D44C0E" w:rsidRPr="00D44C0E">
        <w:t>Furthermore, using SPS instead of dynamic scheduling for URLLC, it is possible to further re</w:t>
      </w:r>
      <w:r w:rsidR="00D44C0E">
        <w:t xml:space="preserve">duce the one way latency or to </w:t>
      </w:r>
      <w:r w:rsidR="00D44C0E" w:rsidRPr="00D44C0E">
        <w:t>loosen the UE processing delay requirements</w:t>
      </w:r>
      <w:r w:rsidR="00D44C0E">
        <w:t xml:space="preserve"> [7].</w:t>
      </w:r>
    </w:p>
    <w:p w14:paraId="6654981D" w14:textId="5A3E7BBD" w:rsidR="00AB1671" w:rsidRDefault="00AB1671" w:rsidP="00AB1671">
      <w:r>
        <w:rPr>
          <w:b/>
          <w:i/>
        </w:rPr>
        <w:t xml:space="preserve">Observation </w:t>
      </w:r>
      <w:r w:rsidRPr="005A1C17">
        <w:rPr>
          <w:b/>
          <w:i/>
        </w:rPr>
        <w:t>#</w:t>
      </w:r>
      <w:r w:rsidR="007C5994">
        <w:rPr>
          <w:b/>
          <w:i/>
        </w:rPr>
        <w:t>6</w:t>
      </w:r>
      <w:r>
        <w:t xml:space="preserve">: </w:t>
      </w:r>
      <w:r w:rsidRPr="005A1C17">
        <w:rPr>
          <w:i/>
        </w:rPr>
        <w:t xml:space="preserve">It is possible to achieve the URLLC </w:t>
      </w:r>
      <w:r>
        <w:rPr>
          <w:i/>
        </w:rPr>
        <w:t xml:space="preserve">latency target (0.5 ms) also with scheduled </w:t>
      </w:r>
      <w:r w:rsidRPr="005A1C17">
        <w:rPr>
          <w:i/>
        </w:rPr>
        <w:t>UE init</w:t>
      </w:r>
      <w:r>
        <w:rPr>
          <w:i/>
        </w:rPr>
        <w:t>i</w:t>
      </w:r>
      <w:r w:rsidRPr="005A1C17">
        <w:rPr>
          <w:i/>
        </w:rPr>
        <w:t xml:space="preserve">ated </w:t>
      </w:r>
      <w:r>
        <w:rPr>
          <w:i/>
        </w:rPr>
        <w:t>access</w:t>
      </w:r>
      <w:r w:rsidRPr="005A1C17">
        <w:rPr>
          <w:i/>
        </w:rPr>
        <w:t xml:space="preserve"> with short symbol configurations </w:t>
      </w:r>
      <w:r>
        <w:rPr>
          <w:i/>
        </w:rPr>
        <w:t xml:space="preserve">assuming </w:t>
      </w:r>
      <w:r w:rsidRPr="005A1C17">
        <w:rPr>
          <w:i/>
        </w:rPr>
        <w:t>~10x processing time improvement w.r.t LTE</w:t>
      </w:r>
      <w:r>
        <w:rPr>
          <w:i/>
        </w:rPr>
        <w:t>.</w:t>
      </w:r>
      <w:r w:rsidRPr="005A1C17">
        <w:rPr>
          <w:i/>
        </w:rPr>
        <w:t xml:space="preserve"> </w:t>
      </w:r>
    </w:p>
    <w:p w14:paraId="37351F53" w14:textId="77777777" w:rsidR="00AB1671" w:rsidRPr="00BA507A" w:rsidRDefault="00AB1671" w:rsidP="002E7507"/>
    <w:p w14:paraId="0BFF9191" w14:textId="77777777" w:rsidR="002E7507" w:rsidRDefault="00716163" w:rsidP="00433D07">
      <w:pPr>
        <w:keepNext/>
        <w:jc w:val="center"/>
      </w:pPr>
      <w:r w:rsidRPr="00716163">
        <w:rPr>
          <w:noProof/>
          <w:lang w:val="en-US"/>
        </w:rPr>
        <w:drawing>
          <wp:inline distT="0" distB="0" distL="0" distR="0" wp14:anchorId="66B8D1E6" wp14:editId="4C721ECA">
            <wp:extent cx="4572848" cy="13045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1722" cy="1307060"/>
                    </a:xfrm>
                    <a:prstGeom prst="rect">
                      <a:avLst/>
                    </a:prstGeom>
                    <a:noFill/>
                    <a:ln>
                      <a:noFill/>
                    </a:ln>
                  </pic:spPr>
                </pic:pic>
              </a:graphicData>
            </a:graphic>
          </wp:inline>
        </w:drawing>
      </w:r>
    </w:p>
    <w:p w14:paraId="6680160E" w14:textId="77777777" w:rsidR="001A397D" w:rsidRPr="002E7507" w:rsidRDefault="002E7507" w:rsidP="00F056DA">
      <w:pPr>
        <w:pStyle w:val="Caption"/>
        <w:jc w:val="center"/>
        <w:rPr>
          <w:b w:val="0"/>
          <w:i/>
          <w:lang w:val="en-US"/>
        </w:rPr>
      </w:pPr>
      <w:bookmarkStart w:id="3" w:name="_Ref458161205"/>
      <w:r>
        <w:t xml:space="preserve">Figure </w:t>
      </w:r>
      <w:r w:rsidR="00FE729C">
        <w:fldChar w:fldCharType="begin"/>
      </w:r>
      <w:r w:rsidR="00FE729C">
        <w:instrText xml:space="preserve"> SEQ Figure \* ARABIC </w:instrText>
      </w:r>
      <w:r w:rsidR="00FE729C">
        <w:fldChar w:fldCharType="separate"/>
      </w:r>
      <w:r w:rsidR="00084FA4">
        <w:rPr>
          <w:noProof/>
        </w:rPr>
        <w:t>7</w:t>
      </w:r>
      <w:r w:rsidR="00FE729C">
        <w:rPr>
          <w:noProof/>
        </w:rPr>
        <w:fldChar w:fldCharType="end"/>
      </w:r>
      <w:bookmarkEnd w:id="3"/>
      <w:r>
        <w:rPr>
          <w:lang w:val="en-US"/>
        </w:rPr>
        <w:t>. Time</w:t>
      </w:r>
      <w:r w:rsidRPr="002E7507">
        <w:rPr>
          <w:lang w:val="en-US"/>
        </w:rPr>
        <w:t xml:space="preserve"> diagram for UE initiated scheduling latency</w:t>
      </w:r>
      <w:r w:rsidR="005A1C17">
        <w:rPr>
          <w:lang w:val="en-US"/>
        </w:rPr>
        <w:t>, 60 kHz subcarrier spacing.</w:t>
      </w:r>
    </w:p>
    <w:p w14:paraId="5ADB01A2" w14:textId="77777777" w:rsidR="001A397D" w:rsidRDefault="001A397D" w:rsidP="00211C52">
      <w:pPr>
        <w:rPr>
          <w:b/>
          <w:i/>
        </w:rPr>
      </w:pPr>
    </w:p>
    <w:p w14:paraId="1EDA88EF" w14:textId="77777777" w:rsidR="002E7507" w:rsidRPr="00B27710" w:rsidRDefault="002E7507" w:rsidP="002E7507">
      <w:pPr>
        <w:pStyle w:val="Caption"/>
        <w:keepNext/>
        <w:rPr>
          <w:lang w:val="en-US"/>
        </w:rPr>
      </w:pPr>
      <w:bookmarkStart w:id="4" w:name="_Ref458161253"/>
      <w:r>
        <w:t xml:space="preserve">Table </w:t>
      </w:r>
      <w:r w:rsidR="00FE729C">
        <w:fldChar w:fldCharType="begin"/>
      </w:r>
      <w:r w:rsidR="00FE729C">
        <w:instrText xml:space="preserve"> SEQ Table \* ARABIC </w:instrText>
      </w:r>
      <w:r w:rsidR="00FE729C">
        <w:fldChar w:fldCharType="separate"/>
      </w:r>
      <w:r w:rsidR="00A96E33">
        <w:rPr>
          <w:noProof/>
        </w:rPr>
        <w:t>2</w:t>
      </w:r>
      <w:r w:rsidR="00FE729C">
        <w:rPr>
          <w:noProof/>
        </w:rPr>
        <w:fldChar w:fldCharType="end"/>
      </w:r>
      <w:bookmarkEnd w:id="4"/>
      <w:r w:rsidRPr="00B27710">
        <w:rPr>
          <w:lang w:val="en-US"/>
        </w:rPr>
        <w:t xml:space="preserve"> </w:t>
      </w:r>
      <w:r w:rsidR="00B27710">
        <w:rPr>
          <w:lang w:val="en-US"/>
        </w:rPr>
        <w:t>UE initiated scheduling latency</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4690"/>
        <w:gridCol w:w="2245"/>
        <w:gridCol w:w="2305"/>
      </w:tblGrid>
      <w:tr w:rsidR="001A397D" w:rsidRPr="001A397D" w14:paraId="2D2981E9" w14:textId="77777777" w:rsidTr="002E7507">
        <w:trPr>
          <w:trHeight w:val="405"/>
        </w:trPr>
        <w:tc>
          <w:tcPr>
            <w:tcW w:w="560" w:type="dxa"/>
            <w:shd w:val="clear" w:color="auto" w:fill="auto"/>
            <w:tcMar>
              <w:top w:w="15" w:type="dxa"/>
              <w:left w:w="108" w:type="dxa"/>
              <w:bottom w:w="0" w:type="dxa"/>
              <w:right w:w="108" w:type="dxa"/>
            </w:tcMar>
            <w:hideMark/>
          </w:tcPr>
          <w:p w14:paraId="40C3ED9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Step</w:t>
            </w:r>
          </w:p>
        </w:tc>
        <w:tc>
          <w:tcPr>
            <w:tcW w:w="4690" w:type="dxa"/>
            <w:shd w:val="clear" w:color="auto" w:fill="auto"/>
            <w:tcMar>
              <w:top w:w="15" w:type="dxa"/>
              <w:left w:w="108" w:type="dxa"/>
              <w:bottom w:w="0" w:type="dxa"/>
              <w:right w:w="108" w:type="dxa"/>
            </w:tcMar>
            <w:hideMark/>
          </w:tcPr>
          <w:p w14:paraId="377DF57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Description</w:t>
            </w:r>
          </w:p>
        </w:tc>
        <w:tc>
          <w:tcPr>
            <w:tcW w:w="2245" w:type="dxa"/>
            <w:shd w:val="clear" w:color="auto" w:fill="auto"/>
            <w:tcMar>
              <w:top w:w="15" w:type="dxa"/>
              <w:left w:w="108" w:type="dxa"/>
              <w:bottom w:w="0" w:type="dxa"/>
              <w:right w:w="108" w:type="dxa"/>
            </w:tcMar>
            <w:hideMark/>
          </w:tcPr>
          <w:p w14:paraId="763DF67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Value</w:t>
            </w:r>
          </w:p>
        </w:tc>
        <w:tc>
          <w:tcPr>
            <w:tcW w:w="2305" w:type="dxa"/>
            <w:shd w:val="clear" w:color="auto" w:fill="auto"/>
            <w:tcMar>
              <w:top w:w="15" w:type="dxa"/>
              <w:left w:w="108" w:type="dxa"/>
              <w:bottom w:w="0" w:type="dxa"/>
              <w:right w:w="108" w:type="dxa"/>
            </w:tcMar>
            <w:hideMark/>
          </w:tcPr>
          <w:p w14:paraId="4225548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lang w:val="fi-FI"/>
              </w:rPr>
              <w:t>Comment</w:t>
            </w:r>
          </w:p>
        </w:tc>
      </w:tr>
      <w:tr w:rsidR="001A397D" w:rsidRPr="001A397D" w14:paraId="52244543" w14:textId="77777777" w:rsidTr="0032612F">
        <w:trPr>
          <w:trHeight w:val="241"/>
        </w:trPr>
        <w:tc>
          <w:tcPr>
            <w:tcW w:w="560" w:type="dxa"/>
            <w:shd w:val="clear" w:color="auto" w:fill="auto"/>
            <w:tcMar>
              <w:top w:w="15" w:type="dxa"/>
              <w:left w:w="108" w:type="dxa"/>
              <w:bottom w:w="0" w:type="dxa"/>
              <w:right w:w="108" w:type="dxa"/>
            </w:tcMar>
            <w:hideMark/>
          </w:tcPr>
          <w:p w14:paraId="2C69959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1.</w:t>
            </w:r>
          </w:p>
        </w:tc>
        <w:tc>
          <w:tcPr>
            <w:tcW w:w="4690" w:type="dxa"/>
            <w:shd w:val="clear" w:color="auto" w:fill="auto"/>
            <w:tcMar>
              <w:top w:w="15" w:type="dxa"/>
              <w:left w:w="108" w:type="dxa"/>
              <w:bottom w:w="0" w:type="dxa"/>
              <w:right w:w="108" w:type="dxa"/>
            </w:tcMar>
            <w:hideMark/>
          </w:tcPr>
          <w:p w14:paraId="699BD84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Average delay to next SR opportunity</w:t>
            </w:r>
          </w:p>
        </w:tc>
        <w:tc>
          <w:tcPr>
            <w:tcW w:w="2245" w:type="dxa"/>
            <w:shd w:val="clear" w:color="auto" w:fill="auto"/>
            <w:tcMar>
              <w:top w:w="15" w:type="dxa"/>
              <w:left w:w="108" w:type="dxa"/>
              <w:bottom w:w="0" w:type="dxa"/>
              <w:right w:w="108" w:type="dxa"/>
            </w:tcMar>
            <w:hideMark/>
          </w:tcPr>
          <w:p w14:paraId="1AC51E9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62.5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173472C9"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 xml:space="preserve">SR periodicty /2 </w:t>
            </w:r>
          </w:p>
        </w:tc>
      </w:tr>
      <w:tr w:rsidR="001A397D" w:rsidRPr="001A397D" w14:paraId="7963CEA1" w14:textId="77777777" w:rsidTr="0032612F">
        <w:trPr>
          <w:trHeight w:val="272"/>
        </w:trPr>
        <w:tc>
          <w:tcPr>
            <w:tcW w:w="560" w:type="dxa"/>
            <w:shd w:val="clear" w:color="auto" w:fill="auto"/>
            <w:tcMar>
              <w:top w:w="15" w:type="dxa"/>
              <w:left w:w="108" w:type="dxa"/>
              <w:bottom w:w="0" w:type="dxa"/>
              <w:right w:w="108" w:type="dxa"/>
            </w:tcMar>
            <w:hideMark/>
          </w:tcPr>
          <w:p w14:paraId="5481F6A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2.</w:t>
            </w:r>
          </w:p>
        </w:tc>
        <w:tc>
          <w:tcPr>
            <w:tcW w:w="4690" w:type="dxa"/>
            <w:shd w:val="clear" w:color="auto" w:fill="auto"/>
            <w:tcMar>
              <w:top w:w="15" w:type="dxa"/>
              <w:left w:w="108" w:type="dxa"/>
              <w:bottom w:w="0" w:type="dxa"/>
              <w:right w:w="108" w:type="dxa"/>
            </w:tcMar>
            <w:hideMark/>
          </w:tcPr>
          <w:p w14:paraId="18E134CD"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SR</w:t>
            </w:r>
          </w:p>
        </w:tc>
        <w:tc>
          <w:tcPr>
            <w:tcW w:w="2245" w:type="dxa"/>
            <w:shd w:val="clear" w:color="auto" w:fill="auto"/>
            <w:tcMar>
              <w:top w:w="15" w:type="dxa"/>
              <w:left w:w="108" w:type="dxa"/>
              <w:bottom w:w="0" w:type="dxa"/>
              <w:right w:w="108" w:type="dxa"/>
            </w:tcMar>
            <w:hideMark/>
          </w:tcPr>
          <w:p w14:paraId="12B349C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us</w:t>
            </w:r>
          </w:p>
        </w:tc>
        <w:tc>
          <w:tcPr>
            <w:tcW w:w="2305" w:type="dxa"/>
            <w:shd w:val="clear" w:color="auto" w:fill="auto"/>
            <w:tcMar>
              <w:top w:w="15" w:type="dxa"/>
              <w:left w:w="108" w:type="dxa"/>
              <w:bottom w:w="0" w:type="dxa"/>
              <w:right w:w="108" w:type="dxa"/>
            </w:tcMar>
            <w:hideMark/>
          </w:tcPr>
          <w:p w14:paraId="0323398F" w14:textId="77777777" w:rsidR="001A397D" w:rsidRPr="0032612F" w:rsidRDefault="001A397D" w:rsidP="001A397D">
            <w:pPr>
              <w:overflowPunct/>
              <w:autoSpaceDE/>
              <w:autoSpaceDN/>
              <w:adjustRightInd/>
              <w:spacing w:after="0"/>
              <w:textAlignment w:val="auto"/>
              <w:rPr>
                <w:rFonts w:eastAsia="Times New Roman"/>
                <w:sz w:val="22"/>
                <w:szCs w:val="36"/>
                <w:lang w:val="en-US"/>
              </w:rPr>
            </w:pPr>
          </w:p>
        </w:tc>
      </w:tr>
      <w:tr w:rsidR="001A397D" w:rsidRPr="001A397D" w14:paraId="099CD41A" w14:textId="77777777" w:rsidTr="002E7507">
        <w:trPr>
          <w:trHeight w:val="415"/>
        </w:trPr>
        <w:tc>
          <w:tcPr>
            <w:tcW w:w="560" w:type="dxa"/>
            <w:shd w:val="clear" w:color="auto" w:fill="auto"/>
            <w:tcMar>
              <w:top w:w="15" w:type="dxa"/>
              <w:left w:w="108" w:type="dxa"/>
              <w:bottom w:w="0" w:type="dxa"/>
              <w:right w:w="108" w:type="dxa"/>
            </w:tcMar>
            <w:hideMark/>
          </w:tcPr>
          <w:p w14:paraId="04FAF2B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3.</w:t>
            </w:r>
          </w:p>
        </w:tc>
        <w:tc>
          <w:tcPr>
            <w:tcW w:w="4690" w:type="dxa"/>
            <w:shd w:val="clear" w:color="auto" w:fill="auto"/>
            <w:tcMar>
              <w:top w:w="15" w:type="dxa"/>
              <w:left w:w="108" w:type="dxa"/>
              <w:bottom w:w="0" w:type="dxa"/>
              <w:right w:w="108" w:type="dxa"/>
            </w:tcMar>
            <w:hideMark/>
          </w:tcPr>
          <w:p w14:paraId="2A3E73E8"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decodes SR and generates scheduling grant</w:t>
            </w:r>
          </w:p>
        </w:tc>
        <w:tc>
          <w:tcPr>
            <w:tcW w:w="2245" w:type="dxa"/>
            <w:shd w:val="clear" w:color="auto" w:fill="auto"/>
            <w:tcMar>
              <w:top w:w="15" w:type="dxa"/>
              <w:left w:w="108" w:type="dxa"/>
              <w:bottom w:w="0" w:type="dxa"/>
              <w:right w:w="108" w:type="dxa"/>
            </w:tcMar>
            <w:hideMark/>
          </w:tcPr>
          <w:p w14:paraId="38F156CF"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1D9C20A3" w14:textId="77777777" w:rsidR="001A397D" w:rsidRPr="00A3438A" w:rsidRDefault="001A397D" w:rsidP="00AB743C">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en-US"/>
              </w:rPr>
              <w:t>Estimated to happen during 1 s</w:t>
            </w:r>
            <w:r w:rsidR="00AB743C">
              <w:rPr>
                <w:rFonts w:eastAsia="Times New Roman"/>
                <w:color w:val="000000" w:themeColor="dark1"/>
                <w:kern w:val="24"/>
                <w:sz w:val="18"/>
                <w:szCs w:val="18"/>
                <w:lang w:val="en-US"/>
              </w:rPr>
              <w:t>lot</w:t>
            </w:r>
          </w:p>
        </w:tc>
      </w:tr>
      <w:tr w:rsidR="001A397D" w:rsidRPr="001A397D" w14:paraId="09C005CA" w14:textId="77777777" w:rsidTr="004F06A3">
        <w:trPr>
          <w:trHeight w:val="241"/>
        </w:trPr>
        <w:tc>
          <w:tcPr>
            <w:tcW w:w="560" w:type="dxa"/>
            <w:shd w:val="clear" w:color="auto" w:fill="auto"/>
            <w:tcMar>
              <w:top w:w="15" w:type="dxa"/>
              <w:left w:w="108" w:type="dxa"/>
              <w:bottom w:w="0" w:type="dxa"/>
              <w:right w:w="108" w:type="dxa"/>
            </w:tcMar>
            <w:hideMark/>
          </w:tcPr>
          <w:p w14:paraId="6081967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4.</w:t>
            </w:r>
          </w:p>
        </w:tc>
        <w:tc>
          <w:tcPr>
            <w:tcW w:w="4690" w:type="dxa"/>
            <w:shd w:val="clear" w:color="auto" w:fill="auto"/>
            <w:tcMar>
              <w:top w:w="15" w:type="dxa"/>
              <w:left w:w="108" w:type="dxa"/>
              <w:bottom w:w="0" w:type="dxa"/>
              <w:right w:w="108" w:type="dxa"/>
            </w:tcMar>
            <w:hideMark/>
          </w:tcPr>
          <w:p w14:paraId="6676A68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Transmission of scheduling grant (assumed always error free)</w:t>
            </w:r>
          </w:p>
        </w:tc>
        <w:tc>
          <w:tcPr>
            <w:tcW w:w="2245" w:type="dxa"/>
            <w:shd w:val="clear" w:color="auto" w:fill="auto"/>
            <w:tcMar>
              <w:top w:w="15" w:type="dxa"/>
              <w:left w:w="108" w:type="dxa"/>
              <w:bottom w:w="0" w:type="dxa"/>
              <w:right w:w="108" w:type="dxa"/>
            </w:tcMar>
            <w:hideMark/>
          </w:tcPr>
          <w:p w14:paraId="70DF6B92"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18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462EBAC6" w14:textId="77777777" w:rsidR="001A397D" w:rsidRPr="004F06A3" w:rsidRDefault="001A397D" w:rsidP="001A397D">
            <w:pPr>
              <w:overflowPunct/>
              <w:autoSpaceDE/>
              <w:autoSpaceDN/>
              <w:adjustRightInd/>
              <w:spacing w:after="0"/>
              <w:textAlignment w:val="auto"/>
              <w:rPr>
                <w:rFonts w:eastAsia="Times New Roman"/>
                <w:sz w:val="22"/>
                <w:szCs w:val="36"/>
                <w:lang w:val="en-US"/>
              </w:rPr>
            </w:pPr>
          </w:p>
        </w:tc>
      </w:tr>
      <w:tr w:rsidR="001A397D" w:rsidRPr="001A397D" w14:paraId="42ADFFD7" w14:textId="77777777" w:rsidTr="002E7507">
        <w:trPr>
          <w:trHeight w:val="415"/>
        </w:trPr>
        <w:tc>
          <w:tcPr>
            <w:tcW w:w="560" w:type="dxa"/>
            <w:shd w:val="clear" w:color="auto" w:fill="auto"/>
            <w:tcMar>
              <w:top w:w="15" w:type="dxa"/>
              <w:left w:w="108" w:type="dxa"/>
              <w:bottom w:w="0" w:type="dxa"/>
              <w:right w:w="108" w:type="dxa"/>
            </w:tcMar>
            <w:hideMark/>
          </w:tcPr>
          <w:p w14:paraId="26AAD147"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5.</w:t>
            </w:r>
          </w:p>
        </w:tc>
        <w:tc>
          <w:tcPr>
            <w:tcW w:w="4690" w:type="dxa"/>
            <w:shd w:val="clear" w:color="auto" w:fill="auto"/>
            <w:tcMar>
              <w:top w:w="15" w:type="dxa"/>
              <w:left w:w="108" w:type="dxa"/>
              <w:bottom w:w="0" w:type="dxa"/>
              <w:right w:w="108" w:type="dxa"/>
            </w:tcMar>
            <w:hideMark/>
          </w:tcPr>
          <w:p w14:paraId="022B61CB"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processing delay (decoding Scheduling grant + L1 encoding of data)</w:t>
            </w:r>
          </w:p>
        </w:tc>
        <w:tc>
          <w:tcPr>
            <w:tcW w:w="2245" w:type="dxa"/>
            <w:shd w:val="clear" w:color="auto" w:fill="auto"/>
            <w:tcMar>
              <w:top w:w="15" w:type="dxa"/>
              <w:left w:w="108" w:type="dxa"/>
              <w:bottom w:w="0" w:type="dxa"/>
              <w:right w:w="108" w:type="dxa"/>
            </w:tcMar>
            <w:hideMark/>
          </w:tcPr>
          <w:p w14:paraId="555369C8" w14:textId="77777777" w:rsidR="001A397D" w:rsidRPr="001A397D" w:rsidRDefault="001A397D"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125 u</w:t>
            </w:r>
            <w:r w:rsidRPr="001A397D">
              <w:rPr>
                <w:rFonts w:ascii="Arial" w:eastAsia="Times New Roman" w:hAnsi="Arial"/>
                <w:color w:val="000000" w:themeColor="dark1"/>
                <w:kern w:val="24"/>
                <w:sz w:val="18"/>
                <w:szCs w:val="18"/>
                <w:lang w:val="fi-FI"/>
              </w:rPr>
              <w:t>s</w:t>
            </w:r>
          </w:p>
        </w:tc>
        <w:tc>
          <w:tcPr>
            <w:tcW w:w="2305" w:type="dxa"/>
            <w:shd w:val="clear" w:color="auto" w:fill="auto"/>
            <w:tcMar>
              <w:top w:w="15" w:type="dxa"/>
              <w:left w:w="108" w:type="dxa"/>
              <w:bottom w:w="0" w:type="dxa"/>
              <w:right w:w="108" w:type="dxa"/>
            </w:tcMar>
            <w:hideMark/>
          </w:tcPr>
          <w:p w14:paraId="7C0E10F8"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3C14ABCF" w14:textId="77777777" w:rsidTr="002E7507">
        <w:trPr>
          <w:trHeight w:val="226"/>
        </w:trPr>
        <w:tc>
          <w:tcPr>
            <w:tcW w:w="560" w:type="dxa"/>
            <w:shd w:val="clear" w:color="auto" w:fill="auto"/>
            <w:tcMar>
              <w:top w:w="15" w:type="dxa"/>
              <w:left w:w="108" w:type="dxa"/>
              <w:bottom w:w="0" w:type="dxa"/>
              <w:right w:w="108" w:type="dxa"/>
            </w:tcMar>
            <w:hideMark/>
          </w:tcPr>
          <w:p w14:paraId="283CBDCA"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6.</w:t>
            </w:r>
          </w:p>
        </w:tc>
        <w:tc>
          <w:tcPr>
            <w:tcW w:w="4690" w:type="dxa"/>
            <w:shd w:val="clear" w:color="auto" w:fill="auto"/>
            <w:tcMar>
              <w:top w:w="15" w:type="dxa"/>
              <w:left w:w="108" w:type="dxa"/>
              <w:bottom w:w="0" w:type="dxa"/>
              <w:right w:w="108" w:type="dxa"/>
            </w:tcMar>
            <w:hideMark/>
          </w:tcPr>
          <w:p w14:paraId="3D49AA53"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UE sends UL transmission</w:t>
            </w:r>
          </w:p>
        </w:tc>
        <w:tc>
          <w:tcPr>
            <w:tcW w:w="2245" w:type="dxa"/>
            <w:shd w:val="clear" w:color="auto" w:fill="auto"/>
            <w:tcMar>
              <w:top w:w="15" w:type="dxa"/>
              <w:left w:w="108" w:type="dxa"/>
              <w:bottom w:w="0" w:type="dxa"/>
              <w:right w:w="108" w:type="dxa"/>
            </w:tcMar>
            <w:hideMark/>
          </w:tcPr>
          <w:p w14:paraId="4E1817FB" w14:textId="77777777" w:rsidR="001A397D" w:rsidRPr="001A397D" w:rsidRDefault="001A397D" w:rsidP="00A3438A">
            <w:pPr>
              <w:overflowPunct/>
              <w:autoSpaceDE/>
              <w:autoSpaceDN/>
              <w:adjustRightInd/>
              <w:spacing w:after="0"/>
              <w:jc w:val="center"/>
              <w:textAlignment w:val="auto"/>
              <w:rPr>
                <w:rFonts w:ascii="Arial" w:eastAsia="Times New Roman" w:hAnsi="Arial" w:cs="Arial"/>
                <w:sz w:val="36"/>
                <w:szCs w:val="36"/>
                <w:lang w:val="en-US"/>
              </w:rPr>
            </w:pPr>
            <w:r w:rsidRPr="001A397D">
              <w:rPr>
                <w:rFonts w:ascii="Arial" w:eastAsia="Times New Roman" w:hAnsi="Arial"/>
                <w:color w:val="000000" w:themeColor="dark1"/>
                <w:kern w:val="24"/>
                <w:sz w:val="18"/>
                <w:szCs w:val="18"/>
                <w:lang w:val="fi-FI"/>
              </w:rPr>
              <w:t>89</w:t>
            </w:r>
            <w:r w:rsidR="00A3438A">
              <w:rPr>
                <w:rFonts w:ascii="Arial" w:eastAsia="Times New Roman" w:hAnsi="Arial"/>
                <w:color w:val="000000" w:themeColor="dark1"/>
                <w:kern w:val="24"/>
                <w:sz w:val="18"/>
                <w:szCs w:val="18"/>
                <w:lang w:val="fi-FI"/>
              </w:rPr>
              <w:t>.</w:t>
            </w:r>
            <w:r>
              <w:rPr>
                <w:rFonts w:ascii="Arial" w:eastAsia="Times New Roman" w:hAnsi="Arial"/>
                <w:color w:val="000000" w:themeColor="dark1"/>
                <w:kern w:val="24"/>
                <w:sz w:val="18"/>
                <w:szCs w:val="18"/>
                <w:lang w:val="fi-FI"/>
              </w:rPr>
              <w:t>3 u</w:t>
            </w:r>
            <w:r w:rsidRPr="001A397D">
              <w:rPr>
                <w:rFonts w:ascii="Arial" w:eastAsia="Times New Roman" w:hAnsi="Arial"/>
                <w:color w:val="000000" w:themeColor="dark1"/>
                <w:kern w:val="24"/>
                <w:sz w:val="18"/>
                <w:szCs w:val="18"/>
                <w:lang w:val="fi-FI"/>
              </w:rPr>
              <w:t xml:space="preserve">s </w:t>
            </w:r>
          </w:p>
        </w:tc>
        <w:tc>
          <w:tcPr>
            <w:tcW w:w="2305" w:type="dxa"/>
            <w:shd w:val="clear" w:color="auto" w:fill="auto"/>
            <w:tcMar>
              <w:top w:w="15" w:type="dxa"/>
              <w:left w:w="108" w:type="dxa"/>
              <w:bottom w:w="0" w:type="dxa"/>
              <w:right w:w="108" w:type="dxa"/>
            </w:tcMar>
            <w:hideMark/>
          </w:tcPr>
          <w:p w14:paraId="0D5CCC42"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r>
      <w:tr w:rsidR="001A397D" w:rsidRPr="001A397D" w14:paraId="46747F5A" w14:textId="77777777" w:rsidTr="002E7507">
        <w:trPr>
          <w:trHeight w:val="474"/>
        </w:trPr>
        <w:tc>
          <w:tcPr>
            <w:tcW w:w="560" w:type="dxa"/>
            <w:shd w:val="clear" w:color="auto" w:fill="auto"/>
            <w:tcMar>
              <w:top w:w="15" w:type="dxa"/>
              <w:left w:w="108" w:type="dxa"/>
              <w:bottom w:w="0" w:type="dxa"/>
              <w:right w:w="108" w:type="dxa"/>
            </w:tcMar>
            <w:hideMark/>
          </w:tcPr>
          <w:p w14:paraId="00100802"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b/>
                <w:bCs/>
                <w:kern w:val="24"/>
                <w:sz w:val="18"/>
                <w:szCs w:val="18"/>
              </w:rPr>
              <w:t>7.</w:t>
            </w:r>
          </w:p>
        </w:tc>
        <w:tc>
          <w:tcPr>
            <w:tcW w:w="4690" w:type="dxa"/>
            <w:shd w:val="clear" w:color="auto" w:fill="auto"/>
            <w:tcMar>
              <w:top w:w="15" w:type="dxa"/>
              <w:left w:w="108" w:type="dxa"/>
              <w:bottom w:w="0" w:type="dxa"/>
              <w:right w:w="108" w:type="dxa"/>
            </w:tcMar>
            <w:hideMark/>
          </w:tcPr>
          <w:p w14:paraId="020FE61C"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rPr>
              <w:t>eNB receives and decodes the UL data</w:t>
            </w:r>
          </w:p>
        </w:tc>
        <w:tc>
          <w:tcPr>
            <w:tcW w:w="2245" w:type="dxa"/>
            <w:shd w:val="clear" w:color="auto" w:fill="auto"/>
            <w:tcMar>
              <w:top w:w="15" w:type="dxa"/>
              <w:left w:w="108" w:type="dxa"/>
              <w:bottom w:w="0" w:type="dxa"/>
              <w:right w:w="108" w:type="dxa"/>
            </w:tcMar>
            <w:hideMark/>
          </w:tcPr>
          <w:p w14:paraId="36FB6830" w14:textId="77777777" w:rsidR="001A397D" w:rsidRPr="001A397D" w:rsidRDefault="00956799" w:rsidP="001A397D">
            <w:pPr>
              <w:overflowPunct/>
              <w:autoSpaceDE/>
              <w:autoSpaceDN/>
              <w:adjustRightInd/>
              <w:spacing w:after="0"/>
              <w:jc w:val="center"/>
              <w:textAlignment w:val="auto"/>
              <w:rPr>
                <w:rFonts w:ascii="Arial" w:eastAsia="Times New Roman" w:hAnsi="Arial" w:cs="Arial"/>
                <w:sz w:val="36"/>
                <w:szCs w:val="36"/>
                <w:lang w:val="en-US"/>
              </w:rPr>
            </w:pPr>
            <w:r>
              <w:rPr>
                <w:rFonts w:ascii="Arial" w:eastAsia="Times New Roman" w:hAnsi="Arial"/>
                <w:color w:val="000000" w:themeColor="dark1"/>
                <w:kern w:val="24"/>
                <w:sz w:val="18"/>
                <w:szCs w:val="18"/>
                <w:lang w:val="fi-FI"/>
              </w:rPr>
              <w:t xml:space="preserve">62.5 </w:t>
            </w:r>
            <w:r w:rsidR="001A397D">
              <w:rPr>
                <w:rFonts w:ascii="Arial" w:eastAsia="Times New Roman" w:hAnsi="Arial"/>
                <w:color w:val="000000" w:themeColor="dark1"/>
                <w:kern w:val="24"/>
                <w:sz w:val="18"/>
                <w:szCs w:val="18"/>
                <w:lang w:val="fi-FI"/>
              </w:rPr>
              <w:t>us</w:t>
            </w:r>
          </w:p>
        </w:tc>
        <w:tc>
          <w:tcPr>
            <w:tcW w:w="2305" w:type="dxa"/>
            <w:shd w:val="clear" w:color="auto" w:fill="auto"/>
            <w:tcMar>
              <w:top w:w="15" w:type="dxa"/>
              <w:left w:w="108" w:type="dxa"/>
              <w:bottom w:w="0" w:type="dxa"/>
              <w:right w:w="108" w:type="dxa"/>
            </w:tcMar>
            <w:hideMark/>
          </w:tcPr>
          <w:p w14:paraId="65D8BA6B" w14:textId="77777777" w:rsidR="001A397D" w:rsidRPr="00A3438A" w:rsidRDefault="001A397D" w:rsidP="001A397D">
            <w:pPr>
              <w:overflowPunct/>
              <w:autoSpaceDE/>
              <w:autoSpaceDN/>
              <w:adjustRightInd/>
              <w:spacing w:after="0"/>
              <w:jc w:val="center"/>
              <w:textAlignment w:val="auto"/>
              <w:rPr>
                <w:rFonts w:eastAsia="Times New Roman"/>
                <w:sz w:val="36"/>
                <w:szCs w:val="36"/>
                <w:lang w:val="en-US"/>
              </w:rPr>
            </w:pPr>
            <w:r w:rsidRPr="00A3438A">
              <w:rPr>
                <w:rFonts w:eastAsia="Times New Roman"/>
                <w:color w:val="000000" w:themeColor="dark1"/>
                <w:kern w:val="24"/>
                <w:sz w:val="18"/>
                <w:szCs w:val="18"/>
                <w:lang w:val="fi-FI"/>
              </w:rPr>
              <w:t>Requirement for 0.5 ms latency</w:t>
            </w:r>
          </w:p>
        </w:tc>
      </w:tr>
      <w:tr w:rsidR="001A397D" w:rsidRPr="001A397D" w14:paraId="3D980FF9" w14:textId="77777777" w:rsidTr="004F06A3">
        <w:trPr>
          <w:trHeight w:val="136"/>
        </w:trPr>
        <w:tc>
          <w:tcPr>
            <w:tcW w:w="560" w:type="dxa"/>
            <w:shd w:val="clear" w:color="auto" w:fill="auto"/>
            <w:tcMar>
              <w:top w:w="15" w:type="dxa"/>
              <w:left w:w="108" w:type="dxa"/>
              <w:bottom w:w="0" w:type="dxa"/>
              <w:right w:w="108" w:type="dxa"/>
            </w:tcMar>
            <w:hideMark/>
          </w:tcPr>
          <w:p w14:paraId="7E46696C" w14:textId="77777777" w:rsidR="001A397D" w:rsidRPr="00A3438A" w:rsidRDefault="001A397D" w:rsidP="001A397D">
            <w:pPr>
              <w:overflowPunct/>
              <w:autoSpaceDE/>
              <w:autoSpaceDN/>
              <w:adjustRightInd/>
              <w:spacing w:after="0"/>
              <w:textAlignment w:val="auto"/>
              <w:rPr>
                <w:rFonts w:eastAsia="Times New Roman"/>
                <w:sz w:val="36"/>
                <w:szCs w:val="36"/>
                <w:lang w:val="en-US"/>
              </w:rPr>
            </w:pPr>
          </w:p>
        </w:tc>
        <w:tc>
          <w:tcPr>
            <w:tcW w:w="4690" w:type="dxa"/>
            <w:shd w:val="clear" w:color="auto" w:fill="auto"/>
            <w:tcMar>
              <w:top w:w="15" w:type="dxa"/>
              <w:left w:w="108" w:type="dxa"/>
              <w:bottom w:w="0" w:type="dxa"/>
              <w:right w:w="108" w:type="dxa"/>
            </w:tcMar>
            <w:hideMark/>
          </w:tcPr>
          <w:p w14:paraId="6E474A3E" w14:textId="77777777" w:rsidR="001A397D" w:rsidRPr="00A3438A" w:rsidRDefault="001A397D" w:rsidP="001A397D">
            <w:pPr>
              <w:overflowPunct/>
              <w:autoSpaceDE/>
              <w:autoSpaceDN/>
              <w:adjustRightInd/>
              <w:spacing w:after="0"/>
              <w:jc w:val="center"/>
              <w:textAlignment w:val="auto"/>
              <w:rPr>
                <w:rFonts w:eastAsia="Times New Roman"/>
                <w:b/>
                <w:sz w:val="36"/>
                <w:szCs w:val="36"/>
                <w:lang w:val="en-US"/>
              </w:rPr>
            </w:pPr>
            <w:r w:rsidRPr="00A3438A">
              <w:rPr>
                <w:rFonts w:eastAsia="Times New Roman"/>
                <w:b/>
                <w:color w:val="000000" w:themeColor="dark1"/>
                <w:kern w:val="24"/>
                <w:sz w:val="18"/>
                <w:szCs w:val="18"/>
                <w:lang w:val="fi-FI"/>
              </w:rPr>
              <w:t>Total delay</w:t>
            </w:r>
          </w:p>
        </w:tc>
        <w:tc>
          <w:tcPr>
            <w:tcW w:w="2245" w:type="dxa"/>
            <w:shd w:val="clear" w:color="auto" w:fill="auto"/>
            <w:tcMar>
              <w:top w:w="15" w:type="dxa"/>
              <w:left w:w="108" w:type="dxa"/>
              <w:bottom w:w="0" w:type="dxa"/>
              <w:right w:w="108" w:type="dxa"/>
            </w:tcMar>
            <w:hideMark/>
          </w:tcPr>
          <w:p w14:paraId="3FF83006" w14:textId="77777777" w:rsidR="001A397D" w:rsidRPr="001A397D" w:rsidRDefault="001A397D" w:rsidP="001A397D">
            <w:pPr>
              <w:overflowPunct/>
              <w:autoSpaceDE/>
              <w:autoSpaceDN/>
              <w:adjustRightInd/>
              <w:spacing w:after="0"/>
              <w:jc w:val="center"/>
              <w:textAlignment w:val="auto"/>
              <w:rPr>
                <w:rFonts w:ascii="Arial" w:eastAsia="Times New Roman" w:hAnsi="Arial" w:cs="Arial"/>
                <w:b/>
                <w:sz w:val="36"/>
                <w:szCs w:val="36"/>
                <w:lang w:val="en-US"/>
              </w:rPr>
            </w:pPr>
            <w:r>
              <w:rPr>
                <w:rFonts w:ascii="Arial" w:eastAsia="Times New Roman" w:hAnsi="Arial"/>
                <w:b/>
                <w:color w:val="000000" w:themeColor="dark1"/>
                <w:kern w:val="24"/>
                <w:sz w:val="18"/>
                <w:szCs w:val="18"/>
                <w:lang w:val="fi-FI"/>
              </w:rPr>
              <w:t xml:space="preserve"> 5</w:t>
            </w:r>
            <w:r w:rsidRPr="001A397D">
              <w:rPr>
                <w:rFonts w:ascii="Arial" w:eastAsia="Times New Roman" w:hAnsi="Arial"/>
                <w:b/>
                <w:color w:val="000000" w:themeColor="dark1"/>
                <w:kern w:val="24"/>
                <w:sz w:val="18"/>
                <w:szCs w:val="18"/>
                <w:lang w:val="fi-FI"/>
              </w:rPr>
              <w:t>00 us</w:t>
            </w:r>
          </w:p>
        </w:tc>
        <w:tc>
          <w:tcPr>
            <w:tcW w:w="2305" w:type="dxa"/>
            <w:shd w:val="clear" w:color="auto" w:fill="auto"/>
            <w:tcMar>
              <w:top w:w="15" w:type="dxa"/>
              <w:left w:w="108" w:type="dxa"/>
              <w:bottom w:w="0" w:type="dxa"/>
              <w:right w:w="108" w:type="dxa"/>
            </w:tcMar>
            <w:hideMark/>
          </w:tcPr>
          <w:p w14:paraId="2F5727A1" w14:textId="77777777" w:rsidR="001A397D" w:rsidRPr="004F06A3" w:rsidRDefault="001A397D" w:rsidP="001A397D">
            <w:pPr>
              <w:overflowPunct/>
              <w:autoSpaceDE/>
              <w:autoSpaceDN/>
              <w:adjustRightInd/>
              <w:spacing w:after="0"/>
              <w:textAlignment w:val="auto"/>
              <w:rPr>
                <w:rFonts w:eastAsia="Times New Roman"/>
                <w:szCs w:val="36"/>
                <w:lang w:val="en-US"/>
              </w:rPr>
            </w:pPr>
          </w:p>
        </w:tc>
      </w:tr>
    </w:tbl>
    <w:p w14:paraId="0DA99E0C" w14:textId="77777777" w:rsidR="002C0C4B" w:rsidRDefault="002C0C4B" w:rsidP="00DB11CD">
      <w:pPr>
        <w:spacing w:after="0"/>
        <w:rPr>
          <w:b/>
          <w:i/>
        </w:rPr>
      </w:pPr>
    </w:p>
    <w:p w14:paraId="3F20FCFD" w14:textId="77777777" w:rsidR="0034111C" w:rsidRPr="00A51522" w:rsidRDefault="00B00789">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F964C73" w14:textId="3BEC004A" w:rsidR="00731B79" w:rsidRDefault="003D3FBA" w:rsidP="00DD1B70">
      <w:pPr>
        <w:jc w:val="both"/>
        <w:rPr>
          <w:b/>
          <w:bCs/>
          <w:i/>
          <w:sz w:val="12"/>
        </w:rPr>
      </w:pPr>
      <w:r w:rsidRPr="00A51522">
        <w:t xml:space="preserve">In this contribution we </w:t>
      </w:r>
      <w:r w:rsidR="00DD1B70" w:rsidRPr="007157D1">
        <w:rPr>
          <w:rFonts w:eastAsia="MS Mincho"/>
          <w:lang w:val="en-US" w:eastAsia="ja-JP"/>
        </w:rPr>
        <w:t>compare</w:t>
      </w:r>
      <w:r w:rsidR="00DD1B70">
        <w:rPr>
          <w:rFonts w:eastAsia="MS Mincho"/>
          <w:lang w:val="en-US" w:eastAsia="ja-JP"/>
        </w:rPr>
        <w:t>d</w:t>
      </w:r>
      <w:r w:rsidR="00DD1B70" w:rsidRPr="007157D1">
        <w:rPr>
          <w:rFonts w:eastAsia="MS Mincho"/>
          <w:lang w:val="en-US" w:eastAsia="ja-JP"/>
        </w:rPr>
        <w:t xml:space="preserve"> the feasibility of different options/formats to achieve URLLC </w:t>
      </w:r>
      <w:r w:rsidR="00DD1B70">
        <w:rPr>
          <w:rFonts w:eastAsia="MS Mincho"/>
          <w:lang w:val="en-US" w:eastAsia="ja-JP"/>
        </w:rPr>
        <w:t>requirements in NR</w:t>
      </w:r>
      <w:r w:rsidR="00731B79">
        <w:rPr>
          <w:bCs/>
        </w:rPr>
        <w:t xml:space="preserve">. </w:t>
      </w:r>
      <w:r w:rsidR="006342C0">
        <w:rPr>
          <w:bCs/>
        </w:rPr>
        <w:t>Based on the results</w:t>
      </w:r>
      <w:r w:rsidR="00731B79">
        <w:rPr>
          <w:bCs/>
        </w:rPr>
        <w:t>, we make the following observations:</w:t>
      </w:r>
      <w:r w:rsidR="00731B79" w:rsidRPr="00971592">
        <w:rPr>
          <w:b/>
          <w:bCs/>
          <w:i/>
          <w:sz w:val="12"/>
        </w:rPr>
        <w:t xml:space="preserve"> </w:t>
      </w:r>
    </w:p>
    <w:p w14:paraId="73FFD01C" w14:textId="480BE349" w:rsidR="005A1139" w:rsidRDefault="005A1139" w:rsidP="005A1139">
      <w:pPr>
        <w:rPr>
          <w:i/>
        </w:rPr>
      </w:pPr>
      <w:r>
        <w:rPr>
          <w:b/>
          <w:i/>
        </w:rPr>
        <w:lastRenderedPageBreak/>
        <w:t xml:space="preserve">Observation </w:t>
      </w:r>
      <w:r w:rsidRPr="00367367">
        <w:rPr>
          <w:b/>
          <w:i/>
        </w:rPr>
        <w:t>#</w:t>
      </w:r>
      <w:r>
        <w:rPr>
          <w:b/>
          <w:i/>
        </w:rPr>
        <w:t>1</w:t>
      </w:r>
      <w:r>
        <w:t xml:space="preserve">: </w:t>
      </w:r>
      <w:r w:rsidR="00AB743C">
        <w:rPr>
          <w:i/>
        </w:rPr>
        <w:t>S</w:t>
      </w:r>
      <w:r w:rsidR="00AB743C" w:rsidRPr="00A96C52">
        <w:rPr>
          <w:i/>
        </w:rPr>
        <w:t>hort symbol/</w:t>
      </w:r>
      <w:r w:rsidR="00714278">
        <w:rPr>
          <w:i/>
        </w:rPr>
        <w:t>slot</w:t>
      </w:r>
      <w:r w:rsidR="00714278" w:rsidRPr="00A96C52">
        <w:rPr>
          <w:i/>
        </w:rPr>
        <w:t xml:space="preserve"> </w:t>
      </w:r>
      <w:r w:rsidR="00AB743C">
        <w:rPr>
          <w:i/>
        </w:rPr>
        <w:t xml:space="preserve">length supports URLLC </w:t>
      </w:r>
      <w:r w:rsidR="00AB743C" w:rsidRPr="009423CA">
        <w:rPr>
          <w:i/>
        </w:rPr>
        <w:t>when operating at high carrier frequencies, and/or in the scenarios with small/moderate delay spread</w:t>
      </w:r>
      <w:r w:rsidR="00AB743C">
        <w:rPr>
          <w:i/>
        </w:rPr>
        <w:t>.</w:t>
      </w:r>
    </w:p>
    <w:p w14:paraId="37DFB796" w14:textId="0B1B403D" w:rsidR="005A1139" w:rsidRDefault="005A1139" w:rsidP="005A1139">
      <w:pPr>
        <w:rPr>
          <w:i/>
        </w:rPr>
      </w:pPr>
      <w:r>
        <w:rPr>
          <w:b/>
          <w:i/>
        </w:rPr>
        <w:t xml:space="preserve">Observation </w:t>
      </w:r>
      <w:r w:rsidRPr="00367367">
        <w:rPr>
          <w:b/>
          <w:i/>
        </w:rPr>
        <w:t>#</w:t>
      </w:r>
      <w:r>
        <w:rPr>
          <w:b/>
          <w:i/>
        </w:rPr>
        <w:t>2</w:t>
      </w:r>
      <w:r>
        <w:t xml:space="preserve">: </w:t>
      </w:r>
      <w:r>
        <w:rPr>
          <w:i/>
        </w:rPr>
        <w:t>Mini-slot approach can facilitate latency reduction in the scenario</w:t>
      </w:r>
      <w:r w:rsidR="00DC45D4">
        <w:rPr>
          <w:i/>
        </w:rPr>
        <w:t>s requiring</w:t>
      </w:r>
      <w:r>
        <w:rPr>
          <w:i/>
        </w:rPr>
        <w:t xml:space="preserve"> 15 kHz subcarrier spacing.</w:t>
      </w:r>
    </w:p>
    <w:p w14:paraId="1C92C13F" w14:textId="77777777" w:rsidR="005A1139" w:rsidRDefault="005A1139" w:rsidP="005A1139">
      <w:pPr>
        <w:overflowPunct/>
        <w:autoSpaceDE/>
        <w:autoSpaceDN/>
        <w:adjustRightInd/>
        <w:spacing w:after="0"/>
        <w:textAlignment w:val="auto"/>
        <w:rPr>
          <w:rFonts w:eastAsia="MS Mincho"/>
          <w:i/>
          <w:lang w:val="en-US" w:eastAsia="ja-JP"/>
        </w:rPr>
      </w:pPr>
      <w:r>
        <w:rPr>
          <w:rFonts w:eastAsia="MS Mincho"/>
          <w:b/>
          <w:i/>
          <w:lang w:val="en-US" w:eastAsia="ja-JP"/>
        </w:rPr>
        <w:t>Observation #3</w:t>
      </w:r>
      <w:r w:rsidRPr="0069334C">
        <w:rPr>
          <w:rFonts w:eastAsia="MS Mincho"/>
          <w:b/>
          <w:i/>
          <w:lang w:val="en-US" w:eastAsia="ja-JP"/>
        </w:rPr>
        <w:t xml:space="preserve">: </w:t>
      </w:r>
      <w:r>
        <w:rPr>
          <w:rFonts w:eastAsia="MS Mincho"/>
          <w:i/>
          <w:lang w:val="en-US" w:eastAsia="ja-JP"/>
        </w:rPr>
        <w:t>From latency point of view, it is possible to support eMBB and URLLC with a single numerology.</w:t>
      </w:r>
    </w:p>
    <w:p w14:paraId="450C59DD" w14:textId="77777777" w:rsidR="005A1139" w:rsidRPr="00EA5E0F" w:rsidRDefault="005A1139" w:rsidP="005A1139">
      <w:pPr>
        <w:overflowPunct/>
        <w:autoSpaceDE/>
        <w:autoSpaceDN/>
        <w:adjustRightInd/>
        <w:spacing w:after="0"/>
        <w:textAlignment w:val="auto"/>
        <w:rPr>
          <w:rFonts w:eastAsia="MS Mincho"/>
          <w:b/>
          <w:i/>
          <w:lang w:val="en-US" w:eastAsia="ja-JP"/>
        </w:rPr>
      </w:pPr>
    </w:p>
    <w:p w14:paraId="05E0542C" w14:textId="77777777" w:rsidR="005A1139" w:rsidRDefault="005A1139" w:rsidP="005A1139">
      <w:pPr>
        <w:overflowPunct/>
        <w:autoSpaceDE/>
        <w:autoSpaceDN/>
        <w:adjustRightInd/>
        <w:spacing w:after="0"/>
        <w:textAlignment w:val="auto"/>
        <w:rPr>
          <w:rFonts w:eastAsia="MS Mincho"/>
          <w:i/>
          <w:lang w:val="en-US" w:eastAsia="ja-JP"/>
        </w:rPr>
      </w:pPr>
      <w:r>
        <w:rPr>
          <w:rFonts w:eastAsia="MS Mincho"/>
          <w:b/>
          <w:i/>
          <w:lang w:val="en-US" w:eastAsia="ja-JP"/>
        </w:rPr>
        <w:t>Observation #4</w:t>
      </w:r>
      <w:r w:rsidRPr="0069334C">
        <w:rPr>
          <w:rFonts w:eastAsia="MS Mincho"/>
          <w:b/>
          <w:i/>
          <w:lang w:val="en-US" w:eastAsia="ja-JP"/>
        </w:rPr>
        <w:t xml:space="preserve">: </w:t>
      </w:r>
      <w:r w:rsidRPr="00EA41DC">
        <w:rPr>
          <w:rFonts w:eastAsia="MS Mincho"/>
          <w:i/>
          <w:lang w:val="en-US" w:eastAsia="ja-JP"/>
        </w:rPr>
        <w:t xml:space="preserve">URLLC </w:t>
      </w:r>
      <w:r>
        <w:rPr>
          <w:rFonts w:eastAsia="MS Mincho"/>
          <w:i/>
          <w:lang w:val="en-US" w:eastAsia="ja-JP"/>
        </w:rPr>
        <w:t xml:space="preserve">does not provide a strong </w:t>
      </w:r>
      <w:r w:rsidRPr="00EA41DC">
        <w:rPr>
          <w:rFonts w:eastAsia="MS Mincho"/>
          <w:i/>
          <w:lang w:val="en-US" w:eastAsia="ja-JP"/>
        </w:rPr>
        <w:t>motivation for mixed numerology based on FDM</w:t>
      </w:r>
      <w:r>
        <w:rPr>
          <w:rFonts w:eastAsia="MS Mincho"/>
          <w:i/>
          <w:lang w:val="en-US" w:eastAsia="ja-JP"/>
        </w:rPr>
        <w:t>.</w:t>
      </w:r>
    </w:p>
    <w:p w14:paraId="0A09CA25" w14:textId="77777777" w:rsidR="005A1139" w:rsidRDefault="005A1139" w:rsidP="005A1139">
      <w:pPr>
        <w:spacing w:after="0"/>
        <w:ind w:left="283" w:hanging="283"/>
        <w:rPr>
          <w:highlight w:val="yellow"/>
        </w:rPr>
      </w:pPr>
    </w:p>
    <w:p w14:paraId="4E8A3A82" w14:textId="582C9BA4" w:rsidR="005A1139" w:rsidRDefault="005A1139" w:rsidP="005A1139">
      <w:r>
        <w:rPr>
          <w:b/>
          <w:i/>
        </w:rPr>
        <w:t xml:space="preserve">Observation </w:t>
      </w:r>
      <w:r w:rsidRPr="00367367">
        <w:rPr>
          <w:b/>
          <w:i/>
        </w:rPr>
        <w:t>#</w:t>
      </w:r>
      <w:r w:rsidR="007C5994">
        <w:rPr>
          <w:b/>
          <w:i/>
        </w:rPr>
        <w:t>5</w:t>
      </w:r>
      <w:r>
        <w:t xml:space="preserve">: </w:t>
      </w:r>
      <w:r w:rsidRPr="00B27710">
        <w:rPr>
          <w:i/>
        </w:rPr>
        <w:t xml:space="preserve">It is possible to achieve the URLLC 0.5 ms user plane latency target with both short and long symbol configurations in case </w:t>
      </w:r>
      <w:r>
        <w:rPr>
          <w:i/>
        </w:rPr>
        <w:t xml:space="preserve">assuming </w:t>
      </w:r>
      <w:r w:rsidRPr="005A1C17">
        <w:rPr>
          <w:i/>
        </w:rPr>
        <w:t>~10x processing time improvement w.r.t LTE</w:t>
      </w:r>
      <w:r>
        <w:rPr>
          <w:i/>
        </w:rPr>
        <w:t>.</w:t>
      </w:r>
    </w:p>
    <w:p w14:paraId="27F36CE9" w14:textId="58C1D3B7" w:rsidR="005A1139" w:rsidRDefault="005A1139" w:rsidP="005A1139">
      <w:r>
        <w:rPr>
          <w:b/>
          <w:i/>
        </w:rPr>
        <w:t xml:space="preserve">Observation </w:t>
      </w:r>
      <w:r w:rsidRPr="005A1C17">
        <w:rPr>
          <w:b/>
          <w:i/>
        </w:rPr>
        <w:t>#</w:t>
      </w:r>
      <w:r w:rsidR="007C5994">
        <w:rPr>
          <w:b/>
          <w:i/>
        </w:rPr>
        <w:t>6</w:t>
      </w:r>
      <w:r>
        <w:t xml:space="preserve">: </w:t>
      </w:r>
      <w:r w:rsidRPr="005A1C17">
        <w:rPr>
          <w:i/>
        </w:rPr>
        <w:t xml:space="preserve">It is possible to achieve the URLLC </w:t>
      </w:r>
      <w:r>
        <w:rPr>
          <w:i/>
        </w:rPr>
        <w:t xml:space="preserve">latency target (0.5 ms) also with scheduled </w:t>
      </w:r>
      <w:r w:rsidRPr="005A1C17">
        <w:rPr>
          <w:i/>
        </w:rPr>
        <w:t>UE init</w:t>
      </w:r>
      <w:r>
        <w:rPr>
          <w:i/>
        </w:rPr>
        <w:t>i</w:t>
      </w:r>
      <w:r w:rsidRPr="005A1C17">
        <w:rPr>
          <w:i/>
        </w:rPr>
        <w:t xml:space="preserve">ated </w:t>
      </w:r>
      <w:r>
        <w:rPr>
          <w:i/>
        </w:rPr>
        <w:t>access</w:t>
      </w:r>
      <w:r w:rsidRPr="005A1C17">
        <w:rPr>
          <w:i/>
        </w:rPr>
        <w:t xml:space="preserve"> with short symbol configurations </w:t>
      </w:r>
      <w:r>
        <w:rPr>
          <w:i/>
        </w:rPr>
        <w:t xml:space="preserve">assuming </w:t>
      </w:r>
      <w:r w:rsidRPr="005A1C17">
        <w:rPr>
          <w:i/>
        </w:rPr>
        <w:t>~10x processing time improvement w.r.t LTE</w:t>
      </w:r>
      <w:r>
        <w:rPr>
          <w:i/>
        </w:rPr>
        <w:t>.</w:t>
      </w:r>
      <w:r w:rsidRPr="005A1C17">
        <w:rPr>
          <w:i/>
        </w:rPr>
        <w:t xml:space="preserve"> </w:t>
      </w:r>
    </w:p>
    <w:p w14:paraId="40A5FEC3" w14:textId="77777777" w:rsidR="0035443D" w:rsidRPr="00AC3E2E" w:rsidRDefault="0035443D" w:rsidP="0038771D">
      <w:pPr>
        <w:jc w:val="both"/>
        <w:rPr>
          <w:rFonts w:ascii="Arial" w:hAnsi="Arial" w:cs="Arial"/>
          <w:b/>
          <w:bCs/>
          <w:i/>
        </w:rPr>
      </w:pPr>
    </w:p>
    <w:p w14:paraId="3B2B49B2" w14:textId="77777777" w:rsidR="0034111C" w:rsidRPr="00A51522" w:rsidRDefault="0034111C">
      <w:pPr>
        <w:pStyle w:val="Heading1"/>
      </w:pPr>
      <w:r w:rsidRPr="00A51522">
        <w:t>References</w:t>
      </w:r>
      <w:r w:rsidR="00A2459D" w:rsidRPr="00A51522">
        <w:t xml:space="preserve"> </w:t>
      </w:r>
    </w:p>
    <w:p w14:paraId="06B6F6C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24E95C"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7193E73" w14:textId="6C38FBCF" w:rsidR="007157D1" w:rsidRPr="0019340B" w:rsidRDefault="007157D1" w:rsidP="007157D1">
      <w:pPr>
        <w:numPr>
          <w:ilvl w:val="0"/>
          <w:numId w:val="1"/>
        </w:numPr>
        <w:rPr>
          <w:sz w:val="18"/>
        </w:rPr>
      </w:pPr>
      <w:r w:rsidRPr="0019340B">
        <w:rPr>
          <w:sz w:val="18"/>
          <w:lang w:eastAsia="zh-CN"/>
        </w:rPr>
        <w:t>RP-1</w:t>
      </w:r>
      <w:r w:rsidR="0032612F" w:rsidRPr="0019340B">
        <w:rPr>
          <w:sz w:val="18"/>
          <w:lang w:eastAsia="zh-CN"/>
        </w:rPr>
        <w:t>6</w:t>
      </w:r>
      <w:r w:rsidR="0019340B" w:rsidRPr="0019340B">
        <w:rPr>
          <w:sz w:val="18"/>
          <w:lang w:eastAsia="zh-CN"/>
        </w:rPr>
        <w:t>09663</w:t>
      </w:r>
      <w:r w:rsidRPr="0019340B">
        <w:rPr>
          <w:sz w:val="18"/>
          <w:lang w:eastAsia="zh-CN"/>
        </w:rPr>
        <w:t>, “</w:t>
      </w:r>
      <w:r w:rsidRPr="0019340B">
        <w:rPr>
          <w:i/>
          <w:sz w:val="18"/>
        </w:rPr>
        <w:t xml:space="preserve">On the mini-slot structures in NR”, </w:t>
      </w:r>
      <w:r w:rsidRPr="0019340B">
        <w:rPr>
          <w:sz w:val="18"/>
        </w:rPr>
        <w:t>Nokia, Alcatel-Lucent Shanghai Bell</w:t>
      </w:r>
    </w:p>
    <w:p w14:paraId="6E7D74F3" w14:textId="51574B93" w:rsidR="0065307C" w:rsidRDefault="0032612F" w:rsidP="00DC3B36">
      <w:pPr>
        <w:numPr>
          <w:ilvl w:val="0"/>
          <w:numId w:val="1"/>
        </w:numPr>
        <w:rPr>
          <w:sz w:val="18"/>
        </w:rPr>
      </w:pPr>
      <w:r w:rsidRPr="0019340B">
        <w:rPr>
          <w:sz w:val="18"/>
          <w:lang w:eastAsia="zh-CN"/>
        </w:rPr>
        <w:t>RP-16</w:t>
      </w:r>
      <w:r w:rsidR="0019340B" w:rsidRPr="0019340B">
        <w:rPr>
          <w:sz w:val="18"/>
          <w:lang w:eastAsia="zh-CN"/>
        </w:rPr>
        <w:t>09656</w:t>
      </w:r>
      <w:r w:rsidR="0065307C" w:rsidRPr="0019340B">
        <w:rPr>
          <w:sz w:val="18"/>
          <w:lang w:eastAsia="zh-CN"/>
        </w:rPr>
        <w:t>, “</w:t>
      </w:r>
      <w:r w:rsidR="00DC3B36" w:rsidRPr="00DC3B36">
        <w:rPr>
          <w:i/>
          <w:sz w:val="18"/>
          <w:lang w:eastAsia="zh-CN"/>
        </w:rPr>
        <w:t>On the symbol level alignment across different subcarrier spacings</w:t>
      </w:r>
      <w:r w:rsidR="0065307C" w:rsidRPr="00013455">
        <w:rPr>
          <w:sz w:val="18"/>
          <w:lang w:eastAsia="zh-CN"/>
        </w:rPr>
        <w:t xml:space="preserve">”, </w:t>
      </w:r>
      <w:r w:rsidR="0065307C" w:rsidRPr="0065307C">
        <w:rPr>
          <w:sz w:val="18"/>
          <w:lang w:eastAsia="zh-CN"/>
        </w:rPr>
        <w:t>Nokia, Alcatel-Lucent Shanghai Bell</w:t>
      </w:r>
    </w:p>
    <w:p w14:paraId="5DFC90CD" w14:textId="77777777" w:rsidR="0032612F" w:rsidRDefault="0032612F" w:rsidP="0032612F">
      <w:pPr>
        <w:numPr>
          <w:ilvl w:val="0"/>
          <w:numId w:val="1"/>
        </w:numPr>
        <w:rPr>
          <w:sz w:val="18"/>
        </w:rPr>
      </w:pPr>
      <w:r>
        <w:rPr>
          <w:sz w:val="18"/>
        </w:rPr>
        <w:t>TR 36.912, “</w:t>
      </w:r>
      <w:r w:rsidRPr="0065307C">
        <w:rPr>
          <w:i/>
          <w:sz w:val="18"/>
        </w:rPr>
        <w:t>Feasibility study for Further Advancements for E-UTRA (LTE-Advanced)</w:t>
      </w:r>
      <w:r>
        <w:rPr>
          <w:sz w:val="18"/>
        </w:rPr>
        <w:t>”, 3GPP</w:t>
      </w:r>
    </w:p>
    <w:p w14:paraId="3D4BF27F" w14:textId="77777777" w:rsidR="004C2824" w:rsidRDefault="004C2824" w:rsidP="004C2824">
      <w:pPr>
        <w:pStyle w:val="ListParagraph"/>
        <w:numPr>
          <w:ilvl w:val="0"/>
          <w:numId w:val="1"/>
        </w:numPr>
        <w:rPr>
          <w:rStyle w:val="st"/>
          <w:sz w:val="18"/>
          <w:szCs w:val="18"/>
          <w:lang w:val="en-US"/>
        </w:rPr>
      </w:pPr>
      <w:r w:rsidRPr="0019340B">
        <w:rPr>
          <w:rStyle w:val="st"/>
          <w:sz w:val="18"/>
          <w:szCs w:val="18"/>
          <w:lang w:val="en-US"/>
        </w:rPr>
        <w:t>3GPP, R1-166100, “</w:t>
      </w:r>
      <w:r w:rsidRPr="0019340B">
        <w:rPr>
          <w:rStyle w:val="st"/>
          <w:i/>
          <w:sz w:val="18"/>
          <w:szCs w:val="18"/>
          <w:lang w:val="en-US"/>
        </w:rPr>
        <w:t>Evaluation of CP types for NR</w:t>
      </w:r>
      <w:r w:rsidRPr="0019340B">
        <w:rPr>
          <w:rStyle w:val="st"/>
          <w:sz w:val="18"/>
          <w:szCs w:val="18"/>
          <w:lang w:val="en-US"/>
        </w:rPr>
        <w:t>”, Huawei, HiSilicon</w:t>
      </w:r>
    </w:p>
    <w:p w14:paraId="3945B88A" w14:textId="77777777" w:rsidR="00D44C0E" w:rsidRDefault="00D44C0E" w:rsidP="00D44C0E">
      <w:pPr>
        <w:pStyle w:val="ListParagraph"/>
        <w:ind w:left="357"/>
        <w:rPr>
          <w:rStyle w:val="st"/>
          <w:sz w:val="18"/>
          <w:szCs w:val="18"/>
          <w:lang w:val="en-US"/>
        </w:rPr>
      </w:pPr>
    </w:p>
    <w:p w14:paraId="1AD00468" w14:textId="0AC5D423" w:rsidR="00D44C0E" w:rsidRPr="0019340B" w:rsidRDefault="00AD1EA8" w:rsidP="00AD1EA8">
      <w:pPr>
        <w:pStyle w:val="ListParagraph"/>
        <w:numPr>
          <w:ilvl w:val="0"/>
          <w:numId w:val="1"/>
        </w:numPr>
        <w:rPr>
          <w:rStyle w:val="st"/>
          <w:sz w:val="18"/>
          <w:szCs w:val="18"/>
          <w:lang w:val="en-US"/>
        </w:rPr>
      </w:pPr>
      <w:r>
        <w:rPr>
          <w:rStyle w:val="st"/>
          <w:sz w:val="18"/>
          <w:szCs w:val="18"/>
          <w:lang w:val="en-US"/>
        </w:rPr>
        <w:t>R1-167309, “</w:t>
      </w:r>
      <w:r w:rsidRPr="00AD1EA8">
        <w:rPr>
          <w:rStyle w:val="st"/>
          <w:i/>
          <w:sz w:val="18"/>
          <w:szCs w:val="18"/>
          <w:lang w:val="en-US"/>
        </w:rPr>
        <w:t>Semi-persistent scheduling for 5G new radio URLLC</w:t>
      </w:r>
      <w:r>
        <w:rPr>
          <w:rStyle w:val="st"/>
          <w:sz w:val="18"/>
          <w:szCs w:val="18"/>
          <w:lang w:val="en-US"/>
        </w:rPr>
        <w:t xml:space="preserve">”, </w:t>
      </w:r>
      <w:r w:rsidRPr="00AD1EA8">
        <w:rPr>
          <w:sz w:val="18"/>
          <w:lang w:val="en-US"/>
        </w:rPr>
        <w:t>Nokia, Alcatel-Lucent Shanghai Bell</w:t>
      </w:r>
    </w:p>
    <w:p w14:paraId="61CAD2F5" w14:textId="77777777" w:rsidR="003D132A" w:rsidRDefault="003D132A" w:rsidP="003D132A">
      <w:pPr>
        <w:rPr>
          <w:sz w:val="18"/>
          <w:highlight w:val="yellow"/>
        </w:rPr>
      </w:pPr>
    </w:p>
    <w:p w14:paraId="3D0BF9B7" w14:textId="77777777" w:rsidR="00532B20" w:rsidRDefault="00532B20" w:rsidP="00532B20">
      <w:pPr>
        <w:pStyle w:val="Heading1"/>
      </w:pPr>
      <w:r>
        <w:t>Appendix</w:t>
      </w:r>
      <w:r w:rsidR="004F06A3">
        <w:t>: URLLC link level evaluation</w:t>
      </w:r>
    </w:p>
    <w:p w14:paraId="0F77ACDD" w14:textId="77777777" w:rsidR="00532B20" w:rsidRDefault="00532B20" w:rsidP="0019340B">
      <w:pPr>
        <w:spacing w:after="0"/>
      </w:pPr>
      <w:r>
        <w:t>In the following, we compare link performance of the following formats:</w:t>
      </w:r>
    </w:p>
    <w:p w14:paraId="7D2F436B" w14:textId="599427C9" w:rsidR="00532B20" w:rsidRPr="00E71FAA" w:rsidRDefault="00E71FAA" w:rsidP="00532B20">
      <w:pPr>
        <w:pStyle w:val="ListParagraph"/>
        <w:numPr>
          <w:ilvl w:val="0"/>
          <w:numId w:val="18"/>
        </w:numPr>
        <w:rPr>
          <w:sz w:val="20"/>
          <w:lang w:val="en-US"/>
        </w:rPr>
      </w:pPr>
      <w:r>
        <w:rPr>
          <w:sz w:val="20"/>
          <w:lang w:val="en-US"/>
        </w:rPr>
        <w:t>Slot based transmission, SCS</w:t>
      </w:r>
      <w:r w:rsidR="00CF780E">
        <w:rPr>
          <w:sz w:val="20"/>
          <w:lang w:val="en-US"/>
        </w:rPr>
        <w:t xml:space="preserve"> 60 kHz, NCP</w:t>
      </w:r>
      <w:r w:rsidR="00532B20" w:rsidRPr="00E71FAA">
        <w:rPr>
          <w:sz w:val="20"/>
          <w:lang w:val="en-US"/>
        </w:rPr>
        <w:t xml:space="preserve"> </w:t>
      </w:r>
    </w:p>
    <w:p w14:paraId="193A555D" w14:textId="77777777" w:rsidR="00E71FAA" w:rsidRDefault="00E71FAA" w:rsidP="00532B20">
      <w:pPr>
        <w:pStyle w:val="ListParagraph"/>
        <w:numPr>
          <w:ilvl w:val="0"/>
          <w:numId w:val="18"/>
        </w:numPr>
        <w:rPr>
          <w:sz w:val="20"/>
          <w:lang w:val="en-US"/>
        </w:rPr>
      </w:pPr>
      <w:r>
        <w:rPr>
          <w:sz w:val="20"/>
          <w:lang w:val="en-US"/>
        </w:rPr>
        <w:t>Slot based transmission, SCS 60 kHz, ECP</w:t>
      </w:r>
    </w:p>
    <w:p w14:paraId="6DE97D11" w14:textId="77777777" w:rsidR="00532B20" w:rsidRDefault="00E71FAA" w:rsidP="00532B20">
      <w:pPr>
        <w:pStyle w:val="ListParagraph"/>
        <w:numPr>
          <w:ilvl w:val="0"/>
          <w:numId w:val="18"/>
        </w:numPr>
        <w:rPr>
          <w:sz w:val="20"/>
          <w:lang w:val="en-US"/>
        </w:rPr>
      </w:pPr>
      <w:r>
        <w:rPr>
          <w:sz w:val="20"/>
          <w:lang w:val="en-US"/>
        </w:rPr>
        <w:t>Mini-slot based transmission, y=1, SCS 15 kHz, NCP</w:t>
      </w:r>
    </w:p>
    <w:p w14:paraId="316FDC6E" w14:textId="23C72D27" w:rsidR="00E71FAA" w:rsidRDefault="00E71FAA" w:rsidP="00E71FAA">
      <w:pPr>
        <w:pStyle w:val="ListParagraph"/>
        <w:numPr>
          <w:ilvl w:val="0"/>
          <w:numId w:val="18"/>
        </w:numPr>
        <w:rPr>
          <w:sz w:val="20"/>
          <w:lang w:val="en-US"/>
        </w:rPr>
      </w:pPr>
      <w:r>
        <w:rPr>
          <w:sz w:val="20"/>
          <w:lang w:val="en-US"/>
        </w:rPr>
        <w:t>Mini-slot based transmission, y=2, SCS 15 kHz, NCP</w:t>
      </w:r>
      <w:r w:rsidR="00CF780E">
        <w:rPr>
          <w:sz w:val="20"/>
          <w:lang w:val="en-US"/>
        </w:rPr>
        <w:t>.</w:t>
      </w:r>
    </w:p>
    <w:p w14:paraId="2B682721" w14:textId="77777777" w:rsidR="005F4BAC" w:rsidRDefault="005F4BAC" w:rsidP="0019340B">
      <w:pPr>
        <w:rPr>
          <w:lang w:val="en-US"/>
        </w:rPr>
      </w:pPr>
    </w:p>
    <w:p w14:paraId="6476246B" w14:textId="55811005" w:rsidR="004C2824" w:rsidRDefault="004C2824" w:rsidP="004C2824">
      <w:pPr>
        <w:overflowPunct/>
        <w:autoSpaceDE/>
        <w:autoSpaceDN/>
        <w:adjustRightInd/>
        <w:spacing w:after="0"/>
        <w:textAlignment w:val="auto"/>
      </w:pPr>
      <w:r>
        <w:t>A general URLLC reliability requirement for one transmission of a packet is 1-10</w:t>
      </w:r>
      <w:r w:rsidRPr="00AF7DD3">
        <w:rPr>
          <w:vertAlign w:val="superscript"/>
        </w:rPr>
        <w:t>-5</w:t>
      </w:r>
      <w:r>
        <w:t xml:space="preserve"> for X bytes within a user plane latency of 1 ms. To evaluate what is the impact of subcarrier spacing and CP length for URLLC performance we transmit short data packets and measure the required SNR giving BLER less than 10</w:t>
      </w:r>
      <w:r w:rsidRPr="00CC4A2C">
        <w:rPr>
          <w:vertAlign w:val="superscript"/>
        </w:rPr>
        <w:t>-5</w:t>
      </w:r>
      <w:r>
        <w:t>. For each SNR we take the highest throughput of the MCS with BLER less than 10</w:t>
      </w:r>
      <w:r w:rsidRPr="00A4677F">
        <w:rPr>
          <w:vertAlign w:val="superscript"/>
        </w:rPr>
        <w:t>-5</w:t>
      </w:r>
      <w:r>
        <w:t xml:space="preserve"> and calculate the overall URLLC performance, similarly as in [6]. However, instead of using ideal channel estimation and taking just DMRS overhead into account [6], we conduct the channel estimation in the receiver using the actual DMRS patterns</w:t>
      </w:r>
      <w:r w:rsidR="00084FA4">
        <w:t xml:space="preserve"> shown in Figure 9.</w:t>
      </w:r>
    </w:p>
    <w:p w14:paraId="236002B3" w14:textId="77777777" w:rsidR="004C2824" w:rsidRDefault="004C2824" w:rsidP="004C2824">
      <w:pPr>
        <w:overflowPunct/>
        <w:autoSpaceDE/>
        <w:autoSpaceDN/>
        <w:adjustRightInd/>
        <w:spacing w:after="0"/>
        <w:textAlignment w:val="auto"/>
      </w:pPr>
    </w:p>
    <w:p w14:paraId="35546119" w14:textId="714B3507" w:rsidR="004C2824" w:rsidRDefault="004C2824" w:rsidP="004C2824">
      <w:pPr>
        <w:overflowPunct/>
        <w:autoSpaceDE/>
        <w:autoSpaceDN/>
        <w:adjustRightInd/>
        <w:spacing w:after="0"/>
        <w:textAlignment w:val="auto"/>
      </w:pPr>
      <w:r>
        <w:t xml:space="preserve">Link level simulation parameters are given in Table 2. </w:t>
      </w:r>
      <w:r w:rsidR="00F73090">
        <w:t>In order to see the impact of delay spread</w:t>
      </w:r>
      <w:r>
        <w:t xml:space="preserve"> consider two different channel profiles:</w:t>
      </w:r>
    </w:p>
    <w:p w14:paraId="011DCE48" w14:textId="1DBE9CF5" w:rsidR="004C2824" w:rsidRDefault="004C2824" w:rsidP="004C2824">
      <w:pPr>
        <w:pStyle w:val="ListParagraph"/>
        <w:numPr>
          <w:ilvl w:val="0"/>
          <w:numId w:val="20"/>
        </w:numPr>
        <w:rPr>
          <w:sz w:val="20"/>
          <w:lang w:val="en-US"/>
        </w:rPr>
      </w:pPr>
      <w:r w:rsidRPr="0019340B">
        <w:rPr>
          <w:sz w:val="20"/>
          <w:lang w:val="en-US"/>
        </w:rPr>
        <w:t xml:space="preserve">a </w:t>
      </w:r>
      <w:r>
        <w:rPr>
          <w:sz w:val="20"/>
          <w:lang w:val="en-US"/>
        </w:rPr>
        <w:t xml:space="preserve">large delay spread: </w:t>
      </w:r>
      <w:r w:rsidRPr="0019340B">
        <w:rPr>
          <w:sz w:val="20"/>
          <w:lang w:val="en-US"/>
        </w:rPr>
        <w:t>TDL-C-1000ns</w:t>
      </w:r>
      <w:r w:rsidR="00F73090">
        <w:rPr>
          <w:sz w:val="20"/>
          <w:lang w:val="en-US"/>
        </w:rPr>
        <w:t xml:space="preserve"> (worst case scenario)</w:t>
      </w:r>
    </w:p>
    <w:p w14:paraId="6F7F5D98" w14:textId="672AF106" w:rsidR="004C2824" w:rsidRDefault="004C2824" w:rsidP="004C2824">
      <w:pPr>
        <w:pStyle w:val="ListParagraph"/>
        <w:numPr>
          <w:ilvl w:val="0"/>
          <w:numId w:val="20"/>
        </w:numPr>
        <w:rPr>
          <w:sz w:val="20"/>
          <w:lang w:val="en-US"/>
        </w:rPr>
      </w:pPr>
      <w:r>
        <w:rPr>
          <w:sz w:val="20"/>
          <w:lang w:val="en-US"/>
        </w:rPr>
        <w:t xml:space="preserve">a typical delay spread: </w:t>
      </w:r>
      <w:r w:rsidR="006342C0" w:rsidRPr="0019340B">
        <w:rPr>
          <w:sz w:val="20"/>
          <w:lang w:val="en-US"/>
        </w:rPr>
        <w:t>TDL-</w:t>
      </w:r>
      <w:r w:rsidR="000C7FDC">
        <w:rPr>
          <w:sz w:val="20"/>
          <w:lang w:val="en-US"/>
        </w:rPr>
        <w:t>B</w:t>
      </w:r>
      <w:r w:rsidR="006342C0" w:rsidRPr="0019340B">
        <w:rPr>
          <w:sz w:val="20"/>
          <w:lang w:val="en-US"/>
        </w:rPr>
        <w:t>-</w:t>
      </w:r>
      <w:r w:rsidR="006342C0">
        <w:rPr>
          <w:sz w:val="20"/>
          <w:lang w:val="en-US"/>
        </w:rPr>
        <w:t>300</w:t>
      </w:r>
      <w:r w:rsidR="006342C0" w:rsidRPr="0019340B">
        <w:rPr>
          <w:sz w:val="20"/>
          <w:lang w:val="en-US"/>
        </w:rPr>
        <w:t>ns</w:t>
      </w:r>
    </w:p>
    <w:p w14:paraId="535075B8" w14:textId="77777777" w:rsidR="00F73090" w:rsidRDefault="00F73090" w:rsidP="00084FA4"/>
    <w:p w14:paraId="0F73D462" w14:textId="071E69E3" w:rsidR="00F73090" w:rsidRDefault="00084FA4" w:rsidP="00084FA4">
      <w:pPr>
        <w:rPr>
          <w:lang w:val="en-US"/>
        </w:rPr>
      </w:pPr>
      <w:r>
        <w:t>Figure 8 show the achievable throughput for BLER lower than 10</w:t>
      </w:r>
      <w:r>
        <w:rPr>
          <w:vertAlign w:val="superscript"/>
        </w:rPr>
        <w:t>-5</w:t>
      </w:r>
      <w:r>
        <w:t xml:space="preserve"> with 4x4 Tx-Rx antenna configurations and Rank 1 in </w:t>
      </w:r>
      <w:r w:rsidR="00F73090">
        <w:t>a scenario with a large delay spread (</w:t>
      </w:r>
      <w:r w:rsidRPr="0019340B">
        <w:rPr>
          <w:lang w:val="en-US"/>
        </w:rPr>
        <w:t>TDL-C-1000ns</w:t>
      </w:r>
      <w:r w:rsidR="00F73090">
        <w:rPr>
          <w:lang w:val="en-US"/>
        </w:rPr>
        <w:t xml:space="preserve">). Results indicate clearly that mini-slot approach with 15 kHz SCS outperforms slot based approach with 60 kHz SCS. Furthermore, it can be noted that mini-slot length with two OFDMA symbols (y=2) </w:t>
      </w:r>
      <w:r w:rsidR="000C7FDC">
        <w:rPr>
          <w:lang w:val="en-US"/>
        </w:rPr>
        <w:t xml:space="preserve">performs </w:t>
      </w:r>
      <w:r w:rsidR="00F73090">
        <w:rPr>
          <w:lang w:val="en-US"/>
        </w:rPr>
        <w:t>better than mini-slot with one OFDMA symbol (y=1).</w:t>
      </w:r>
      <w:r w:rsidR="000C7FDC">
        <w:rPr>
          <w:lang w:val="en-US"/>
        </w:rPr>
        <w:t xml:space="preserve"> The reason behind is the larger RS overhead, as shown in Figure 10.</w:t>
      </w:r>
    </w:p>
    <w:p w14:paraId="7FFE1002" w14:textId="77777777" w:rsidR="00F73090" w:rsidRDefault="00F73090" w:rsidP="00084FA4">
      <w:pPr>
        <w:rPr>
          <w:lang w:val="en-US"/>
        </w:rPr>
      </w:pPr>
    </w:p>
    <w:p w14:paraId="6F444949" w14:textId="00092513" w:rsidR="006342C0" w:rsidRDefault="006342C0" w:rsidP="0019340B">
      <w:pPr>
        <w:rPr>
          <w:lang w:val="en-US"/>
        </w:rPr>
      </w:pPr>
      <w:r w:rsidRPr="006342C0">
        <w:rPr>
          <w:noProof/>
          <w:lang w:val="en-US"/>
        </w:rPr>
        <w:drawing>
          <wp:inline distT="0" distB="0" distL="0" distR="0" wp14:anchorId="5595AA22" wp14:editId="0D539DE4">
            <wp:extent cx="6120765" cy="279312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793124"/>
                    </a:xfrm>
                    <a:prstGeom prst="rect">
                      <a:avLst/>
                    </a:prstGeom>
                    <a:noFill/>
                    <a:ln>
                      <a:noFill/>
                    </a:ln>
                  </pic:spPr>
                </pic:pic>
              </a:graphicData>
            </a:graphic>
          </wp:inline>
        </w:drawing>
      </w:r>
    </w:p>
    <w:p w14:paraId="3F0C2A2C" w14:textId="628EFEF0" w:rsidR="00084FA4" w:rsidRDefault="00084FA4" w:rsidP="00084FA4">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8</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0401CACF" w14:textId="77777777" w:rsidR="00084FA4" w:rsidRDefault="00084FA4" w:rsidP="00084FA4">
      <w:pPr>
        <w:rPr>
          <w:lang w:val="en-US"/>
        </w:rPr>
      </w:pPr>
    </w:p>
    <w:p w14:paraId="31194D69" w14:textId="539536C9" w:rsidR="00F73090" w:rsidRDefault="00F73090" w:rsidP="00F73090">
      <w:pPr>
        <w:rPr>
          <w:lang w:val="en-US"/>
        </w:rPr>
      </w:pPr>
      <w:r>
        <w:t>Figure 9 show the achievable throughput for BLER lower than 10</w:t>
      </w:r>
      <w:r>
        <w:rPr>
          <w:vertAlign w:val="superscript"/>
        </w:rPr>
        <w:t>-5</w:t>
      </w:r>
      <w:r>
        <w:t xml:space="preserve"> with 4x4 Tx-Rx antenna configurations and Rank 1 in a scenario with a typical delay spread (</w:t>
      </w:r>
      <w:r w:rsidRPr="0019340B">
        <w:rPr>
          <w:lang w:val="en-US"/>
        </w:rPr>
        <w:t>TDL-</w:t>
      </w:r>
      <w:r>
        <w:rPr>
          <w:lang w:val="en-US"/>
        </w:rPr>
        <w:t>B</w:t>
      </w:r>
      <w:r w:rsidRPr="0019340B">
        <w:rPr>
          <w:lang w:val="en-US"/>
        </w:rPr>
        <w:t>-</w:t>
      </w:r>
      <w:r>
        <w:rPr>
          <w:lang w:val="en-US"/>
        </w:rPr>
        <w:t>300</w:t>
      </w:r>
      <w:r w:rsidRPr="0019340B">
        <w:rPr>
          <w:lang w:val="en-US"/>
        </w:rPr>
        <w:t>ns</w:t>
      </w:r>
      <w:r>
        <w:rPr>
          <w:lang w:val="en-US"/>
        </w:rPr>
        <w:t xml:space="preserve">). Results indicate that slot based approach with 60 kHz SCS provides comparable performance with mini-slot based approach with two OFDMA symbols (y=2). </w:t>
      </w:r>
      <w:r w:rsidR="007C5994">
        <w:rPr>
          <w:lang w:val="en-US"/>
        </w:rPr>
        <w:t>Mini</w:t>
      </w:r>
      <w:r>
        <w:rPr>
          <w:lang w:val="en-US"/>
        </w:rPr>
        <w:t>-slot approach with one OFDMA s</w:t>
      </w:r>
      <w:r w:rsidR="007C5994">
        <w:rPr>
          <w:lang w:val="en-US"/>
        </w:rPr>
        <w:t>ymbol (y=1) is the worst option, due to large RS overhead.</w:t>
      </w:r>
    </w:p>
    <w:p w14:paraId="3BFEE024" w14:textId="77777777" w:rsidR="004C2824" w:rsidRDefault="004C2824" w:rsidP="006342C0"/>
    <w:p w14:paraId="7CE27BA7" w14:textId="187EEE50" w:rsidR="006342C0" w:rsidRDefault="006342C0" w:rsidP="0019340B">
      <w:r w:rsidRPr="006342C0">
        <w:rPr>
          <w:noProof/>
          <w:lang w:val="en-US"/>
        </w:rPr>
        <w:drawing>
          <wp:inline distT="0" distB="0" distL="0" distR="0" wp14:anchorId="58893752" wp14:editId="69CABE04">
            <wp:extent cx="6120765" cy="2797175"/>
            <wp:effectExtent l="0" t="0" r="0" b="317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120765" cy="2797175"/>
                    </a:xfrm>
                    <a:prstGeom prst="rect">
                      <a:avLst/>
                    </a:prstGeom>
                  </pic:spPr>
                </pic:pic>
              </a:graphicData>
            </a:graphic>
          </wp:inline>
        </w:drawing>
      </w:r>
    </w:p>
    <w:p w14:paraId="0C40ABB3" w14:textId="77777777" w:rsidR="00084FA4" w:rsidRDefault="00084FA4" w:rsidP="00084FA4">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Pr>
          <w:noProof/>
        </w:rPr>
        <w:t>9</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3BE9A4B0" w14:textId="77777777" w:rsidR="005F4BAC" w:rsidRDefault="004C0478" w:rsidP="0019340B">
      <w:r>
        <w:t xml:space="preserve"> </w:t>
      </w:r>
    </w:p>
    <w:p w14:paraId="433A03D2" w14:textId="77777777" w:rsidR="00F73090" w:rsidRDefault="00F73090" w:rsidP="004C0478">
      <w:pPr>
        <w:pStyle w:val="Caption"/>
      </w:pPr>
    </w:p>
    <w:p w14:paraId="1E639EBA" w14:textId="77777777" w:rsidR="007C5994" w:rsidRDefault="007C5994" w:rsidP="007C5994"/>
    <w:p w14:paraId="6ECD1A03" w14:textId="77777777" w:rsidR="007C5994" w:rsidRDefault="007C5994" w:rsidP="007C5994"/>
    <w:p w14:paraId="4D6BDA21" w14:textId="77777777" w:rsidR="007C5994" w:rsidRPr="007C5994" w:rsidRDefault="007C5994" w:rsidP="007C5994"/>
    <w:p w14:paraId="0D5FC517" w14:textId="77777777" w:rsidR="004C0478" w:rsidRPr="00744CAE" w:rsidRDefault="004C0478" w:rsidP="004C0478">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rsidRPr="00744CAE">
        <w:rPr>
          <w:lang w:val="en-US"/>
        </w:rPr>
        <w:t xml:space="preserve"> Link level simulation parameters </w:t>
      </w:r>
    </w:p>
    <w:tbl>
      <w:tblPr>
        <w:tblW w:w="10220" w:type="dxa"/>
        <w:tblCellMar>
          <w:left w:w="0" w:type="dxa"/>
          <w:right w:w="0" w:type="dxa"/>
        </w:tblCellMar>
        <w:tblLook w:val="04A0" w:firstRow="1" w:lastRow="0" w:firstColumn="1" w:lastColumn="0" w:noHBand="0" w:noVBand="1"/>
      </w:tblPr>
      <w:tblGrid>
        <w:gridCol w:w="3406"/>
        <w:gridCol w:w="3407"/>
        <w:gridCol w:w="3407"/>
      </w:tblGrid>
      <w:tr w:rsidR="006342C0" w:rsidRPr="006342C0" w14:paraId="5B146B74" w14:textId="77777777" w:rsidTr="006342C0">
        <w:tc>
          <w:tcPr>
            <w:tcW w:w="3400" w:type="dxa"/>
            <w:vMerge w:val="restart"/>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0B762109" w14:textId="77777777" w:rsidR="006342C0" w:rsidRPr="006342C0" w:rsidRDefault="006342C0" w:rsidP="006342C0">
            <w:pPr>
              <w:rPr>
                <w:lang w:val="en-US"/>
              </w:rPr>
            </w:pPr>
            <w:r w:rsidRPr="006342C0">
              <w:rPr>
                <w:b/>
                <w:bCs/>
                <w:lang w:val="en-US"/>
              </w:rPr>
              <w:t>Parameter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4DDE0FE4" w14:textId="77777777" w:rsidR="006342C0" w:rsidRPr="006342C0" w:rsidRDefault="006342C0" w:rsidP="006342C0">
            <w:pPr>
              <w:rPr>
                <w:lang w:val="en-US"/>
              </w:rPr>
            </w:pPr>
            <w:r w:rsidRPr="006342C0">
              <w:rPr>
                <w:b/>
                <w:bCs/>
                <w:lang w:val="en-US"/>
              </w:rPr>
              <w:t>Value</w:t>
            </w:r>
          </w:p>
        </w:tc>
      </w:tr>
      <w:tr w:rsidR="006342C0" w:rsidRPr="006342C0" w14:paraId="52A6AD28" w14:textId="77777777" w:rsidTr="006342C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6B21E0" w14:textId="77777777" w:rsidR="006342C0" w:rsidRPr="006342C0" w:rsidRDefault="006342C0" w:rsidP="006342C0">
            <w:pPr>
              <w:rPr>
                <w:lang w:val="en-US"/>
              </w:rPr>
            </w:pP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5DFF54F5" w14:textId="77777777" w:rsidR="006342C0" w:rsidRPr="006342C0" w:rsidRDefault="006342C0" w:rsidP="006342C0">
            <w:pPr>
              <w:rPr>
                <w:lang w:val="en-US"/>
              </w:rPr>
            </w:pPr>
            <w:r w:rsidRPr="006342C0">
              <w:rPr>
                <w:b/>
                <w:bCs/>
                <w:lang w:val="en-US"/>
              </w:rPr>
              <w:t xml:space="preserve">60 kHz subcarrier spacing </w:t>
            </w: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276B18E4" w14:textId="77777777" w:rsidR="006342C0" w:rsidRPr="006342C0" w:rsidRDefault="006342C0" w:rsidP="006342C0">
            <w:pPr>
              <w:rPr>
                <w:lang w:val="en-US"/>
              </w:rPr>
            </w:pPr>
            <w:r w:rsidRPr="006342C0">
              <w:rPr>
                <w:b/>
                <w:bCs/>
                <w:lang w:val="en-US"/>
              </w:rPr>
              <w:t>15 kHz subcarrier spacing</w:t>
            </w:r>
          </w:p>
        </w:tc>
      </w:tr>
      <w:tr w:rsidR="006342C0" w:rsidRPr="006342C0" w14:paraId="1110A8F8"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4DB890" w14:textId="77777777" w:rsidR="006342C0" w:rsidRPr="006342C0" w:rsidRDefault="006342C0" w:rsidP="006342C0">
            <w:pPr>
              <w:rPr>
                <w:lang w:val="en-US"/>
              </w:rPr>
            </w:pPr>
            <w:r w:rsidRPr="006342C0">
              <w:rPr>
                <w:lang w:val="en-US"/>
              </w:rPr>
              <w:t>Carrier frequency</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E4EC5" w14:textId="77777777" w:rsidR="006342C0" w:rsidRPr="006342C0" w:rsidRDefault="006342C0" w:rsidP="006342C0">
            <w:pPr>
              <w:rPr>
                <w:lang w:val="en-US"/>
              </w:rPr>
            </w:pPr>
            <w:r w:rsidRPr="006342C0">
              <w:rPr>
                <w:lang w:val="en-US"/>
              </w:rPr>
              <w:t>4GHz</w:t>
            </w:r>
          </w:p>
        </w:tc>
      </w:tr>
      <w:tr w:rsidR="006342C0" w:rsidRPr="006342C0" w14:paraId="1CA99981"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EFDEC" w14:textId="77777777" w:rsidR="006342C0" w:rsidRPr="006342C0" w:rsidRDefault="006342C0" w:rsidP="006342C0">
            <w:pPr>
              <w:rPr>
                <w:lang w:val="en-US"/>
              </w:rPr>
            </w:pPr>
            <w:r w:rsidRPr="006342C0">
              <w:rPr>
                <w:lang w:val="en-US"/>
              </w:rPr>
              <w:t xml:space="preserve">Active BW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019AD" w14:textId="77777777" w:rsidR="006342C0" w:rsidRPr="006342C0" w:rsidRDefault="006342C0" w:rsidP="006342C0">
            <w:pPr>
              <w:rPr>
                <w:lang w:val="en-US"/>
              </w:rPr>
            </w:pPr>
            <w:r w:rsidRPr="006342C0">
              <w:rPr>
                <w:lang w:val="en-US"/>
              </w:rPr>
              <w:t>12RB, 12 subcarriers per RB</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604F8" w14:textId="77777777" w:rsidR="006342C0" w:rsidRPr="006342C0" w:rsidRDefault="006342C0" w:rsidP="006342C0">
            <w:pPr>
              <w:rPr>
                <w:lang w:val="en-US"/>
              </w:rPr>
            </w:pPr>
            <w:r w:rsidRPr="006342C0">
              <w:rPr>
                <w:lang w:val="en-US"/>
              </w:rPr>
              <w:t>48RB, 12 subcarriers per RB</w:t>
            </w:r>
          </w:p>
        </w:tc>
      </w:tr>
      <w:tr w:rsidR="006342C0" w:rsidRPr="006342C0" w14:paraId="30159755"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2A3A2" w14:textId="77777777" w:rsidR="006342C0" w:rsidRPr="006342C0" w:rsidRDefault="006342C0" w:rsidP="006342C0">
            <w:pPr>
              <w:rPr>
                <w:lang w:val="en-US"/>
              </w:rPr>
            </w:pPr>
            <w:r w:rsidRPr="006342C0">
              <w:rPr>
                <w:lang w:val="en-US"/>
              </w:rPr>
              <w:t>TTI length</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FC596B" w14:textId="77777777" w:rsidR="006342C0" w:rsidRPr="006342C0" w:rsidRDefault="006342C0" w:rsidP="006342C0">
            <w:pPr>
              <w:rPr>
                <w:lang w:val="en-US"/>
              </w:rPr>
            </w:pPr>
            <w:r w:rsidRPr="006342C0">
              <w:rPr>
                <w:lang w:val="en-US"/>
              </w:rPr>
              <w:t>0.125 ms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FF1000" w14:textId="77777777" w:rsidR="006342C0" w:rsidRPr="006342C0" w:rsidRDefault="006342C0" w:rsidP="006342C0">
            <w:pPr>
              <w:rPr>
                <w:lang w:val="en-US"/>
              </w:rPr>
            </w:pPr>
            <w:r w:rsidRPr="006342C0">
              <w:rPr>
                <w:lang w:val="en-US"/>
              </w:rPr>
              <w:t xml:space="preserve">0.071ms/0.143ms </w:t>
            </w:r>
          </w:p>
        </w:tc>
      </w:tr>
      <w:tr w:rsidR="006342C0" w:rsidRPr="006342C0" w14:paraId="0289AC16"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B6EB8" w14:textId="77777777" w:rsidR="006342C0" w:rsidRPr="006342C0" w:rsidRDefault="006342C0" w:rsidP="006342C0">
            <w:pPr>
              <w:rPr>
                <w:lang w:val="en-US"/>
              </w:rPr>
            </w:pPr>
            <w:r w:rsidRPr="006342C0">
              <w:rPr>
                <w:lang w:val="en-US"/>
              </w:rPr>
              <w:t>Symbols/TTI</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376B1" w14:textId="77777777" w:rsidR="006342C0" w:rsidRPr="006342C0" w:rsidRDefault="006342C0" w:rsidP="006342C0">
            <w:pPr>
              <w:rPr>
                <w:lang w:val="en-US"/>
              </w:rPr>
            </w:pPr>
            <w:r w:rsidRPr="006342C0">
              <w:rPr>
                <w:lang w:val="en-US"/>
              </w:rPr>
              <w:t>7(NCP)/6(ECP)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D22B8" w14:textId="77777777" w:rsidR="006342C0" w:rsidRPr="006342C0" w:rsidRDefault="006342C0" w:rsidP="006342C0">
            <w:pPr>
              <w:rPr>
                <w:lang w:val="en-US"/>
              </w:rPr>
            </w:pPr>
            <w:r w:rsidRPr="006342C0">
              <w:rPr>
                <w:lang w:val="en-US"/>
              </w:rPr>
              <w:t>1/2</w:t>
            </w:r>
          </w:p>
        </w:tc>
      </w:tr>
      <w:tr w:rsidR="006342C0" w:rsidRPr="006342C0" w14:paraId="098A9CBF"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B8727" w14:textId="77777777" w:rsidR="006342C0" w:rsidRPr="006342C0" w:rsidRDefault="006342C0" w:rsidP="006342C0">
            <w:pPr>
              <w:rPr>
                <w:lang w:val="en-US"/>
              </w:rPr>
            </w:pPr>
            <w:r w:rsidRPr="006342C0">
              <w:rPr>
                <w:lang w:val="en-US"/>
              </w:rPr>
              <w:t>FFT size</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CE818" w14:textId="77777777" w:rsidR="006342C0" w:rsidRPr="006342C0" w:rsidRDefault="006342C0" w:rsidP="006342C0">
            <w:pPr>
              <w:rPr>
                <w:lang w:val="en-US"/>
              </w:rPr>
            </w:pPr>
            <w:r w:rsidRPr="006342C0">
              <w:rPr>
                <w:lang w:val="en-US"/>
              </w:rPr>
              <w:t>256</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0B41D" w14:textId="77777777" w:rsidR="006342C0" w:rsidRPr="006342C0" w:rsidRDefault="006342C0" w:rsidP="006342C0">
            <w:pPr>
              <w:rPr>
                <w:lang w:val="en-US"/>
              </w:rPr>
            </w:pPr>
            <w:r w:rsidRPr="006342C0">
              <w:rPr>
                <w:lang w:val="en-US"/>
              </w:rPr>
              <w:t>1024</w:t>
            </w:r>
          </w:p>
        </w:tc>
      </w:tr>
      <w:tr w:rsidR="006342C0" w:rsidRPr="006342C0" w14:paraId="5C613570"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C078E" w14:textId="77777777" w:rsidR="006342C0" w:rsidRPr="006342C0" w:rsidRDefault="006342C0" w:rsidP="006342C0">
            <w:pPr>
              <w:rPr>
                <w:lang w:val="en-US"/>
              </w:rPr>
            </w:pPr>
            <w:r w:rsidRPr="006342C0">
              <w:rPr>
                <w:lang w:val="en-US"/>
              </w:rPr>
              <w:t>OFDM symbol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AA6F4" w14:textId="77777777" w:rsidR="006342C0" w:rsidRPr="006342C0" w:rsidRDefault="006342C0" w:rsidP="006342C0">
            <w:pPr>
              <w:rPr>
                <w:lang w:val="en-US"/>
              </w:rPr>
            </w:pPr>
            <w:r w:rsidRPr="006342C0">
              <w:rPr>
                <w:lang w:val="en-US"/>
              </w:rPr>
              <w:t>16.67us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3CCB6" w14:textId="77777777" w:rsidR="006342C0" w:rsidRPr="006342C0" w:rsidRDefault="006342C0" w:rsidP="006342C0">
            <w:pPr>
              <w:rPr>
                <w:lang w:val="en-US"/>
              </w:rPr>
            </w:pPr>
            <w:r w:rsidRPr="006342C0">
              <w:rPr>
                <w:lang w:val="en-US"/>
              </w:rPr>
              <w:t>66.67us</w:t>
            </w:r>
          </w:p>
        </w:tc>
      </w:tr>
      <w:tr w:rsidR="006342C0" w:rsidRPr="006342C0" w14:paraId="5B4CA39D"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BE2EE" w14:textId="77777777" w:rsidR="006342C0" w:rsidRPr="006342C0" w:rsidRDefault="006342C0" w:rsidP="006342C0">
            <w:pPr>
              <w:rPr>
                <w:lang w:val="en-US"/>
              </w:rPr>
            </w:pPr>
            <w:r w:rsidRPr="006342C0">
              <w:rPr>
                <w:lang w:val="en-US"/>
              </w:rPr>
              <w:t>CP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4D84C0" w14:textId="77777777" w:rsidR="006342C0" w:rsidRPr="006342C0" w:rsidRDefault="006342C0" w:rsidP="006342C0">
            <w:pPr>
              <w:rPr>
                <w:lang w:val="en-US"/>
              </w:rPr>
            </w:pPr>
            <w:r w:rsidRPr="006342C0">
              <w:rPr>
                <w:lang w:val="en-US"/>
              </w:rPr>
              <w:t>1.17us(NCP)/4.17us(ECP)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A8DBE" w14:textId="77777777" w:rsidR="006342C0" w:rsidRPr="006342C0" w:rsidRDefault="006342C0" w:rsidP="006342C0">
            <w:pPr>
              <w:rPr>
                <w:lang w:val="en-US"/>
              </w:rPr>
            </w:pPr>
            <w:r w:rsidRPr="006342C0">
              <w:rPr>
                <w:lang w:val="en-US"/>
              </w:rPr>
              <w:t>4.69us</w:t>
            </w:r>
          </w:p>
        </w:tc>
      </w:tr>
      <w:tr w:rsidR="006342C0" w:rsidRPr="006342C0" w14:paraId="3C49FA4F" w14:textId="77777777" w:rsidTr="00F73090">
        <w:trPr>
          <w:trHeight w:val="716"/>
        </w:trPr>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DA5F6" w14:textId="77777777" w:rsidR="006342C0" w:rsidRPr="006342C0" w:rsidRDefault="006342C0" w:rsidP="006342C0">
            <w:pPr>
              <w:rPr>
                <w:lang w:val="en-US"/>
              </w:rPr>
            </w:pPr>
            <w:r w:rsidRPr="006342C0">
              <w:rPr>
                <w:lang w:val="en-US"/>
              </w:rPr>
              <w:t xml:space="preserve">Overhead due to DMRS symbols and increased CP length (ECP case)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4A5BC" w14:textId="77777777" w:rsidR="006342C0" w:rsidRPr="006342C0" w:rsidRDefault="006342C0" w:rsidP="006342C0">
            <w:pPr>
              <w:rPr>
                <w:lang w:val="en-US"/>
              </w:rPr>
            </w:pPr>
            <w:r w:rsidRPr="006342C0">
              <w:rPr>
                <w:lang w:val="en-US"/>
              </w:rPr>
              <w:t>NCP: 7.1%</w:t>
            </w:r>
          </w:p>
          <w:p w14:paraId="2496EF32" w14:textId="77777777" w:rsidR="006342C0" w:rsidRPr="006342C0" w:rsidRDefault="006342C0" w:rsidP="006342C0">
            <w:pPr>
              <w:rPr>
                <w:lang w:val="en-US"/>
              </w:rPr>
            </w:pPr>
            <w:r w:rsidRPr="006342C0">
              <w:rPr>
                <w:lang w:val="en-US"/>
              </w:rPr>
              <w:t xml:space="preserve">ECP:  21.3%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31918" w14:textId="77777777" w:rsidR="006342C0" w:rsidRPr="006342C0" w:rsidRDefault="006342C0" w:rsidP="006342C0">
            <w:pPr>
              <w:rPr>
                <w:lang w:val="en-US"/>
              </w:rPr>
            </w:pPr>
            <w:r w:rsidRPr="006342C0">
              <w:rPr>
                <w:lang w:val="en-US"/>
              </w:rPr>
              <w:t xml:space="preserve">1 symbol/TTI: 16.7% </w:t>
            </w:r>
          </w:p>
          <w:p w14:paraId="767331CA" w14:textId="1114B670" w:rsidR="006342C0" w:rsidRPr="006342C0" w:rsidRDefault="006342C0" w:rsidP="00F73090">
            <w:pPr>
              <w:rPr>
                <w:lang w:val="en-US"/>
              </w:rPr>
            </w:pPr>
            <w:r w:rsidRPr="006342C0">
              <w:rPr>
                <w:lang w:val="en-US"/>
              </w:rPr>
              <w:t>2 symbols/TTI: 8.3 %  </w:t>
            </w:r>
          </w:p>
        </w:tc>
      </w:tr>
      <w:tr w:rsidR="006342C0" w:rsidRPr="006342C0" w14:paraId="7D77B0DF"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8023" w14:textId="77777777" w:rsidR="006342C0" w:rsidRPr="006342C0" w:rsidRDefault="006342C0" w:rsidP="006342C0">
            <w:pPr>
              <w:rPr>
                <w:lang w:val="en-US"/>
              </w:rPr>
            </w:pPr>
            <w:r w:rsidRPr="006342C0">
              <w:rPr>
                <w:lang w:val="en-US"/>
              </w:rPr>
              <w:t>Transmission mode</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84BDF2" w14:textId="77777777" w:rsidR="006342C0" w:rsidRPr="006342C0" w:rsidRDefault="006342C0" w:rsidP="006342C0">
            <w:pPr>
              <w:rPr>
                <w:lang w:val="en-US"/>
              </w:rPr>
            </w:pPr>
            <w:r w:rsidRPr="006342C0">
              <w:rPr>
                <w:lang w:val="en-US"/>
              </w:rPr>
              <w:t>4x4, rank 1</w:t>
            </w:r>
          </w:p>
        </w:tc>
      </w:tr>
      <w:tr w:rsidR="006342C0" w:rsidRPr="006342C0" w14:paraId="76D829FA"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9518C" w14:textId="77777777" w:rsidR="006342C0" w:rsidRPr="006342C0" w:rsidRDefault="006342C0" w:rsidP="006342C0">
            <w:pPr>
              <w:rPr>
                <w:lang w:val="en-US"/>
              </w:rPr>
            </w:pPr>
            <w:r w:rsidRPr="006342C0">
              <w:rPr>
                <w:lang w:val="en-US"/>
              </w:rPr>
              <w:t>MCS</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A4F7D" w14:textId="77777777" w:rsidR="006342C0" w:rsidRPr="006342C0" w:rsidRDefault="006342C0" w:rsidP="006342C0">
            <w:pPr>
              <w:rPr>
                <w:lang w:val="en-US"/>
              </w:rPr>
            </w:pPr>
            <w:r w:rsidRPr="006342C0">
              <w:rPr>
                <w:lang w:val="en-US"/>
              </w:rPr>
              <w:t>10 MCS, QPSK/16QAM/64QAM, code rate range[0.33, 0.83]</w:t>
            </w:r>
          </w:p>
        </w:tc>
      </w:tr>
      <w:tr w:rsidR="006342C0" w:rsidRPr="006342C0" w14:paraId="792FD2AC"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CF452B" w14:textId="77777777" w:rsidR="006342C0" w:rsidRPr="006342C0" w:rsidRDefault="006342C0" w:rsidP="006342C0">
            <w:pPr>
              <w:rPr>
                <w:lang w:val="en-US"/>
              </w:rPr>
            </w:pPr>
            <w:r w:rsidRPr="006342C0">
              <w:rPr>
                <w:lang w:val="en-US"/>
              </w:rPr>
              <w:t>Coding</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D6B71" w14:textId="77777777" w:rsidR="006342C0" w:rsidRPr="006342C0" w:rsidRDefault="006342C0" w:rsidP="006342C0">
            <w:pPr>
              <w:rPr>
                <w:lang w:val="en-US"/>
              </w:rPr>
            </w:pPr>
            <w:r w:rsidRPr="006342C0">
              <w:rPr>
                <w:lang w:val="en-US"/>
              </w:rPr>
              <w:t>Turbo</w:t>
            </w:r>
          </w:p>
        </w:tc>
      </w:tr>
      <w:tr w:rsidR="006342C0" w:rsidRPr="006342C0" w14:paraId="48E885D5"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1FDCE" w14:textId="77777777" w:rsidR="006342C0" w:rsidRPr="006342C0" w:rsidRDefault="006342C0" w:rsidP="006342C0">
            <w:pPr>
              <w:rPr>
                <w:lang w:val="en-US"/>
              </w:rPr>
            </w:pPr>
            <w:r w:rsidRPr="006342C0">
              <w:rPr>
                <w:lang w:val="en-US"/>
              </w:rPr>
              <w:t>Channel model</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2A246" w14:textId="77777777" w:rsidR="006342C0" w:rsidRPr="006342C0" w:rsidRDefault="006342C0" w:rsidP="006342C0">
            <w:pPr>
              <w:rPr>
                <w:lang w:val="en-US"/>
              </w:rPr>
            </w:pPr>
            <w:r w:rsidRPr="006342C0">
              <w:rPr>
                <w:lang w:val="en-US"/>
              </w:rPr>
              <w:t>TDL-C-1000ns, 3km/h</w:t>
            </w:r>
          </w:p>
          <w:p w14:paraId="37F83A7C" w14:textId="77777777" w:rsidR="006342C0" w:rsidRPr="006342C0" w:rsidRDefault="006342C0" w:rsidP="006342C0">
            <w:pPr>
              <w:rPr>
                <w:lang w:val="en-US"/>
              </w:rPr>
            </w:pPr>
            <w:r w:rsidRPr="006342C0">
              <w:rPr>
                <w:lang w:val="en-US"/>
              </w:rPr>
              <w:t>TDL-B-300ns, 3km/h</w:t>
            </w:r>
          </w:p>
        </w:tc>
      </w:tr>
      <w:tr w:rsidR="006342C0" w:rsidRPr="006342C0" w14:paraId="202EC56B"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30D9B" w14:textId="77777777" w:rsidR="006342C0" w:rsidRPr="006342C0" w:rsidRDefault="006342C0" w:rsidP="006342C0">
            <w:pPr>
              <w:rPr>
                <w:lang w:val="en-US"/>
              </w:rPr>
            </w:pPr>
            <w:r w:rsidRPr="006342C0">
              <w:rPr>
                <w:lang w:val="en-US"/>
              </w:rPr>
              <w:t>Channel estimation</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0DA2E3" w14:textId="77777777" w:rsidR="006342C0" w:rsidRPr="006342C0" w:rsidRDefault="006342C0" w:rsidP="006342C0">
            <w:pPr>
              <w:rPr>
                <w:lang w:val="en-US"/>
              </w:rPr>
            </w:pPr>
            <w:r w:rsidRPr="006342C0">
              <w:rPr>
                <w:lang w:val="en-US"/>
              </w:rPr>
              <w:t>Wiener filter based estimator</w:t>
            </w:r>
          </w:p>
        </w:tc>
      </w:tr>
      <w:tr w:rsidR="006342C0" w:rsidRPr="006342C0" w14:paraId="4888989C" w14:textId="77777777" w:rsidTr="006342C0">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586360" w14:textId="77777777" w:rsidR="006342C0" w:rsidRPr="006342C0" w:rsidRDefault="006342C0" w:rsidP="006342C0">
            <w:pPr>
              <w:rPr>
                <w:lang w:val="en-US"/>
              </w:rPr>
            </w:pPr>
            <w:r w:rsidRPr="006342C0">
              <w:rPr>
                <w:lang w:val="en-US"/>
              </w:rPr>
              <w:t>BLER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93AFC" w14:textId="77777777" w:rsidR="006342C0" w:rsidRPr="006342C0" w:rsidRDefault="006342C0" w:rsidP="006342C0">
            <w:pPr>
              <w:rPr>
                <w:lang w:val="en-US"/>
              </w:rPr>
            </w:pPr>
            <w:r w:rsidRPr="006342C0">
              <w:rPr>
                <w:lang w:val="en-US"/>
              </w:rPr>
              <w:t>Lower than 10</w:t>
            </w:r>
            <w:r w:rsidRPr="006342C0">
              <w:rPr>
                <w:vertAlign w:val="superscript"/>
                <w:lang w:val="en-US"/>
              </w:rPr>
              <w:t>-5</w:t>
            </w:r>
            <w:r w:rsidRPr="006342C0">
              <w:rPr>
                <w:lang w:val="en-US"/>
              </w:rPr>
              <w:t xml:space="preserve"> </w:t>
            </w:r>
          </w:p>
        </w:tc>
      </w:tr>
    </w:tbl>
    <w:p w14:paraId="0A4E3DFD" w14:textId="77777777" w:rsidR="004C0478" w:rsidRDefault="004C0478" w:rsidP="004C0478"/>
    <w:p w14:paraId="76ACD0B9" w14:textId="77777777" w:rsidR="004C0478" w:rsidRPr="00436404" w:rsidRDefault="004C0478" w:rsidP="004C0478">
      <w:pPr>
        <w:rPr>
          <w:b/>
          <w:u w:val="single"/>
        </w:rPr>
      </w:pPr>
      <w:r w:rsidRPr="00436404">
        <w:rPr>
          <w:b/>
          <w:u w:val="single"/>
        </w:rPr>
        <w:t>RS patterns</w:t>
      </w:r>
    </w:p>
    <w:p w14:paraId="53C2DBF2" w14:textId="77777777" w:rsidR="00084FA4" w:rsidRDefault="006342C0" w:rsidP="00084FA4">
      <w:pPr>
        <w:keepNext/>
      </w:pPr>
      <w:r w:rsidRPr="006342C0">
        <w:rPr>
          <w:noProof/>
          <w:lang w:val="en-US"/>
        </w:rPr>
        <w:drawing>
          <wp:inline distT="0" distB="0" distL="0" distR="0" wp14:anchorId="7077A5C1" wp14:editId="214680E5">
            <wp:extent cx="6120765" cy="2482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482881"/>
                    </a:xfrm>
                    <a:prstGeom prst="rect">
                      <a:avLst/>
                    </a:prstGeom>
                    <a:noFill/>
                    <a:ln>
                      <a:noFill/>
                    </a:ln>
                  </pic:spPr>
                </pic:pic>
              </a:graphicData>
            </a:graphic>
          </wp:inline>
        </w:drawing>
      </w:r>
    </w:p>
    <w:p w14:paraId="76C57C83" w14:textId="537A7529" w:rsidR="004C0478" w:rsidRPr="00436404" w:rsidRDefault="00084FA4" w:rsidP="00084FA4">
      <w:pPr>
        <w:pStyle w:val="Caption"/>
        <w:jc w:val="center"/>
        <w:rPr>
          <w:b w:val="0"/>
        </w:rPr>
      </w:pPr>
      <w:r>
        <w:t xml:space="preserve">Figure </w:t>
      </w:r>
      <w:r>
        <w:fldChar w:fldCharType="begin"/>
      </w:r>
      <w:r>
        <w:instrText xml:space="preserve"> SEQ Figure \* ARABIC </w:instrText>
      </w:r>
      <w:r>
        <w:fldChar w:fldCharType="separate"/>
      </w:r>
      <w:r>
        <w:rPr>
          <w:noProof/>
        </w:rPr>
        <w:t>10</w:t>
      </w:r>
      <w:r>
        <w:fldChar w:fldCharType="end"/>
      </w:r>
      <w:r>
        <w:t>. RS patterns used in link simulations</w:t>
      </w:r>
    </w:p>
    <w:p w14:paraId="3386BCFE" w14:textId="5E46891D" w:rsidR="00E71FAA" w:rsidRPr="008D4B8A" w:rsidRDefault="00E71FAA" w:rsidP="00532B20">
      <w:pPr>
        <w:jc w:val="center"/>
        <w:rPr>
          <w:sz w:val="18"/>
        </w:rPr>
      </w:pPr>
    </w:p>
    <w:sectPr w:rsidR="00E71FAA"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391E6" w14:textId="77777777" w:rsidR="008478E4" w:rsidRDefault="008478E4">
      <w:r>
        <w:separator/>
      </w:r>
    </w:p>
  </w:endnote>
  <w:endnote w:type="continuationSeparator" w:id="0">
    <w:p w14:paraId="62297572" w14:textId="77777777" w:rsidR="008478E4" w:rsidRDefault="0084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8F1A1" w14:textId="77777777" w:rsidR="008478E4" w:rsidRDefault="008478E4">
      <w:r>
        <w:separator/>
      </w:r>
    </w:p>
  </w:footnote>
  <w:footnote w:type="continuationSeparator" w:id="0">
    <w:p w14:paraId="50148DF9" w14:textId="77777777" w:rsidR="008478E4" w:rsidRDefault="00847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F39D5"/>
    <w:multiLevelType w:val="hybridMultilevel"/>
    <w:tmpl w:val="C2CC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A12167"/>
    <w:multiLevelType w:val="hybridMultilevel"/>
    <w:tmpl w:val="2E4C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A34FD2"/>
    <w:multiLevelType w:val="hybridMultilevel"/>
    <w:tmpl w:val="08E24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D6613"/>
    <w:multiLevelType w:val="hybridMultilevel"/>
    <w:tmpl w:val="56A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D419BF"/>
    <w:multiLevelType w:val="hybridMultilevel"/>
    <w:tmpl w:val="F67CA24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8F35DB1"/>
    <w:multiLevelType w:val="hybridMultilevel"/>
    <w:tmpl w:val="2716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80E38"/>
    <w:multiLevelType w:val="hybridMultilevel"/>
    <w:tmpl w:val="52FA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6A3C0C"/>
    <w:multiLevelType w:val="hybridMultilevel"/>
    <w:tmpl w:val="D6BC7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E547DC"/>
    <w:multiLevelType w:val="hybridMultilevel"/>
    <w:tmpl w:val="F370C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17"/>
  </w:num>
  <w:num w:numId="5">
    <w:abstractNumId w:val="15"/>
  </w:num>
  <w:num w:numId="6">
    <w:abstractNumId w:val="13"/>
  </w:num>
  <w:num w:numId="7">
    <w:abstractNumId w:val="0"/>
  </w:num>
  <w:num w:numId="8">
    <w:abstractNumId w:val="10"/>
  </w:num>
  <w:num w:numId="9">
    <w:abstractNumId w:val="1"/>
  </w:num>
  <w:num w:numId="10">
    <w:abstractNumId w:val="12"/>
  </w:num>
  <w:num w:numId="11">
    <w:abstractNumId w:val="14"/>
  </w:num>
  <w:num w:numId="12">
    <w:abstractNumId w:val="4"/>
  </w:num>
  <w:num w:numId="13">
    <w:abstractNumId w:val="7"/>
  </w:num>
  <w:num w:numId="14">
    <w:abstractNumId w:val="18"/>
  </w:num>
  <w:num w:numId="15">
    <w:abstractNumId w:val="16"/>
  </w:num>
  <w:num w:numId="16">
    <w:abstractNumId w:val="6"/>
  </w:num>
  <w:num w:numId="17">
    <w:abstractNumId w:val="3"/>
  </w:num>
  <w:num w:numId="18">
    <w:abstractNumId w:val="8"/>
  </w:num>
  <w:num w:numId="19">
    <w:abstractNumId w:val="2"/>
  </w:num>
  <w:num w:numId="2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9D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12"/>
    <w:rsid w:val="00024AEF"/>
    <w:rsid w:val="00026C65"/>
    <w:rsid w:val="00027755"/>
    <w:rsid w:val="00030048"/>
    <w:rsid w:val="0003072D"/>
    <w:rsid w:val="000314CD"/>
    <w:rsid w:val="00033544"/>
    <w:rsid w:val="000338E8"/>
    <w:rsid w:val="0003479E"/>
    <w:rsid w:val="00035691"/>
    <w:rsid w:val="00035BCA"/>
    <w:rsid w:val="0004132D"/>
    <w:rsid w:val="00041666"/>
    <w:rsid w:val="00044CFA"/>
    <w:rsid w:val="000459C7"/>
    <w:rsid w:val="00046630"/>
    <w:rsid w:val="00046C80"/>
    <w:rsid w:val="00050112"/>
    <w:rsid w:val="00050466"/>
    <w:rsid w:val="000505CC"/>
    <w:rsid w:val="0005112D"/>
    <w:rsid w:val="000511F9"/>
    <w:rsid w:val="00051A7C"/>
    <w:rsid w:val="00052850"/>
    <w:rsid w:val="000528A2"/>
    <w:rsid w:val="00052BBA"/>
    <w:rsid w:val="00054D9D"/>
    <w:rsid w:val="00055676"/>
    <w:rsid w:val="00056544"/>
    <w:rsid w:val="00057C9F"/>
    <w:rsid w:val="00060D8E"/>
    <w:rsid w:val="00063D9E"/>
    <w:rsid w:val="00064AD3"/>
    <w:rsid w:val="00065088"/>
    <w:rsid w:val="000652D3"/>
    <w:rsid w:val="000654A0"/>
    <w:rsid w:val="000707CA"/>
    <w:rsid w:val="00072BBA"/>
    <w:rsid w:val="00072FF5"/>
    <w:rsid w:val="00073406"/>
    <w:rsid w:val="00075FDA"/>
    <w:rsid w:val="00076386"/>
    <w:rsid w:val="00076D82"/>
    <w:rsid w:val="00081EC2"/>
    <w:rsid w:val="00083800"/>
    <w:rsid w:val="00084A65"/>
    <w:rsid w:val="00084FA4"/>
    <w:rsid w:val="00091A92"/>
    <w:rsid w:val="00093C49"/>
    <w:rsid w:val="0009432A"/>
    <w:rsid w:val="00095A80"/>
    <w:rsid w:val="000973E1"/>
    <w:rsid w:val="000A1402"/>
    <w:rsid w:val="000A20BA"/>
    <w:rsid w:val="000A262C"/>
    <w:rsid w:val="000A3BB6"/>
    <w:rsid w:val="000A3C8D"/>
    <w:rsid w:val="000A40EC"/>
    <w:rsid w:val="000A54EE"/>
    <w:rsid w:val="000A6A23"/>
    <w:rsid w:val="000A7BC5"/>
    <w:rsid w:val="000B16DB"/>
    <w:rsid w:val="000B1C5E"/>
    <w:rsid w:val="000B2282"/>
    <w:rsid w:val="000B2A11"/>
    <w:rsid w:val="000B2A5B"/>
    <w:rsid w:val="000B2FEC"/>
    <w:rsid w:val="000B3B91"/>
    <w:rsid w:val="000B5AC9"/>
    <w:rsid w:val="000B5F0A"/>
    <w:rsid w:val="000C74BA"/>
    <w:rsid w:val="000C7531"/>
    <w:rsid w:val="000C7C3F"/>
    <w:rsid w:val="000C7FDC"/>
    <w:rsid w:val="000D0BD6"/>
    <w:rsid w:val="000D0BEE"/>
    <w:rsid w:val="000D0C61"/>
    <w:rsid w:val="000D27AD"/>
    <w:rsid w:val="000D29D1"/>
    <w:rsid w:val="000D2B0A"/>
    <w:rsid w:val="000D3286"/>
    <w:rsid w:val="000D344D"/>
    <w:rsid w:val="000D40E7"/>
    <w:rsid w:val="000D584F"/>
    <w:rsid w:val="000E05AC"/>
    <w:rsid w:val="000E071E"/>
    <w:rsid w:val="000E117F"/>
    <w:rsid w:val="000E27AA"/>
    <w:rsid w:val="000E337A"/>
    <w:rsid w:val="000E4350"/>
    <w:rsid w:val="000E4408"/>
    <w:rsid w:val="000E531C"/>
    <w:rsid w:val="000E5716"/>
    <w:rsid w:val="000E7A79"/>
    <w:rsid w:val="000F15B2"/>
    <w:rsid w:val="000F19DE"/>
    <w:rsid w:val="000F2E1F"/>
    <w:rsid w:val="000F37B0"/>
    <w:rsid w:val="000F4595"/>
    <w:rsid w:val="000F4CB2"/>
    <w:rsid w:val="000F568D"/>
    <w:rsid w:val="00100788"/>
    <w:rsid w:val="00101C4F"/>
    <w:rsid w:val="00102C9F"/>
    <w:rsid w:val="001068D2"/>
    <w:rsid w:val="001103BD"/>
    <w:rsid w:val="00111208"/>
    <w:rsid w:val="00111808"/>
    <w:rsid w:val="0011339F"/>
    <w:rsid w:val="00114E96"/>
    <w:rsid w:val="00117332"/>
    <w:rsid w:val="001204DD"/>
    <w:rsid w:val="00122839"/>
    <w:rsid w:val="001237AC"/>
    <w:rsid w:val="00124A28"/>
    <w:rsid w:val="00124E12"/>
    <w:rsid w:val="00126407"/>
    <w:rsid w:val="0012673D"/>
    <w:rsid w:val="001269B8"/>
    <w:rsid w:val="00127099"/>
    <w:rsid w:val="00132B71"/>
    <w:rsid w:val="0013427A"/>
    <w:rsid w:val="00134EB9"/>
    <w:rsid w:val="001362C2"/>
    <w:rsid w:val="00136955"/>
    <w:rsid w:val="00136E19"/>
    <w:rsid w:val="001371B2"/>
    <w:rsid w:val="00137D78"/>
    <w:rsid w:val="001409A0"/>
    <w:rsid w:val="00141F08"/>
    <w:rsid w:val="00141FF2"/>
    <w:rsid w:val="00142DE2"/>
    <w:rsid w:val="00144C87"/>
    <w:rsid w:val="001467B1"/>
    <w:rsid w:val="00150175"/>
    <w:rsid w:val="001502C8"/>
    <w:rsid w:val="0015130F"/>
    <w:rsid w:val="00153776"/>
    <w:rsid w:val="0015550E"/>
    <w:rsid w:val="00155BFD"/>
    <w:rsid w:val="00157390"/>
    <w:rsid w:val="00160998"/>
    <w:rsid w:val="00160CD6"/>
    <w:rsid w:val="0016316A"/>
    <w:rsid w:val="00164171"/>
    <w:rsid w:val="00164E58"/>
    <w:rsid w:val="00165033"/>
    <w:rsid w:val="00165451"/>
    <w:rsid w:val="001670EA"/>
    <w:rsid w:val="001674A0"/>
    <w:rsid w:val="00167E6F"/>
    <w:rsid w:val="00170A50"/>
    <w:rsid w:val="00174FFD"/>
    <w:rsid w:val="001759CA"/>
    <w:rsid w:val="0017726A"/>
    <w:rsid w:val="00177DD3"/>
    <w:rsid w:val="00180278"/>
    <w:rsid w:val="001818A7"/>
    <w:rsid w:val="00182725"/>
    <w:rsid w:val="001829C8"/>
    <w:rsid w:val="001837F4"/>
    <w:rsid w:val="00186904"/>
    <w:rsid w:val="00186B0A"/>
    <w:rsid w:val="001870B9"/>
    <w:rsid w:val="001905BD"/>
    <w:rsid w:val="00192FE6"/>
    <w:rsid w:val="0019340B"/>
    <w:rsid w:val="00193986"/>
    <w:rsid w:val="00193B08"/>
    <w:rsid w:val="00194570"/>
    <w:rsid w:val="00196211"/>
    <w:rsid w:val="00196BF4"/>
    <w:rsid w:val="001972DA"/>
    <w:rsid w:val="001976AA"/>
    <w:rsid w:val="001A15C6"/>
    <w:rsid w:val="001A397D"/>
    <w:rsid w:val="001A5E19"/>
    <w:rsid w:val="001A77BB"/>
    <w:rsid w:val="001B01FA"/>
    <w:rsid w:val="001B0832"/>
    <w:rsid w:val="001B18A7"/>
    <w:rsid w:val="001B2762"/>
    <w:rsid w:val="001B36FC"/>
    <w:rsid w:val="001B41ED"/>
    <w:rsid w:val="001B4607"/>
    <w:rsid w:val="001B6004"/>
    <w:rsid w:val="001B7E0C"/>
    <w:rsid w:val="001C0674"/>
    <w:rsid w:val="001C1366"/>
    <w:rsid w:val="001C226F"/>
    <w:rsid w:val="001C33A4"/>
    <w:rsid w:val="001C66AC"/>
    <w:rsid w:val="001C6754"/>
    <w:rsid w:val="001C77F0"/>
    <w:rsid w:val="001D1EB4"/>
    <w:rsid w:val="001D46A0"/>
    <w:rsid w:val="001D7689"/>
    <w:rsid w:val="001D7CA4"/>
    <w:rsid w:val="001D7E58"/>
    <w:rsid w:val="001E06C1"/>
    <w:rsid w:val="001E1401"/>
    <w:rsid w:val="001E4138"/>
    <w:rsid w:val="001E4D4F"/>
    <w:rsid w:val="001E57CF"/>
    <w:rsid w:val="001E5981"/>
    <w:rsid w:val="001E74BA"/>
    <w:rsid w:val="001E7B9F"/>
    <w:rsid w:val="001F01FB"/>
    <w:rsid w:val="001F0658"/>
    <w:rsid w:val="001F0E92"/>
    <w:rsid w:val="001F1987"/>
    <w:rsid w:val="001F23BD"/>
    <w:rsid w:val="001F3166"/>
    <w:rsid w:val="001F34DA"/>
    <w:rsid w:val="001F4DAC"/>
    <w:rsid w:val="001F5019"/>
    <w:rsid w:val="001F67AA"/>
    <w:rsid w:val="001F70BE"/>
    <w:rsid w:val="001F7599"/>
    <w:rsid w:val="00204B3A"/>
    <w:rsid w:val="0020535A"/>
    <w:rsid w:val="00206955"/>
    <w:rsid w:val="0020752A"/>
    <w:rsid w:val="00210309"/>
    <w:rsid w:val="00211C52"/>
    <w:rsid w:val="00212FB8"/>
    <w:rsid w:val="00213709"/>
    <w:rsid w:val="002149AF"/>
    <w:rsid w:val="00214A86"/>
    <w:rsid w:val="00215AAA"/>
    <w:rsid w:val="0021683C"/>
    <w:rsid w:val="002210A9"/>
    <w:rsid w:val="00221985"/>
    <w:rsid w:val="00221EC5"/>
    <w:rsid w:val="00222A7A"/>
    <w:rsid w:val="0022454F"/>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67CB"/>
    <w:rsid w:val="0023765A"/>
    <w:rsid w:val="00237921"/>
    <w:rsid w:val="00241311"/>
    <w:rsid w:val="00242E22"/>
    <w:rsid w:val="0024336B"/>
    <w:rsid w:val="0024424F"/>
    <w:rsid w:val="002442BE"/>
    <w:rsid w:val="00244D28"/>
    <w:rsid w:val="00245720"/>
    <w:rsid w:val="00245FD5"/>
    <w:rsid w:val="002477DF"/>
    <w:rsid w:val="00251AD6"/>
    <w:rsid w:val="00252C17"/>
    <w:rsid w:val="0025307F"/>
    <w:rsid w:val="002551BD"/>
    <w:rsid w:val="002560DB"/>
    <w:rsid w:val="002568D0"/>
    <w:rsid w:val="002568E3"/>
    <w:rsid w:val="00262661"/>
    <w:rsid w:val="002632DF"/>
    <w:rsid w:val="002640BA"/>
    <w:rsid w:val="00264CF2"/>
    <w:rsid w:val="00267587"/>
    <w:rsid w:val="00271589"/>
    <w:rsid w:val="00273177"/>
    <w:rsid w:val="00275074"/>
    <w:rsid w:val="002763E9"/>
    <w:rsid w:val="00276736"/>
    <w:rsid w:val="00280984"/>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7F55"/>
    <w:rsid w:val="002B132E"/>
    <w:rsid w:val="002B2813"/>
    <w:rsid w:val="002B2D29"/>
    <w:rsid w:val="002C0C4B"/>
    <w:rsid w:val="002C1EEA"/>
    <w:rsid w:val="002C5867"/>
    <w:rsid w:val="002C6034"/>
    <w:rsid w:val="002C635B"/>
    <w:rsid w:val="002C7CFF"/>
    <w:rsid w:val="002D0BC6"/>
    <w:rsid w:val="002D17C5"/>
    <w:rsid w:val="002D365F"/>
    <w:rsid w:val="002D5C8A"/>
    <w:rsid w:val="002D7C86"/>
    <w:rsid w:val="002D7CDA"/>
    <w:rsid w:val="002E0692"/>
    <w:rsid w:val="002E1D74"/>
    <w:rsid w:val="002E2943"/>
    <w:rsid w:val="002E2CF1"/>
    <w:rsid w:val="002E34AF"/>
    <w:rsid w:val="002E4AAC"/>
    <w:rsid w:val="002E53DE"/>
    <w:rsid w:val="002E563B"/>
    <w:rsid w:val="002E62D2"/>
    <w:rsid w:val="002E74AF"/>
    <w:rsid w:val="002E7507"/>
    <w:rsid w:val="002F0CA9"/>
    <w:rsid w:val="002F1038"/>
    <w:rsid w:val="002F22FF"/>
    <w:rsid w:val="002F231D"/>
    <w:rsid w:val="002F2D8F"/>
    <w:rsid w:val="002F56FC"/>
    <w:rsid w:val="002F695B"/>
    <w:rsid w:val="002F72DA"/>
    <w:rsid w:val="002F76B1"/>
    <w:rsid w:val="002F7D66"/>
    <w:rsid w:val="002F7DBE"/>
    <w:rsid w:val="0030090B"/>
    <w:rsid w:val="00302AE8"/>
    <w:rsid w:val="00302BB1"/>
    <w:rsid w:val="00304210"/>
    <w:rsid w:val="003048D7"/>
    <w:rsid w:val="00304AD2"/>
    <w:rsid w:val="003062E6"/>
    <w:rsid w:val="003068B6"/>
    <w:rsid w:val="00306E5D"/>
    <w:rsid w:val="003071F6"/>
    <w:rsid w:val="00311C08"/>
    <w:rsid w:val="00312ECE"/>
    <w:rsid w:val="0031393C"/>
    <w:rsid w:val="00313CB0"/>
    <w:rsid w:val="00313F96"/>
    <w:rsid w:val="003150CE"/>
    <w:rsid w:val="00315AAB"/>
    <w:rsid w:val="003173BA"/>
    <w:rsid w:val="003175E1"/>
    <w:rsid w:val="00320299"/>
    <w:rsid w:val="00321154"/>
    <w:rsid w:val="003211B0"/>
    <w:rsid w:val="00321EDA"/>
    <w:rsid w:val="00322346"/>
    <w:rsid w:val="003224E7"/>
    <w:rsid w:val="00325D7A"/>
    <w:rsid w:val="0032612F"/>
    <w:rsid w:val="00326145"/>
    <w:rsid w:val="00327163"/>
    <w:rsid w:val="00327305"/>
    <w:rsid w:val="00327531"/>
    <w:rsid w:val="00330187"/>
    <w:rsid w:val="003306E9"/>
    <w:rsid w:val="00331C77"/>
    <w:rsid w:val="00331F96"/>
    <w:rsid w:val="00332B55"/>
    <w:rsid w:val="003334D7"/>
    <w:rsid w:val="00335EA8"/>
    <w:rsid w:val="00336067"/>
    <w:rsid w:val="003363DD"/>
    <w:rsid w:val="00340361"/>
    <w:rsid w:val="00340795"/>
    <w:rsid w:val="0034111C"/>
    <w:rsid w:val="00341E60"/>
    <w:rsid w:val="0034217F"/>
    <w:rsid w:val="00343954"/>
    <w:rsid w:val="00343E79"/>
    <w:rsid w:val="00345405"/>
    <w:rsid w:val="00345DDD"/>
    <w:rsid w:val="00346FED"/>
    <w:rsid w:val="00351E01"/>
    <w:rsid w:val="00352D21"/>
    <w:rsid w:val="0035443D"/>
    <w:rsid w:val="00354FEE"/>
    <w:rsid w:val="00356123"/>
    <w:rsid w:val="00356C0B"/>
    <w:rsid w:val="00357B9C"/>
    <w:rsid w:val="00361412"/>
    <w:rsid w:val="003615CA"/>
    <w:rsid w:val="003637F0"/>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C82"/>
    <w:rsid w:val="00386053"/>
    <w:rsid w:val="0038771D"/>
    <w:rsid w:val="00393E44"/>
    <w:rsid w:val="00397676"/>
    <w:rsid w:val="00397AB6"/>
    <w:rsid w:val="00397ACA"/>
    <w:rsid w:val="003A10C3"/>
    <w:rsid w:val="003A597F"/>
    <w:rsid w:val="003A70AA"/>
    <w:rsid w:val="003A71A8"/>
    <w:rsid w:val="003B00CA"/>
    <w:rsid w:val="003B030B"/>
    <w:rsid w:val="003B0432"/>
    <w:rsid w:val="003B0821"/>
    <w:rsid w:val="003B0BE9"/>
    <w:rsid w:val="003B1979"/>
    <w:rsid w:val="003B2E9B"/>
    <w:rsid w:val="003B2F8D"/>
    <w:rsid w:val="003B4FAA"/>
    <w:rsid w:val="003B547A"/>
    <w:rsid w:val="003B75B9"/>
    <w:rsid w:val="003C1A18"/>
    <w:rsid w:val="003C5C41"/>
    <w:rsid w:val="003C677B"/>
    <w:rsid w:val="003C7461"/>
    <w:rsid w:val="003C7FE8"/>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2B78"/>
    <w:rsid w:val="003F32FF"/>
    <w:rsid w:val="003F5547"/>
    <w:rsid w:val="003F5C40"/>
    <w:rsid w:val="003F6E12"/>
    <w:rsid w:val="003F6E32"/>
    <w:rsid w:val="003F75ED"/>
    <w:rsid w:val="004002B7"/>
    <w:rsid w:val="00400F31"/>
    <w:rsid w:val="00402AD8"/>
    <w:rsid w:val="00406B4D"/>
    <w:rsid w:val="0041443C"/>
    <w:rsid w:val="004154F7"/>
    <w:rsid w:val="00416D44"/>
    <w:rsid w:val="004176FF"/>
    <w:rsid w:val="00421A27"/>
    <w:rsid w:val="004241C5"/>
    <w:rsid w:val="00424FA7"/>
    <w:rsid w:val="00426A87"/>
    <w:rsid w:val="004309D8"/>
    <w:rsid w:val="004313D1"/>
    <w:rsid w:val="00432110"/>
    <w:rsid w:val="00433339"/>
    <w:rsid w:val="00433D07"/>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84F"/>
    <w:rsid w:val="00465299"/>
    <w:rsid w:val="00466A0F"/>
    <w:rsid w:val="0046795B"/>
    <w:rsid w:val="00471863"/>
    <w:rsid w:val="00473A14"/>
    <w:rsid w:val="00474CA8"/>
    <w:rsid w:val="00474E43"/>
    <w:rsid w:val="00481D90"/>
    <w:rsid w:val="00482CD4"/>
    <w:rsid w:val="00483261"/>
    <w:rsid w:val="00485B23"/>
    <w:rsid w:val="004874E4"/>
    <w:rsid w:val="0049070D"/>
    <w:rsid w:val="00491BE4"/>
    <w:rsid w:val="00491DB2"/>
    <w:rsid w:val="00492877"/>
    <w:rsid w:val="00496260"/>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6397"/>
    <w:rsid w:val="004B7455"/>
    <w:rsid w:val="004B74FF"/>
    <w:rsid w:val="004B7CE4"/>
    <w:rsid w:val="004C0401"/>
    <w:rsid w:val="004C0478"/>
    <w:rsid w:val="004C0C49"/>
    <w:rsid w:val="004C183D"/>
    <w:rsid w:val="004C2824"/>
    <w:rsid w:val="004C3EEE"/>
    <w:rsid w:val="004C483D"/>
    <w:rsid w:val="004C795A"/>
    <w:rsid w:val="004C7F93"/>
    <w:rsid w:val="004D256C"/>
    <w:rsid w:val="004D26B8"/>
    <w:rsid w:val="004D2B01"/>
    <w:rsid w:val="004D38C2"/>
    <w:rsid w:val="004D4D2E"/>
    <w:rsid w:val="004D4FBD"/>
    <w:rsid w:val="004D4FC0"/>
    <w:rsid w:val="004D7DA8"/>
    <w:rsid w:val="004E2892"/>
    <w:rsid w:val="004E362B"/>
    <w:rsid w:val="004E3681"/>
    <w:rsid w:val="004E3D74"/>
    <w:rsid w:val="004E77B3"/>
    <w:rsid w:val="004E784B"/>
    <w:rsid w:val="004F0224"/>
    <w:rsid w:val="004F06A3"/>
    <w:rsid w:val="004F0CFB"/>
    <w:rsid w:val="004F0DB4"/>
    <w:rsid w:val="004F0E04"/>
    <w:rsid w:val="004F1EBC"/>
    <w:rsid w:val="004F20E8"/>
    <w:rsid w:val="004F3B71"/>
    <w:rsid w:val="004F5154"/>
    <w:rsid w:val="004F5835"/>
    <w:rsid w:val="004F661C"/>
    <w:rsid w:val="004F6D99"/>
    <w:rsid w:val="00500572"/>
    <w:rsid w:val="00501198"/>
    <w:rsid w:val="00501304"/>
    <w:rsid w:val="00501425"/>
    <w:rsid w:val="00501D46"/>
    <w:rsid w:val="00504311"/>
    <w:rsid w:val="0050485C"/>
    <w:rsid w:val="00504AC6"/>
    <w:rsid w:val="00511079"/>
    <w:rsid w:val="00512829"/>
    <w:rsid w:val="00513839"/>
    <w:rsid w:val="0051423C"/>
    <w:rsid w:val="005147E6"/>
    <w:rsid w:val="00514C91"/>
    <w:rsid w:val="00516241"/>
    <w:rsid w:val="00516FD9"/>
    <w:rsid w:val="0051791D"/>
    <w:rsid w:val="00523E75"/>
    <w:rsid w:val="005243E0"/>
    <w:rsid w:val="005256F3"/>
    <w:rsid w:val="00525DB9"/>
    <w:rsid w:val="005265A3"/>
    <w:rsid w:val="00526783"/>
    <w:rsid w:val="00527FB1"/>
    <w:rsid w:val="0053162F"/>
    <w:rsid w:val="00531777"/>
    <w:rsid w:val="0053281C"/>
    <w:rsid w:val="00532B20"/>
    <w:rsid w:val="005340C9"/>
    <w:rsid w:val="0053533D"/>
    <w:rsid w:val="005375FE"/>
    <w:rsid w:val="005420DE"/>
    <w:rsid w:val="00542490"/>
    <w:rsid w:val="00543707"/>
    <w:rsid w:val="00543EBB"/>
    <w:rsid w:val="00544213"/>
    <w:rsid w:val="005453F3"/>
    <w:rsid w:val="00545549"/>
    <w:rsid w:val="005469F5"/>
    <w:rsid w:val="00550180"/>
    <w:rsid w:val="005518ED"/>
    <w:rsid w:val="00552093"/>
    <w:rsid w:val="00554E4B"/>
    <w:rsid w:val="00555F67"/>
    <w:rsid w:val="005603BF"/>
    <w:rsid w:val="005606A4"/>
    <w:rsid w:val="005607B8"/>
    <w:rsid w:val="00560CF5"/>
    <w:rsid w:val="0056272D"/>
    <w:rsid w:val="0056308E"/>
    <w:rsid w:val="0056415C"/>
    <w:rsid w:val="005649BF"/>
    <w:rsid w:val="005650ED"/>
    <w:rsid w:val="00565869"/>
    <w:rsid w:val="00567415"/>
    <w:rsid w:val="00567610"/>
    <w:rsid w:val="00570D9F"/>
    <w:rsid w:val="00571CA8"/>
    <w:rsid w:val="00575307"/>
    <w:rsid w:val="00580793"/>
    <w:rsid w:val="00581470"/>
    <w:rsid w:val="00582087"/>
    <w:rsid w:val="005831DD"/>
    <w:rsid w:val="00584320"/>
    <w:rsid w:val="00587229"/>
    <w:rsid w:val="00587503"/>
    <w:rsid w:val="00590E8D"/>
    <w:rsid w:val="00591511"/>
    <w:rsid w:val="0059331A"/>
    <w:rsid w:val="00596BBA"/>
    <w:rsid w:val="005975C4"/>
    <w:rsid w:val="00597ED8"/>
    <w:rsid w:val="005A1139"/>
    <w:rsid w:val="005A1C17"/>
    <w:rsid w:val="005A34D5"/>
    <w:rsid w:val="005A39C0"/>
    <w:rsid w:val="005A4904"/>
    <w:rsid w:val="005A515A"/>
    <w:rsid w:val="005A704D"/>
    <w:rsid w:val="005B3C6D"/>
    <w:rsid w:val="005B4045"/>
    <w:rsid w:val="005B609E"/>
    <w:rsid w:val="005B65FD"/>
    <w:rsid w:val="005B6DF6"/>
    <w:rsid w:val="005B7B7D"/>
    <w:rsid w:val="005C1948"/>
    <w:rsid w:val="005C263C"/>
    <w:rsid w:val="005C2679"/>
    <w:rsid w:val="005C6531"/>
    <w:rsid w:val="005D059A"/>
    <w:rsid w:val="005D07C5"/>
    <w:rsid w:val="005D4302"/>
    <w:rsid w:val="005D5A20"/>
    <w:rsid w:val="005D786C"/>
    <w:rsid w:val="005E049F"/>
    <w:rsid w:val="005E06EB"/>
    <w:rsid w:val="005E0FE6"/>
    <w:rsid w:val="005E3073"/>
    <w:rsid w:val="005E316A"/>
    <w:rsid w:val="005F0108"/>
    <w:rsid w:val="005F0ECC"/>
    <w:rsid w:val="005F21A5"/>
    <w:rsid w:val="005F2470"/>
    <w:rsid w:val="005F2698"/>
    <w:rsid w:val="005F28C6"/>
    <w:rsid w:val="005F2D21"/>
    <w:rsid w:val="005F336B"/>
    <w:rsid w:val="005F3F16"/>
    <w:rsid w:val="005F4BAC"/>
    <w:rsid w:val="005F52CC"/>
    <w:rsid w:val="005F6BD4"/>
    <w:rsid w:val="005F6DBD"/>
    <w:rsid w:val="005F787B"/>
    <w:rsid w:val="005F7985"/>
    <w:rsid w:val="00600CEB"/>
    <w:rsid w:val="00602AA1"/>
    <w:rsid w:val="00604367"/>
    <w:rsid w:val="006044BE"/>
    <w:rsid w:val="0060475F"/>
    <w:rsid w:val="00606A26"/>
    <w:rsid w:val="00607D81"/>
    <w:rsid w:val="00610747"/>
    <w:rsid w:val="0061176E"/>
    <w:rsid w:val="00614CD1"/>
    <w:rsid w:val="0061567B"/>
    <w:rsid w:val="0062152A"/>
    <w:rsid w:val="00621D37"/>
    <w:rsid w:val="00623583"/>
    <w:rsid w:val="0062462F"/>
    <w:rsid w:val="00624BA1"/>
    <w:rsid w:val="00625719"/>
    <w:rsid w:val="0062661B"/>
    <w:rsid w:val="00630118"/>
    <w:rsid w:val="006310AE"/>
    <w:rsid w:val="00631257"/>
    <w:rsid w:val="00632196"/>
    <w:rsid w:val="00632450"/>
    <w:rsid w:val="00633940"/>
    <w:rsid w:val="00633BF2"/>
    <w:rsid w:val="00633F67"/>
    <w:rsid w:val="006342C0"/>
    <w:rsid w:val="006345C3"/>
    <w:rsid w:val="006362F9"/>
    <w:rsid w:val="006373CD"/>
    <w:rsid w:val="0064165D"/>
    <w:rsid w:val="006433BD"/>
    <w:rsid w:val="00643784"/>
    <w:rsid w:val="00643825"/>
    <w:rsid w:val="00644A21"/>
    <w:rsid w:val="00645C9F"/>
    <w:rsid w:val="00646A6C"/>
    <w:rsid w:val="006508B9"/>
    <w:rsid w:val="00650CA1"/>
    <w:rsid w:val="00651854"/>
    <w:rsid w:val="0065307C"/>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3F9"/>
    <w:rsid w:val="00674E6A"/>
    <w:rsid w:val="00676A64"/>
    <w:rsid w:val="00677925"/>
    <w:rsid w:val="00680F46"/>
    <w:rsid w:val="00682B53"/>
    <w:rsid w:val="00682F27"/>
    <w:rsid w:val="00690E2E"/>
    <w:rsid w:val="006932E7"/>
    <w:rsid w:val="00693347"/>
    <w:rsid w:val="0069334C"/>
    <w:rsid w:val="00696D63"/>
    <w:rsid w:val="00697232"/>
    <w:rsid w:val="006A032F"/>
    <w:rsid w:val="006A41AE"/>
    <w:rsid w:val="006A4856"/>
    <w:rsid w:val="006A564B"/>
    <w:rsid w:val="006B0CC5"/>
    <w:rsid w:val="006B1545"/>
    <w:rsid w:val="006B1F92"/>
    <w:rsid w:val="006B2DA7"/>
    <w:rsid w:val="006B2F4D"/>
    <w:rsid w:val="006B3682"/>
    <w:rsid w:val="006B48CB"/>
    <w:rsid w:val="006B5352"/>
    <w:rsid w:val="006B6B58"/>
    <w:rsid w:val="006C059E"/>
    <w:rsid w:val="006C1445"/>
    <w:rsid w:val="006C4FC1"/>
    <w:rsid w:val="006C529D"/>
    <w:rsid w:val="006D0E6B"/>
    <w:rsid w:val="006D2146"/>
    <w:rsid w:val="006D632E"/>
    <w:rsid w:val="006E094A"/>
    <w:rsid w:val="006E12B1"/>
    <w:rsid w:val="006E13D1"/>
    <w:rsid w:val="006E4D0C"/>
    <w:rsid w:val="006E4D1B"/>
    <w:rsid w:val="006E5B78"/>
    <w:rsid w:val="006E6BA3"/>
    <w:rsid w:val="006E7656"/>
    <w:rsid w:val="006F1116"/>
    <w:rsid w:val="006F3196"/>
    <w:rsid w:val="006F3C54"/>
    <w:rsid w:val="006F5E64"/>
    <w:rsid w:val="006F60DE"/>
    <w:rsid w:val="006F7914"/>
    <w:rsid w:val="006F7E46"/>
    <w:rsid w:val="00700AB4"/>
    <w:rsid w:val="00700FCA"/>
    <w:rsid w:val="00701645"/>
    <w:rsid w:val="00702D5A"/>
    <w:rsid w:val="00702EF7"/>
    <w:rsid w:val="00703435"/>
    <w:rsid w:val="00703989"/>
    <w:rsid w:val="007042E9"/>
    <w:rsid w:val="0071118B"/>
    <w:rsid w:val="00711E13"/>
    <w:rsid w:val="00712EDA"/>
    <w:rsid w:val="007136D0"/>
    <w:rsid w:val="00714278"/>
    <w:rsid w:val="007155A9"/>
    <w:rsid w:val="007157D1"/>
    <w:rsid w:val="007158E1"/>
    <w:rsid w:val="00716163"/>
    <w:rsid w:val="0071705B"/>
    <w:rsid w:val="0071706A"/>
    <w:rsid w:val="00720505"/>
    <w:rsid w:val="0072341C"/>
    <w:rsid w:val="007236A3"/>
    <w:rsid w:val="007239B6"/>
    <w:rsid w:val="0072490A"/>
    <w:rsid w:val="0072517D"/>
    <w:rsid w:val="00726878"/>
    <w:rsid w:val="0073124A"/>
    <w:rsid w:val="00731B79"/>
    <w:rsid w:val="00733893"/>
    <w:rsid w:val="00734A05"/>
    <w:rsid w:val="00735C6F"/>
    <w:rsid w:val="00742E3F"/>
    <w:rsid w:val="00753BB5"/>
    <w:rsid w:val="007551C0"/>
    <w:rsid w:val="00756832"/>
    <w:rsid w:val="007626D0"/>
    <w:rsid w:val="00763A20"/>
    <w:rsid w:val="007651CA"/>
    <w:rsid w:val="00767519"/>
    <w:rsid w:val="007704E1"/>
    <w:rsid w:val="00771BA2"/>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A91"/>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1EA2"/>
    <w:rsid w:val="007C2739"/>
    <w:rsid w:val="007C4928"/>
    <w:rsid w:val="007C4B0F"/>
    <w:rsid w:val="007C4DAD"/>
    <w:rsid w:val="007C5830"/>
    <w:rsid w:val="007C5994"/>
    <w:rsid w:val="007C5DB8"/>
    <w:rsid w:val="007C6CA2"/>
    <w:rsid w:val="007D05B2"/>
    <w:rsid w:val="007D0C44"/>
    <w:rsid w:val="007D1972"/>
    <w:rsid w:val="007D1F33"/>
    <w:rsid w:val="007D3307"/>
    <w:rsid w:val="007D5A5D"/>
    <w:rsid w:val="007D5E27"/>
    <w:rsid w:val="007D6F64"/>
    <w:rsid w:val="007D7D7D"/>
    <w:rsid w:val="007E79C5"/>
    <w:rsid w:val="007F161E"/>
    <w:rsid w:val="007F2845"/>
    <w:rsid w:val="007F43BC"/>
    <w:rsid w:val="007F4740"/>
    <w:rsid w:val="007F7A25"/>
    <w:rsid w:val="008006C6"/>
    <w:rsid w:val="00800C52"/>
    <w:rsid w:val="0080153E"/>
    <w:rsid w:val="0080742D"/>
    <w:rsid w:val="0081151E"/>
    <w:rsid w:val="00812498"/>
    <w:rsid w:val="00812607"/>
    <w:rsid w:val="008127E6"/>
    <w:rsid w:val="00812A4A"/>
    <w:rsid w:val="0081336E"/>
    <w:rsid w:val="00813928"/>
    <w:rsid w:val="00813990"/>
    <w:rsid w:val="00820DC7"/>
    <w:rsid w:val="00821698"/>
    <w:rsid w:val="008221FE"/>
    <w:rsid w:val="00822BF5"/>
    <w:rsid w:val="00824894"/>
    <w:rsid w:val="00826C7B"/>
    <w:rsid w:val="00826DD9"/>
    <w:rsid w:val="00826E01"/>
    <w:rsid w:val="008277A8"/>
    <w:rsid w:val="008278B6"/>
    <w:rsid w:val="008307ED"/>
    <w:rsid w:val="00831A53"/>
    <w:rsid w:val="0083350F"/>
    <w:rsid w:val="00834358"/>
    <w:rsid w:val="008346BD"/>
    <w:rsid w:val="00836B7A"/>
    <w:rsid w:val="00840866"/>
    <w:rsid w:val="008409AA"/>
    <w:rsid w:val="00840FB8"/>
    <w:rsid w:val="00841FAD"/>
    <w:rsid w:val="00843A7A"/>
    <w:rsid w:val="008447F5"/>
    <w:rsid w:val="008454BE"/>
    <w:rsid w:val="00846292"/>
    <w:rsid w:val="008478E4"/>
    <w:rsid w:val="008506E1"/>
    <w:rsid w:val="008515EE"/>
    <w:rsid w:val="00851F43"/>
    <w:rsid w:val="008528D3"/>
    <w:rsid w:val="00854553"/>
    <w:rsid w:val="00855B86"/>
    <w:rsid w:val="008566CF"/>
    <w:rsid w:val="00860874"/>
    <w:rsid w:val="00862008"/>
    <w:rsid w:val="00862720"/>
    <w:rsid w:val="008628C8"/>
    <w:rsid w:val="00862B2A"/>
    <w:rsid w:val="008630B9"/>
    <w:rsid w:val="00863F37"/>
    <w:rsid w:val="0086406B"/>
    <w:rsid w:val="00864C8C"/>
    <w:rsid w:val="00867651"/>
    <w:rsid w:val="00867FCB"/>
    <w:rsid w:val="008743F3"/>
    <w:rsid w:val="0087444A"/>
    <w:rsid w:val="00875139"/>
    <w:rsid w:val="00875410"/>
    <w:rsid w:val="00883D4D"/>
    <w:rsid w:val="0088459A"/>
    <w:rsid w:val="00884B59"/>
    <w:rsid w:val="008850BA"/>
    <w:rsid w:val="00885876"/>
    <w:rsid w:val="00886185"/>
    <w:rsid w:val="008861D9"/>
    <w:rsid w:val="0088638C"/>
    <w:rsid w:val="008908E5"/>
    <w:rsid w:val="00891216"/>
    <w:rsid w:val="00894FDC"/>
    <w:rsid w:val="008A02C6"/>
    <w:rsid w:val="008A16F9"/>
    <w:rsid w:val="008A1D3E"/>
    <w:rsid w:val="008A4B16"/>
    <w:rsid w:val="008A4D63"/>
    <w:rsid w:val="008A6D62"/>
    <w:rsid w:val="008B113C"/>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4E3A"/>
    <w:rsid w:val="008E5657"/>
    <w:rsid w:val="008E5E51"/>
    <w:rsid w:val="008E6BB4"/>
    <w:rsid w:val="008F00DB"/>
    <w:rsid w:val="008F1264"/>
    <w:rsid w:val="008F47C6"/>
    <w:rsid w:val="009006A2"/>
    <w:rsid w:val="0090102B"/>
    <w:rsid w:val="00901448"/>
    <w:rsid w:val="00905C47"/>
    <w:rsid w:val="00906379"/>
    <w:rsid w:val="009063C5"/>
    <w:rsid w:val="009066EF"/>
    <w:rsid w:val="00907D16"/>
    <w:rsid w:val="009101EA"/>
    <w:rsid w:val="009106FC"/>
    <w:rsid w:val="009118BB"/>
    <w:rsid w:val="00915B81"/>
    <w:rsid w:val="00915D6B"/>
    <w:rsid w:val="009160DF"/>
    <w:rsid w:val="009162C7"/>
    <w:rsid w:val="00916EC2"/>
    <w:rsid w:val="0092089F"/>
    <w:rsid w:val="009213BD"/>
    <w:rsid w:val="00924627"/>
    <w:rsid w:val="009250A8"/>
    <w:rsid w:val="00925BE6"/>
    <w:rsid w:val="00926F61"/>
    <w:rsid w:val="0093123D"/>
    <w:rsid w:val="00933040"/>
    <w:rsid w:val="009330E9"/>
    <w:rsid w:val="00933AC7"/>
    <w:rsid w:val="00935D15"/>
    <w:rsid w:val="009411FB"/>
    <w:rsid w:val="009414A9"/>
    <w:rsid w:val="00941B71"/>
    <w:rsid w:val="009421AD"/>
    <w:rsid w:val="0094221C"/>
    <w:rsid w:val="009423CA"/>
    <w:rsid w:val="0094409C"/>
    <w:rsid w:val="00944159"/>
    <w:rsid w:val="009449B2"/>
    <w:rsid w:val="00944A82"/>
    <w:rsid w:val="00946C4D"/>
    <w:rsid w:val="0095285B"/>
    <w:rsid w:val="00953FE9"/>
    <w:rsid w:val="0095481C"/>
    <w:rsid w:val="00956799"/>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6F7F"/>
    <w:rsid w:val="009777F4"/>
    <w:rsid w:val="00977AD8"/>
    <w:rsid w:val="00980A10"/>
    <w:rsid w:val="00981130"/>
    <w:rsid w:val="009838FB"/>
    <w:rsid w:val="00983D46"/>
    <w:rsid w:val="00983DCA"/>
    <w:rsid w:val="00985EF7"/>
    <w:rsid w:val="00986CF9"/>
    <w:rsid w:val="00990C0E"/>
    <w:rsid w:val="00990D75"/>
    <w:rsid w:val="00991093"/>
    <w:rsid w:val="0099163B"/>
    <w:rsid w:val="00992343"/>
    <w:rsid w:val="00992DB5"/>
    <w:rsid w:val="00996306"/>
    <w:rsid w:val="00996744"/>
    <w:rsid w:val="00997870"/>
    <w:rsid w:val="00997CF4"/>
    <w:rsid w:val="009A1169"/>
    <w:rsid w:val="009A3789"/>
    <w:rsid w:val="009A6919"/>
    <w:rsid w:val="009A6AC7"/>
    <w:rsid w:val="009B0408"/>
    <w:rsid w:val="009B0843"/>
    <w:rsid w:val="009B1A67"/>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A39"/>
    <w:rsid w:val="00A238BD"/>
    <w:rsid w:val="00A243E4"/>
    <w:rsid w:val="00A2459D"/>
    <w:rsid w:val="00A24E23"/>
    <w:rsid w:val="00A25F05"/>
    <w:rsid w:val="00A311AE"/>
    <w:rsid w:val="00A312A6"/>
    <w:rsid w:val="00A3130E"/>
    <w:rsid w:val="00A324CF"/>
    <w:rsid w:val="00A32E8B"/>
    <w:rsid w:val="00A32ED6"/>
    <w:rsid w:val="00A3438A"/>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0B3"/>
    <w:rsid w:val="00A6351F"/>
    <w:rsid w:val="00A641E6"/>
    <w:rsid w:val="00A65A70"/>
    <w:rsid w:val="00A66F36"/>
    <w:rsid w:val="00A676D9"/>
    <w:rsid w:val="00A67EFC"/>
    <w:rsid w:val="00A7031E"/>
    <w:rsid w:val="00A71140"/>
    <w:rsid w:val="00A7221B"/>
    <w:rsid w:val="00A7245F"/>
    <w:rsid w:val="00A74692"/>
    <w:rsid w:val="00A74CA6"/>
    <w:rsid w:val="00A7618B"/>
    <w:rsid w:val="00A7640B"/>
    <w:rsid w:val="00A7778B"/>
    <w:rsid w:val="00A803BC"/>
    <w:rsid w:val="00A80969"/>
    <w:rsid w:val="00A85004"/>
    <w:rsid w:val="00A86EA7"/>
    <w:rsid w:val="00A92776"/>
    <w:rsid w:val="00A93181"/>
    <w:rsid w:val="00A938E6"/>
    <w:rsid w:val="00A93CCF"/>
    <w:rsid w:val="00A95BD5"/>
    <w:rsid w:val="00A96C52"/>
    <w:rsid w:val="00A96E33"/>
    <w:rsid w:val="00A96F78"/>
    <w:rsid w:val="00AA1087"/>
    <w:rsid w:val="00AA25A9"/>
    <w:rsid w:val="00AA26D9"/>
    <w:rsid w:val="00AA2B26"/>
    <w:rsid w:val="00AA51AD"/>
    <w:rsid w:val="00AA591E"/>
    <w:rsid w:val="00AA65C9"/>
    <w:rsid w:val="00AB0A32"/>
    <w:rsid w:val="00AB0E56"/>
    <w:rsid w:val="00AB14E9"/>
    <w:rsid w:val="00AB1671"/>
    <w:rsid w:val="00AB3A15"/>
    <w:rsid w:val="00AB4ECC"/>
    <w:rsid w:val="00AB6601"/>
    <w:rsid w:val="00AB674E"/>
    <w:rsid w:val="00AB743C"/>
    <w:rsid w:val="00AC02C1"/>
    <w:rsid w:val="00AC0AB6"/>
    <w:rsid w:val="00AC10AD"/>
    <w:rsid w:val="00AC1E55"/>
    <w:rsid w:val="00AC3E2E"/>
    <w:rsid w:val="00AC429F"/>
    <w:rsid w:val="00AC60B4"/>
    <w:rsid w:val="00AD00C5"/>
    <w:rsid w:val="00AD165F"/>
    <w:rsid w:val="00AD1E16"/>
    <w:rsid w:val="00AD1EA8"/>
    <w:rsid w:val="00AD2794"/>
    <w:rsid w:val="00AD2DC5"/>
    <w:rsid w:val="00AD3455"/>
    <w:rsid w:val="00AD3CAD"/>
    <w:rsid w:val="00AD4AB5"/>
    <w:rsid w:val="00AD69FF"/>
    <w:rsid w:val="00AD702B"/>
    <w:rsid w:val="00AD72E6"/>
    <w:rsid w:val="00AD7C95"/>
    <w:rsid w:val="00AE3DE1"/>
    <w:rsid w:val="00AF2D54"/>
    <w:rsid w:val="00AF3458"/>
    <w:rsid w:val="00AF3F7B"/>
    <w:rsid w:val="00AF42B4"/>
    <w:rsid w:val="00AF4B8A"/>
    <w:rsid w:val="00AF4F1B"/>
    <w:rsid w:val="00AF59C9"/>
    <w:rsid w:val="00AF5EC6"/>
    <w:rsid w:val="00AF6E8A"/>
    <w:rsid w:val="00AF7213"/>
    <w:rsid w:val="00AF7D92"/>
    <w:rsid w:val="00B00789"/>
    <w:rsid w:val="00B011CC"/>
    <w:rsid w:val="00B022B4"/>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2B0"/>
    <w:rsid w:val="00B27710"/>
    <w:rsid w:val="00B27921"/>
    <w:rsid w:val="00B3000E"/>
    <w:rsid w:val="00B3076E"/>
    <w:rsid w:val="00B326A8"/>
    <w:rsid w:val="00B329EB"/>
    <w:rsid w:val="00B3324B"/>
    <w:rsid w:val="00B33508"/>
    <w:rsid w:val="00B335D5"/>
    <w:rsid w:val="00B3377E"/>
    <w:rsid w:val="00B35DA4"/>
    <w:rsid w:val="00B40A96"/>
    <w:rsid w:val="00B422A7"/>
    <w:rsid w:val="00B42A32"/>
    <w:rsid w:val="00B42FA6"/>
    <w:rsid w:val="00B4399E"/>
    <w:rsid w:val="00B43A16"/>
    <w:rsid w:val="00B45CE1"/>
    <w:rsid w:val="00B46A75"/>
    <w:rsid w:val="00B500CD"/>
    <w:rsid w:val="00B51BA3"/>
    <w:rsid w:val="00B5239C"/>
    <w:rsid w:val="00B53893"/>
    <w:rsid w:val="00B548C2"/>
    <w:rsid w:val="00B55428"/>
    <w:rsid w:val="00B567CF"/>
    <w:rsid w:val="00B570BF"/>
    <w:rsid w:val="00B63337"/>
    <w:rsid w:val="00B6369F"/>
    <w:rsid w:val="00B639D7"/>
    <w:rsid w:val="00B67805"/>
    <w:rsid w:val="00B704E7"/>
    <w:rsid w:val="00B721CD"/>
    <w:rsid w:val="00B7267A"/>
    <w:rsid w:val="00B726FF"/>
    <w:rsid w:val="00B72AA4"/>
    <w:rsid w:val="00B76BCD"/>
    <w:rsid w:val="00B76EE9"/>
    <w:rsid w:val="00B77880"/>
    <w:rsid w:val="00B80D90"/>
    <w:rsid w:val="00B8142A"/>
    <w:rsid w:val="00B82613"/>
    <w:rsid w:val="00B828B5"/>
    <w:rsid w:val="00B844A4"/>
    <w:rsid w:val="00B84E9C"/>
    <w:rsid w:val="00B85522"/>
    <w:rsid w:val="00B90E2A"/>
    <w:rsid w:val="00B90F2A"/>
    <w:rsid w:val="00B9198D"/>
    <w:rsid w:val="00B93008"/>
    <w:rsid w:val="00B9406D"/>
    <w:rsid w:val="00B9489E"/>
    <w:rsid w:val="00B94BA7"/>
    <w:rsid w:val="00B94E0E"/>
    <w:rsid w:val="00B96ECD"/>
    <w:rsid w:val="00B97CA3"/>
    <w:rsid w:val="00BA76A9"/>
    <w:rsid w:val="00BB3E2B"/>
    <w:rsid w:val="00BB4701"/>
    <w:rsid w:val="00BB5D1C"/>
    <w:rsid w:val="00BB6552"/>
    <w:rsid w:val="00BB6B9B"/>
    <w:rsid w:val="00BB754F"/>
    <w:rsid w:val="00BC07D4"/>
    <w:rsid w:val="00BC0A5D"/>
    <w:rsid w:val="00BC0BE3"/>
    <w:rsid w:val="00BC1AD9"/>
    <w:rsid w:val="00BC32E7"/>
    <w:rsid w:val="00BC4AB0"/>
    <w:rsid w:val="00BC58B9"/>
    <w:rsid w:val="00BC733C"/>
    <w:rsid w:val="00BD2D60"/>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4DC9"/>
    <w:rsid w:val="00BF54AC"/>
    <w:rsid w:val="00C03309"/>
    <w:rsid w:val="00C03BC6"/>
    <w:rsid w:val="00C072FE"/>
    <w:rsid w:val="00C11114"/>
    <w:rsid w:val="00C11B25"/>
    <w:rsid w:val="00C12E39"/>
    <w:rsid w:val="00C14164"/>
    <w:rsid w:val="00C157A2"/>
    <w:rsid w:val="00C15D8E"/>
    <w:rsid w:val="00C17012"/>
    <w:rsid w:val="00C178FB"/>
    <w:rsid w:val="00C24180"/>
    <w:rsid w:val="00C257B7"/>
    <w:rsid w:val="00C25F3D"/>
    <w:rsid w:val="00C272E8"/>
    <w:rsid w:val="00C323AD"/>
    <w:rsid w:val="00C33359"/>
    <w:rsid w:val="00C348D6"/>
    <w:rsid w:val="00C36E34"/>
    <w:rsid w:val="00C404EE"/>
    <w:rsid w:val="00C4171B"/>
    <w:rsid w:val="00C42689"/>
    <w:rsid w:val="00C42988"/>
    <w:rsid w:val="00C42BD4"/>
    <w:rsid w:val="00C43FF0"/>
    <w:rsid w:val="00C44641"/>
    <w:rsid w:val="00C45EF5"/>
    <w:rsid w:val="00C46B7E"/>
    <w:rsid w:val="00C50A4E"/>
    <w:rsid w:val="00C510C3"/>
    <w:rsid w:val="00C5131B"/>
    <w:rsid w:val="00C520B1"/>
    <w:rsid w:val="00C522D6"/>
    <w:rsid w:val="00C54020"/>
    <w:rsid w:val="00C5406F"/>
    <w:rsid w:val="00C545C5"/>
    <w:rsid w:val="00C55E75"/>
    <w:rsid w:val="00C56187"/>
    <w:rsid w:val="00C61D4B"/>
    <w:rsid w:val="00C62B0A"/>
    <w:rsid w:val="00C63F08"/>
    <w:rsid w:val="00C6528C"/>
    <w:rsid w:val="00C65971"/>
    <w:rsid w:val="00C661E8"/>
    <w:rsid w:val="00C70084"/>
    <w:rsid w:val="00C710A4"/>
    <w:rsid w:val="00C7235B"/>
    <w:rsid w:val="00C72E18"/>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00A"/>
    <w:rsid w:val="00CA17DD"/>
    <w:rsid w:val="00CA1863"/>
    <w:rsid w:val="00CA391D"/>
    <w:rsid w:val="00CA3ACD"/>
    <w:rsid w:val="00CA4F8B"/>
    <w:rsid w:val="00CB09DA"/>
    <w:rsid w:val="00CB0BD9"/>
    <w:rsid w:val="00CB1CAC"/>
    <w:rsid w:val="00CB1DE8"/>
    <w:rsid w:val="00CB1E3B"/>
    <w:rsid w:val="00CB1F1D"/>
    <w:rsid w:val="00CB6EA0"/>
    <w:rsid w:val="00CB71F8"/>
    <w:rsid w:val="00CC25D1"/>
    <w:rsid w:val="00CC26DB"/>
    <w:rsid w:val="00CC3DAA"/>
    <w:rsid w:val="00CC4C2C"/>
    <w:rsid w:val="00CC5057"/>
    <w:rsid w:val="00CD078F"/>
    <w:rsid w:val="00CD121E"/>
    <w:rsid w:val="00CD3ED8"/>
    <w:rsid w:val="00CD761D"/>
    <w:rsid w:val="00CD76B5"/>
    <w:rsid w:val="00CE2346"/>
    <w:rsid w:val="00CE6F0F"/>
    <w:rsid w:val="00CF002F"/>
    <w:rsid w:val="00CF0126"/>
    <w:rsid w:val="00CF0246"/>
    <w:rsid w:val="00CF2483"/>
    <w:rsid w:val="00CF24E2"/>
    <w:rsid w:val="00CF4ABD"/>
    <w:rsid w:val="00CF5A53"/>
    <w:rsid w:val="00CF5D28"/>
    <w:rsid w:val="00CF6F1E"/>
    <w:rsid w:val="00CF780E"/>
    <w:rsid w:val="00D001F9"/>
    <w:rsid w:val="00D0036E"/>
    <w:rsid w:val="00D00BB7"/>
    <w:rsid w:val="00D01EAD"/>
    <w:rsid w:val="00D035B9"/>
    <w:rsid w:val="00D060FF"/>
    <w:rsid w:val="00D064E8"/>
    <w:rsid w:val="00D06572"/>
    <w:rsid w:val="00D065CD"/>
    <w:rsid w:val="00D12325"/>
    <w:rsid w:val="00D14487"/>
    <w:rsid w:val="00D14739"/>
    <w:rsid w:val="00D15E7E"/>
    <w:rsid w:val="00D20016"/>
    <w:rsid w:val="00D2279F"/>
    <w:rsid w:val="00D22AF1"/>
    <w:rsid w:val="00D22E93"/>
    <w:rsid w:val="00D23FC5"/>
    <w:rsid w:val="00D242DA"/>
    <w:rsid w:val="00D26448"/>
    <w:rsid w:val="00D264CE"/>
    <w:rsid w:val="00D26670"/>
    <w:rsid w:val="00D27B8B"/>
    <w:rsid w:val="00D31416"/>
    <w:rsid w:val="00D31B6E"/>
    <w:rsid w:val="00D3232B"/>
    <w:rsid w:val="00D3239F"/>
    <w:rsid w:val="00D324A4"/>
    <w:rsid w:val="00D3250C"/>
    <w:rsid w:val="00D328F6"/>
    <w:rsid w:val="00D33355"/>
    <w:rsid w:val="00D3462C"/>
    <w:rsid w:val="00D35198"/>
    <w:rsid w:val="00D3584B"/>
    <w:rsid w:val="00D42240"/>
    <w:rsid w:val="00D4258B"/>
    <w:rsid w:val="00D427C3"/>
    <w:rsid w:val="00D42EB8"/>
    <w:rsid w:val="00D44932"/>
    <w:rsid w:val="00D44C0E"/>
    <w:rsid w:val="00D46111"/>
    <w:rsid w:val="00D47C16"/>
    <w:rsid w:val="00D502AF"/>
    <w:rsid w:val="00D50764"/>
    <w:rsid w:val="00D50C12"/>
    <w:rsid w:val="00D51A77"/>
    <w:rsid w:val="00D53830"/>
    <w:rsid w:val="00D55889"/>
    <w:rsid w:val="00D57AF0"/>
    <w:rsid w:val="00D62ECD"/>
    <w:rsid w:val="00D64426"/>
    <w:rsid w:val="00D67BC5"/>
    <w:rsid w:val="00D67F79"/>
    <w:rsid w:val="00D7021B"/>
    <w:rsid w:val="00D70D33"/>
    <w:rsid w:val="00D73077"/>
    <w:rsid w:val="00D73C57"/>
    <w:rsid w:val="00D742FF"/>
    <w:rsid w:val="00D751A7"/>
    <w:rsid w:val="00D758B3"/>
    <w:rsid w:val="00D76ADC"/>
    <w:rsid w:val="00D77413"/>
    <w:rsid w:val="00D81F10"/>
    <w:rsid w:val="00D84A57"/>
    <w:rsid w:val="00D84F6F"/>
    <w:rsid w:val="00D874DF"/>
    <w:rsid w:val="00D87A12"/>
    <w:rsid w:val="00D930E1"/>
    <w:rsid w:val="00D9415C"/>
    <w:rsid w:val="00D942CC"/>
    <w:rsid w:val="00D94D87"/>
    <w:rsid w:val="00D962DC"/>
    <w:rsid w:val="00D970EC"/>
    <w:rsid w:val="00DA089A"/>
    <w:rsid w:val="00DA0E8C"/>
    <w:rsid w:val="00DA180C"/>
    <w:rsid w:val="00DA451D"/>
    <w:rsid w:val="00DA56DB"/>
    <w:rsid w:val="00DA6452"/>
    <w:rsid w:val="00DA6FE9"/>
    <w:rsid w:val="00DA7925"/>
    <w:rsid w:val="00DB0AB8"/>
    <w:rsid w:val="00DB0D2A"/>
    <w:rsid w:val="00DB11CD"/>
    <w:rsid w:val="00DB1DAB"/>
    <w:rsid w:val="00DB39D4"/>
    <w:rsid w:val="00DB3A47"/>
    <w:rsid w:val="00DB4E06"/>
    <w:rsid w:val="00DB521B"/>
    <w:rsid w:val="00DB6A80"/>
    <w:rsid w:val="00DB6C06"/>
    <w:rsid w:val="00DB7B06"/>
    <w:rsid w:val="00DC109B"/>
    <w:rsid w:val="00DC3A9D"/>
    <w:rsid w:val="00DC3B36"/>
    <w:rsid w:val="00DC45D4"/>
    <w:rsid w:val="00DC6C1E"/>
    <w:rsid w:val="00DC7951"/>
    <w:rsid w:val="00DD1B70"/>
    <w:rsid w:val="00DD1C4B"/>
    <w:rsid w:val="00DD1F7B"/>
    <w:rsid w:val="00DD229E"/>
    <w:rsid w:val="00DD55E0"/>
    <w:rsid w:val="00DE1904"/>
    <w:rsid w:val="00DE3DBB"/>
    <w:rsid w:val="00DE43A2"/>
    <w:rsid w:val="00DE4A74"/>
    <w:rsid w:val="00DE541C"/>
    <w:rsid w:val="00DE737B"/>
    <w:rsid w:val="00DE78D6"/>
    <w:rsid w:val="00DF100B"/>
    <w:rsid w:val="00DF4359"/>
    <w:rsid w:val="00E03F9F"/>
    <w:rsid w:val="00E0576C"/>
    <w:rsid w:val="00E068BC"/>
    <w:rsid w:val="00E073F0"/>
    <w:rsid w:val="00E10761"/>
    <w:rsid w:val="00E11D7A"/>
    <w:rsid w:val="00E11EEB"/>
    <w:rsid w:val="00E128F2"/>
    <w:rsid w:val="00E13EE4"/>
    <w:rsid w:val="00E16463"/>
    <w:rsid w:val="00E16C3D"/>
    <w:rsid w:val="00E239D1"/>
    <w:rsid w:val="00E26727"/>
    <w:rsid w:val="00E26849"/>
    <w:rsid w:val="00E26970"/>
    <w:rsid w:val="00E27791"/>
    <w:rsid w:val="00E319DB"/>
    <w:rsid w:val="00E31AFC"/>
    <w:rsid w:val="00E3409E"/>
    <w:rsid w:val="00E34F76"/>
    <w:rsid w:val="00E37BE5"/>
    <w:rsid w:val="00E41A27"/>
    <w:rsid w:val="00E42155"/>
    <w:rsid w:val="00E4519C"/>
    <w:rsid w:val="00E4608B"/>
    <w:rsid w:val="00E501D3"/>
    <w:rsid w:val="00E53A01"/>
    <w:rsid w:val="00E564C4"/>
    <w:rsid w:val="00E567C9"/>
    <w:rsid w:val="00E604C4"/>
    <w:rsid w:val="00E60809"/>
    <w:rsid w:val="00E61300"/>
    <w:rsid w:val="00E635B9"/>
    <w:rsid w:val="00E65D15"/>
    <w:rsid w:val="00E67EE5"/>
    <w:rsid w:val="00E7013A"/>
    <w:rsid w:val="00E71FAA"/>
    <w:rsid w:val="00E74F5D"/>
    <w:rsid w:val="00E76034"/>
    <w:rsid w:val="00E80440"/>
    <w:rsid w:val="00E817E0"/>
    <w:rsid w:val="00E827DD"/>
    <w:rsid w:val="00E82EE4"/>
    <w:rsid w:val="00E831E7"/>
    <w:rsid w:val="00E843B5"/>
    <w:rsid w:val="00E84A3B"/>
    <w:rsid w:val="00E85307"/>
    <w:rsid w:val="00E8565B"/>
    <w:rsid w:val="00E907E4"/>
    <w:rsid w:val="00E90A24"/>
    <w:rsid w:val="00E90C34"/>
    <w:rsid w:val="00E919AC"/>
    <w:rsid w:val="00E94231"/>
    <w:rsid w:val="00E946A6"/>
    <w:rsid w:val="00E947E4"/>
    <w:rsid w:val="00E96A29"/>
    <w:rsid w:val="00E96B28"/>
    <w:rsid w:val="00E96FE6"/>
    <w:rsid w:val="00EA1D43"/>
    <w:rsid w:val="00EA41DC"/>
    <w:rsid w:val="00EA47A2"/>
    <w:rsid w:val="00EA4EC9"/>
    <w:rsid w:val="00EA5E0F"/>
    <w:rsid w:val="00EA6FE4"/>
    <w:rsid w:val="00EA7BD1"/>
    <w:rsid w:val="00EA7F4C"/>
    <w:rsid w:val="00EB1C19"/>
    <w:rsid w:val="00EB1D47"/>
    <w:rsid w:val="00EB2317"/>
    <w:rsid w:val="00EB279B"/>
    <w:rsid w:val="00EB2ABB"/>
    <w:rsid w:val="00EB584C"/>
    <w:rsid w:val="00EB5D88"/>
    <w:rsid w:val="00EB7307"/>
    <w:rsid w:val="00EC14B0"/>
    <w:rsid w:val="00EC1D0D"/>
    <w:rsid w:val="00EC204E"/>
    <w:rsid w:val="00EC249E"/>
    <w:rsid w:val="00EC2CFF"/>
    <w:rsid w:val="00EC5F2F"/>
    <w:rsid w:val="00EC651E"/>
    <w:rsid w:val="00EC692E"/>
    <w:rsid w:val="00EC745E"/>
    <w:rsid w:val="00EC7EAF"/>
    <w:rsid w:val="00ED27C3"/>
    <w:rsid w:val="00ED33AE"/>
    <w:rsid w:val="00ED3775"/>
    <w:rsid w:val="00ED4A6D"/>
    <w:rsid w:val="00ED5734"/>
    <w:rsid w:val="00ED6D4A"/>
    <w:rsid w:val="00ED738C"/>
    <w:rsid w:val="00ED7918"/>
    <w:rsid w:val="00ED7FD3"/>
    <w:rsid w:val="00EE3663"/>
    <w:rsid w:val="00EE41C4"/>
    <w:rsid w:val="00EE76A9"/>
    <w:rsid w:val="00EE779C"/>
    <w:rsid w:val="00EE799E"/>
    <w:rsid w:val="00EE7CA8"/>
    <w:rsid w:val="00EE7FA7"/>
    <w:rsid w:val="00EF1093"/>
    <w:rsid w:val="00EF1FCB"/>
    <w:rsid w:val="00EF21C3"/>
    <w:rsid w:val="00EF2E6B"/>
    <w:rsid w:val="00EF769F"/>
    <w:rsid w:val="00F0030E"/>
    <w:rsid w:val="00F00CD1"/>
    <w:rsid w:val="00F01E6B"/>
    <w:rsid w:val="00F0241C"/>
    <w:rsid w:val="00F04DF5"/>
    <w:rsid w:val="00F056DA"/>
    <w:rsid w:val="00F05759"/>
    <w:rsid w:val="00F07D32"/>
    <w:rsid w:val="00F10CB9"/>
    <w:rsid w:val="00F110D5"/>
    <w:rsid w:val="00F12351"/>
    <w:rsid w:val="00F16739"/>
    <w:rsid w:val="00F16DE2"/>
    <w:rsid w:val="00F20133"/>
    <w:rsid w:val="00F2052B"/>
    <w:rsid w:val="00F2260F"/>
    <w:rsid w:val="00F242AD"/>
    <w:rsid w:val="00F247F2"/>
    <w:rsid w:val="00F265F7"/>
    <w:rsid w:val="00F27FA6"/>
    <w:rsid w:val="00F33DC8"/>
    <w:rsid w:val="00F34444"/>
    <w:rsid w:val="00F34955"/>
    <w:rsid w:val="00F4275C"/>
    <w:rsid w:val="00F52339"/>
    <w:rsid w:val="00F5277A"/>
    <w:rsid w:val="00F532E8"/>
    <w:rsid w:val="00F537FF"/>
    <w:rsid w:val="00F55B18"/>
    <w:rsid w:val="00F560FE"/>
    <w:rsid w:val="00F56BD4"/>
    <w:rsid w:val="00F6065F"/>
    <w:rsid w:val="00F6111C"/>
    <w:rsid w:val="00F614C0"/>
    <w:rsid w:val="00F61647"/>
    <w:rsid w:val="00F63E5F"/>
    <w:rsid w:val="00F6520B"/>
    <w:rsid w:val="00F657CF"/>
    <w:rsid w:val="00F66A00"/>
    <w:rsid w:val="00F713A3"/>
    <w:rsid w:val="00F71A8F"/>
    <w:rsid w:val="00F71E72"/>
    <w:rsid w:val="00F73090"/>
    <w:rsid w:val="00F73A7E"/>
    <w:rsid w:val="00F75330"/>
    <w:rsid w:val="00F76BD9"/>
    <w:rsid w:val="00F80318"/>
    <w:rsid w:val="00F80703"/>
    <w:rsid w:val="00F80948"/>
    <w:rsid w:val="00F81387"/>
    <w:rsid w:val="00F822E3"/>
    <w:rsid w:val="00F82866"/>
    <w:rsid w:val="00F84421"/>
    <w:rsid w:val="00F8449B"/>
    <w:rsid w:val="00F8474E"/>
    <w:rsid w:val="00F85691"/>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430"/>
    <w:rsid w:val="00FC3AEE"/>
    <w:rsid w:val="00FC6238"/>
    <w:rsid w:val="00FD18D6"/>
    <w:rsid w:val="00FD33FC"/>
    <w:rsid w:val="00FD3730"/>
    <w:rsid w:val="00FD3ADE"/>
    <w:rsid w:val="00FD3B08"/>
    <w:rsid w:val="00FD4806"/>
    <w:rsid w:val="00FD534E"/>
    <w:rsid w:val="00FD56C7"/>
    <w:rsid w:val="00FD5CBB"/>
    <w:rsid w:val="00FD5E84"/>
    <w:rsid w:val="00FD6B74"/>
    <w:rsid w:val="00FD7B94"/>
    <w:rsid w:val="00FE002E"/>
    <w:rsid w:val="00FE19C9"/>
    <w:rsid w:val="00FE2398"/>
    <w:rsid w:val="00FE515A"/>
    <w:rsid w:val="00FE5624"/>
    <w:rsid w:val="00FE5D2C"/>
    <w:rsid w:val="00FE5FBF"/>
    <w:rsid w:val="00FE6C25"/>
    <w:rsid w:val="00FE729C"/>
    <w:rsid w:val="00FF033A"/>
    <w:rsid w:val="00FF0964"/>
    <w:rsid w:val="00FF0A29"/>
    <w:rsid w:val="00FF0B38"/>
    <w:rsid w:val="00FF16F2"/>
    <w:rsid w:val="00FF27B3"/>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14606"/>
  <w15:docId w15:val="{1ADA1571-D426-450A-BDF8-262E9D6B2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TACChar">
    <w:name w:val="TAC Char"/>
    <w:link w:val="TAC"/>
    <w:rsid w:val="004E77B3"/>
    <w:rPr>
      <w:rFonts w:ascii="Arial" w:hAnsi="Arial"/>
      <w:sz w:val="18"/>
      <w:lang w:val="en-GB"/>
    </w:rPr>
  </w:style>
  <w:style w:type="character" w:customStyle="1" w:styleId="st">
    <w:name w:val="st"/>
    <w:rsid w:val="004C2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40464">
      <w:bodyDiv w:val="1"/>
      <w:marLeft w:val="0"/>
      <w:marRight w:val="0"/>
      <w:marTop w:val="0"/>
      <w:marBottom w:val="0"/>
      <w:divBdr>
        <w:top w:val="none" w:sz="0" w:space="0" w:color="auto"/>
        <w:left w:val="none" w:sz="0" w:space="0" w:color="auto"/>
        <w:bottom w:val="none" w:sz="0" w:space="0" w:color="auto"/>
        <w:right w:val="none" w:sz="0" w:space="0" w:color="auto"/>
      </w:divBdr>
    </w:div>
    <w:div w:id="14740473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025815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88645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49158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611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8675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2754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198889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3168629">
      <w:bodyDiv w:val="1"/>
      <w:marLeft w:val="0"/>
      <w:marRight w:val="0"/>
      <w:marTop w:val="0"/>
      <w:marBottom w:val="0"/>
      <w:divBdr>
        <w:top w:val="none" w:sz="0" w:space="0" w:color="auto"/>
        <w:left w:val="none" w:sz="0" w:space="0" w:color="auto"/>
        <w:bottom w:val="none" w:sz="0" w:space="0" w:color="auto"/>
        <w:right w:val="none" w:sz="0" w:space="0" w:color="auto"/>
      </w:divBdr>
    </w:div>
    <w:div w:id="212533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10B21CA-11E6-4484-A404-ACE31C2E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8</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5</cp:revision>
  <cp:lastPrinted>2016-08-08T04:59:00Z</cp:lastPrinted>
  <dcterms:created xsi:type="dcterms:W3CDTF">2016-09-29T10:13:00Z</dcterms:created>
  <dcterms:modified xsi:type="dcterms:W3CDTF">2016-09-30T15:20:00Z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