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F1752">
      <w:pPr>
        <w:pStyle w:val="16"/>
        <w:tabs>
          <w:tab w:val="right" w:pos="7088"/>
          <w:tab w:val="right" w:pos="9781"/>
          <w:tab w:val="clear" w:pos="8306"/>
        </w:tabs>
        <w:rPr>
          <w:rFonts w:hint="default" w:ascii="Arial" w:hAnsi="Arial" w:eastAsia="宋体" w:cs="Arial"/>
          <w:b/>
          <w:bCs/>
          <w:sz w:val="22"/>
          <w:lang w:val="en-US" w:eastAsia="zh-CN"/>
        </w:rPr>
      </w:pPr>
      <w:r>
        <w:rPr>
          <w:rFonts w:ascii="Arial" w:hAnsi="Arial" w:cs="Arial"/>
          <w:b/>
          <w:bCs/>
          <w:sz w:val="22"/>
        </w:rPr>
        <w:t>3GPP TS</w:t>
      </w:r>
      <w:r>
        <w:rPr>
          <w:rFonts w:ascii="Arial" w:hAnsi="Arial" w:eastAsia="Times New Roman" w:cs="Arial"/>
          <w:b/>
          <w:bCs/>
          <w:sz w:val="22"/>
        </w:rPr>
        <w:t>G-</w:t>
      </w:r>
      <w:r>
        <w:rPr>
          <w:rFonts w:ascii="Arial" w:hAnsi="Arial" w:eastAsia="Times New Roman" w:cs="Arial"/>
          <w:b/>
          <w:bCs/>
          <w:sz w:val="22"/>
          <w:lang w:eastAsia="zh-CN"/>
        </w:rPr>
        <w:t>RAN WG1</w:t>
      </w:r>
      <w:r>
        <w:rPr>
          <w:rFonts w:ascii="Arial" w:hAnsi="Arial" w:cs="Arial"/>
          <w:b/>
          <w:bCs/>
          <w:sz w:val="22"/>
        </w:rPr>
        <w:t xml:space="preserve"> Meeting #</w:t>
      </w:r>
      <w:r>
        <w:rPr>
          <w:rFonts w:hint="eastAsia" w:ascii="Arial" w:hAnsi="Arial" w:eastAsia="宋体" w:cs="Arial"/>
          <w:b/>
          <w:bCs/>
          <w:sz w:val="22"/>
          <w:lang w:val="en-US" w:eastAsia="zh-CN"/>
        </w:rPr>
        <w:t>118b</w:t>
      </w:r>
      <w:r>
        <w:rPr>
          <w:rFonts w:ascii="Arial" w:hAnsi="Arial" w:cs="Arial"/>
          <w:b/>
          <w:bCs/>
          <w:sz w:val="22"/>
        </w:rPr>
        <w:tab/>
      </w:r>
      <w:r>
        <w:rPr>
          <w:rFonts w:ascii="Arial" w:hAnsi="Arial" w:cs="Arial"/>
          <w:b/>
          <w:bCs/>
          <w:sz w:val="22"/>
        </w:rPr>
        <w:tab/>
      </w:r>
      <w:r>
        <w:rPr>
          <w:rFonts w:ascii="Arial" w:hAnsi="Arial" w:cs="Arial"/>
          <w:b/>
          <w:bCs/>
          <w:sz w:val="22"/>
        </w:rPr>
        <w:tab/>
      </w:r>
      <w:r>
        <w:rPr>
          <w:rFonts w:hint="eastAsia" w:ascii="Arial" w:hAnsi="Arial" w:eastAsia="宋体" w:cs="Arial"/>
          <w:b/>
          <w:bCs/>
          <w:sz w:val="22"/>
          <w:lang w:val="en-US" w:eastAsia="zh-CN"/>
        </w:rPr>
        <w:t>R1-2408874</w:t>
      </w:r>
    </w:p>
    <w:p w14:paraId="0D3BD7D0">
      <w:pPr>
        <w:pStyle w:val="16"/>
        <w:tabs>
          <w:tab w:val="right" w:pos="9639"/>
          <w:tab w:val="clear" w:pos="8306"/>
        </w:tabs>
        <w:rPr>
          <w:rFonts w:hint="default" w:ascii="Arial" w:hAnsi="Arial" w:eastAsia="宋体" w:cs="Arial"/>
          <w:b/>
          <w:bCs/>
          <w:sz w:val="22"/>
          <w:lang w:val="en-US" w:eastAsia="zh-CN"/>
        </w:rPr>
      </w:pPr>
      <w:r>
        <w:rPr>
          <w:rFonts w:hint="eastAsia" w:ascii="Arial" w:hAnsi="Arial" w:eastAsia="宋体" w:cs="Arial"/>
          <w:b/>
          <w:bCs/>
          <w:sz w:val="22"/>
          <w:lang w:val="en-US" w:eastAsia="zh-CN"/>
        </w:rPr>
        <w:t>Hefei</w:t>
      </w:r>
      <w:r>
        <w:rPr>
          <w:rFonts w:ascii="Arial" w:hAnsi="Arial" w:cs="Arial"/>
          <w:b/>
          <w:bCs/>
          <w:sz w:val="22"/>
        </w:rPr>
        <w:t xml:space="preserve">, </w:t>
      </w:r>
      <w:r>
        <w:rPr>
          <w:rFonts w:hint="eastAsia" w:ascii="Arial" w:hAnsi="Arial" w:eastAsia="宋体" w:cs="Arial"/>
          <w:b/>
          <w:bCs/>
          <w:sz w:val="22"/>
          <w:lang w:val="en-US" w:eastAsia="zh-CN"/>
        </w:rPr>
        <w:t>China</w:t>
      </w:r>
      <w:r>
        <w:rPr>
          <w:rFonts w:ascii="Arial" w:hAnsi="Arial" w:cs="Arial"/>
          <w:b/>
          <w:bCs/>
          <w:sz w:val="22"/>
        </w:rPr>
        <w:t xml:space="preserve">, </w:t>
      </w:r>
      <w:r>
        <w:rPr>
          <w:rFonts w:hint="eastAsia" w:ascii="Arial" w:hAnsi="Arial" w:eastAsia="宋体" w:cs="Arial"/>
          <w:b/>
          <w:bCs/>
          <w:sz w:val="22"/>
          <w:lang w:val="en-US" w:eastAsia="zh-CN"/>
        </w:rPr>
        <w:t>October 14</w:t>
      </w:r>
      <w:r>
        <w:rPr>
          <w:rFonts w:hint="eastAsia" w:ascii="Arial" w:hAnsi="Arial" w:eastAsia="宋体" w:cs="Arial"/>
          <w:b/>
          <w:bCs/>
          <w:sz w:val="22"/>
          <w:vertAlign w:val="superscript"/>
          <w:lang w:val="en-US" w:eastAsia="zh-CN"/>
        </w:rPr>
        <w:t>th</w:t>
      </w:r>
      <w:r>
        <w:rPr>
          <w:rFonts w:hint="eastAsia" w:ascii="Arial" w:hAnsi="Arial" w:eastAsia="宋体" w:cs="Arial"/>
          <w:b/>
          <w:bCs/>
          <w:sz w:val="22"/>
          <w:lang w:val="en-US" w:eastAsia="zh-CN"/>
        </w:rPr>
        <w:t>-18</w:t>
      </w:r>
      <w:r>
        <w:rPr>
          <w:rFonts w:hint="eastAsia" w:ascii="Arial" w:hAnsi="Arial" w:eastAsia="宋体" w:cs="Arial"/>
          <w:b/>
          <w:bCs/>
          <w:sz w:val="22"/>
          <w:vertAlign w:val="superscript"/>
          <w:lang w:val="en-US" w:eastAsia="zh-CN"/>
        </w:rPr>
        <w:t>th</w:t>
      </w:r>
      <w:r>
        <w:rPr>
          <w:rFonts w:hint="eastAsia" w:ascii="Arial" w:hAnsi="Arial" w:eastAsia="宋体" w:cs="Arial"/>
          <w:b/>
          <w:bCs/>
          <w:sz w:val="22"/>
          <w:vertAlign w:val="baseline"/>
          <w:lang w:val="en-US" w:eastAsia="zh-CN"/>
        </w:rPr>
        <w:t>, 2024</w:t>
      </w:r>
    </w:p>
    <w:p w14:paraId="03C256C0">
      <w:pPr>
        <w:rPr>
          <w:rFonts w:ascii="Arial" w:hAnsi="Arial" w:cs="Arial"/>
        </w:rPr>
      </w:pPr>
    </w:p>
    <w:p w14:paraId="6C232D9A">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eastAsia="Times New Roman" w:cs="Arial"/>
          <w:b/>
          <w:lang w:eastAsia="zh-CN"/>
        </w:rPr>
        <w:t>9.11.</w:t>
      </w:r>
      <w:r>
        <w:rPr>
          <w:rFonts w:hint="eastAsia" w:ascii="Arial" w:hAnsi="Arial" w:eastAsia="Times New Roman" w:cs="Arial"/>
          <w:b/>
          <w:lang w:val="en-US" w:eastAsia="zh-CN"/>
        </w:rPr>
        <w:t>5</w:t>
      </w:r>
    </w:p>
    <w:p w14:paraId="58E03FA1">
      <w:pPr>
        <w:spacing w:after="60"/>
        <w:ind w:left="1985" w:hanging="1985"/>
        <w:rPr>
          <w:rFonts w:hint="default"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Times New Roman" w:cs="Arial"/>
          <w:b/>
          <w:lang w:val="en-US" w:eastAsia="zh-CN"/>
        </w:rPr>
        <w:t xml:space="preserve">Discussion on </w:t>
      </w:r>
      <w:r>
        <w:rPr>
          <w:rFonts w:hint="default" w:ascii="Arial" w:hAnsi="Arial" w:eastAsia="Times New Roman" w:cs="Arial"/>
          <w:b/>
          <w:lang w:eastAsia="zh-CN"/>
        </w:rPr>
        <w:t>introduction of IoT-NTN TDD mode</w:t>
      </w:r>
    </w:p>
    <w:p w14:paraId="06D90D49">
      <w:pPr>
        <w:spacing w:after="60"/>
        <w:ind w:left="1985" w:hanging="1985"/>
        <w:rPr>
          <w:rFonts w:hint="eastAsia" w:ascii="Arial" w:hAnsi="Arial" w:eastAsia="宋体" w:cs="Arial"/>
          <w:bCs/>
          <w:lang w:eastAsia="zh-CN"/>
        </w:rPr>
      </w:pPr>
      <w:r>
        <w:rPr>
          <w:rFonts w:ascii="Arial" w:hAnsi="Arial" w:cs="Arial"/>
          <w:b/>
        </w:rPr>
        <w:t>Source:</w:t>
      </w:r>
      <w:r>
        <w:rPr>
          <w:rFonts w:ascii="Arial" w:hAnsi="Arial" w:cs="Arial"/>
          <w:bCs/>
          <w:color w:val="FF0000"/>
        </w:rPr>
        <w:tab/>
      </w:r>
      <w:r>
        <w:rPr>
          <w:rFonts w:hint="eastAsia" w:ascii="Arial" w:hAnsi="Arial" w:eastAsia="Times New Roman" w:cs="Arial"/>
          <w:b/>
          <w:lang w:val="en-US" w:eastAsia="zh-CN"/>
        </w:rPr>
        <w:t>SageRan</w:t>
      </w:r>
    </w:p>
    <w:p w14:paraId="5B3C6334">
      <w:pPr>
        <w:spacing w:after="60"/>
        <w:ind w:left="1985" w:hanging="1985"/>
        <w:rPr>
          <w:rFonts w:ascii="Arial" w:hAnsi="Arial" w:eastAsia="Times New Roman" w:cs="Arial"/>
          <w:b/>
        </w:rPr>
      </w:pPr>
      <w:r>
        <w:rPr>
          <w:rFonts w:ascii="Arial" w:hAnsi="Arial" w:cs="Arial"/>
          <w:b/>
        </w:rPr>
        <w:t>Document for:</w:t>
      </w:r>
      <w:r>
        <w:rPr>
          <w:rFonts w:ascii="Arial" w:hAnsi="Arial" w:cs="Arial"/>
          <w:bCs/>
        </w:rPr>
        <w:tab/>
      </w:r>
      <w:r>
        <w:rPr>
          <w:rFonts w:ascii="Arial" w:hAnsi="Arial" w:eastAsia="Times New Roman" w:cs="Arial"/>
          <w:b/>
          <w:lang w:eastAsia="zh-CN"/>
        </w:rPr>
        <w:t>Discussion and Decision</w:t>
      </w:r>
    </w:p>
    <w:p w14:paraId="505A9A2B">
      <w:pPr>
        <w:pBdr>
          <w:bottom w:val="single" w:color="auto" w:sz="4" w:space="1"/>
        </w:pBdr>
        <w:rPr>
          <w:rFonts w:ascii="Arial" w:hAnsi="Arial" w:cs="Arial"/>
        </w:rPr>
      </w:pPr>
    </w:p>
    <w:p w14:paraId="5D7D4B04">
      <w:pPr>
        <w:rPr>
          <w:rFonts w:ascii="Arial" w:hAnsi="Arial" w:cs="Arial"/>
        </w:rPr>
      </w:pPr>
    </w:p>
    <w:p w14:paraId="0AF0072E">
      <w:pPr>
        <w:spacing w:after="120"/>
        <w:rPr>
          <w:rFonts w:ascii="Arial" w:hAnsi="Arial" w:cs="Arial"/>
          <w:b/>
        </w:rPr>
      </w:pPr>
      <w:r>
        <w:rPr>
          <w:rFonts w:ascii="Arial" w:hAnsi="Arial" w:cs="Arial"/>
          <w:b/>
        </w:rPr>
        <w:t>1. Introduction</w:t>
      </w:r>
    </w:p>
    <w:p w14:paraId="333D6E6A">
      <w:pPr>
        <w:rPr>
          <w:rFonts w:hint="eastAsia" w:ascii="Arial" w:hAnsi="Arial" w:eastAsia="宋体" w:cs="Arial"/>
          <w:color w:val="auto"/>
          <w:lang w:val="en-US" w:eastAsia="zh-CN"/>
        </w:rPr>
      </w:pPr>
      <w:r>
        <w:rPr>
          <w:rFonts w:hint="eastAsia" w:ascii="Arial" w:hAnsi="Arial" w:eastAsia="宋体" w:cs="Arial"/>
          <w:color w:val="auto"/>
          <w:lang w:val="en-US" w:eastAsia="zh-CN"/>
        </w:rPr>
        <w:t>In RAN#105</w:t>
      </w:r>
      <w:r>
        <w:rPr>
          <w:rFonts w:hint="eastAsia" w:ascii="Arial" w:hAnsi="Arial" w:cs="Arial"/>
          <w:color w:val="auto"/>
          <w:lang w:val="en-US" w:eastAsia="zh-CN"/>
        </w:rPr>
        <w:t xml:space="preserve"> </w:t>
      </w:r>
      <w:r>
        <w:rPr>
          <w:rFonts w:hint="eastAsia" w:ascii="Arial" w:hAnsi="Arial" w:eastAsia="宋体" w:cs="Arial"/>
          <w:color w:val="auto"/>
          <w:lang w:val="en-US" w:eastAsia="zh-CN"/>
        </w:rPr>
        <w:t xml:space="preserve">meeting, a new WID for </w:t>
      </w:r>
      <w:r>
        <w:rPr>
          <w:rFonts w:hint="default" w:ascii="Arial" w:hAnsi="Arial" w:eastAsia="宋体" w:cs="Arial"/>
          <w:color w:val="auto"/>
          <w:lang w:val="en-US" w:eastAsia="zh-CN"/>
        </w:rPr>
        <w:t>IoT-NTN TDD mode</w:t>
      </w:r>
      <w:r>
        <w:rPr>
          <w:rFonts w:hint="eastAsia" w:ascii="Arial" w:hAnsi="Arial" w:eastAsia="宋体" w:cs="Arial"/>
          <w:color w:val="auto"/>
          <w:lang w:val="en-US" w:eastAsia="zh-CN"/>
        </w:rPr>
        <w:t xml:space="preserve"> was introduced. The new feature allows the operator to use the radio resources in a periodic subset of the UL and DL subframes in N radio frames to achieve TDD operation in the SAN (Satellite Access Node) and IoT NTN UE, thus limiting power consumption.</w:t>
      </w:r>
    </w:p>
    <w:p w14:paraId="0805622E">
      <w:pPr>
        <w:rPr>
          <w:rFonts w:hint="eastAsia" w:ascii="Arial" w:hAnsi="Arial" w:eastAsia="宋体" w:cs="Arial"/>
          <w:color w:val="auto"/>
          <w:lang w:val="en-US" w:eastAsia="zh-CN"/>
        </w:rPr>
      </w:pPr>
      <w:r>
        <w:rPr>
          <w:rFonts w:hint="eastAsia" w:ascii="Arial" w:hAnsi="Arial" w:cs="Arial"/>
          <w:color w:val="auto"/>
          <w:lang w:val="en-US" w:eastAsia="zh-CN"/>
        </w:rPr>
        <w:t>The following shows t</w:t>
      </w:r>
      <w:r>
        <w:rPr>
          <w:rFonts w:hint="eastAsia" w:ascii="Arial" w:hAnsi="Arial" w:eastAsia="宋体" w:cs="Arial"/>
          <w:color w:val="auto"/>
          <w:lang w:val="en-US" w:eastAsia="zh-CN"/>
        </w:rPr>
        <w:t>he work item objectives and relative assumptions.</w:t>
      </w:r>
    </w:p>
    <w:p w14:paraId="7B2E4370">
      <w:pPr>
        <w:rPr>
          <w:rFonts w:hint="eastAsia" w:ascii="Arial" w:hAnsi="Arial" w:eastAsia="宋体" w:cs="Arial"/>
          <w:color w:val="auto"/>
          <w:lang w:val="en-US" w:eastAsia="zh-CN"/>
        </w:rPr>
      </w:pPr>
    </w:p>
    <w:p w14:paraId="088CCDD5">
      <w:pPr>
        <w:rPr>
          <w:rFonts w:hint="eastAsia" w:ascii="Arial" w:hAnsi="Arial" w:eastAsia="宋体" w:cs="Arial"/>
          <w:color w:val="auto"/>
          <w:lang w:val="en-US" w:eastAsia="zh-CN"/>
        </w:rPr>
      </w:pPr>
      <w:r>
        <w:rPr>
          <w:sz w:val="20"/>
        </w:rPr>
        <mc:AlternateContent>
          <mc:Choice Requires="wps">
            <w:drawing>
              <wp:inline distT="0" distB="0" distL="114300" distR="114300">
                <wp:extent cx="6263005" cy="6347460"/>
                <wp:effectExtent l="4445" t="4445" r="6350" b="10795"/>
                <wp:docPr id="2" name="文本框 2"/>
                <wp:cNvGraphicFramePr/>
                <a:graphic xmlns:a="http://schemas.openxmlformats.org/drawingml/2006/main">
                  <a:graphicData uri="http://schemas.microsoft.com/office/word/2010/wordprocessingShape">
                    <wps:wsp>
                      <wps:cNvSpPr txBox="1"/>
                      <wps:spPr>
                        <a:xfrm>
                          <a:off x="669925" y="3134360"/>
                          <a:ext cx="6263005" cy="63474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5AEEF2">
                            <w:pPr>
                              <w:spacing w:after="120"/>
                            </w:pPr>
                            <w:r>
                              <w:t>The study and work objectives assume the following:</w:t>
                            </w:r>
                          </w:p>
                          <w:p w14:paraId="728958BB">
                            <w:pPr>
                              <w:numPr>
                                <w:ilvl w:val="0"/>
                                <w:numId w:val="5"/>
                              </w:numPr>
                              <w:spacing w:after="120"/>
                            </w:pPr>
                            <w:r>
                              <w:t xml:space="preserve">LEO @600 km and @1200 km orbit respectively, with set-1 satellite parameters as reference scenarios (See 3GPP TR 36.763) </w:t>
                            </w:r>
                          </w:p>
                          <w:p w14:paraId="4E8D7E5F">
                            <w:pPr>
                              <w:numPr>
                                <w:ilvl w:val="0"/>
                                <w:numId w:val="5"/>
                              </w:numPr>
                              <w:spacing w:after="120"/>
                            </w:pPr>
                            <w:r>
                              <w:t>Target the 1616-1626.5 MHz MSS allocated band</w:t>
                            </w:r>
                          </w:p>
                          <w:p w14:paraId="03B11C51">
                            <w:pPr>
                              <w:pStyle w:val="31"/>
                              <w:numPr>
                                <w:ilvl w:val="0"/>
                                <w:numId w:val="5"/>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CA2CAD9">
                            <w:pPr>
                              <w:numPr>
                                <w:ilvl w:val="0"/>
                                <w:numId w:val="5"/>
                              </w:numPr>
                              <w:spacing w:after="120"/>
                            </w:pPr>
                            <w:r>
                              <w:t>Operate with Earth fixed Tracking area, with either Earth fixed cells or Earth moving cells for NGSO</w:t>
                            </w:r>
                          </w:p>
                          <w:p w14:paraId="2D227E90">
                            <w:pPr>
                              <w:numPr>
                                <w:ilvl w:val="0"/>
                                <w:numId w:val="5"/>
                              </w:numPr>
                              <w:spacing w:after="120"/>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hAnsi="Calibri" w:asciiTheme="minorHAnsi" w:eastAsiaTheme="minorEastAsia" w:cstheme="minorBidi"/>
                                <w:color w:val="000000" w:themeColor="text1"/>
                                <w:kern w:val="24"/>
                                <w:sz w:val="30"/>
                                <w:szCs w:val="30"/>
                                <w14:textFill>
                                  <w14:solidFill>
                                    <w14:schemeClr w14:val="tx1"/>
                                  </w14:solidFill>
                                </w14:textFill>
                              </w:rPr>
                              <w:t xml:space="preserve"> </w:t>
                            </w:r>
                            <w:r>
                              <w:t>No blind detection is assumed at the UE side. The value of N and the configuration of the periodic pattern are fixed per band.</w:t>
                            </w:r>
                          </w:p>
                          <w:p w14:paraId="00435284">
                            <w:pPr>
                              <w:suppressAutoHyphens w:val="0"/>
                              <w:overflowPunct/>
                              <w:autoSpaceDE/>
                              <w:spacing w:after="0"/>
                              <w:textAlignment w:val="auto"/>
                            </w:pPr>
                          </w:p>
                          <w:p w14:paraId="37BFBF92">
                            <w:pPr>
                              <w:spacing w:after="120"/>
                            </w:pPr>
                            <w:r>
                              <w:t>This work item includes the following objectives:</w:t>
                            </w:r>
                          </w:p>
                          <w:p w14:paraId="33404BEA">
                            <w:pPr>
                              <w:numPr>
                                <w:ilvl w:val="0"/>
                                <w:numId w:val="6"/>
                              </w:numPr>
                              <w:suppressAutoHyphens w:val="0"/>
                              <w:overflowPunct/>
                              <w:autoSpaceDE/>
                              <w:spacing w:after="120"/>
                              <w:textAlignment w:val="auto"/>
                            </w:pPr>
                            <w:r>
                              <w:t xml:space="preserve">Study the impact </w:t>
                            </w:r>
                            <w:r>
                              <w:rPr>
                                <w:bCs/>
                              </w:rPr>
                              <w:t>due to the periodic pattern</w:t>
                            </w:r>
                            <w:r>
                              <w:t>, at least on UE downlink synchronization and other aspects (if identified) [RAN1, RAN4]</w:t>
                            </w:r>
                          </w:p>
                          <w:p w14:paraId="6543D0F3">
                            <w:pPr>
                              <w:numPr>
                                <w:ilvl w:val="1"/>
                                <w:numId w:val="7"/>
                              </w:numPr>
                              <w:spacing w:after="120"/>
                            </w:pPr>
                            <w:r>
                              <w:t>Checkpoint in RAN#106 for the completion of the study phase. RAN1 start from Oct’24. RAN4 start from Nov’24</w:t>
                            </w:r>
                          </w:p>
                          <w:p w14:paraId="726274AE">
                            <w:pPr>
                              <w:numPr>
                                <w:ilvl w:val="0"/>
                                <w:numId w:val="6"/>
                              </w:numPr>
                              <w:spacing w:after="120"/>
                            </w:pPr>
                            <w:r>
                              <w:t>Specify a new NB-IoT TDD NTN mode</w:t>
                            </w:r>
                            <w:r>
                              <w:rPr>
                                <w:rStyle w:val="32"/>
                              </w:rPr>
                              <w:t xml:space="preserve"> </w:t>
                            </w:r>
                            <w:r>
                              <w:rPr>
                                <w:rStyle w:val="30"/>
                              </w:rPr>
                              <w:t>based on minimum necessary changes to the NB-IoT NTN FDD frame structure and procedures</w:t>
                            </w:r>
                            <w:r>
                              <w:t>, based on the outcome of the study, including:</w:t>
                            </w:r>
                          </w:p>
                          <w:p w14:paraId="77299B9C">
                            <w:pPr>
                              <w:numPr>
                                <w:ilvl w:val="1"/>
                                <w:numId w:val="7"/>
                              </w:numPr>
                              <w:spacing w:after="120"/>
                            </w:pPr>
                            <w:r>
                              <w:t>Definition, configuration (if needed) and signaling (if needed) of the periodic pattern including confirming the value of N, and associated UE procedures [RAN1, RAN2]</w:t>
                            </w:r>
                          </w:p>
                          <w:p w14:paraId="2439DDBD">
                            <w:pPr>
                              <w:numPr>
                                <w:ilvl w:val="1"/>
                                <w:numId w:val="7"/>
                              </w:numPr>
                              <w:spacing w:after="120"/>
                            </w:pPr>
                            <w:r>
                              <w:t>Other necessary impacts on higher layers [RAN2]</w:t>
                            </w:r>
                          </w:p>
                          <w:p w14:paraId="0F575A4D">
                            <w:pPr>
                              <w:numPr>
                                <w:ilvl w:val="1"/>
                                <w:numId w:val="7"/>
                              </w:numPr>
                              <w:spacing w:after="120"/>
                            </w:pPr>
                            <w:r>
                              <w:t>RRM and RF core requirements [RAN4]</w:t>
                            </w:r>
                          </w:p>
                          <w:p w14:paraId="6F9D47ED">
                            <w:pPr>
                              <w:numPr>
                                <w:ilvl w:val="0"/>
                                <w:numId w:val="6"/>
                              </w:numPr>
                              <w:spacing w:after="120"/>
                            </w:pPr>
                            <w:r>
                              <w:t>Specify a new NB-IoT TDD operating NTN band for the MSS allocation spanning 1616-1626.5 MHz for DL and UL, based on the outcome of the study, to be used as example band for this WI [RAN4].</w:t>
                            </w:r>
                          </w:p>
                          <w:p w14:paraId="58F00447">
                            <w:pPr>
                              <w:numPr>
                                <w:ilvl w:val="1"/>
                                <w:numId w:val="7"/>
                              </w:numPr>
                              <w:spacing w:after="120"/>
                            </w:pPr>
                            <w:r>
                              <w:t>Specify band numbering</w:t>
                            </w:r>
                          </w:p>
                          <w:p w14:paraId="202E5722">
                            <w:pPr>
                              <w:numPr>
                                <w:ilvl w:val="1"/>
                                <w:numId w:val="7"/>
                              </w:numPr>
                              <w:spacing w:after="120"/>
                            </w:pPr>
                            <w:r>
                              <w:t>Specify SAN and UE RF characteristics</w:t>
                            </w:r>
                          </w:p>
                          <w:p w14:paraId="368F4640">
                            <w:pPr>
                              <w:numPr>
                                <w:ilvl w:val="1"/>
                                <w:numId w:val="7"/>
                              </w:numPr>
                              <w:spacing w:after="120"/>
                            </w:pPr>
                            <w:r>
                              <w:t>Specify DL and UL channelization.</w:t>
                            </w:r>
                          </w:p>
                          <w:p w14:paraId="3A4FC6EB">
                            <w:pPr>
                              <w:numPr>
                                <w:ilvl w:val="1"/>
                                <w:numId w:val="7"/>
                              </w:numPr>
                              <w:spacing w:after="120"/>
                            </w:pPr>
                            <w:r>
                              <w:rPr>
                                <w:rFonts w:hint="cs"/>
                              </w:rPr>
                              <w:t>S</w:t>
                            </w:r>
                            <w:r>
                              <w:t>pecify channel bandwidth as 200 kHz</w:t>
                            </w:r>
                          </w:p>
                          <w:p w14:paraId="7AD153C6">
                            <w:pPr>
                              <w:numPr>
                                <w:ilvl w:val="1"/>
                                <w:numId w:val="7"/>
                              </w:numPr>
                              <w:spacing w:after="120"/>
                            </w:pPr>
                            <w:r>
                              <w:t>Note1: No NTN-NTN coexistence study needed.</w:t>
                            </w:r>
                          </w:p>
                          <w:p w14:paraId="6F919588">
                            <w:r>
                              <w:t>Note2: Leverage existing work as much as possible for TN-NTN coexistence of adjacent bands</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inline>
            </w:drawing>
          </mc:Choice>
          <mc:Fallback>
            <w:pict>
              <v:shape id="_x0000_s1026" o:spid="_x0000_s1026" o:spt="202" type="#_x0000_t202" style="height:499.8pt;width:493.15pt;" fillcolor="#FFFFFF [3201]" filled="t" stroked="t" coordsize="21600,21600" o:gfxdata="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AK80i0wAAAAUBAAAPAAAAAAAAAAEAIAAAACIAAABkcnMvZG93bnJldi54bWxQSwEC&#10;FAAUAAAACACHTuJAi4VYuGsCAADPBAAADgAAAAAAAAABACAAAAAiAQAAZHJzL2Uyb0RvYy54bWxQ&#10;SwUGAAAAAAYABgBZAQAA/wUAAAAA&#10;">
                <v:fill on="t" focussize="0,0"/>
                <v:stroke weight="0.5pt" color="#000000 [3204]" joinstyle="round"/>
                <v:imagedata o:title=""/>
                <o:lock v:ext="edit" aspectratio="f"/>
                <v:textbox>
                  <w:txbxContent>
                    <w:p w14:paraId="295AEEF2">
                      <w:pPr>
                        <w:spacing w:after="120"/>
                      </w:pPr>
                      <w:r>
                        <w:t>The study and work objectives assume the following:</w:t>
                      </w:r>
                    </w:p>
                    <w:p w14:paraId="728958BB">
                      <w:pPr>
                        <w:numPr>
                          <w:ilvl w:val="0"/>
                          <w:numId w:val="5"/>
                        </w:numPr>
                        <w:spacing w:after="120"/>
                      </w:pPr>
                      <w:r>
                        <w:t xml:space="preserve">LEO @600 km and @1200 km orbit respectively, with set-1 satellite parameters as reference scenarios (See 3GPP TR 36.763) </w:t>
                      </w:r>
                    </w:p>
                    <w:p w14:paraId="4E8D7E5F">
                      <w:pPr>
                        <w:numPr>
                          <w:ilvl w:val="0"/>
                          <w:numId w:val="5"/>
                        </w:numPr>
                        <w:spacing w:after="120"/>
                      </w:pPr>
                      <w:r>
                        <w:t>Target the 1616-1626.5 MHz MSS allocated band</w:t>
                      </w:r>
                    </w:p>
                    <w:p w14:paraId="03B11C51">
                      <w:pPr>
                        <w:pStyle w:val="31"/>
                        <w:numPr>
                          <w:ilvl w:val="0"/>
                          <w:numId w:val="5"/>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CA2CAD9">
                      <w:pPr>
                        <w:numPr>
                          <w:ilvl w:val="0"/>
                          <w:numId w:val="5"/>
                        </w:numPr>
                        <w:spacing w:after="120"/>
                      </w:pPr>
                      <w:r>
                        <w:t>Operate with Earth fixed Tracking area, with either Earth fixed cells or Earth moving cells for NGSO</w:t>
                      </w:r>
                    </w:p>
                    <w:p w14:paraId="2D227E90">
                      <w:pPr>
                        <w:numPr>
                          <w:ilvl w:val="0"/>
                          <w:numId w:val="5"/>
                        </w:numPr>
                        <w:spacing w:after="120"/>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hAnsi="Calibri" w:asciiTheme="minorHAnsi" w:eastAsiaTheme="minorEastAsia" w:cstheme="minorBidi"/>
                          <w:color w:val="000000" w:themeColor="text1"/>
                          <w:kern w:val="24"/>
                          <w:sz w:val="30"/>
                          <w:szCs w:val="30"/>
                          <w14:textFill>
                            <w14:solidFill>
                              <w14:schemeClr w14:val="tx1"/>
                            </w14:solidFill>
                          </w14:textFill>
                        </w:rPr>
                        <w:t xml:space="preserve"> </w:t>
                      </w:r>
                      <w:r>
                        <w:t>No blind detection is assumed at the UE side. The value of N and the configuration of the periodic pattern are fixed per band.</w:t>
                      </w:r>
                    </w:p>
                    <w:p w14:paraId="00435284">
                      <w:pPr>
                        <w:suppressAutoHyphens w:val="0"/>
                        <w:overflowPunct/>
                        <w:autoSpaceDE/>
                        <w:spacing w:after="0"/>
                        <w:textAlignment w:val="auto"/>
                      </w:pPr>
                    </w:p>
                    <w:p w14:paraId="37BFBF92">
                      <w:pPr>
                        <w:spacing w:after="120"/>
                      </w:pPr>
                      <w:r>
                        <w:t>This work item includes the following objectives:</w:t>
                      </w:r>
                    </w:p>
                    <w:p w14:paraId="33404BEA">
                      <w:pPr>
                        <w:numPr>
                          <w:ilvl w:val="0"/>
                          <w:numId w:val="6"/>
                        </w:numPr>
                        <w:suppressAutoHyphens w:val="0"/>
                        <w:overflowPunct/>
                        <w:autoSpaceDE/>
                        <w:spacing w:after="120"/>
                        <w:textAlignment w:val="auto"/>
                      </w:pPr>
                      <w:r>
                        <w:t xml:space="preserve">Study the impact </w:t>
                      </w:r>
                      <w:r>
                        <w:rPr>
                          <w:bCs/>
                        </w:rPr>
                        <w:t>due to the periodic pattern</w:t>
                      </w:r>
                      <w:r>
                        <w:t>, at least on UE downlink synchronization and other aspects (if identified) [RAN1, RAN4]</w:t>
                      </w:r>
                    </w:p>
                    <w:p w14:paraId="6543D0F3">
                      <w:pPr>
                        <w:numPr>
                          <w:ilvl w:val="1"/>
                          <w:numId w:val="7"/>
                        </w:numPr>
                        <w:spacing w:after="120"/>
                      </w:pPr>
                      <w:r>
                        <w:t>Checkpoint in RAN#106 for the completion of the study phase. RAN1 start from Oct’24. RAN4 start from Nov’24</w:t>
                      </w:r>
                    </w:p>
                    <w:p w14:paraId="726274AE">
                      <w:pPr>
                        <w:numPr>
                          <w:ilvl w:val="0"/>
                          <w:numId w:val="6"/>
                        </w:numPr>
                        <w:spacing w:after="120"/>
                      </w:pPr>
                      <w:r>
                        <w:t>Specify a new NB-IoT TDD NTN mode</w:t>
                      </w:r>
                      <w:r>
                        <w:rPr>
                          <w:rStyle w:val="32"/>
                        </w:rPr>
                        <w:t xml:space="preserve"> </w:t>
                      </w:r>
                      <w:r>
                        <w:rPr>
                          <w:rStyle w:val="30"/>
                        </w:rPr>
                        <w:t>based on minimum necessary changes to the NB-IoT NTN FDD frame structure and procedures</w:t>
                      </w:r>
                      <w:r>
                        <w:t>, based on the outcome of the study, including:</w:t>
                      </w:r>
                    </w:p>
                    <w:p w14:paraId="77299B9C">
                      <w:pPr>
                        <w:numPr>
                          <w:ilvl w:val="1"/>
                          <w:numId w:val="7"/>
                        </w:numPr>
                        <w:spacing w:after="120"/>
                      </w:pPr>
                      <w:r>
                        <w:t>Definition, configuration (if needed) and signaling (if needed) of the periodic pattern including confirming the value of N, and associated UE procedures [RAN1, RAN2]</w:t>
                      </w:r>
                    </w:p>
                    <w:p w14:paraId="2439DDBD">
                      <w:pPr>
                        <w:numPr>
                          <w:ilvl w:val="1"/>
                          <w:numId w:val="7"/>
                        </w:numPr>
                        <w:spacing w:after="120"/>
                      </w:pPr>
                      <w:r>
                        <w:t>Other necessary impacts on higher layers [RAN2]</w:t>
                      </w:r>
                    </w:p>
                    <w:p w14:paraId="0F575A4D">
                      <w:pPr>
                        <w:numPr>
                          <w:ilvl w:val="1"/>
                          <w:numId w:val="7"/>
                        </w:numPr>
                        <w:spacing w:after="120"/>
                      </w:pPr>
                      <w:r>
                        <w:t>RRM and RF core requirements [RAN4]</w:t>
                      </w:r>
                    </w:p>
                    <w:p w14:paraId="6F9D47ED">
                      <w:pPr>
                        <w:numPr>
                          <w:ilvl w:val="0"/>
                          <w:numId w:val="6"/>
                        </w:numPr>
                        <w:spacing w:after="120"/>
                      </w:pPr>
                      <w:r>
                        <w:t>Specify a new NB-IoT TDD operating NTN band for the MSS allocation spanning 1616-1626.5 MHz for DL and UL, based on the outcome of the study, to be used as example band for this WI [RAN4].</w:t>
                      </w:r>
                    </w:p>
                    <w:p w14:paraId="58F00447">
                      <w:pPr>
                        <w:numPr>
                          <w:ilvl w:val="1"/>
                          <w:numId w:val="7"/>
                        </w:numPr>
                        <w:spacing w:after="120"/>
                      </w:pPr>
                      <w:r>
                        <w:t>Specify band numbering</w:t>
                      </w:r>
                    </w:p>
                    <w:p w14:paraId="202E5722">
                      <w:pPr>
                        <w:numPr>
                          <w:ilvl w:val="1"/>
                          <w:numId w:val="7"/>
                        </w:numPr>
                        <w:spacing w:after="120"/>
                      </w:pPr>
                      <w:r>
                        <w:t>Specify SAN and UE RF characteristics</w:t>
                      </w:r>
                    </w:p>
                    <w:p w14:paraId="368F4640">
                      <w:pPr>
                        <w:numPr>
                          <w:ilvl w:val="1"/>
                          <w:numId w:val="7"/>
                        </w:numPr>
                        <w:spacing w:after="120"/>
                      </w:pPr>
                      <w:r>
                        <w:t>Specify DL and UL channelization.</w:t>
                      </w:r>
                    </w:p>
                    <w:p w14:paraId="3A4FC6EB">
                      <w:pPr>
                        <w:numPr>
                          <w:ilvl w:val="1"/>
                          <w:numId w:val="7"/>
                        </w:numPr>
                        <w:spacing w:after="120"/>
                      </w:pPr>
                      <w:r>
                        <w:rPr>
                          <w:rFonts w:hint="cs"/>
                        </w:rPr>
                        <w:t>S</w:t>
                      </w:r>
                      <w:r>
                        <w:t>pecify channel bandwidth as 200 kHz</w:t>
                      </w:r>
                    </w:p>
                    <w:p w14:paraId="7AD153C6">
                      <w:pPr>
                        <w:numPr>
                          <w:ilvl w:val="1"/>
                          <w:numId w:val="7"/>
                        </w:numPr>
                        <w:spacing w:after="120"/>
                      </w:pPr>
                      <w:r>
                        <w:t>Note1: No NTN-NTN coexistence study needed.</w:t>
                      </w:r>
                    </w:p>
                    <w:p w14:paraId="6F919588">
                      <w:r>
                        <w:t>Note2: Leverage existing work as much as possible for TN-NTN coexistence of adjacent bands</w:t>
                      </w:r>
                    </w:p>
                  </w:txbxContent>
                </v:textbox>
                <w10:wrap type="none"/>
                <w10:anchorlock/>
              </v:shape>
            </w:pict>
          </mc:Fallback>
        </mc:AlternateContent>
      </w:r>
    </w:p>
    <w:p w14:paraId="19913181">
      <w:pPr>
        <w:rPr>
          <w:rFonts w:hint="eastAsia" w:ascii="Arial" w:hAnsi="Arial" w:eastAsia="宋体" w:cs="Arial"/>
          <w:color w:val="auto"/>
          <w:lang w:val="en-US" w:eastAsia="zh-CN"/>
        </w:rPr>
      </w:pPr>
    </w:p>
    <w:p w14:paraId="26E9DF9B">
      <w:pPr>
        <w:rPr>
          <w:rFonts w:hint="default" w:ascii="Arial" w:hAnsi="Arial" w:eastAsia="宋体" w:cs="Arial"/>
          <w:color w:val="auto"/>
          <w:lang w:val="en-US" w:eastAsia="zh-CN"/>
        </w:rPr>
      </w:pPr>
      <w:r>
        <w:rPr>
          <w:rFonts w:hint="eastAsia" w:ascii="Arial" w:hAnsi="Arial" w:cs="Arial"/>
          <w:color w:val="auto"/>
          <w:lang w:val="en-US" w:eastAsia="zh-CN"/>
        </w:rPr>
        <w:t>In this contribution, we discuss the TDD</w:t>
      </w:r>
      <w:r>
        <w:rPr>
          <w:rFonts w:hint="eastAsia" w:ascii="Arial" w:hAnsi="Arial" w:eastAsia="宋体" w:cs="Arial"/>
          <w:color w:val="auto"/>
          <w:lang w:val="en-US" w:eastAsia="zh-CN"/>
        </w:rPr>
        <w:t xml:space="preserve"> frame structure design </w:t>
      </w:r>
      <w:r>
        <w:rPr>
          <w:rFonts w:hint="eastAsia" w:ascii="Arial" w:hAnsi="Arial" w:cs="Arial"/>
          <w:color w:val="auto"/>
          <w:lang w:val="en-US" w:eastAsia="zh-CN"/>
        </w:rPr>
        <w:t>for IoT NTN</w:t>
      </w:r>
      <w:r>
        <w:rPr>
          <w:rFonts w:hint="eastAsia" w:ascii="Arial" w:hAnsi="Arial" w:eastAsia="宋体" w:cs="Arial"/>
          <w:color w:val="auto"/>
          <w:lang w:val="en-US" w:eastAsia="zh-CN"/>
        </w:rPr>
        <w:t>.</w:t>
      </w:r>
    </w:p>
    <w:p w14:paraId="037D9229">
      <w:pPr>
        <w:pStyle w:val="16"/>
        <w:tabs>
          <w:tab w:val="clear" w:pos="4153"/>
          <w:tab w:val="clear" w:pos="8306"/>
        </w:tabs>
        <w:rPr>
          <w:rFonts w:ascii="Arial" w:hAnsi="Arial" w:cs="Arial"/>
        </w:rPr>
      </w:pPr>
    </w:p>
    <w:p w14:paraId="4BAAE654">
      <w:pPr>
        <w:spacing w:after="120"/>
        <w:rPr>
          <w:rFonts w:hint="default" w:ascii="Arial" w:hAnsi="Arial" w:eastAsia="宋体" w:cs="Arial"/>
          <w:b/>
          <w:lang w:val="en-US" w:eastAsia="zh-CN"/>
        </w:rPr>
      </w:pPr>
      <w:r>
        <w:rPr>
          <w:rFonts w:ascii="Arial" w:hAnsi="Arial" w:cs="Arial"/>
          <w:b/>
        </w:rPr>
        <w:t xml:space="preserve">2. </w:t>
      </w:r>
      <w:r>
        <w:rPr>
          <w:rFonts w:hint="eastAsia" w:ascii="Arial" w:hAnsi="Arial" w:cs="Arial"/>
          <w:b/>
          <w:lang w:val="en-US" w:eastAsia="zh-CN"/>
        </w:rPr>
        <w:t>Analysis on TDD f</w:t>
      </w:r>
      <w:r>
        <w:rPr>
          <w:rFonts w:hint="eastAsia" w:ascii="Arial" w:hAnsi="Arial" w:eastAsia="宋体" w:cs="Arial"/>
          <w:b/>
          <w:lang w:val="en-US" w:eastAsia="zh-CN"/>
        </w:rPr>
        <w:t>rame structure</w:t>
      </w:r>
    </w:p>
    <w:p w14:paraId="1A37D8E9">
      <w:pPr>
        <w:rPr>
          <w:rFonts w:hint="default" w:ascii="Arial" w:hAnsi="Arial" w:cs="Arial"/>
          <w:color w:val="auto"/>
          <w:lang w:val="en-GB"/>
        </w:rPr>
      </w:pPr>
    </w:p>
    <w:p w14:paraId="2F0F0E5E">
      <w:pPr>
        <w:rPr>
          <w:rFonts w:hint="eastAsia" w:ascii="Arial" w:hAnsi="Arial" w:cs="Arial"/>
          <w:color w:val="auto"/>
          <w:lang w:val="en-US" w:eastAsia="zh-CN"/>
        </w:rPr>
      </w:pPr>
      <w:r>
        <w:rPr>
          <w:rFonts w:hint="eastAsia" w:ascii="Arial" w:hAnsi="Arial" w:cs="Arial"/>
          <w:color w:val="auto"/>
          <w:lang w:val="en-US" w:eastAsia="zh-CN"/>
        </w:rPr>
        <w:t>First of all, the feasibility of TDD mode for the scenarios based on transparent payload and regenerative payload shall be discussed.</w:t>
      </w:r>
    </w:p>
    <w:p w14:paraId="6A710EBF">
      <w:pPr>
        <w:rPr>
          <w:rFonts w:hint="eastAsia" w:ascii="Arial" w:hAnsi="Arial" w:cs="Arial"/>
          <w:color w:val="auto"/>
          <w:lang w:val="en-US" w:eastAsia="zh-CN"/>
        </w:rPr>
      </w:pPr>
    </w:p>
    <w:p w14:paraId="2A715DDA">
      <w:pPr>
        <w:rPr>
          <w:rFonts w:hint="eastAsia" w:ascii="Arial" w:hAnsi="Arial" w:cs="Arial"/>
          <w:b/>
          <w:bCs/>
          <w:color w:val="auto"/>
          <w:lang w:val="en-US" w:eastAsia="zh-CN"/>
        </w:rPr>
      </w:pPr>
      <w:r>
        <w:rPr>
          <w:rFonts w:hint="eastAsia" w:ascii="Arial" w:hAnsi="Arial" w:cs="Arial"/>
          <w:b/>
          <w:bCs/>
          <w:color w:val="auto"/>
          <w:lang w:val="en-US" w:eastAsia="zh-CN"/>
        </w:rPr>
        <w:t>Observation 1: For TDD on NTN communication, DL/UL switching shall be necessary at satellite node for both transparent payload and regenerative payload.</w:t>
      </w:r>
    </w:p>
    <w:p w14:paraId="2C7C7A30">
      <w:pPr>
        <w:rPr>
          <w:rFonts w:hint="eastAsia" w:ascii="Arial" w:hAnsi="Arial" w:cs="Arial"/>
          <w:b/>
          <w:bCs/>
          <w:color w:val="auto"/>
          <w:lang w:val="en-US" w:eastAsia="zh-CN"/>
        </w:rPr>
      </w:pPr>
    </w:p>
    <w:p w14:paraId="60A8ABB1">
      <w:pPr>
        <w:rPr>
          <w:rFonts w:hint="eastAsia" w:ascii="Arial" w:hAnsi="Arial" w:cs="Arial"/>
          <w:b/>
          <w:bCs/>
          <w:color w:val="auto"/>
          <w:lang w:val="en-US" w:eastAsia="zh-CN"/>
        </w:rPr>
      </w:pPr>
      <w:r>
        <w:rPr>
          <w:rFonts w:hint="eastAsia" w:ascii="Arial" w:hAnsi="Arial" w:cs="Arial"/>
          <w:b/>
          <w:bCs/>
          <w:color w:val="auto"/>
          <w:lang w:val="en-US" w:eastAsia="zh-CN"/>
        </w:rPr>
        <w:t>Observation 2: For regenerative payload, DL/UL switching at satellite node can be processed by gNB on board.</w:t>
      </w:r>
    </w:p>
    <w:p w14:paraId="11CDBDC3">
      <w:pPr>
        <w:rPr>
          <w:rFonts w:hint="eastAsia" w:ascii="Arial" w:hAnsi="Arial" w:cs="Arial"/>
          <w:b/>
          <w:bCs/>
          <w:color w:val="auto"/>
          <w:lang w:val="en-US" w:eastAsia="zh-CN"/>
        </w:rPr>
      </w:pPr>
    </w:p>
    <w:p w14:paraId="37D085A7">
      <w:pPr>
        <w:rPr>
          <w:rFonts w:hint="eastAsia" w:ascii="Arial" w:hAnsi="Arial" w:cs="Arial"/>
          <w:b/>
          <w:bCs/>
          <w:color w:val="auto"/>
          <w:lang w:val="en-US" w:eastAsia="zh-CN"/>
        </w:rPr>
      </w:pPr>
      <w:r>
        <w:rPr>
          <w:rFonts w:hint="eastAsia" w:ascii="Arial" w:hAnsi="Arial" w:cs="Arial"/>
          <w:b/>
          <w:bCs/>
          <w:color w:val="auto"/>
          <w:lang w:val="en-US" w:eastAsia="zh-CN"/>
        </w:rPr>
        <w:t>Observation 3: For transparent payload, DL/UL switching at satellite node is difficult to be achieved due to no signaling control module on board.</w:t>
      </w:r>
    </w:p>
    <w:p w14:paraId="18D4A1D0">
      <w:pPr>
        <w:rPr>
          <w:rFonts w:hint="default" w:ascii="Arial" w:hAnsi="Arial" w:cs="Arial"/>
          <w:color w:val="auto"/>
          <w:lang w:val="en-GB"/>
        </w:rPr>
      </w:pPr>
    </w:p>
    <w:p w14:paraId="5B26C00C">
      <w:pPr>
        <w:rPr>
          <w:rFonts w:hint="eastAsia" w:ascii="Arial" w:hAnsi="Arial" w:cs="Arial"/>
          <w:b/>
          <w:bCs/>
          <w:color w:val="auto"/>
          <w:lang w:val="en-US" w:eastAsia="zh-CN"/>
        </w:rPr>
      </w:pPr>
      <w:r>
        <w:rPr>
          <w:rFonts w:hint="eastAsia" w:ascii="Arial" w:hAnsi="Arial" w:cs="Arial"/>
          <w:b/>
          <w:bCs/>
          <w:color w:val="auto"/>
          <w:lang w:val="en-US" w:eastAsia="zh-CN"/>
        </w:rPr>
        <w:t>Proposal 1: The feasible of TDD frame structure for transparent payload is FFS.</w:t>
      </w:r>
    </w:p>
    <w:p w14:paraId="2860A8A9">
      <w:pPr>
        <w:rPr>
          <w:rFonts w:hint="eastAsia" w:ascii="Arial" w:hAnsi="Arial" w:cs="Arial"/>
          <w:b/>
          <w:bCs/>
          <w:color w:val="auto"/>
          <w:lang w:val="en-US" w:eastAsia="zh-CN"/>
        </w:rPr>
      </w:pPr>
    </w:p>
    <w:p w14:paraId="10FF36E8">
      <w:pPr>
        <w:rPr>
          <w:rFonts w:hint="default" w:ascii="Arial" w:hAnsi="Arial" w:cs="Arial"/>
          <w:b/>
          <w:bCs/>
          <w:color w:val="auto"/>
          <w:lang w:val="en-US" w:eastAsia="zh-CN"/>
        </w:rPr>
      </w:pPr>
      <w:r>
        <w:rPr>
          <w:rFonts w:hint="eastAsia" w:ascii="Arial" w:hAnsi="Arial" w:cs="Arial"/>
          <w:b/>
          <w:bCs/>
          <w:color w:val="auto"/>
          <w:lang w:val="en-US" w:eastAsia="zh-CN"/>
        </w:rPr>
        <w:t>Proposal 2: The design of TDD frame structure for regenerative payload should be discussed.</w:t>
      </w:r>
    </w:p>
    <w:p w14:paraId="7808CB3A">
      <w:pPr>
        <w:rPr>
          <w:rFonts w:hint="default" w:ascii="Arial" w:hAnsi="Arial" w:cs="Arial"/>
          <w:color w:val="auto"/>
          <w:lang w:val="en-GB"/>
        </w:rPr>
      </w:pPr>
    </w:p>
    <w:p w14:paraId="01B57D77">
      <w:pPr>
        <w:rPr>
          <w:rFonts w:hint="eastAsia" w:ascii="Arial" w:hAnsi="Arial" w:cs="Arial"/>
          <w:color w:val="auto"/>
          <w:lang w:val="en-US" w:eastAsia="zh-CN"/>
        </w:rPr>
      </w:pPr>
      <w:r>
        <w:rPr>
          <w:rFonts w:hint="default" w:ascii="Arial" w:hAnsi="Arial" w:cs="Arial"/>
          <w:color w:val="auto"/>
          <w:lang w:val="en-GB"/>
        </w:rPr>
        <w:fldChar w:fldCharType="begin"/>
      </w:r>
      <w:r>
        <w:rPr>
          <w:rFonts w:hint="default" w:ascii="Arial" w:hAnsi="Arial" w:cs="Arial"/>
          <w:color w:val="auto"/>
          <w:lang w:val="en-GB"/>
        </w:rPr>
        <w:instrText xml:space="preserve"> REF _Ref8395 \h </w:instrText>
      </w:r>
      <w:r>
        <w:rPr>
          <w:rFonts w:hint="default" w:ascii="Arial" w:hAnsi="Arial" w:cs="Arial"/>
          <w:color w:val="auto"/>
          <w:lang w:val="en-GB"/>
        </w:rPr>
        <w:fldChar w:fldCharType="separate"/>
      </w:r>
      <w:r>
        <w:t>Figure 1</w:t>
      </w:r>
      <w:r>
        <w:rPr>
          <w:rFonts w:hint="default" w:ascii="Arial" w:hAnsi="Arial" w:cs="Arial"/>
          <w:color w:val="auto"/>
          <w:lang w:val="en-GB"/>
        </w:rPr>
        <w:fldChar w:fldCharType="end"/>
      </w:r>
      <w:r>
        <w:rPr>
          <w:rFonts w:hint="eastAsia" w:ascii="Arial" w:hAnsi="Arial" w:cs="Arial"/>
          <w:color w:val="auto"/>
          <w:lang w:val="en-US" w:eastAsia="zh-CN"/>
        </w:rPr>
        <w:t xml:space="preserve"> illustrates the legacy TDD frame structure for terrestrial network and </w:t>
      </w:r>
      <w:r>
        <w:rPr>
          <w:rFonts w:hint="default" w:ascii="Arial" w:hAnsi="Arial" w:cs="Arial"/>
          <w:color w:val="auto"/>
          <w:lang w:val="en-GB"/>
        </w:rPr>
        <w:fldChar w:fldCharType="begin"/>
      </w:r>
      <w:r>
        <w:rPr>
          <w:rFonts w:hint="default" w:ascii="Arial" w:hAnsi="Arial" w:cs="Arial"/>
          <w:color w:val="auto"/>
          <w:lang w:val="en-GB"/>
        </w:rPr>
        <w:instrText xml:space="preserve"> REF _Ref8401 \h </w:instrText>
      </w:r>
      <w:r>
        <w:rPr>
          <w:rFonts w:hint="default" w:ascii="Arial" w:hAnsi="Arial" w:cs="Arial"/>
          <w:color w:val="auto"/>
          <w:lang w:val="en-GB"/>
        </w:rPr>
        <w:fldChar w:fldCharType="separate"/>
      </w:r>
      <w:r>
        <w:t>Figure 2</w:t>
      </w:r>
      <w:r>
        <w:rPr>
          <w:rFonts w:hint="default" w:ascii="Arial" w:hAnsi="Arial" w:cs="Arial"/>
          <w:color w:val="auto"/>
          <w:lang w:val="en-GB"/>
        </w:rPr>
        <w:fldChar w:fldCharType="end"/>
      </w:r>
      <w:r>
        <w:rPr>
          <w:rFonts w:hint="eastAsia" w:ascii="Arial" w:hAnsi="Arial" w:cs="Arial"/>
          <w:color w:val="auto"/>
          <w:lang w:val="en-US" w:eastAsia="zh-CN"/>
        </w:rPr>
        <w:t xml:space="preserve"> illustrates the legacy TDD frame structure for non-terrestrial network for assumption. </w:t>
      </w:r>
    </w:p>
    <w:p w14:paraId="190F6779">
      <w:pPr>
        <w:rPr>
          <w:rFonts w:hint="eastAsia" w:ascii="Arial" w:hAnsi="Arial" w:cs="Arial"/>
          <w:color w:val="auto"/>
          <w:lang w:val="en-US" w:eastAsia="zh-CN"/>
        </w:rPr>
      </w:pPr>
      <w:r>
        <w:rPr>
          <w:rFonts w:hint="eastAsia" w:ascii="Arial" w:hAnsi="Arial" w:cs="Arial"/>
          <w:color w:val="auto"/>
          <w:lang w:val="en-US" w:eastAsia="zh-CN"/>
        </w:rPr>
        <w:t xml:space="preserve">In legacy frame structure, the GP (guard period) is reserved for the sum duration of  gNB-UE RTD and DL-UL switching. As DL-UL switching is very limited, RTD between gNB and UE is the major factor to effect the guard period. </w:t>
      </w:r>
    </w:p>
    <w:p w14:paraId="335A702A">
      <w:pPr>
        <w:rPr>
          <w:rFonts w:hint="eastAsia" w:ascii="Arial" w:hAnsi="Arial" w:cs="Arial"/>
          <w:color w:val="auto"/>
          <w:lang w:val="en-US" w:eastAsia="zh-CN"/>
        </w:rPr>
      </w:pPr>
      <w:r>
        <w:rPr>
          <w:rFonts w:hint="eastAsia" w:ascii="Arial" w:hAnsi="Arial" w:cs="Arial"/>
          <w:color w:val="auto"/>
          <w:lang w:val="en-US" w:eastAsia="zh-CN"/>
        </w:rPr>
        <w:t xml:space="preserve">In NTN scenario, RTD is much longer than that in TN, which is at least 4ms or 8ms for 600km or 1200km LEO orbit for example. The NTN RTD leads the guard period occupying the largest proportion of the TDD period, as shown in </w:t>
      </w:r>
      <w:r>
        <w:rPr>
          <w:rFonts w:hint="default" w:ascii="Arial" w:hAnsi="Arial" w:cs="Arial"/>
          <w:color w:val="auto"/>
          <w:lang w:val="en-GB"/>
        </w:rPr>
        <w:fldChar w:fldCharType="begin"/>
      </w:r>
      <w:r>
        <w:rPr>
          <w:rFonts w:hint="default" w:ascii="Arial" w:hAnsi="Arial" w:cs="Arial"/>
          <w:color w:val="auto"/>
          <w:lang w:val="en-GB"/>
        </w:rPr>
        <w:instrText xml:space="preserve"> REF _Ref8401 \h </w:instrText>
      </w:r>
      <w:r>
        <w:rPr>
          <w:rFonts w:hint="default" w:ascii="Arial" w:hAnsi="Arial" w:cs="Arial"/>
          <w:color w:val="auto"/>
          <w:lang w:val="en-GB"/>
        </w:rPr>
        <w:fldChar w:fldCharType="separate"/>
      </w:r>
      <w:r>
        <w:t>Figure 2</w:t>
      </w:r>
      <w:r>
        <w:rPr>
          <w:rFonts w:hint="default" w:ascii="Arial" w:hAnsi="Arial" w:cs="Arial"/>
          <w:color w:val="auto"/>
          <w:lang w:val="en-GB"/>
        </w:rPr>
        <w:fldChar w:fldCharType="end"/>
      </w:r>
      <w:r>
        <w:rPr>
          <w:rFonts w:hint="eastAsia" w:ascii="Arial" w:hAnsi="Arial" w:cs="Arial"/>
          <w:color w:val="auto"/>
          <w:lang w:val="en-US" w:eastAsia="zh-CN"/>
        </w:rPr>
        <w:t>. Thus the spectrum efficiency of legacy TDD frame structure in NTN is degraded seriously.</w:t>
      </w:r>
    </w:p>
    <w:p w14:paraId="7740D64D">
      <w:pPr>
        <w:rPr>
          <w:rFonts w:hint="eastAsia" w:ascii="Arial" w:hAnsi="Arial" w:cs="Arial"/>
          <w:color w:val="auto"/>
          <w:lang w:val="en-US" w:eastAsia="zh-CN"/>
        </w:rPr>
      </w:pPr>
    </w:p>
    <w:p w14:paraId="1A596A33">
      <w:pPr>
        <w:rPr>
          <w:rFonts w:hint="default" w:ascii="Arial" w:hAnsi="Arial" w:eastAsia="宋体" w:cs="Arial"/>
          <w:b/>
          <w:bCs/>
          <w:color w:val="auto"/>
          <w:lang w:val="en-US" w:eastAsia="zh-CN"/>
        </w:rPr>
      </w:pPr>
      <w:r>
        <w:rPr>
          <w:rFonts w:hint="eastAsia" w:ascii="Arial" w:hAnsi="Arial" w:cs="Arial"/>
          <w:b/>
          <w:bCs/>
          <w:color w:val="auto"/>
          <w:lang w:val="en-US" w:eastAsia="zh-CN"/>
        </w:rPr>
        <w:t>Observation 4: Legacy TDD frame structure would cause serious efficiency degradation in NTN.</w:t>
      </w:r>
    </w:p>
    <w:p w14:paraId="3398E690">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476750" cy="2114550"/>
            <wp:effectExtent l="0" t="0" r="0" b="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4"/>
                    <a:stretch>
                      <a:fillRect/>
                    </a:stretch>
                  </pic:blipFill>
                  <pic:spPr>
                    <a:xfrm>
                      <a:off x="0" y="0"/>
                      <a:ext cx="4476750" cy="2114550"/>
                    </a:xfrm>
                    <a:prstGeom prst="rect">
                      <a:avLst/>
                    </a:prstGeom>
                    <a:noFill/>
                    <a:ln w="9525">
                      <a:noFill/>
                    </a:ln>
                  </pic:spPr>
                </pic:pic>
              </a:graphicData>
            </a:graphic>
          </wp:inline>
        </w:drawing>
      </w:r>
    </w:p>
    <w:p w14:paraId="34D76599">
      <w:pPr>
        <w:pStyle w:val="11"/>
        <w:jc w:val="center"/>
        <w:rPr>
          <w:rFonts w:hint="default" w:ascii="宋体" w:hAnsi="宋体" w:eastAsia="黑体" w:cs="宋体"/>
          <w:sz w:val="24"/>
          <w:szCs w:val="24"/>
          <w:lang w:val="en-US" w:eastAsia="zh-CN"/>
        </w:rPr>
      </w:pPr>
      <w:bookmarkStart w:id="0" w:name="_Ref8395"/>
      <w:r>
        <w:t xml:space="preserve">Figure </w:t>
      </w:r>
      <w:r>
        <w:fldChar w:fldCharType="begin"/>
      </w:r>
      <w:r>
        <w:instrText xml:space="preserve"> SEQ Figure \* ARABIC </w:instrText>
      </w:r>
      <w:r>
        <w:fldChar w:fldCharType="separate"/>
      </w:r>
      <w:r>
        <w:t>1</w:t>
      </w:r>
      <w:r>
        <w:fldChar w:fldCharType="end"/>
      </w:r>
      <w:bookmarkEnd w:id="0"/>
      <w:r>
        <w:rPr>
          <w:rFonts w:hint="eastAsia"/>
          <w:lang w:val="en-US" w:eastAsia="zh-CN"/>
        </w:rPr>
        <w:t xml:space="preserve"> Legacy TDD Frame Structure in TN</w:t>
      </w:r>
    </w:p>
    <w:p w14:paraId="463FA98D">
      <w:pPr>
        <w:rPr>
          <w:rFonts w:ascii="Arial" w:hAnsi="Arial" w:cs="Arial"/>
          <w:color w:val="auto"/>
        </w:rPr>
      </w:pPr>
    </w:p>
    <w:p w14:paraId="18D1EBD0">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6000750" cy="2114550"/>
            <wp:effectExtent l="0" t="0" r="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5"/>
                    <a:stretch>
                      <a:fillRect/>
                    </a:stretch>
                  </pic:blipFill>
                  <pic:spPr>
                    <a:xfrm>
                      <a:off x="0" y="0"/>
                      <a:ext cx="6000750" cy="2114550"/>
                    </a:xfrm>
                    <a:prstGeom prst="rect">
                      <a:avLst/>
                    </a:prstGeom>
                    <a:noFill/>
                    <a:ln w="9525">
                      <a:noFill/>
                    </a:ln>
                  </pic:spPr>
                </pic:pic>
              </a:graphicData>
            </a:graphic>
          </wp:inline>
        </w:drawing>
      </w:r>
      <w:bookmarkStart w:id="4" w:name="_GoBack"/>
      <w:bookmarkEnd w:id="4"/>
    </w:p>
    <w:p w14:paraId="054FCFD9">
      <w:pPr>
        <w:pStyle w:val="11"/>
        <w:jc w:val="center"/>
        <w:rPr>
          <w:rFonts w:hint="default" w:ascii="宋体" w:hAnsi="宋体" w:eastAsia="黑体" w:cs="宋体"/>
          <w:sz w:val="24"/>
          <w:szCs w:val="24"/>
          <w:lang w:val="en-US" w:eastAsia="zh-CN"/>
        </w:rPr>
      </w:pPr>
      <w:bookmarkStart w:id="1" w:name="_Ref8401"/>
      <w:r>
        <w:t xml:space="preserve">Figure </w:t>
      </w:r>
      <w:r>
        <w:fldChar w:fldCharType="begin"/>
      </w:r>
      <w:r>
        <w:instrText xml:space="preserve"> SEQ Figure \* ARABIC </w:instrText>
      </w:r>
      <w:r>
        <w:fldChar w:fldCharType="separate"/>
      </w:r>
      <w:r>
        <w:t>2</w:t>
      </w:r>
      <w:r>
        <w:fldChar w:fldCharType="end"/>
      </w:r>
      <w:bookmarkEnd w:id="1"/>
      <w:r>
        <w:rPr>
          <w:rFonts w:hint="eastAsia"/>
          <w:lang w:val="en-US" w:eastAsia="zh-CN"/>
        </w:rPr>
        <w:t xml:space="preserve"> Legacy TDD Frame Structure in NTN</w:t>
      </w:r>
    </w:p>
    <w:p w14:paraId="1CC3E8BE">
      <w:pPr>
        <w:rPr>
          <w:rFonts w:hint="eastAsia" w:ascii="Arial" w:hAnsi="Arial" w:cs="Arial"/>
          <w:color w:val="auto"/>
          <w:lang w:val="en-US" w:eastAsia="zh-CN"/>
        </w:rPr>
      </w:pPr>
    </w:p>
    <w:p w14:paraId="1A929845">
      <w:pPr>
        <w:rPr>
          <w:rFonts w:hint="eastAsia" w:ascii="Arial" w:hAnsi="Arial" w:cs="Arial"/>
          <w:color w:val="auto"/>
          <w:lang w:val="en-US" w:eastAsia="zh-CN"/>
        </w:rPr>
      </w:pPr>
      <w:r>
        <w:rPr>
          <w:rFonts w:hint="eastAsia" w:ascii="Arial" w:hAnsi="Arial" w:cs="Arial"/>
          <w:color w:val="auto"/>
          <w:lang w:val="en-US" w:eastAsia="zh-CN"/>
        </w:rPr>
        <w:t>As per the new requirement of TDD frame structure design, the following assumption should be considered.</w:t>
      </w:r>
    </w:p>
    <w:p w14:paraId="361373DF">
      <w:pPr>
        <w:rPr>
          <w:rFonts w:hint="default" w:ascii="Arial" w:hAnsi="Arial" w:cs="Arial"/>
          <w:color w:val="auto"/>
          <w:lang w:val="en-US" w:eastAsia="zh-CN"/>
        </w:rPr>
      </w:pPr>
      <w:r>
        <w:rPr>
          <w:rFonts w:hint="eastAsia" w:ascii="Arial" w:hAnsi="Arial" w:cs="Arial"/>
          <w:color w:val="auto"/>
          <w:lang w:val="en-US" w:eastAsia="zh-CN"/>
        </w:rPr>
        <w:t xml:space="preserve">The LEO satellites always follow circle orbits around the earth, thus the height of satellite from earth surface at different time is nearly the same. Therefore the distance between UE and gNB does not exceed a determined range. </w:t>
      </w:r>
    </w:p>
    <w:p w14:paraId="6EEE0F5E">
      <w:pPr>
        <w:rPr>
          <w:rFonts w:hint="eastAsia" w:ascii="Arial" w:hAnsi="Arial" w:eastAsia="宋体" w:cs="Arial"/>
          <w:color w:val="auto"/>
          <w:lang w:val="en-US" w:eastAsia="zh-CN"/>
        </w:rPr>
      </w:pPr>
      <w:r>
        <w:rPr>
          <w:rFonts w:hint="eastAsia" w:ascii="Arial" w:hAnsi="Arial" w:cs="Arial"/>
          <w:color w:val="auto"/>
          <w:lang w:val="en-US" w:eastAsia="zh-CN"/>
        </w:rPr>
        <w:t xml:space="preserve">For a specific beam or a specific set of beams in NTN scenario, as illustrated in </w:t>
      </w:r>
      <w:r>
        <w:rPr>
          <w:rFonts w:hint="eastAsia" w:ascii="Arial" w:hAnsi="Arial" w:cs="Arial"/>
          <w:color w:val="auto"/>
          <w:lang w:val="en-US" w:eastAsia="zh-CN"/>
        </w:rPr>
        <w:fldChar w:fldCharType="begin"/>
      </w:r>
      <w:r>
        <w:rPr>
          <w:rFonts w:hint="eastAsia" w:ascii="Arial" w:hAnsi="Arial" w:cs="Arial"/>
          <w:color w:val="auto"/>
          <w:lang w:val="en-US" w:eastAsia="zh-CN"/>
        </w:rPr>
        <w:instrText xml:space="preserve"> REF _Ref14769 \h </w:instrText>
      </w:r>
      <w:r>
        <w:rPr>
          <w:rFonts w:hint="eastAsia" w:ascii="Arial" w:hAnsi="Arial" w:cs="Arial"/>
          <w:color w:val="auto"/>
          <w:lang w:val="en-US" w:eastAsia="zh-CN"/>
        </w:rPr>
        <w:fldChar w:fldCharType="separate"/>
      </w:r>
      <w:r>
        <w:t>Figure 3</w:t>
      </w:r>
      <w:r>
        <w:rPr>
          <w:rFonts w:hint="eastAsia" w:ascii="Arial" w:hAnsi="Arial" w:cs="Arial"/>
          <w:color w:val="auto"/>
          <w:lang w:val="en-US" w:eastAsia="zh-CN"/>
        </w:rPr>
        <w:fldChar w:fldCharType="end"/>
      </w:r>
      <w:r>
        <w:rPr>
          <w:rFonts w:hint="eastAsia" w:ascii="Arial" w:hAnsi="Arial" w:eastAsia="宋体" w:cs="Arial"/>
          <w:color w:val="auto"/>
          <w:lang w:val="en-US" w:eastAsia="zh-CN"/>
        </w:rPr>
        <w:t>, the maximum and minimum propagation delay</w:t>
      </w:r>
      <w:r>
        <w:rPr>
          <w:rFonts w:hint="eastAsia" w:ascii="Arial" w:hAnsi="Arial" w:cs="Arial"/>
          <w:color w:val="auto"/>
          <w:lang w:val="en-US" w:eastAsia="zh-CN"/>
        </w:rPr>
        <w:t xml:space="preserve"> of service link </w:t>
      </w:r>
      <w:r>
        <w:rPr>
          <w:rFonts w:hint="eastAsia" w:ascii="Arial" w:hAnsi="Arial" w:eastAsia="宋体" w:cs="Arial"/>
          <w:color w:val="auto"/>
          <w:lang w:val="en-US" w:eastAsia="zh-CN"/>
        </w:rPr>
        <w:t>can be determined. Even if landform may introduce deviations, the range of propagation delay is still limited.</w:t>
      </w:r>
    </w:p>
    <w:p w14:paraId="26C8E17E">
      <w:pPr>
        <w:rPr>
          <w:rFonts w:hint="eastAsia" w:ascii="Arial" w:hAnsi="Arial" w:cs="Arial"/>
          <w:color w:val="auto"/>
          <w:lang w:val="en-US" w:eastAsia="zh-CN"/>
        </w:rPr>
      </w:pPr>
      <w:r>
        <w:rPr>
          <w:rFonts w:hint="eastAsia" w:ascii="Arial" w:hAnsi="Arial" w:cs="Arial"/>
          <w:color w:val="auto"/>
          <w:lang w:val="en-US" w:eastAsia="zh-CN"/>
        </w:rPr>
        <w:t xml:space="preserve">For earth fixed cell, although the propagation delay can change over time, the range of </w:t>
      </w:r>
      <w:r>
        <w:rPr>
          <w:rFonts w:hint="eastAsia" w:ascii="Arial" w:hAnsi="Arial" w:eastAsia="宋体" w:cs="Arial"/>
          <w:color w:val="auto"/>
          <w:lang w:val="en-US" w:eastAsia="zh-CN"/>
        </w:rPr>
        <w:t xml:space="preserve">propagation </w:t>
      </w:r>
      <w:r>
        <w:rPr>
          <w:rFonts w:hint="eastAsia" w:ascii="Arial" w:hAnsi="Arial" w:cs="Arial"/>
          <w:color w:val="auto"/>
          <w:lang w:val="en-US" w:eastAsia="zh-CN"/>
        </w:rPr>
        <w:t>delay is still limited.</w:t>
      </w:r>
    </w:p>
    <w:p w14:paraId="3F4A8D6B">
      <w:pPr>
        <w:rPr>
          <w:rFonts w:hint="default" w:ascii="Arial" w:hAnsi="Arial" w:eastAsia="宋体" w:cs="Arial"/>
          <w:color w:val="auto"/>
          <w:lang w:val="en-US" w:eastAsia="zh-CN"/>
        </w:rPr>
      </w:pPr>
    </w:p>
    <w:p w14:paraId="6EB09A60">
      <w:pPr>
        <w:rPr>
          <w:rFonts w:hint="default" w:ascii="Arial" w:hAnsi="Arial" w:eastAsia="宋体" w:cs="Arial"/>
          <w:b/>
          <w:bCs/>
          <w:color w:val="auto"/>
          <w:lang w:val="en-US" w:eastAsia="zh-CN"/>
        </w:rPr>
      </w:pPr>
      <w:r>
        <w:rPr>
          <w:rFonts w:hint="eastAsia" w:ascii="Arial" w:hAnsi="Arial" w:cs="Arial"/>
          <w:b/>
          <w:bCs/>
          <w:color w:val="auto"/>
          <w:lang w:val="en-US" w:eastAsia="zh-CN"/>
        </w:rPr>
        <w:t xml:space="preserve">Observation 5: For SAN in circle orbit, </w:t>
      </w:r>
      <w:r>
        <w:rPr>
          <w:rFonts w:hint="eastAsia" w:ascii="Arial" w:hAnsi="Arial" w:eastAsia="宋体" w:cs="Arial"/>
          <w:b/>
          <w:bCs/>
          <w:color w:val="auto"/>
          <w:lang w:val="en-US" w:eastAsia="zh-CN"/>
        </w:rPr>
        <w:t xml:space="preserve">the range of Uu delay can be determined </w:t>
      </w:r>
      <w:r>
        <w:rPr>
          <w:rFonts w:hint="eastAsia" w:ascii="Arial" w:hAnsi="Arial" w:cs="Arial"/>
          <w:b/>
          <w:bCs/>
          <w:color w:val="auto"/>
          <w:lang w:val="en-US" w:eastAsia="zh-CN"/>
        </w:rPr>
        <w:t>w</w:t>
      </w:r>
      <w:r>
        <w:rPr>
          <w:rFonts w:hint="eastAsia" w:ascii="Arial" w:hAnsi="Arial" w:eastAsia="宋体" w:cs="Arial"/>
          <w:b/>
          <w:bCs/>
          <w:color w:val="auto"/>
          <w:lang w:val="en-US" w:eastAsia="zh-CN"/>
        </w:rPr>
        <w:t xml:space="preserve">ithin </w:t>
      </w:r>
      <w:r>
        <w:rPr>
          <w:rFonts w:hint="eastAsia" w:ascii="Arial" w:hAnsi="Arial" w:cs="Arial"/>
          <w:b/>
          <w:bCs/>
          <w:color w:val="auto"/>
          <w:lang w:val="en-US" w:eastAsia="zh-CN"/>
        </w:rPr>
        <w:t xml:space="preserve">a specific </w:t>
      </w:r>
      <w:r>
        <w:rPr>
          <w:rFonts w:hint="eastAsia" w:ascii="Arial" w:hAnsi="Arial" w:eastAsia="宋体" w:cs="Arial"/>
          <w:b/>
          <w:bCs/>
          <w:color w:val="auto"/>
          <w:lang w:val="en-US" w:eastAsia="zh-CN"/>
        </w:rPr>
        <w:t xml:space="preserve">beam </w:t>
      </w:r>
      <w:r>
        <w:rPr>
          <w:rFonts w:hint="eastAsia" w:ascii="Arial" w:hAnsi="Arial" w:cs="Arial"/>
          <w:b/>
          <w:bCs/>
          <w:color w:val="auto"/>
          <w:lang w:val="en-US" w:eastAsia="zh-CN"/>
        </w:rPr>
        <w:t>or a specific set of beams, which can be utilized for TDD frame structure design of regenerative NTN payload</w:t>
      </w:r>
      <w:r>
        <w:rPr>
          <w:rFonts w:hint="eastAsia" w:ascii="Arial" w:hAnsi="Arial" w:eastAsia="宋体" w:cs="Arial"/>
          <w:b/>
          <w:bCs/>
          <w:color w:val="auto"/>
          <w:lang w:val="en-US" w:eastAsia="zh-CN"/>
        </w:rPr>
        <w:t>.</w:t>
      </w:r>
    </w:p>
    <w:p w14:paraId="5D767198">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772025" cy="4676775"/>
            <wp:effectExtent l="0" t="0" r="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6"/>
                    <a:stretch>
                      <a:fillRect/>
                    </a:stretch>
                  </pic:blipFill>
                  <pic:spPr>
                    <a:xfrm>
                      <a:off x="0" y="0"/>
                      <a:ext cx="4772025" cy="4676775"/>
                    </a:xfrm>
                    <a:prstGeom prst="rect">
                      <a:avLst/>
                    </a:prstGeom>
                    <a:noFill/>
                    <a:ln w="9525">
                      <a:noFill/>
                    </a:ln>
                  </pic:spPr>
                </pic:pic>
              </a:graphicData>
            </a:graphic>
          </wp:inline>
        </w:drawing>
      </w:r>
    </w:p>
    <w:p w14:paraId="52C0231A">
      <w:pPr>
        <w:pStyle w:val="11"/>
        <w:jc w:val="center"/>
        <w:rPr>
          <w:rFonts w:hint="default" w:ascii="宋体" w:hAnsi="宋体" w:eastAsia="黑体" w:cs="宋体"/>
          <w:sz w:val="24"/>
          <w:szCs w:val="24"/>
          <w:lang w:val="en-US" w:eastAsia="zh-CN"/>
        </w:rPr>
      </w:pPr>
      <w:bookmarkStart w:id="2" w:name="_Ref14769"/>
      <w:r>
        <w:t xml:space="preserve">Figure </w:t>
      </w:r>
      <w:r>
        <w:fldChar w:fldCharType="begin"/>
      </w:r>
      <w:r>
        <w:instrText xml:space="preserve"> SEQ Figure \* ARABIC </w:instrText>
      </w:r>
      <w:r>
        <w:fldChar w:fldCharType="separate"/>
      </w:r>
      <w:r>
        <w:t>3</w:t>
      </w:r>
      <w:r>
        <w:fldChar w:fldCharType="end"/>
      </w:r>
      <w:bookmarkEnd w:id="2"/>
      <w:r>
        <w:rPr>
          <w:rFonts w:hint="eastAsia"/>
          <w:lang w:val="en-US" w:eastAsia="zh-CN"/>
        </w:rPr>
        <w:t xml:space="preserve"> Propagation Delay Range in NTN beam(s)</w:t>
      </w:r>
    </w:p>
    <w:p w14:paraId="1B33D3E0">
      <w:pPr>
        <w:rPr>
          <w:rFonts w:hint="default" w:ascii="Arial" w:hAnsi="Arial" w:cs="Arial"/>
          <w:color w:val="auto"/>
          <w:lang w:val="en-US" w:eastAsia="zh-CN"/>
        </w:rPr>
      </w:pPr>
    </w:p>
    <w:p w14:paraId="09F44921">
      <w:pPr>
        <w:rPr>
          <w:rFonts w:hint="default" w:ascii="Arial" w:hAnsi="Arial" w:cs="Arial"/>
          <w:color w:val="auto"/>
          <w:lang w:val="en-US" w:eastAsia="zh-CN"/>
        </w:rPr>
      </w:pPr>
      <w:r>
        <w:rPr>
          <w:rFonts w:hint="eastAsia" w:ascii="Arial" w:hAnsi="Arial" w:cs="Arial"/>
          <w:color w:val="auto"/>
          <w:lang w:val="en-US" w:eastAsia="zh-CN"/>
        </w:rPr>
        <w:t xml:space="preserve">Based on the determined delay range within a NTN beam, a proposed TDD frame structure for NTN is illustrated as </w:t>
      </w:r>
      <w:r>
        <w:rPr>
          <w:rFonts w:hint="eastAsia" w:ascii="Arial" w:hAnsi="Arial" w:cs="Arial"/>
          <w:color w:val="auto"/>
          <w:lang w:val="en-US" w:eastAsia="zh-CN"/>
        </w:rPr>
        <w:fldChar w:fldCharType="begin"/>
      </w:r>
      <w:r>
        <w:rPr>
          <w:rFonts w:hint="eastAsia" w:ascii="Arial" w:hAnsi="Arial" w:cs="Arial"/>
          <w:color w:val="auto"/>
          <w:lang w:val="en-US" w:eastAsia="zh-CN"/>
        </w:rPr>
        <w:instrText xml:space="preserve"> REF _Ref6267 \h </w:instrText>
      </w:r>
      <w:r>
        <w:rPr>
          <w:rFonts w:hint="eastAsia" w:ascii="Arial" w:hAnsi="Arial" w:cs="Arial"/>
          <w:color w:val="auto"/>
          <w:lang w:val="en-US" w:eastAsia="zh-CN"/>
        </w:rPr>
        <w:fldChar w:fldCharType="separate"/>
      </w:r>
      <w:r>
        <w:t>Figure 4</w:t>
      </w:r>
      <w:r>
        <w:rPr>
          <w:rFonts w:hint="eastAsia" w:ascii="Arial" w:hAnsi="Arial" w:cs="Arial"/>
          <w:color w:val="auto"/>
          <w:lang w:val="en-US" w:eastAsia="zh-CN"/>
        </w:rPr>
        <w:fldChar w:fldCharType="end"/>
      </w:r>
      <w:r>
        <w:rPr>
          <w:rFonts w:hint="eastAsia" w:ascii="Arial" w:hAnsi="Arial" w:cs="Arial"/>
          <w:color w:val="auto"/>
          <w:lang w:val="en-US" w:eastAsia="zh-CN"/>
        </w:rPr>
        <w:t>.</w:t>
      </w:r>
    </w:p>
    <w:p w14:paraId="066B3AA8">
      <w:pPr>
        <w:rPr>
          <w:rFonts w:hint="eastAsia" w:ascii="Arial" w:hAnsi="Arial" w:cs="Arial"/>
          <w:color w:val="auto"/>
          <w:lang w:val="en-US" w:eastAsia="zh-CN"/>
        </w:rPr>
      </w:pPr>
      <w:r>
        <w:rPr>
          <w:rFonts w:hint="eastAsia" w:ascii="Arial" w:hAnsi="Arial" w:cs="Arial"/>
          <w:color w:val="auto"/>
          <w:lang w:val="en-US" w:eastAsia="zh-CN"/>
        </w:rPr>
        <w:t>In order to improve the spectrum efficiency of TDD frame structure, we have the following proposals.</w:t>
      </w:r>
    </w:p>
    <w:p w14:paraId="2C2B856B">
      <w:pPr>
        <w:rPr>
          <w:rFonts w:hint="eastAsia" w:ascii="Arial" w:hAnsi="Arial" w:cs="Arial"/>
          <w:color w:val="auto"/>
          <w:lang w:val="en-US" w:eastAsia="zh-CN"/>
        </w:rPr>
      </w:pPr>
    </w:p>
    <w:p w14:paraId="0920A05D">
      <w:pPr>
        <w:rPr>
          <w:rFonts w:hint="eastAsia" w:ascii="Arial" w:hAnsi="Arial" w:eastAsia="宋体" w:cs="Arial"/>
          <w:b/>
          <w:bCs/>
          <w:color w:val="auto"/>
          <w:lang w:val="en-US" w:eastAsia="zh-CN"/>
        </w:rPr>
      </w:pPr>
      <w:r>
        <w:rPr>
          <w:rFonts w:hint="eastAsia" w:ascii="Arial" w:hAnsi="Arial" w:cs="Arial"/>
          <w:b/>
          <w:bCs/>
          <w:color w:val="auto"/>
          <w:lang w:val="en-US" w:eastAsia="zh-CN"/>
        </w:rPr>
        <w:t>Proposal 3: For regenerative NTN payload, TDD frame structu</w:t>
      </w:r>
      <w:r>
        <w:rPr>
          <w:rFonts w:hint="eastAsia" w:ascii="Arial" w:hAnsi="Arial" w:eastAsia="宋体" w:cs="Arial"/>
          <w:b/>
          <w:bCs/>
          <w:color w:val="auto"/>
          <w:lang w:val="en-US" w:eastAsia="zh-CN"/>
        </w:rPr>
        <w:t>re</w:t>
      </w:r>
      <w:r>
        <w:rPr>
          <w:rFonts w:hint="eastAsia" w:ascii="Arial" w:hAnsi="Arial" w:cs="Arial"/>
          <w:b/>
          <w:bCs/>
          <w:color w:val="auto"/>
          <w:lang w:val="en-US" w:eastAsia="zh-CN"/>
        </w:rPr>
        <w:t xml:space="preserve"> including</w:t>
      </w:r>
      <w:r>
        <w:rPr>
          <w:rFonts w:hint="eastAsia" w:ascii="Arial" w:hAnsi="Arial" w:eastAsia="宋体" w:cs="Arial"/>
          <w:b/>
          <w:bCs/>
          <w:color w:val="auto"/>
          <w:lang w:val="en-US" w:eastAsia="zh-CN"/>
        </w:rPr>
        <w:t xml:space="preserve"> TDD period and duration for DL/UL transmission, </w:t>
      </w:r>
      <w:r>
        <w:rPr>
          <w:rFonts w:hint="eastAsia" w:ascii="Arial" w:hAnsi="Arial" w:cs="Arial"/>
          <w:b/>
          <w:bCs/>
          <w:color w:val="auto"/>
          <w:lang w:val="en-US" w:eastAsia="zh-CN"/>
        </w:rPr>
        <w:t>shall be</w:t>
      </w:r>
      <w:r>
        <w:rPr>
          <w:rFonts w:hint="eastAsia" w:ascii="Arial" w:hAnsi="Arial" w:eastAsia="宋体" w:cs="Arial"/>
          <w:b/>
          <w:bCs/>
          <w:color w:val="auto"/>
          <w:lang w:val="en-US" w:eastAsia="zh-CN"/>
        </w:rPr>
        <w:t xml:space="preserve"> defined based on the </w:t>
      </w:r>
      <w:r>
        <w:rPr>
          <w:rFonts w:hint="eastAsia" w:ascii="Arial" w:hAnsi="Arial" w:cs="Arial"/>
          <w:b/>
          <w:bCs/>
          <w:color w:val="auto"/>
          <w:lang w:val="en-US" w:eastAsia="zh-CN"/>
        </w:rPr>
        <w:t xml:space="preserve">Uu propagation </w:t>
      </w:r>
      <w:r>
        <w:rPr>
          <w:rFonts w:hint="eastAsia" w:ascii="Arial" w:hAnsi="Arial" w:eastAsia="宋体" w:cs="Arial"/>
          <w:b/>
          <w:bCs/>
          <w:color w:val="auto"/>
          <w:lang w:val="en-US" w:eastAsia="zh-CN"/>
        </w:rPr>
        <w:t>delay range of NTN beam</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w:t>
      </w:r>
      <m:oMath>
        <m:d>
          <m:dPr>
            <m:begChr m:val="["/>
            <m:endChr m:val="]"/>
            <m:ctrlPr>
              <w:rPr>
                <w:rFonts w:ascii="Cambria Math" w:hAnsi="Cambria Math" w:cs="Arial"/>
                <w:b/>
                <w:bCs/>
                <w:color w:val="auto"/>
                <w:lang w:val="en-US"/>
              </w:rPr>
            </m:ctrlPr>
          </m:dPr>
          <m:e>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r>
              <m:rPr>
                <m:sty m:val="b"/>
              </m:rPr>
              <w:rPr>
                <w:rFonts w:hint="default" w:ascii="Cambria Math" w:hAnsi="Cambria Math" w:cs="Arial"/>
                <w:color w:val="auto"/>
                <w:lang w:val="en-US" w:eastAsia="zh-CN"/>
              </w:rPr>
              <m:t>,</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ctrlPr>
              <w:rPr>
                <w:rFonts w:ascii="Cambria Math" w:hAnsi="Cambria Math" w:cs="Arial"/>
                <w:b/>
                <w:bCs/>
                <w:color w:val="auto"/>
                <w:lang w:val="en-US"/>
              </w:rPr>
            </m:ctrlPr>
          </m:e>
        </m:d>
      </m:oMath>
      <w:r>
        <w:rPr>
          <w:rFonts w:hint="eastAsia" w:ascii="Arial" w:hAnsi="Arial" w:eastAsia="宋体" w:cs="Arial"/>
          <w:b/>
          <w:bCs/>
          <w:color w:val="auto"/>
          <w:lang w:val="en-US" w:eastAsia="zh-CN"/>
        </w:rPr>
        <w:t>.</w:t>
      </w:r>
    </w:p>
    <w:p w14:paraId="38184F2C">
      <w:pPr>
        <w:rPr>
          <w:rFonts w:hint="eastAsia" w:ascii="Arial" w:hAnsi="Arial" w:eastAsia="宋体" w:cs="Arial"/>
          <w:b/>
          <w:bCs/>
          <w:color w:val="auto"/>
          <w:lang w:val="en-US" w:eastAsia="zh-CN"/>
        </w:rPr>
      </w:pPr>
    </w:p>
    <w:p w14:paraId="00E2BF19">
      <w:pPr>
        <w:rPr>
          <w:rFonts w:hint="eastAsia" w:hAnsi="Cambria Math" w:eastAsia="宋体" w:cs="Arial"/>
          <w:b/>
          <w:bCs/>
          <w:i w:val="0"/>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4</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For regenerative NTN payload, t</w:t>
      </w:r>
      <w:r>
        <w:rPr>
          <w:rFonts w:hint="eastAsia" w:ascii="Arial" w:hAnsi="Arial" w:eastAsia="宋体" w:cs="Arial"/>
          <w:b/>
          <w:bCs/>
          <w:color w:val="auto"/>
          <w:lang w:val="en-US" w:eastAsia="zh-CN"/>
        </w:rPr>
        <w:t xml:space="preserve">he duration of TDD period </w:t>
      </w:r>
      <w:r>
        <w:rPr>
          <w:rFonts w:hint="eastAsia" w:ascii="Arial" w:hAnsi="Arial" w:cs="Arial"/>
          <w:b/>
          <w:bCs/>
          <w:color w:val="auto"/>
          <w:lang w:val="en-US" w:eastAsia="zh-CN"/>
        </w:rPr>
        <w:t>is</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q</w:t>
      </w:r>
      <w:r>
        <w:rPr>
          <w:rFonts w:hint="eastAsia" w:hAnsi="Arial" w:eastAsia="宋体" w:cs="Arial"/>
          <w:b/>
          <w:i w:val="0"/>
          <w:color w:val="auto"/>
          <w:lang w:val="en-US" w:eastAsia="zh-CN"/>
        </w:rPr>
        <w:t xml:space="preserve"> </w:t>
      </w:r>
      <w:r>
        <w:rPr>
          <w:rFonts w:hint="eastAsia" w:ascii="Arial" w:hAnsi="Arial" w:cs="Arial"/>
          <w:b/>
          <w:bCs/>
          <w:color w:val="auto"/>
          <w:lang w:val="en-US" w:eastAsia="zh-CN"/>
        </w:rPr>
        <w:t>subframes 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q</m:t>
        </m:r>
        <m:r>
          <m:rPr>
            <m:sty m:val="b"/>
          </m:rPr>
          <w:rPr>
            <w:rFonts w:ascii="Cambria Math" w:hAnsi="Cambria Math" w:cs="Arial"/>
            <w:color w:val="auto"/>
            <w:lang w:val="en-US"/>
          </w:rPr>
          <m:t>≥</m:t>
        </m:r>
        <m:r>
          <m:rPr>
            <m:sty m:val="b"/>
          </m:rPr>
          <w:rPr>
            <w:rFonts w:hint="default" w:ascii="Cambria Math" w:hAnsi="Cambria Math" w:cs="Arial"/>
            <w:color w:val="auto"/>
            <w:lang w:val="en-US" w:eastAsia="zh-CN"/>
          </w:rPr>
          <m:t>2</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oMath>
      <w:r>
        <w:rPr>
          <w:rFonts w:hint="eastAsia" w:ascii="Arial" w:hAnsi="Arial" w:eastAsia="宋体" w:cs="Arial"/>
          <w:b/>
          <w:bCs/>
          <w:color w:val="auto"/>
          <w:lang w:val="en-US" w:eastAsia="zh-CN"/>
        </w:rPr>
        <w:t xml:space="preserve">; The duration of DL/UL transmission </w:t>
      </w:r>
      <w:r>
        <w:rPr>
          <w:rFonts w:hint="eastAsia" w:ascii="Arial" w:hAnsi="Arial" w:cs="Arial"/>
          <w:b/>
          <w:bCs/>
          <w:color w:val="auto"/>
          <w:lang w:val="en-US" w:eastAsia="zh-CN"/>
        </w:rPr>
        <w:t>are</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 xml:space="preserve">p subframes </w:t>
      </w:r>
      <w:r>
        <w:rPr>
          <w:rFonts w:hint="eastAsia" w:ascii="Arial" w:hAnsi="Arial" w:cs="Arial"/>
          <w:b/>
          <w:bCs/>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p</m:t>
        </m:r>
        <m:r>
          <m:rPr>
            <m:sty m:val="b"/>
          </m:rPr>
          <w:rPr>
            <w:rFonts w:ascii="Cambria Math" w:hAnsi="Cambria Math" w:cs="Arial"/>
            <w:color w:val="auto"/>
            <w:lang w:val="en-US"/>
          </w:rPr>
          <m:t>≤</m:t>
        </m:r>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oMath>
      <w:r>
        <w:rPr>
          <w:rFonts w:hint="eastAsia" w:hAnsi="Cambria Math" w:eastAsia="宋体" w:cs="Arial"/>
          <w:b/>
          <w:bCs/>
          <w:i w:val="0"/>
          <w:color w:val="auto"/>
          <w:lang w:val="en-US" w:eastAsia="zh-CN"/>
        </w:rPr>
        <w:t>.</w:t>
      </w:r>
    </w:p>
    <w:p w14:paraId="2ECA76C3">
      <w:pPr>
        <w:rPr>
          <w:rFonts w:hint="eastAsia" w:hAnsi="Cambria Math" w:eastAsia="宋体" w:cs="Arial"/>
          <w:b/>
          <w:bCs/>
          <w:i w:val="0"/>
          <w:color w:val="auto"/>
          <w:lang w:val="en-US" w:eastAsia="zh-CN"/>
        </w:rPr>
      </w:pPr>
    </w:p>
    <w:p w14:paraId="0E493F58">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5</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 xml:space="preserve">For regenerative NTN payload, </w:t>
      </w:r>
      <w:r>
        <w:rPr>
          <w:rFonts w:hint="eastAsia" w:ascii="Arial" w:hAnsi="Arial" w:eastAsia="宋体" w:cs="Arial"/>
          <w:b/>
          <w:bCs/>
          <w:color w:val="auto"/>
          <w:lang w:val="en-US" w:eastAsia="zh-CN"/>
        </w:rPr>
        <w:t xml:space="preserve">the assignment in a TDD period is DL, UL and GP in sequence, among which the duration of GP is </w:t>
      </w:r>
      <m:oMath>
        <m:r>
          <m:rPr>
            <m:sty m:val="b"/>
          </m:rPr>
          <w:rPr>
            <w:rFonts w:hint="default" w:ascii="Cambria Math" w:hAnsi="Arial" w:eastAsia="宋体" w:cs="Arial"/>
            <w:color w:val="auto"/>
            <w:lang w:val="en-US" w:eastAsia="zh-CN"/>
          </w:rPr>
          <m:t>q−2p</m:t>
        </m:r>
      </m:oMath>
      <w:r>
        <w:rPr>
          <w:rFonts w:hint="eastAsia" w:ascii="Arial" w:hAnsi="Arial" w:eastAsia="宋体" w:cs="Arial"/>
          <w:b/>
          <w:bCs/>
          <w:color w:val="auto"/>
          <w:lang w:val="en-US" w:eastAsia="zh-CN"/>
        </w:rPr>
        <w:t>.</w:t>
      </w:r>
    </w:p>
    <w:p w14:paraId="0B79C0D9">
      <w:pPr>
        <w:rPr>
          <w:rFonts w:hint="eastAsia" w:ascii="Arial" w:hAnsi="Arial" w:eastAsia="宋体" w:cs="Arial"/>
          <w:b/>
          <w:bCs/>
          <w:color w:val="auto"/>
          <w:lang w:val="en-US" w:eastAsia="zh-CN"/>
        </w:rPr>
      </w:pPr>
    </w:p>
    <w:p w14:paraId="50A961BF">
      <w:pPr>
        <w:rPr>
          <w:rFonts w:hint="default" w:ascii="Arial" w:hAnsi="Arial" w:eastAsia="宋体" w:cs="Arial"/>
          <w:b/>
          <w:bCs/>
          <w:color w:val="auto"/>
          <w:lang w:val="en-US" w:eastAsia="zh-CN"/>
        </w:rPr>
      </w:pPr>
    </w:p>
    <w:p w14:paraId="65699FFE">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5248275" cy="382905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5248275" cy="3829050"/>
                    </a:xfrm>
                    <a:prstGeom prst="rect">
                      <a:avLst/>
                    </a:prstGeom>
                    <a:noFill/>
                    <a:ln w="9525">
                      <a:noFill/>
                    </a:ln>
                  </pic:spPr>
                </pic:pic>
              </a:graphicData>
            </a:graphic>
          </wp:inline>
        </w:drawing>
      </w:r>
    </w:p>
    <w:p w14:paraId="61CF0910">
      <w:pPr>
        <w:pStyle w:val="11"/>
        <w:jc w:val="center"/>
        <w:rPr>
          <w:rFonts w:hint="default" w:ascii="宋体" w:hAnsi="宋体" w:eastAsia="黑体" w:cs="宋体"/>
          <w:sz w:val="24"/>
          <w:szCs w:val="24"/>
          <w:lang w:val="en-US" w:eastAsia="zh-CN"/>
        </w:rPr>
      </w:pPr>
      <w:bookmarkStart w:id="3" w:name="_Ref6267"/>
      <w:r>
        <w:t xml:space="preserve">Figure </w:t>
      </w:r>
      <w:r>
        <w:fldChar w:fldCharType="begin"/>
      </w:r>
      <w:r>
        <w:instrText xml:space="preserve"> SEQ Figure \* ARABIC </w:instrText>
      </w:r>
      <w:r>
        <w:fldChar w:fldCharType="separate"/>
      </w:r>
      <w:r>
        <w:t>4</w:t>
      </w:r>
      <w:r>
        <w:fldChar w:fldCharType="end"/>
      </w:r>
      <w:bookmarkEnd w:id="3"/>
      <w:r>
        <w:rPr>
          <w:rFonts w:hint="eastAsia"/>
          <w:lang w:val="en-US" w:eastAsia="zh-CN"/>
        </w:rPr>
        <w:t xml:space="preserve"> Proposed TDD frame structure for NTN</w:t>
      </w:r>
    </w:p>
    <w:p w14:paraId="0A6868E6">
      <w:pPr>
        <w:rPr>
          <w:rFonts w:ascii="Arial" w:hAnsi="Arial" w:cs="Arial"/>
          <w:color w:val="auto"/>
        </w:rPr>
      </w:pPr>
    </w:p>
    <w:p w14:paraId="67182E03">
      <w:pPr>
        <w:rPr>
          <w:rFonts w:hint="eastAsia" w:ascii="Arial" w:hAnsi="Arial" w:eastAsia="宋体" w:cs="Arial"/>
          <w:color w:val="auto"/>
          <w:lang w:val="en-US" w:eastAsia="zh-CN"/>
        </w:rPr>
      </w:pPr>
      <w:r>
        <w:rPr>
          <w:rFonts w:hint="eastAsia" w:ascii="Arial" w:hAnsi="Arial" w:eastAsia="宋体" w:cs="Arial"/>
          <w:color w:val="auto"/>
          <w:lang w:val="en-US" w:eastAsia="zh-CN"/>
        </w:rPr>
        <w:t>The following analysis is to check whether the DL/UL transmission may overlap each other at UE side according to this TDD frame structure.</w:t>
      </w:r>
    </w:p>
    <w:p w14:paraId="0DA34474">
      <w:pPr>
        <w:rPr>
          <w:rFonts w:hint="eastAsia" w:ascii="Arial" w:hAnsi="Arial" w:eastAsia="宋体" w:cs="Arial"/>
          <w:color w:val="auto"/>
          <w:lang w:val="en-US" w:eastAsia="zh-CN"/>
        </w:rPr>
      </w:pPr>
      <w:r>
        <w:rPr>
          <w:rFonts w:hint="eastAsia" w:ascii="Arial" w:hAnsi="Arial" w:eastAsia="宋体" w:cs="Arial"/>
          <w:color w:val="auto"/>
          <w:lang w:val="en-US" w:eastAsia="zh-CN"/>
        </w:rPr>
        <w:t>The Uu unidirectional</w:t>
      </w:r>
      <w:r>
        <w:rPr>
          <w:rFonts w:hint="eastAsia" w:ascii="Arial" w:hAnsi="Arial" w:cs="Arial"/>
          <w:color w:val="auto"/>
          <w:lang w:val="en-US" w:eastAsia="zh-CN"/>
        </w:rPr>
        <w:t xml:space="preserve"> </w:t>
      </w:r>
      <w:r>
        <w:rPr>
          <w:rFonts w:hint="eastAsia" w:ascii="Arial" w:hAnsi="Arial" w:eastAsia="宋体" w:cs="Arial"/>
          <w:color w:val="auto"/>
          <w:lang w:val="en-US" w:eastAsia="zh-CN"/>
        </w:rPr>
        <w:t xml:space="preserve">propagation delay is expressed as </w:t>
      </w:r>
      <m:oMath>
        <m:r>
          <m:rPr/>
          <w:rPr>
            <w:rFonts w:hint="default" w:ascii="Cambria Math" w:hAnsi="Cambria Math" w:eastAsia="宋体" w:cs="Arial"/>
            <w:color w:val="auto"/>
            <w:lang w:val="en-US" w:eastAsia="zh-CN"/>
          </w:rPr>
          <m:t>τ</m:t>
        </m:r>
      </m:oMath>
      <w:r>
        <w:rPr>
          <w:rFonts w:hint="eastAsia" w:ascii="Arial" w:hAnsi="Arial" w:eastAsia="宋体" w:cs="Arial"/>
          <w:color w:val="auto"/>
          <w:lang w:val="en-US" w:eastAsia="zh-CN"/>
        </w:rPr>
        <w:t xml:space="preserve"> and </w:t>
      </w:r>
      <m:oMath>
        <m:sSub>
          <m:sSubPr>
            <m:ctrlPr>
              <w:rPr>
                <w:rFonts w:hint="eastAsia" w:ascii="Cambria Math" w:hAnsi="Cambria Math" w:eastAsia="宋体" w:cs="Arial"/>
                <w:i/>
                <w:iCs/>
                <w:color w:val="auto"/>
                <w:lang w:val="en-US" w:eastAsia="zh-CN"/>
              </w:rPr>
            </m:ctrlPr>
          </m:sSubPr>
          <m:e>
            <m:r>
              <m:rPr/>
              <w:rPr>
                <w:rFonts w:hint="default" w:ascii="Cambria Math" w:hAnsi="Cambria Math" w:eastAsia="宋体" w:cs="Arial"/>
                <w:color w:val="auto"/>
                <w:lang w:val="en-US" w:eastAsia="zh-CN"/>
              </w:rPr>
              <m:t>τ</m:t>
            </m:r>
            <m:ctrlPr>
              <w:rPr>
                <w:rFonts w:hint="eastAsia" w:ascii="Cambria Math" w:hAnsi="Cambria Math" w:eastAsia="宋体" w:cs="Arial"/>
                <w:i/>
                <w:iCs/>
                <w:color w:val="auto"/>
                <w:lang w:val="en-US" w:eastAsia="zh-CN"/>
              </w:rPr>
            </m:ctrlPr>
          </m:e>
          <m:sub>
            <m:r>
              <m:rPr/>
              <w:rPr>
                <w:rFonts w:hint="default" w:ascii="Cambria Math" w:hAnsi="Cambria Math" w:eastAsia="宋体" w:cs="Arial"/>
                <w:color w:val="auto"/>
                <w:lang w:val="en-US" w:eastAsia="zh-CN"/>
              </w:rPr>
              <m:t>min</m:t>
            </m:r>
            <m:ctrlPr>
              <w:rPr>
                <w:rFonts w:hint="eastAsia" w:ascii="Cambria Math" w:hAnsi="Cambria Math" w:eastAsia="宋体" w:cs="Arial"/>
                <w:i/>
                <w:iCs/>
                <w:color w:val="auto"/>
                <w:lang w:val="en-US" w:eastAsia="zh-CN"/>
              </w:rPr>
            </m:ctrlPr>
          </m:sub>
        </m:sSub>
        <m:r>
          <m:rPr/>
          <w:rPr>
            <w:rFonts w:hint="default" w:ascii="Cambria Math" w:hAnsi="Cambria Math" w:eastAsia="宋体" w:cs="Arial"/>
            <w:color w:val="auto"/>
            <w:lang w:val="en-US" w:eastAsia="zh-CN"/>
          </w:rPr>
          <m:t>≤τ≤</m:t>
        </m:r>
        <m:sSub>
          <m:sSubPr>
            <m:ctrlPr>
              <w:rPr>
                <w:rFonts w:hint="eastAsia" w:ascii="Cambria Math" w:hAnsi="Cambria Math" w:eastAsia="宋体" w:cs="Arial"/>
                <w:i/>
                <w:iCs/>
                <w:color w:val="auto"/>
                <w:lang w:val="en-US" w:eastAsia="zh-CN"/>
              </w:rPr>
            </m:ctrlPr>
          </m:sSubPr>
          <m:e>
            <m:r>
              <m:rPr/>
              <w:rPr>
                <w:rFonts w:hint="default" w:ascii="Cambria Math" w:hAnsi="Cambria Math" w:eastAsia="宋体" w:cs="Arial"/>
                <w:color w:val="auto"/>
                <w:lang w:val="en-US" w:eastAsia="zh-CN"/>
              </w:rPr>
              <m:t>τ</m:t>
            </m:r>
            <m:ctrlPr>
              <w:rPr>
                <w:rFonts w:hint="eastAsia" w:ascii="Cambria Math" w:hAnsi="Cambria Math" w:eastAsia="宋体" w:cs="Arial"/>
                <w:i/>
                <w:iCs/>
                <w:color w:val="auto"/>
                <w:lang w:val="en-US" w:eastAsia="zh-CN"/>
              </w:rPr>
            </m:ctrlPr>
          </m:e>
          <m:sub>
            <m:r>
              <m:rPr/>
              <w:rPr>
                <w:rFonts w:hint="default" w:ascii="Cambria Math" w:hAnsi="Cambria Math" w:eastAsia="宋体" w:cs="Arial"/>
                <w:color w:val="auto"/>
                <w:lang w:val="en-US" w:eastAsia="zh-CN"/>
              </w:rPr>
              <m:t>max</m:t>
            </m:r>
            <m:ctrlPr>
              <w:rPr>
                <w:rFonts w:hint="eastAsia" w:ascii="Cambria Math" w:hAnsi="Cambria Math" w:eastAsia="宋体" w:cs="Arial"/>
                <w:i/>
                <w:iCs/>
                <w:color w:val="auto"/>
                <w:lang w:val="en-US" w:eastAsia="zh-CN"/>
              </w:rPr>
            </m:ctrlPr>
          </m:sub>
        </m:sSub>
      </m:oMath>
      <w:r>
        <w:rPr>
          <w:rFonts w:hint="eastAsia" w:ascii="Arial" w:hAnsi="Arial" w:eastAsia="宋体" w:cs="Arial"/>
          <w:color w:val="auto"/>
          <w:lang w:val="en-US" w:eastAsia="zh-CN"/>
        </w:rPr>
        <w:t>. Timing advance in UE is maintained to align RTD, i.e.</w:t>
      </w:r>
      <w:r>
        <w:rPr>
          <w:rFonts w:hint="eastAsia" w:ascii="Arial" w:hAnsi="Arial" w:eastAsia="宋体" w:cs="Arial"/>
          <w:i/>
          <w:iCs/>
          <w:color w:val="auto"/>
          <w:lang w:val="en-US" w:eastAsia="zh-CN"/>
        </w:rPr>
        <w:t xml:space="preserve"> </w:t>
      </w:r>
      <m:oMath>
        <m:r>
          <m:rPr/>
          <w:rPr>
            <w:rFonts w:hint="default" w:ascii="Cambria Math" w:hAnsi="Cambria Math" w:eastAsia="宋体" w:cs="Arial"/>
            <w:color w:val="auto"/>
            <w:lang w:val="en-US" w:eastAsia="zh-CN"/>
          </w:rPr>
          <m:t>2τ</m:t>
        </m:r>
      </m:oMath>
      <w:r>
        <w:rPr>
          <w:rFonts w:hint="eastAsia" w:ascii="Arial" w:hAnsi="Arial" w:eastAsia="宋体" w:cs="Arial"/>
          <w:color w:val="auto"/>
          <w:lang w:val="en-US" w:eastAsia="zh-CN"/>
        </w:rPr>
        <w:t xml:space="preserve">. The starting boundary of UL Tx is </w:t>
      </w:r>
      <m:oMath>
        <m:r>
          <m:rPr/>
          <w:rPr>
            <w:rFonts w:hint="eastAsia" w:ascii="Arial" w:hAnsi="Arial" w:eastAsia="宋体" w:cs="Arial"/>
            <w:color w:val="auto"/>
            <w:lang w:val="en-US" w:eastAsia="zh-CN"/>
          </w:rPr>
          <m:t xml:space="preserve"> </m:t>
        </m:r>
        <m:r>
          <m:rPr/>
          <w:rPr>
            <w:rFonts w:hint="default" w:ascii="Cambria Math" w:hAnsi="Cambria Math" w:eastAsia="宋体" w:cs="Arial"/>
            <w:color w:val="auto"/>
            <w:lang w:val="en-US" w:eastAsia="zh-CN"/>
          </w:rPr>
          <m:t>2τ−p</m:t>
        </m:r>
      </m:oMath>
      <w:r>
        <w:rPr>
          <w:rFonts w:hint="eastAsia" w:ascii="Arial" w:hAnsi="Arial" w:eastAsia="宋体" w:cs="Arial"/>
          <w:color w:val="auto"/>
          <w:lang w:val="en-US" w:eastAsia="zh-CN"/>
        </w:rPr>
        <w:t xml:space="preserve"> advancing the start boundary of DL Rx.</w:t>
      </w:r>
    </w:p>
    <w:p w14:paraId="05FB359B">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The timing offset between </w:t>
      </w:r>
      <w:r>
        <w:rPr>
          <w:rFonts w:hint="eastAsia" w:ascii="Arial" w:hAnsi="Arial" w:cs="Arial"/>
          <w:color w:val="auto"/>
          <w:lang w:val="en-US" w:eastAsia="zh-CN"/>
        </w:rPr>
        <w:t xml:space="preserve">the end of </w:t>
      </w:r>
      <w:r>
        <w:rPr>
          <w:rFonts w:hint="eastAsia" w:ascii="Arial" w:hAnsi="Arial" w:eastAsia="宋体" w:cs="Arial"/>
          <w:color w:val="auto"/>
          <w:lang w:val="en-US" w:eastAsia="zh-CN"/>
        </w:rPr>
        <w:t xml:space="preserve">UL Tx and </w:t>
      </w:r>
      <w:r>
        <w:rPr>
          <w:rFonts w:hint="eastAsia" w:ascii="Arial" w:hAnsi="Arial" w:cs="Arial"/>
          <w:color w:val="auto"/>
          <w:lang w:val="en-US" w:eastAsia="zh-CN"/>
        </w:rPr>
        <w:t xml:space="preserve">the beginning of following </w:t>
      </w:r>
      <w:r>
        <w:rPr>
          <w:rFonts w:hint="eastAsia" w:ascii="Arial" w:hAnsi="Arial" w:eastAsia="宋体" w:cs="Arial"/>
          <w:color w:val="auto"/>
          <w:lang w:val="en-US" w:eastAsia="zh-CN"/>
        </w:rPr>
        <w:t xml:space="preserve">DL Rx is </w:t>
      </w:r>
      <m:oMath>
        <m:r>
          <m:rPr/>
          <w:rPr>
            <w:rFonts w:hint="default" w:ascii="Cambria Math" w:hAnsi="Cambria Math" w:eastAsia="宋体" w:cs="Arial"/>
            <w:color w:val="auto"/>
            <w:lang w:val="en-US" w:eastAsia="zh-CN"/>
          </w:rPr>
          <m:t>2τ−p−p=2(τ−p)≥2(τ−</m:t>
        </m:r>
        <m:sSub>
          <m:sSubPr>
            <m:ctrlPr>
              <w:rPr>
                <w:rFonts w:hint="default" w:ascii="Cambria Math" w:hAnsi="Cambria Math" w:eastAsia="宋体" w:cs="Arial"/>
                <w:i/>
                <w:color w:val="auto"/>
                <w:lang w:val="en-US" w:eastAsia="zh-CN"/>
              </w:rPr>
            </m:ctrlPr>
          </m:sSubPr>
          <m:e>
            <m:r>
              <m:rPr/>
              <w:rPr>
                <w:rFonts w:hint="default" w:ascii="Cambria Math" w:hAnsi="Cambria Math" w:eastAsia="宋体" w:cs="Arial"/>
                <w:color w:val="auto"/>
                <w:lang w:val="en-US" w:eastAsia="zh-CN"/>
              </w:rPr>
              <m:t>τ</m:t>
            </m:r>
            <m:ctrlPr>
              <w:rPr>
                <w:rFonts w:hint="default" w:ascii="Cambria Math" w:hAnsi="Cambria Math" w:eastAsia="宋体" w:cs="Arial"/>
                <w:i/>
                <w:color w:val="auto"/>
                <w:lang w:val="en-US" w:eastAsia="zh-CN"/>
              </w:rPr>
            </m:ctrlPr>
          </m:e>
          <m:sub>
            <m:r>
              <m:rPr/>
              <w:rPr>
                <w:rFonts w:hint="default" w:ascii="Cambria Math" w:hAnsi="Cambria Math" w:eastAsia="宋体" w:cs="Arial"/>
                <w:color w:val="auto"/>
                <w:lang w:val="en-US" w:eastAsia="zh-CN"/>
              </w:rPr>
              <m:t>min</m:t>
            </m:r>
            <m:ctrlPr>
              <w:rPr>
                <w:rFonts w:hint="default" w:ascii="Cambria Math" w:hAnsi="Cambria Math" w:eastAsia="宋体" w:cs="Arial"/>
                <w:i/>
                <w:color w:val="auto"/>
                <w:lang w:val="en-US" w:eastAsia="zh-CN"/>
              </w:rPr>
            </m:ctrlPr>
          </m:sub>
        </m:sSub>
        <m:r>
          <m:rPr/>
          <w:rPr>
            <w:rFonts w:hint="default" w:ascii="Cambria Math" w:hAnsi="Cambria Math" w:eastAsia="宋体" w:cs="Arial"/>
            <w:color w:val="auto"/>
            <w:lang w:val="en-US" w:eastAsia="zh-CN"/>
          </w:rPr>
          <m:t>)≥0</m:t>
        </m:r>
      </m:oMath>
      <w:r>
        <w:rPr>
          <w:rFonts w:hint="eastAsia" w:hAnsi="Cambria Math" w:eastAsia="宋体" w:cs="Arial"/>
          <w:i w:val="0"/>
          <w:iCs/>
          <w:color w:val="auto"/>
          <w:lang w:val="en-US" w:eastAsia="zh-CN"/>
        </w:rPr>
        <w:t>.</w:t>
      </w:r>
    </w:p>
    <w:p w14:paraId="5A753370">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The timing offset between </w:t>
      </w:r>
      <w:r>
        <w:rPr>
          <w:rFonts w:hint="eastAsia" w:ascii="Arial" w:hAnsi="Arial" w:cs="Arial"/>
          <w:color w:val="auto"/>
          <w:lang w:val="en-US" w:eastAsia="zh-CN"/>
        </w:rPr>
        <w:t xml:space="preserve">the end of </w:t>
      </w:r>
      <w:r>
        <w:rPr>
          <w:rFonts w:hint="eastAsia" w:ascii="Arial" w:hAnsi="Arial" w:eastAsia="宋体" w:cs="Arial"/>
          <w:color w:val="auto"/>
          <w:lang w:val="en-US" w:eastAsia="zh-CN"/>
        </w:rPr>
        <w:t xml:space="preserve">DL Rx and </w:t>
      </w:r>
      <w:r>
        <w:rPr>
          <w:rFonts w:hint="eastAsia" w:ascii="Arial" w:hAnsi="Arial" w:cs="Arial"/>
          <w:color w:val="auto"/>
          <w:lang w:val="en-US" w:eastAsia="zh-CN"/>
        </w:rPr>
        <w:t xml:space="preserve">the beginning of following </w:t>
      </w:r>
      <w:r>
        <w:rPr>
          <w:rFonts w:hint="eastAsia" w:ascii="Arial" w:hAnsi="Arial" w:eastAsia="宋体" w:cs="Arial"/>
          <w:color w:val="auto"/>
          <w:lang w:val="en-US" w:eastAsia="zh-CN"/>
        </w:rPr>
        <w:t xml:space="preserve">UL Tx is </w:t>
      </w:r>
      <m:oMath>
        <m:r>
          <m:rPr/>
          <w:rPr>
            <w:rFonts w:hint="default" w:ascii="Cambria Math" w:hAnsi="Arial" w:eastAsia="宋体" w:cs="Arial"/>
            <w:color w:val="auto"/>
            <w:lang w:val="en-US" w:eastAsia="zh-CN"/>
          </w:rPr>
          <m:t>q−</m:t>
        </m:r>
        <m:r>
          <m:rPr/>
          <w:rPr>
            <w:rFonts w:hint="default" w:ascii="Cambria Math" w:hAnsi="Cambria Math" w:eastAsia="宋体" w:cs="Arial"/>
            <w:color w:val="auto"/>
            <w:lang w:val="en-US" w:eastAsia="zh-CN"/>
          </w:rPr>
          <m:t>2τ≥2(</m:t>
        </m:r>
        <m:sSub>
          <m:sSubPr>
            <m:ctrlPr>
              <w:rPr>
                <w:rFonts w:hint="default" w:ascii="Cambria Math" w:hAnsi="Cambria Math" w:eastAsia="宋体" w:cs="Arial"/>
                <w:i/>
                <w:color w:val="auto"/>
                <w:lang w:val="en-US" w:eastAsia="zh-CN"/>
              </w:rPr>
            </m:ctrlPr>
          </m:sSubPr>
          <m:e>
            <m:r>
              <m:rPr/>
              <w:rPr>
                <w:rFonts w:hint="default" w:ascii="Cambria Math" w:hAnsi="Cambria Math" w:eastAsia="宋体" w:cs="Arial"/>
                <w:color w:val="auto"/>
                <w:lang w:val="en-US" w:eastAsia="zh-CN"/>
              </w:rPr>
              <m:t>τ</m:t>
            </m:r>
            <m:ctrlPr>
              <w:rPr>
                <w:rFonts w:hint="default" w:ascii="Cambria Math" w:hAnsi="Cambria Math" w:eastAsia="宋体" w:cs="Arial"/>
                <w:i/>
                <w:color w:val="auto"/>
                <w:lang w:val="en-US" w:eastAsia="zh-CN"/>
              </w:rPr>
            </m:ctrlPr>
          </m:e>
          <m:sub>
            <m:r>
              <m:rPr/>
              <w:rPr>
                <w:rFonts w:hint="default" w:ascii="Cambria Math" w:hAnsi="Cambria Math" w:eastAsia="宋体" w:cs="Arial"/>
                <w:color w:val="auto"/>
                <w:lang w:val="en-US" w:eastAsia="zh-CN"/>
              </w:rPr>
              <m:t>max</m:t>
            </m:r>
            <m:ctrlPr>
              <w:rPr>
                <w:rFonts w:hint="default" w:ascii="Cambria Math" w:hAnsi="Cambria Math" w:eastAsia="宋体" w:cs="Arial"/>
                <w:i/>
                <w:color w:val="auto"/>
                <w:lang w:val="en-US" w:eastAsia="zh-CN"/>
              </w:rPr>
            </m:ctrlPr>
          </m:sub>
        </m:sSub>
        <m:r>
          <m:rPr/>
          <w:rPr>
            <w:rFonts w:hint="default" w:ascii="Cambria Math" w:hAnsi="Cambria Math" w:eastAsia="宋体" w:cs="Arial"/>
            <w:color w:val="auto"/>
            <w:lang w:val="en-US" w:eastAsia="zh-CN"/>
          </w:rPr>
          <m:t>−τ)≥0</m:t>
        </m:r>
      </m:oMath>
      <w:r>
        <w:rPr>
          <w:rFonts w:hint="eastAsia" w:hAnsi="Cambria Math" w:eastAsia="宋体" w:cs="Arial"/>
          <w:i w:val="0"/>
          <w:color w:val="auto"/>
          <w:lang w:val="en-US" w:eastAsia="zh-CN"/>
        </w:rPr>
        <w:t>.</w:t>
      </w:r>
    </w:p>
    <w:p w14:paraId="0399E27A">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As </w:t>
      </w:r>
      <w:r>
        <w:rPr>
          <w:rFonts w:hint="eastAsia" w:ascii="Arial" w:hAnsi="Arial" w:cs="Arial"/>
          <w:color w:val="auto"/>
          <w:lang w:val="en-US" w:eastAsia="zh-CN"/>
        </w:rPr>
        <w:t>neither</w:t>
      </w:r>
      <w:r>
        <w:rPr>
          <w:rFonts w:hint="eastAsia" w:ascii="Arial" w:hAnsi="Arial" w:eastAsia="宋体" w:cs="Arial"/>
          <w:color w:val="auto"/>
          <w:lang w:val="en-US" w:eastAsia="zh-CN"/>
        </w:rPr>
        <w:t xml:space="preserve"> of the timing offsets above is less than 0, the overlap between UL transmission and DL reception would not happen.</w:t>
      </w:r>
    </w:p>
    <w:p w14:paraId="366202A8">
      <w:pPr>
        <w:rPr>
          <w:rFonts w:hint="eastAsia" w:ascii="Arial" w:hAnsi="Arial" w:eastAsia="宋体" w:cs="Arial"/>
          <w:color w:val="auto"/>
          <w:lang w:val="en-US" w:eastAsia="zh-CN"/>
        </w:rPr>
      </w:pPr>
    </w:p>
    <w:p w14:paraId="22F171B0">
      <w:pPr>
        <w:rPr>
          <w:rFonts w:hint="default" w:ascii="Arial" w:hAnsi="Arial" w:eastAsia="宋体" w:cs="Arial"/>
          <w:color w:val="auto"/>
          <w:lang w:val="en-US" w:eastAsia="zh-CN"/>
        </w:rPr>
      </w:pPr>
      <w:r>
        <w:rPr>
          <w:rFonts w:hint="eastAsia" w:ascii="Arial" w:hAnsi="Arial" w:cs="Arial"/>
          <w:b/>
          <w:bCs/>
          <w:color w:val="auto"/>
          <w:lang w:val="en-US" w:eastAsia="zh-CN"/>
        </w:rPr>
        <w:t xml:space="preserve">Observation 6: For regenerative NTN payload, with the timing advance setting aligned to RTD at UE side, the duration of UL transmission and DL reception would not overlap in the proposed TDD frame structure. </w:t>
      </w:r>
    </w:p>
    <w:p w14:paraId="73FCC3DA">
      <w:pPr>
        <w:rPr>
          <w:rFonts w:hint="eastAsia" w:ascii="Arial" w:hAnsi="Arial" w:eastAsia="宋体" w:cs="Arial"/>
          <w:color w:val="auto"/>
          <w:lang w:val="en-US" w:eastAsia="zh-CN"/>
        </w:rPr>
      </w:pPr>
    </w:p>
    <w:p w14:paraId="66124EBA">
      <w:pPr>
        <w:rPr>
          <w:rFonts w:hint="eastAsia" w:ascii="Arial" w:hAnsi="Arial" w:eastAsia="宋体" w:cs="Arial"/>
          <w:color w:val="auto"/>
          <w:lang w:val="en-US" w:eastAsia="zh-CN"/>
        </w:rPr>
      </w:pPr>
      <w:r>
        <w:rPr>
          <w:rFonts w:hint="eastAsia" w:ascii="Arial" w:hAnsi="Arial" w:eastAsia="宋体" w:cs="Arial"/>
          <w:color w:val="auto"/>
          <w:lang w:val="en-US" w:eastAsia="zh-CN"/>
        </w:rPr>
        <w:t xml:space="preserve">For legacy TDD frame structure, the reserved </w:t>
      </w:r>
      <w:r>
        <w:rPr>
          <w:rFonts w:hint="eastAsia" w:ascii="Arial" w:hAnsi="Arial" w:cs="Arial"/>
          <w:color w:val="auto"/>
          <w:lang w:val="en-US" w:eastAsia="zh-CN"/>
        </w:rPr>
        <w:t xml:space="preserve">duration </w:t>
      </w:r>
      <w:r>
        <w:rPr>
          <w:rFonts w:hint="eastAsia" w:ascii="Arial" w:hAnsi="Arial" w:eastAsia="宋体" w:cs="Arial"/>
          <w:color w:val="auto"/>
          <w:lang w:val="en-US" w:eastAsia="zh-CN"/>
        </w:rPr>
        <w:t xml:space="preserve">of GP is roughly equivalent to </w:t>
      </w:r>
      <w:r>
        <w:rPr>
          <w:rFonts w:hint="eastAsia" w:ascii="Arial" w:hAnsi="Arial" w:cs="Arial"/>
          <w:color w:val="auto"/>
          <w:lang w:val="en-US" w:eastAsia="zh-CN"/>
        </w:rPr>
        <w:t xml:space="preserve">maximum </w:t>
      </w:r>
      <w:r>
        <w:rPr>
          <w:rFonts w:hint="eastAsia" w:ascii="Arial" w:hAnsi="Arial" w:eastAsia="宋体" w:cs="Arial"/>
          <w:color w:val="auto"/>
          <w:lang w:val="en-US" w:eastAsia="zh-CN"/>
        </w:rPr>
        <w:t xml:space="preserve">RTD, i.e. </w:t>
      </w:r>
      <m:oMath>
        <m:r>
          <m:rPr>
            <m:sty m:val="p"/>
          </m:rPr>
          <w:rPr>
            <w:rFonts w:hint="default" w:ascii="Cambria Math" w:hAnsi="Cambria Math" w:eastAsia="宋体" w:cs="Arial"/>
            <w:color w:val="auto"/>
            <w:lang w:val="en-US" w:eastAsia="zh-CN"/>
          </w:rPr>
          <m:t>2</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oMath>
      <w:r>
        <w:rPr>
          <w:rFonts w:hint="eastAsia" w:ascii="Arial" w:hAnsi="Arial" w:eastAsia="宋体" w:cs="Arial"/>
          <w:color w:val="auto"/>
          <w:lang w:val="en-US" w:eastAsia="zh-CN"/>
        </w:rPr>
        <w:t xml:space="preserve">. For proposed TDD frame structure, the reserved time domain resource of GP is roughly equivalent to double of difference between maximum and minimum propagation delay, i.e. </w:t>
      </w:r>
      <m:oMath>
        <m:r>
          <m:rPr>
            <m:sty m:val="p"/>
          </m:rPr>
          <w:rPr>
            <w:rFonts w:hint="default" w:ascii="Cambria Math" w:hAnsi="Cambria Math" w:eastAsia="宋体" w:cs="Arial"/>
            <w:color w:val="auto"/>
            <w:lang w:val="en-US" w:eastAsia="zh-CN"/>
          </w:rPr>
          <m:t>2(</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min</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oMath>
      <w:r>
        <w:rPr>
          <w:rFonts w:hint="eastAsia" w:ascii="Arial" w:hAnsi="Arial" w:eastAsia="宋体" w:cs="Arial"/>
          <w:color w:val="auto"/>
          <w:lang w:val="en-US" w:eastAsia="zh-CN"/>
        </w:rPr>
        <w:t xml:space="preserve">. Since it is obvious that </w:t>
      </w:r>
      <m:oMath>
        <m:r>
          <m:rPr>
            <m:sty m:val="p"/>
          </m:rPr>
          <w:rPr>
            <w:rFonts w:hint="default" w:ascii="Cambria Math" w:hAnsi="Arial" w:eastAsia="宋体" w:cs="Arial"/>
            <w:color w:val="auto"/>
            <w:lang w:val="en-US" w:eastAsia="zh-CN"/>
          </w:rPr>
          <m:t>2</m:t>
        </m:r>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min</m:t>
            </m:r>
            <m:ctrlPr>
              <w:rPr>
                <w:rFonts w:hint="default" w:ascii="Cambria Math" w:hAnsi="Cambria Math" w:eastAsia="宋体" w:cs="Arial"/>
                <w:color w:val="auto"/>
                <w:lang w:val="en-US" w:eastAsia="zh-CN"/>
              </w:rPr>
            </m:ctrlPr>
          </m:sub>
        </m:sSub>
        <m:r>
          <m:rPr>
            <m:sty m:val="p"/>
          </m:rPr>
          <w:rPr>
            <w:rFonts w:hint="default" w:ascii="Cambria Math" w:hAnsi="Cambria Math" w:eastAsia="宋体" w:cs="Arial"/>
            <w:color w:val="auto"/>
            <w:lang w:val="en-US" w:eastAsia="zh-CN"/>
          </w:rPr>
          <m:t>)</m:t>
        </m:r>
        <m:r>
          <m:rPr>
            <m:sty m:val="p"/>
          </m:rPr>
          <w:rPr>
            <w:rFonts w:hint="default" w:ascii="Cambria Math" w:hAnsi="Cambria Math" w:eastAsia="宋体" w:cs="Cambria Math"/>
            <w:color w:val="auto"/>
            <w:lang w:val="en-US" w:eastAsia="zh-CN"/>
          </w:rPr>
          <m:t>≪2</m:t>
        </m:r>
        <m:sSub>
          <m:sSubPr>
            <m:ctrlPr>
              <w:rPr>
                <w:rFonts w:hint="default" w:ascii="Cambria Math" w:hAnsi="Cambria Math" w:eastAsia="宋体" w:cs="Arial"/>
                <w:color w:val="auto"/>
                <w:lang w:val="en-US" w:eastAsia="zh-CN"/>
              </w:rPr>
            </m:ctrlPr>
          </m:sSubPr>
          <m:e>
            <m:r>
              <m:rPr>
                <m:sty m:val="p"/>
              </m:rPr>
              <w:rPr>
                <w:rFonts w:hint="default" w:ascii="Cambria Math" w:hAnsi="Cambria Math" w:eastAsia="宋体" w:cs="Arial"/>
                <w:color w:val="auto"/>
                <w:lang w:val="en-US" w:eastAsia="zh-CN"/>
              </w:rPr>
              <m:t>τ</m:t>
            </m:r>
            <m:ctrlPr>
              <w:rPr>
                <w:rFonts w:hint="default" w:ascii="Cambria Math" w:hAnsi="Cambria Math" w:eastAsia="宋体" w:cs="Arial"/>
                <w:color w:val="auto"/>
                <w:lang w:val="en-US" w:eastAsia="zh-CN"/>
              </w:rPr>
            </m:ctrlPr>
          </m:e>
          <m:sub>
            <m:r>
              <m:rPr>
                <m:sty m:val="p"/>
              </m:rPr>
              <w:rPr>
                <w:rFonts w:hint="default" w:ascii="Cambria Math" w:hAnsi="Cambria Math" w:eastAsia="宋体" w:cs="Arial"/>
                <w:color w:val="auto"/>
                <w:lang w:val="en-US" w:eastAsia="zh-CN"/>
              </w:rPr>
              <m:t>max</m:t>
            </m:r>
            <m:ctrlPr>
              <w:rPr>
                <w:rFonts w:hint="default" w:ascii="Cambria Math" w:hAnsi="Cambria Math" w:eastAsia="宋体" w:cs="Arial"/>
                <w:color w:val="auto"/>
                <w:lang w:val="en-US" w:eastAsia="zh-CN"/>
              </w:rPr>
            </m:ctrlPr>
          </m:sub>
        </m:sSub>
      </m:oMath>
      <w:r>
        <w:rPr>
          <w:rFonts w:hint="eastAsia" w:ascii="Arial" w:hAnsi="Arial" w:eastAsia="宋体" w:cs="Arial"/>
          <w:color w:val="auto"/>
          <w:lang w:val="en-US" w:eastAsia="zh-CN"/>
        </w:rPr>
        <w:t xml:space="preserve">, the proposed TDD frame structure is much </w:t>
      </w:r>
      <w:r>
        <w:rPr>
          <w:rFonts w:hint="eastAsia" w:ascii="Arial" w:hAnsi="Arial" w:cs="Arial"/>
          <w:color w:val="auto"/>
          <w:lang w:val="en-US" w:eastAsia="zh-CN"/>
        </w:rPr>
        <w:t xml:space="preserve">more </w:t>
      </w:r>
      <w:r>
        <w:rPr>
          <w:rFonts w:hint="eastAsia" w:ascii="Arial" w:hAnsi="Arial" w:eastAsia="宋体" w:cs="Arial"/>
          <w:color w:val="auto"/>
          <w:lang w:val="en-US" w:eastAsia="zh-CN"/>
        </w:rPr>
        <w:t>efficient than the legacy TDD frame structure.</w:t>
      </w:r>
    </w:p>
    <w:p w14:paraId="51791EF0">
      <w:pPr>
        <w:rPr>
          <w:rFonts w:hint="eastAsia" w:ascii="Arial" w:hAnsi="Arial" w:eastAsia="宋体" w:cs="Arial"/>
          <w:color w:val="auto"/>
          <w:lang w:val="en-US" w:eastAsia="zh-CN"/>
        </w:rPr>
      </w:pPr>
    </w:p>
    <w:p w14:paraId="7CEAE442">
      <w:pPr>
        <w:rPr>
          <w:rFonts w:hint="default" w:ascii="Arial" w:hAnsi="Arial" w:eastAsia="宋体" w:cs="Arial"/>
          <w:b/>
          <w:bCs/>
          <w:color w:val="auto"/>
          <w:lang w:val="en-US" w:eastAsia="zh-CN"/>
        </w:rPr>
      </w:pPr>
      <w:r>
        <w:rPr>
          <w:rFonts w:hint="eastAsia" w:ascii="Arial" w:hAnsi="Arial" w:cs="Arial"/>
          <w:b/>
          <w:bCs/>
          <w:color w:val="auto"/>
          <w:lang w:val="en-US" w:eastAsia="zh-CN"/>
        </w:rPr>
        <w:t>Observation 7: For regenerative NTN payload, t</w:t>
      </w:r>
      <w:r>
        <w:rPr>
          <w:rFonts w:hint="eastAsia" w:ascii="Arial" w:hAnsi="Arial" w:eastAsia="宋体" w:cs="Arial"/>
          <w:b/>
          <w:bCs/>
          <w:color w:val="auto"/>
          <w:lang w:val="en-US" w:eastAsia="zh-CN"/>
        </w:rPr>
        <w:t>he proposed TDD frame structure</w:t>
      </w:r>
      <w:r>
        <w:rPr>
          <w:rFonts w:hint="eastAsia" w:ascii="Arial" w:hAnsi="Arial" w:cs="Arial"/>
          <w:b/>
          <w:bCs/>
          <w:color w:val="auto"/>
          <w:lang w:val="en-US" w:eastAsia="zh-CN"/>
        </w:rPr>
        <w:t xml:space="preserve"> of regenerative NTN payload</w:t>
      </w:r>
      <w:r>
        <w:rPr>
          <w:rFonts w:hint="eastAsia" w:ascii="Arial" w:hAnsi="Arial" w:eastAsia="宋体" w:cs="Arial"/>
          <w:b/>
          <w:bCs/>
          <w:color w:val="auto"/>
          <w:lang w:val="en-US" w:eastAsia="zh-CN"/>
        </w:rPr>
        <w:t xml:space="preserve"> is much more efficient than the legacy TDD frame structure because of the shorter </w:t>
      </w:r>
      <w:r>
        <w:rPr>
          <w:rFonts w:hint="eastAsia" w:ascii="Arial" w:hAnsi="Arial" w:cs="Arial"/>
          <w:b/>
          <w:bCs/>
          <w:color w:val="auto"/>
          <w:lang w:val="en-US" w:eastAsia="zh-CN"/>
        </w:rPr>
        <w:t>length</w:t>
      </w:r>
      <w:r>
        <w:rPr>
          <w:rFonts w:hint="eastAsia" w:ascii="Arial" w:hAnsi="Arial" w:eastAsia="宋体" w:cs="Arial"/>
          <w:b/>
          <w:bCs/>
          <w:color w:val="auto"/>
          <w:lang w:val="en-US" w:eastAsia="zh-CN"/>
        </w:rPr>
        <w:t xml:space="preserve"> of GP.</w:t>
      </w:r>
    </w:p>
    <w:p w14:paraId="47CCF040">
      <w:pPr>
        <w:rPr>
          <w:rFonts w:hint="eastAsia" w:ascii="Arial" w:hAnsi="Arial" w:eastAsia="宋体" w:cs="Arial"/>
          <w:color w:val="auto"/>
          <w:lang w:val="en-US" w:eastAsia="zh-CN"/>
        </w:rPr>
      </w:pPr>
    </w:p>
    <w:p w14:paraId="5B93B2B9">
      <w:pPr>
        <w:rPr>
          <w:rFonts w:hint="default" w:ascii="Arial" w:hAnsi="Arial" w:eastAsia="宋体" w:cs="Arial"/>
          <w:color w:val="auto"/>
          <w:lang w:val="en-US" w:eastAsia="zh-CN"/>
        </w:rPr>
      </w:pPr>
      <w:r>
        <w:rPr>
          <w:rFonts w:hint="eastAsia" w:ascii="Arial" w:hAnsi="Arial" w:eastAsia="宋体" w:cs="Arial"/>
          <w:color w:val="auto"/>
          <w:lang w:val="en-US" w:eastAsia="zh-CN"/>
        </w:rPr>
        <w:t>Furthermore, it can be observed that UL subframe set follows DL subframe set closely at gNB side, and at UE side UL/DL subframe set may follow UL/DL subframe set closely as well in the case of minimum or maximum delay. It is suggested that a few time resource reserved for RF DL/UL switching.</w:t>
      </w:r>
    </w:p>
    <w:p w14:paraId="676C300A">
      <w:pPr>
        <w:rPr>
          <w:rFonts w:hint="eastAsia" w:ascii="Arial" w:hAnsi="Arial" w:eastAsia="宋体" w:cs="Arial"/>
          <w:color w:val="auto"/>
          <w:lang w:val="en-US" w:eastAsia="zh-CN"/>
        </w:rPr>
      </w:pPr>
    </w:p>
    <w:p w14:paraId="136CEDD0">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6</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For regenerative NTN payload, t</w:t>
      </w:r>
      <w:r>
        <w:rPr>
          <w:rFonts w:hint="eastAsia" w:ascii="Arial" w:hAnsi="Arial" w:eastAsia="宋体" w:cs="Arial"/>
          <w:b/>
          <w:bCs/>
          <w:color w:val="auto"/>
          <w:lang w:val="en-US" w:eastAsia="zh-CN"/>
        </w:rPr>
        <w:t xml:space="preserve">o be compliant with the duplex switching overhead, a number of OFDM symbols at the end of DL/UL subframe set shall be reserved for </w:t>
      </w:r>
      <w:r>
        <w:rPr>
          <w:rFonts w:hint="eastAsia" w:ascii="Arial" w:hAnsi="Arial" w:cs="Arial"/>
          <w:b/>
          <w:bCs/>
          <w:color w:val="auto"/>
          <w:lang w:val="en-US" w:eastAsia="zh-CN"/>
        </w:rPr>
        <w:t>DL-UL switching</w:t>
      </w:r>
      <w:r>
        <w:rPr>
          <w:rFonts w:hint="eastAsia" w:ascii="Arial" w:hAnsi="Arial" w:eastAsia="宋体" w:cs="Arial"/>
          <w:b/>
          <w:bCs/>
          <w:color w:val="auto"/>
          <w:lang w:val="en-US" w:eastAsia="zh-CN"/>
        </w:rPr>
        <w:t>. 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is FFS.</w:t>
      </w:r>
    </w:p>
    <w:p w14:paraId="18F00225">
      <w:pPr>
        <w:rPr>
          <w:rFonts w:hint="eastAsia" w:ascii="Arial" w:hAnsi="Arial" w:eastAsia="宋体" w:cs="Arial"/>
          <w:b/>
          <w:bCs/>
          <w:color w:val="auto"/>
          <w:lang w:val="en-US" w:eastAsia="zh-CN"/>
        </w:rPr>
      </w:pPr>
    </w:p>
    <w:p w14:paraId="4DBA1C11">
      <w:pPr>
        <w:numPr>
          <w:ilvl w:val="0"/>
          <w:numId w:val="8"/>
        </w:numPr>
        <w:spacing w:after="120"/>
        <w:rPr>
          <w:rFonts w:ascii="Arial" w:hAnsi="Arial" w:cs="Arial"/>
          <w:b/>
        </w:rPr>
      </w:pPr>
      <w:r>
        <w:rPr>
          <w:rFonts w:ascii="Arial" w:hAnsi="Arial" w:cs="Arial"/>
          <w:b/>
        </w:rPr>
        <w:t>Conclusion</w:t>
      </w:r>
    </w:p>
    <w:p w14:paraId="15DF3A2F">
      <w:pPr>
        <w:spacing w:after="0"/>
        <w:rPr>
          <w:rFonts w:hint="eastAsia" w:ascii="Arial" w:hAnsi="Arial" w:cs="Arial"/>
          <w:b w:val="0"/>
          <w:color w:val="auto"/>
          <w:lang w:val="en-US" w:eastAsia="zh-CN"/>
        </w:rPr>
      </w:pPr>
      <w:r>
        <w:rPr>
          <w:rFonts w:hint="eastAsia" w:ascii="Arial" w:hAnsi="Arial" w:cs="Arial"/>
          <w:b w:val="0"/>
          <w:color w:val="auto"/>
          <w:lang w:val="en-US" w:eastAsia="zh-CN"/>
        </w:rPr>
        <w:t>The observations and proposals made in this contribution are summarized below:</w:t>
      </w:r>
    </w:p>
    <w:p w14:paraId="23DC6A01">
      <w:pPr>
        <w:spacing w:after="0"/>
        <w:rPr>
          <w:rFonts w:hint="eastAsia" w:ascii="Arial" w:hAnsi="Arial" w:cs="Arial"/>
          <w:b w:val="0"/>
          <w:color w:val="auto"/>
          <w:lang w:val="en-US" w:eastAsia="zh-CN"/>
        </w:rPr>
      </w:pPr>
    </w:p>
    <w:p w14:paraId="6D8AFA46">
      <w:pPr>
        <w:rPr>
          <w:rFonts w:hint="eastAsia" w:ascii="Arial" w:hAnsi="Arial" w:cs="Arial"/>
          <w:b/>
          <w:bCs/>
          <w:color w:val="auto"/>
          <w:lang w:val="en-US" w:eastAsia="zh-CN"/>
        </w:rPr>
      </w:pPr>
      <w:r>
        <w:rPr>
          <w:rFonts w:hint="eastAsia" w:ascii="Arial" w:hAnsi="Arial" w:cs="Arial"/>
          <w:b/>
          <w:bCs/>
          <w:color w:val="auto"/>
          <w:lang w:val="en-US" w:eastAsia="zh-CN"/>
        </w:rPr>
        <w:t>Observation 1: For TDD on NTN communication, DL/UL switching shall be necessary at satellite node for both transparent payload and regenerative payload.</w:t>
      </w:r>
    </w:p>
    <w:p w14:paraId="30FCCB9C">
      <w:pPr>
        <w:rPr>
          <w:rFonts w:hint="eastAsia" w:ascii="Arial" w:hAnsi="Arial" w:cs="Arial"/>
          <w:b/>
          <w:bCs/>
          <w:color w:val="auto"/>
          <w:lang w:val="en-US" w:eastAsia="zh-CN"/>
        </w:rPr>
      </w:pPr>
    </w:p>
    <w:p w14:paraId="3557D731">
      <w:pPr>
        <w:rPr>
          <w:rFonts w:hint="eastAsia" w:ascii="Arial" w:hAnsi="Arial" w:cs="Arial"/>
          <w:b/>
          <w:bCs/>
          <w:color w:val="auto"/>
          <w:lang w:val="en-US" w:eastAsia="zh-CN"/>
        </w:rPr>
      </w:pPr>
      <w:r>
        <w:rPr>
          <w:rFonts w:hint="eastAsia" w:ascii="Arial" w:hAnsi="Arial" w:cs="Arial"/>
          <w:b/>
          <w:bCs/>
          <w:color w:val="auto"/>
          <w:lang w:val="en-US" w:eastAsia="zh-CN"/>
        </w:rPr>
        <w:t>Observation 2: For regenerative payload, DL/UL switching at satellite node can be processed by gNB on board.</w:t>
      </w:r>
    </w:p>
    <w:p w14:paraId="04129DF6">
      <w:pPr>
        <w:rPr>
          <w:rFonts w:hint="eastAsia" w:ascii="Arial" w:hAnsi="Arial" w:cs="Arial"/>
          <w:b/>
          <w:bCs/>
          <w:color w:val="auto"/>
          <w:lang w:val="en-US" w:eastAsia="zh-CN"/>
        </w:rPr>
      </w:pPr>
    </w:p>
    <w:p w14:paraId="20C482EE">
      <w:pPr>
        <w:rPr>
          <w:rFonts w:hint="eastAsia" w:ascii="Arial" w:hAnsi="Arial" w:cs="Arial"/>
          <w:b/>
          <w:bCs/>
          <w:color w:val="auto"/>
          <w:lang w:val="en-US" w:eastAsia="zh-CN"/>
        </w:rPr>
      </w:pPr>
      <w:r>
        <w:rPr>
          <w:rFonts w:hint="eastAsia" w:ascii="Arial" w:hAnsi="Arial" w:cs="Arial"/>
          <w:b/>
          <w:bCs/>
          <w:color w:val="auto"/>
          <w:lang w:val="en-US" w:eastAsia="zh-CN"/>
        </w:rPr>
        <w:t>Observation 3: For transparent payload, DL/UL switching at satellite node is difficult to be achieved due to no signaling control module on board.</w:t>
      </w:r>
    </w:p>
    <w:p w14:paraId="4FFD6BEC">
      <w:pPr>
        <w:rPr>
          <w:rFonts w:hint="eastAsia" w:ascii="Arial" w:hAnsi="Arial" w:cs="Arial"/>
          <w:b/>
          <w:bCs/>
          <w:color w:val="auto"/>
          <w:lang w:val="en-US" w:eastAsia="zh-CN"/>
        </w:rPr>
      </w:pPr>
    </w:p>
    <w:p w14:paraId="32383552">
      <w:pPr>
        <w:rPr>
          <w:rFonts w:hint="eastAsia" w:ascii="Arial" w:hAnsi="Arial" w:cs="Arial"/>
          <w:b/>
          <w:bCs/>
          <w:color w:val="auto"/>
          <w:lang w:val="en-US" w:eastAsia="zh-CN"/>
        </w:rPr>
      </w:pPr>
      <w:r>
        <w:rPr>
          <w:rFonts w:hint="eastAsia" w:ascii="Arial" w:hAnsi="Arial" w:cs="Arial"/>
          <w:b/>
          <w:bCs/>
          <w:color w:val="auto"/>
          <w:lang w:val="en-US" w:eastAsia="zh-CN"/>
        </w:rPr>
        <w:t>Observation 4: Legacy TDD frame structure would cause serious efficiency degradation in NTN.</w:t>
      </w:r>
    </w:p>
    <w:p w14:paraId="0FCF806B">
      <w:pPr>
        <w:rPr>
          <w:rFonts w:hint="eastAsia" w:ascii="Arial" w:hAnsi="Arial" w:cs="Arial"/>
          <w:b/>
          <w:bCs/>
          <w:color w:val="auto"/>
          <w:lang w:val="en-US" w:eastAsia="zh-CN"/>
        </w:rPr>
      </w:pPr>
    </w:p>
    <w:p w14:paraId="07A1E6B9">
      <w:pPr>
        <w:rPr>
          <w:rFonts w:hint="eastAsia" w:ascii="Arial" w:hAnsi="Arial" w:eastAsia="宋体" w:cs="Arial"/>
          <w:b/>
          <w:bCs/>
          <w:color w:val="auto"/>
          <w:lang w:val="en-US" w:eastAsia="zh-CN"/>
        </w:rPr>
      </w:pPr>
      <w:r>
        <w:rPr>
          <w:rFonts w:hint="eastAsia" w:ascii="Arial" w:hAnsi="Arial" w:cs="Arial"/>
          <w:b/>
          <w:bCs/>
          <w:color w:val="auto"/>
          <w:lang w:val="en-US" w:eastAsia="zh-CN"/>
        </w:rPr>
        <w:t xml:space="preserve">Observation 5: For SAN in circle orbit, </w:t>
      </w:r>
      <w:r>
        <w:rPr>
          <w:rFonts w:hint="eastAsia" w:ascii="Arial" w:hAnsi="Arial" w:eastAsia="宋体" w:cs="Arial"/>
          <w:b/>
          <w:bCs/>
          <w:color w:val="auto"/>
          <w:lang w:val="en-US" w:eastAsia="zh-CN"/>
        </w:rPr>
        <w:t xml:space="preserve">the range of Uu delay can be determined </w:t>
      </w:r>
      <w:r>
        <w:rPr>
          <w:rFonts w:hint="eastAsia" w:ascii="Arial" w:hAnsi="Arial" w:cs="Arial"/>
          <w:b/>
          <w:bCs/>
          <w:color w:val="auto"/>
          <w:lang w:val="en-US" w:eastAsia="zh-CN"/>
        </w:rPr>
        <w:t>w</w:t>
      </w:r>
      <w:r>
        <w:rPr>
          <w:rFonts w:hint="eastAsia" w:ascii="Arial" w:hAnsi="Arial" w:eastAsia="宋体" w:cs="Arial"/>
          <w:b/>
          <w:bCs/>
          <w:color w:val="auto"/>
          <w:lang w:val="en-US" w:eastAsia="zh-CN"/>
        </w:rPr>
        <w:t xml:space="preserve">ithin </w:t>
      </w:r>
      <w:r>
        <w:rPr>
          <w:rFonts w:hint="eastAsia" w:ascii="Arial" w:hAnsi="Arial" w:cs="Arial"/>
          <w:b/>
          <w:bCs/>
          <w:color w:val="auto"/>
          <w:lang w:val="en-US" w:eastAsia="zh-CN"/>
        </w:rPr>
        <w:t xml:space="preserve">a specific </w:t>
      </w:r>
      <w:r>
        <w:rPr>
          <w:rFonts w:hint="eastAsia" w:ascii="Arial" w:hAnsi="Arial" w:eastAsia="宋体" w:cs="Arial"/>
          <w:b/>
          <w:bCs/>
          <w:color w:val="auto"/>
          <w:lang w:val="en-US" w:eastAsia="zh-CN"/>
        </w:rPr>
        <w:t xml:space="preserve">beam </w:t>
      </w:r>
      <w:r>
        <w:rPr>
          <w:rFonts w:hint="eastAsia" w:ascii="Arial" w:hAnsi="Arial" w:cs="Arial"/>
          <w:b/>
          <w:bCs/>
          <w:color w:val="auto"/>
          <w:lang w:val="en-US" w:eastAsia="zh-CN"/>
        </w:rPr>
        <w:t>or a specific set of beams, which can be utilized for TDD frame structure design of regenerative NTN payload</w:t>
      </w:r>
      <w:r>
        <w:rPr>
          <w:rFonts w:hint="eastAsia" w:ascii="Arial" w:hAnsi="Arial" w:eastAsia="宋体" w:cs="Arial"/>
          <w:b/>
          <w:bCs/>
          <w:color w:val="auto"/>
          <w:lang w:val="en-US" w:eastAsia="zh-CN"/>
        </w:rPr>
        <w:t>.</w:t>
      </w:r>
    </w:p>
    <w:p w14:paraId="616C5B8F">
      <w:pPr>
        <w:rPr>
          <w:rFonts w:hint="eastAsia" w:ascii="Arial" w:hAnsi="Arial" w:eastAsia="宋体" w:cs="Arial"/>
          <w:b/>
          <w:bCs/>
          <w:color w:val="auto"/>
          <w:lang w:val="en-US" w:eastAsia="zh-CN"/>
        </w:rPr>
      </w:pPr>
    </w:p>
    <w:p w14:paraId="68264BB0">
      <w:pPr>
        <w:rPr>
          <w:rFonts w:ascii="Arial" w:hAnsi="Arial" w:cs="Arial"/>
          <w:i/>
          <w:iCs/>
          <w:color w:val="FF0000"/>
        </w:rPr>
      </w:pPr>
      <w:r>
        <w:rPr>
          <w:rFonts w:hint="eastAsia" w:ascii="Arial" w:hAnsi="Arial" w:cs="Arial"/>
          <w:b/>
          <w:bCs/>
          <w:color w:val="auto"/>
          <w:lang w:val="en-US" w:eastAsia="zh-CN"/>
        </w:rPr>
        <w:t xml:space="preserve">Observation 6: For regenerative NTN payload, with the timing advance setting aligned to RTD at UE side, the duration of UL transmission and DL reception would not overlap in the proposed TDD frame structure. </w:t>
      </w:r>
    </w:p>
    <w:p w14:paraId="5821AD62">
      <w:pPr>
        <w:rPr>
          <w:rFonts w:ascii="Arial" w:hAnsi="Arial" w:cs="Arial"/>
          <w:i/>
          <w:iCs/>
          <w:color w:val="FF0000"/>
        </w:rPr>
      </w:pPr>
    </w:p>
    <w:p w14:paraId="5F6F4696">
      <w:pPr>
        <w:rPr>
          <w:rFonts w:ascii="Arial" w:hAnsi="Arial" w:cs="Arial"/>
          <w:i/>
          <w:iCs/>
          <w:color w:val="FF0000"/>
        </w:rPr>
      </w:pPr>
      <w:r>
        <w:rPr>
          <w:rFonts w:hint="eastAsia" w:ascii="Arial" w:hAnsi="Arial" w:cs="Arial"/>
          <w:b/>
          <w:bCs/>
          <w:color w:val="auto"/>
          <w:lang w:val="en-US" w:eastAsia="zh-CN"/>
        </w:rPr>
        <w:t>Observation 7: For regenerative NTN payload, t</w:t>
      </w:r>
      <w:r>
        <w:rPr>
          <w:rFonts w:hint="eastAsia" w:ascii="Arial" w:hAnsi="Arial" w:eastAsia="宋体" w:cs="Arial"/>
          <w:b/>
          <w:bCs/>
          <w:color w:val="auto"/>
          <w:lang w:val="en-US" w:eastAsia="zh-CN"/>
        </w:rPr>
        <w:t>he proposed TDD frame structure</w:t>
      </w:r>
      <w:r>
        <w:rPr>
          <w:rFonts w:hint="eastAsia" w:ascii="Arial" w:hAnsi="Arial" w:cs="Arial"/>
          <w:b/>
          <w:bCs/>
          <w:color w:val="auto"/>
          <w:lang w:val="en-US" w:eastAsia="zh-CN"/>
        </w:rPr>
        <w:t xml:space="preserve"> of regenerative NTN payload</w:t>
      </w:r>
      <w:r>
        <w:rPr>
          <w:rFonts w:hint="eastAsia" w:ascii="Arial" w:hAnsi="Arial" w:eastAsia="宋体" w:cs="Arial"/>
          <w:b/>
          <w:bCs/>
          <w:color w:val="auto"/>
          <w:lang w:val="en-US" w:eastAsia="zh-CN"/>
        </w:rPr>
        <w:t xml:space="preserve"> is much more efficient than the legacy TDD frame structure because of the shorter </w:t>
      </w:r>
      <w:r>
        <w:rPr>
          <w:rFonts w:hint="eastAsia" w:ascii="Arial" w:hAnsi="Arial" w:cs="Arial"/>
          <w:b/>
          <w:bCs/>
          <w:color w:val="auto"/>
          <w:lang w:val="en-US" w:eastAsia="zh-CN"/>
        </w:rPr>
        <w:t>length</w:t>
      </w:r>
      <w:r>
        <w:rPr>
          <w:rFonts w:hint="eastAsia" w:ascii="Arial" w:hAnsi="Arial" w:eastAsia="宋体" w:cs="Arial"/>
          <w:b/>
          <w:bCs/>
          <w:color w:val="auto"/>
          <w:lang w:val="en-US" w:eastAsia="zh-CN"/>
        </w:rPr>
        <w:t xml:space="preserve"> of GP.</w:t>
      </w:r>
    </w:p>
    <w:p w14:paraId="52436FD6">
      <w:pPr>
        <w:rPr>
          <w:rFonts w:ascii="Arial" w:hAnsi="Arial" w:cs="Arial"/>
          <w:i/>
          <w:iCs/>
          <w:color w:val="FF0000"/>
        </w:rPr>
      </w:pPr>
    </w:p>
    <w:p w14:paraId="3265C625">
      <w:pPr>
        <w:rPr>
          <w:rFonts w:hint="eastAsia" w:ascii="Arial" w:hAnsi="Arial" w:cs="Arial"/>
          <w:b/>
          <w:bCs/>
          <w:color w:val="auto"/>
          <w:lang w:val="en-US" w:eastAsia="zh-CN"/>
        </w:rPr>
      </w:pPr>
      <w:r>
        <w:rPr>
          <w:rFonts w:hint="eastAsia" w:ascii="Arial" w:hAnsi="Arial" w:cs="Arial"/>
          <w:b/>
          <w:bCs/>
          <w:color w:val="auto"/>
          <w:lang w:val="en-US" w:eastAsia="zh-CN"/>
        </w:rPr>
        <w:t>Proposal 1: The feasible of TDD frame structure for transparent payload is FFS.</w:t>
      </w:r>
    </w:p>
    <w:p w14:paraId="53C3A679">
      <w:pPr>
        <w:rPr>
          <w:rFonts w:hint="eastAsia" w:ascii="Arial" w:hAnsi="Arial" w:cs="Arial"/>
          <w:b/>
          <w:bCs/>
          <w:color w:val="auto"/>
          <w:lang w:val="en-US" w:eastAsia="zh-CN"/>
        </w:rPr>
      </w:pPr>
    </w:p>
    <w:p w14:paraId="141E51B5">
      <w:pPr>
        <w:rPr>
          <w:rFonts w:hint="eastAsia" w:ascii="Arial" w:hAnsi="Arial" w:cs="Arial"/>
          <w:b/>
          <w:bCs/>
          <w:color w:val="auto"/>
          <w:lang w:val="en-US" w:eastAsia="zh-CN"/>
        </w:rPr>
      </w:pPr>
      <w:r>
        <w:rPr>
          <w:rFonts w:hint="eastAsia" w:ascii="Arial" w:hAnsi="Arial" w:cs="Arial"/>
          <w:b/>
          <w:bCs/>
          <w:color w:val="auto"/>
          <w:lang w:val="en-US" w:eastAsia="zh-CN"/>
        </w:rPr>
        <w:t>Proposal 2: The design of TDD frame structure for regenerative payload should be discussed.</w:t>
      </w:r>
    </w:p>
    <w:p w14:paraId="62CC51D8">
      <w:pPr>
        <w:rPr>
          <w:rFonts w:hint="eastAsia" w:ascii="Arial" w:hAnsi="Arial" w:cs="Arial"/>
          <w:b/>
          <w:bCs/>
          <w:color w:val="auto"/>
          <w:lang w:val="en-US" w:eastAsia="zh-CN"/>
        </w:rPr>
      </w:pPr>
    </w:p>
    <w:p w14:paraId="1A735963">
      <w:pPr>
        <w:rPr>
          <w:rFonts w:hint="eastAsia" w:ascii="Arial" w:hAnsi="Arial" w:eastAsia="宋体" w:cs="Arial"/>
          <w:b/>
          <w:bCs/>
          <w:color w:val="auto"/>
          <w:lang w:val="en-US" w:eastAsia="zh-CN"/>
        </w:rPr>
      </w:pPr>
      <w:r>
        <w:rPr>
          <w:rFonts w:hint="eastAsia" w:ascii="Arial" w:hAnsi="Arial" w:cs="Arial"/>
          <w:b/>
          <w:bCs/>
          <w:color w:val="auto"/>
          <w:lang w:val="en-US" w:eastAsia="zh-CN"/>
        </w:rPr>
        <w:t>Proposal 3: For regenerative NTN payload, TDD frame structu</w:t>
      </w:r>
      <w:r>
        <w:rPr>
          <w:rFonts w:hint="eastAsia" w:ascii="Arial" w:hAnsi="Arial" w:eastAsia="宋体" w:cs="Arial"/>
          <w:b/>
          <w:bCs/>
          <w:color w:val="auto"/>
          <w:lang w:val="en-US" w:eastAsia="zh-CN"/>
        </w:rPr>
        <w:t>re</w:t>
      </w:r>
      <w:r>
        <w:rPr>
          <w:rFonts w:hint="eastAsia" w:ascii="Arial" w:hAnsi="Arial" w:cs="Arial"/>
          <w:b/>
          <w:bCs/>
          <w:color w:val="auto"/>
          <w:lang w:val="en-US" w:eastAsia="zh-CN"/>
        </w:rPr>
        <w:t xml:space="preserve"> including</w:t>
      </w:r>
      <w:r>
        <w:rPr>
          <w:rFonts w:hint="eastAsia" w:ascii="Arial" w:hAnsi="Arial" w:eastAsia="宋体" w:cs="Arial"/>
          <w:b/>
          <w:bCs/>
          <w:color w:val="auto"/>
          <w:lang w:val="en-US" w:eastAsia="zh-CN"/>
        </w:rPr>
        <w:t xml:space="preserve"> TDD period and duration for DL/UL transmission, </w:t>
      </w:r>
      <w:r>
        <w:rPr>
          <w:rFonts w:hint="eastAsia" w:ascii="Arial" w:hAnsi="Arial" w:cs="Arial"/>
          <w:b/>
          <w:bCs/>
          <w:color w:val="auto"/>
          <w:lang w:val="en-US" w:eastAsia="zh-CN"/>
        </w:rPr>
        <w:t>shall be</w:t>
      </w:r>
      <w:r>
        <w:rPr>
          <w:rFonts w:hint="eastAsia" w:ascii="Arial" w:hAnsi="Arial" w:eastAsia="宋体" w:cs="Arial"/>
          <w:b/>
          <w:bCs/>
          <w:color w:val="auto"/>
          <w:lang w:val="en-US" w:eastAsia="zh-CN"/>
        </w:rPr>
        <w:t xml:space="preserve"> defined based on the </w:t>
      </w:r>
      <w:r>
        <w:rPr>
          <w:rFonts w:hint="eastAsia" w:ascii="Arial" w:hAnsi="Arial" w:cs="Arial"/>
          <w:b/>
          <w:bCs/>
          <w:color w:val="auto"/>
          <w:lang w:val="en-US" w:eastAsia="zh-CN"/>
        </w:rPr>
        <w:t xml:space="preserve">Uu propagation </w:t>
      </w:r>
      <w:r>
        <w:rPr>
          <w:rFonts w:hint="eastAsia" w:ascii="Arial" w:hAnsi="Arial" w:eastAsia="宋体" w:cs="Arial"/>
          <w:b/>
          <w:bCs/>
          <w:color w:val="auto"/>
          <w:lang w:val="en-US" w:eastAsia="zh-CN"/>
        </w:rPr>
        <w:t>delay range of NTN beam</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w:t>
      </w:r>
      <m:oMath>
        <m:d>
          <m:dPr>
            <m:begChr m:val="["/>
            <m:endChr m:val="]"/>
            <m:ctrlPr>
              <w:rPr>
                <w:rFonts w:ascii="Cambria Math" w:hAnsi="Cambria Math" w:cs="Arial"/>
                <w:b/>
                <w:bCs/>
                <w:color w:val="auto"/>
                <w:lang w:val="en-US"/>
              </w:rPr>
            </m:ctrlPr>
          </m:dPr>
          <m:e>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r>
              <m:rPr>
                <m:sty m:val="b"/>
              </m:rPr>
              <w:rPr>
                <w:rFonts w:hint="default" w:ascii="Cambria Math" w:hAnsi="Cambria Math" w:cs="Arial"/>
                <w:color w:val="auto"/>
                <w:lang w:val="en-US" w:eastAsia="zh-CN"/>
              </w:rPr>
              <m:t>,</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ctrlPr>
              <w:rPr>
                <w:rFonts w:ascii="Cambria Math" w:hAnsi="Cambria Math" w:cs="Arial"/>
                <w:b/>
                <w:bCs/>
                <w:color w:val="auto"/>
                <w:lang w:val="en-US"/>
              </w:rPr>
            </m:ctrlPr>
          </m:e>
        </m:d>
      </m:oMath>
      <w:r>
        <w:rPr>
          <w:rFonts w:hint="eastAsia" w:ascii="Arial" w:hAnsi="Arial" w:eastAsia="宋体" w:cs="Arial"/>
          <w:b/>
          <w:bCs/>
          <w:color w:val="auto"/>
          <w:lang w:val="en-US" w:eastAsia="zh-CN"/>
        </w:rPr>
        <w:t>.</w:t>
      </w:r>
    </w:p>
    <w:p w14:paraId="3687EB37">
      <w:pPr>
        <w:rPr>
          <w:rFonts w:hint="eastAsia" w:ascii="Arial" w:hAnsi="Arial" w:eastAsia="宋体" w:cs="Arial"/>
          <w:b/>
          <w:bCs/>
          <w:color w:val="auto"/>
          <w:lang w:val="en-US" w:eastAsia="zh-CN"/>
        </w:rPr>
      </w:pPr>
    </w:p>
    <w:p w14:paraId="581A7AC3">
      <w:pPr>
        <w:rPr>
          <w:rFonts w:hint="eastAsia" w:hAnsi="Cambria Math" w:eastAsia="宋体" w:cs="Arial"/>
          <w:b/>
          <w:bCs/>
          <w:i w:val="0"/>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4</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For regenerative NTN payload, t</w:t>
      </w:r>
      <w:r>
        <w:rPr>
          <w:rFonts w:hint="eastAsia" w:ascii="Arial" w:hAnsi="Arial" w:eastAsia="宋体" w:cs="Arial"/>
          <w:b/>
          <w:bCs/>
          <w:color w:val="auto"/>
          <w:lang w:val="en-US" w:eastAsia="zh-CN"/>
        </w:rPr>
        <w:t xml:space="preserve">he duration of TDD period </w:t>
      </w:r>
      <w:r>
        <w:rPr>
          <w:rFonts w:hint="eastAsia" w:ascii="Arial" w:hAnsi="Arial" w:cs="Arial"/>
          <w:b/>
          <w:bCs/>
          <w:color w:val="auto"/>
          <w:lang w:val="en-US" w:eastAsia="zh-CN"/>
        </w:rPr>
        <w:t>is</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q</w:t>
      </w:r>
      <w:r>
        <w:rPr>
          <w:rFonts w:hint="eastAsia" w:hAnsi="Arial" w:eastAsia="宋体" w:cs="Arial"/>
          <w:b/>
          <w:i w:val="0"/>
          <w:color w:val="auto"/>
          <w:lang w:val="en-US" w:eastAsia="zh-CN"/>
        </w:rPr>
        <w:t xml:space="preserve"> </w:t>
      </w:r>
      <w:r>
        <w:rPr>
          <w:rFonts w:hint="eastAsia" w:ascii="Arial" w:hAnsi="Arial" w:eastAsia="宋体" w:cs="Arial"/>
          <w:b/>
          <w:bCs/>
          <w:color w:val="auto"/>
          <w:lang w:val="en-US" w:eastAsia="zh-CN"/>
        </w:rPr>
        <w:t xml:space="preserve">subframes with </w:t>
      </w:r>
      <m:oMath>
        <m:r>
          <m:rPr>
            <m:sty m:val="b"/>
          </m:rPr>
          <w:rPr>
            <w:rFonts w:hint="default" w:ascii="Cambria Math" w:hAnsi="Arial" w:eastAsia="宋体" w:cs="Arial"/>
            <w:color w:val="auto"/>
            <w:lang w:val="en-US" w:eastAsia="zh-CN"/>
          </w:rPr>
          <m:t>q</m:t>
        </m:r>
        <m:r>
          <m:rPr>
            <m:sty m:val="b"/>
          </m:rPr>
          <w:rPr>
            <w:rFonts w:ascii="Cambria Math" w:hAnsi="Cambria Math" w:cs="Arial"/>
            <w:color w:val="auto"/>
            <w:lang w:val="en-US"/>
          </w:rPr>
          <m:t>≥</m:t>
        </m:r>
        <m:r>
          <m:rPr>
            <m:sty m:val="b"/>
          </m:rPr>
          <w:rPr>
            <w:rFonts w:hint="default" w:ascii="Cambria Math" w:hAnsi="Cambria Math" w:cs="Arial"/>
            <w:color w:val="auto"/>
            <w:lang w:val="en-US" w:eastAsia="zh-CN"/>
          </w:rPr>
          <m:t>2</m:t>
        </m:r>
        <m:sSub>
          <m:sSubPr>
            <m:ctrlPr>
              <w:rPr>
                <w:rFonts w:ascii="Cambria Math" w:hAnsi="Cambria Math" w:cs="Arial"/>
                <w:b/>
                <w:bCs/>
                <w:color w:val="auto"/>
                <w:lang w:val="en-US"/>
              </w:rPr>
            </m:ctrlPr>
          </m:sSubPr>
          <m:e>
            <m:r>
              <m:rPr>
                <m:sty m:val="b"/>
              </m:rPr>
              <w:rPr>
                <w:rFonts w:ascii="Cambria Math" w:hAnsi="Cambria Math" w:cs="Arial"/>
                <w:color w:val="auto"/>
                <w:lang w:val="en-US"/>
              </w:rPr>
              <m:t>τ</m:t>
            </m:r>
            <m:ctrlPr>
              <w:rPr>
                <w:rFonts w:ascii="Cambria Math" w:hAnsi="Cambria Math" w:cs="Arial"/>
                <w:b/>
                <w:bCs/>
                <w:color w:val="auto"/>
                <w:lang w:val="en-US"/>
              </w:rPr>
            </m:ctrlPr>
          </m:e>
          <m:sub>
            <m:r>
              <m:rPr>
                <m:sty m:val="b"/>
              </m:rPr>
              <w:rPr>
                <w:rFonts w:hint="default" w:ascii="Cambria Math" w:hAnsi="Cambria Math" w:cs="Arial"/>
                <w:color w:val="auto"/>
                <w:lang w:val="en-US" w:eastAsia="zh-CN"/>
              </w:rPr>
              <m:t>max</m:t>
            </m:r>
            <m:ctrlPr>
              <w:rPr>
                <w:rFonts w:ascii="Cambria Math" w:hAnsi="Cambria Math" w:cs="Arial"/>
                <w:b/>
                <w:bCs/>
                <w:color w:val="auto"/>
                <w:lang w:val="en-US"/>
              </w:rPr>
            </m:ctrlPr>
          </m:sub>
        </m:sSub>
      </m:oMath>
      <w:r>
        <w:rPr>
          <w:rFonts w:hint="eastAsia" w:ascii="Arial" w:hAnsi="Arial" w:eastAsia="宋体" w:cs="Arial"/>
          <w:b/>
          <w:bCs/>
          <w:color w:val="auto"/>
          <w:lang w:val="en-US" w:eastAsia="zh-CN"/>
        </w:rPr>
        <w:t xml:space="preserve">; The duration of DL/UL transmission </w:t>
      </w:r>
      <w:r>
        <w:rPr>
          <w:rFonts w:hint="eastAsia" w:ascii="Arial" w:hAnsi="Arial" w:cs="Arial"/>
          <w:b/>
          <w:bCs/>
          <w:color w:val="auto"/>
          <w:lang w:val="en-US" w:eastAsia="zh-CN"/>
        </w:rPr>
        <w:t>are</w:t>
      </w:r>
      <w:r>
        <w:rPr>
          <w:rFonts w:hint="eastAsia" w:ascii="Arial" w:hAnsi="Arial" w:eastAsia="宋体" w:cs="Arial"/>
          <w:b/>
          <w:bCs/>
          <w:color w:val="auto"/>
          <w:lang w:val="en-US" w:eastAsia="zh-CN"/>
        </w:rPr>
        <w:t xml:space="preserve"> defined as </w:t>
      </w:r>
      <w:r>
        <w:rPr>
          <w:rFonts w:hint="eastAsia" w:ascii="Arial" w:hAnsi="Arial" w:cs="Arial"/>
          <w:b/>
          <w:bCs/>
          <w:color w:val="auto"/>
          <w:lang w:val="en-US" w:eastAsia="zh-CN"/>
        </w:rPr>
        <w:t xml:space="preserve">continuous </w:t>
      </w:r>
      <w:r>
        <w:rPr>
          <w:rFonts w:hint="eastAsia" w:ascii="Arial" w:hAnsi="Arial" w:eastAsia="宋体" w:cs="Arial"/>
          <w:b/>
          <w:bCs/>
          <w:color w:val="auto"/>
          <w:lang w:val="en-US" w:eastAsia="zh-CN"/>
        </w:rPr>
        <w:t xml:space="preserve">p subframes </w:t>
      </w:r>
      <w:r>
        <w:rPr>
          <w:rFonts w:hint="eastAsia" w:ascii="Arial" w:hAnsi="Arial" w:cs="Arial"/>
          <w:b/>
          <w:bCs/>
          <w:color w:val="auto"/>
          <w:lang w:val="en-US" w:eastAsia="zh-CN"/>
        </w:rPr>
        <w:t>with</w:t>
      </w:r>
      <w:r>
        <w:rPr>
          <w:rFonts w:hint="eastAsia" w:ascii="Arial" w:hAnsi="Arial" w:eastAsia="宋体" w:cs="Arial"/>
          <w:b/>
          <w:bCs/>
          <w:color w:val="auto"/>
          <w:lang w:val="en-US" w:eastAsia="zh-CN"/>
        </w:rPr>
        <w:t xml:space="preserve"> </w:t>
      </w:r>
      <m:oMath>
        <m:r>
          <m:rPr>
            <m:sty m:val="b"/>
          </m:rPr>
          <w:rPr>
            <w:rFonts w:hint="default" w:ascii="Cambria Math" w:hAnsi="Arial" w:eastAsia="宋体" w:cs="Arial"/>
            <w:color w:val="auto"/>
            <w:lang w:val="en-US" w:eastAsia="zh-CN"/>
          </w:rPr>
          <m:t>p</m:t>
        </m:r>
        <m:r>
          <m:rPr>
            <m:sty m:val="b"/>
          </m:rPr>
          <w:rPr>
            <w:rFonts w:ascii="Cambria Math" w:hAnsi="Cambria Math" w:cs="Arial"/>
            <w:color w:val="auto"/>
            <w:lang w:val="en-US"/>
          </w:rPr>
          <m:t>≤</m:t>
        </m:r>
        <m:sSub>
          <m:sSubPr>
            <m:ctrlPr>
              <w:rPr>
                <w:rFonts w:hint="default" w:ascii="Cambria Math" w:hAnsi="Cambria Math" w:eastAsia="宋体" w:cs="Arial"/>
                <w:b/>
                <w:bCs/>
                <w:color w:val="auto"/>
                <w:lang w:val="en-US" w:eastAsia="zh-CN"/>
              </w:rPr>
            </m:ctrlPr>
          </m:sSubPr>
          <m:e>
            <m:r>
              <m:rPr>
                <m:sty m:val="b"/>
              </m:rPr>
              <w:rPr>
                <w:rFonts w:hint="eastAsia" w:ascii="Cambria Math" w:hAnsi="Cambria Math" w:eastAsia="宋体" w:cs="Arial"/>
                <w:color w:val="auto"/>
                <w:lang w:val="en-US" w:eastAsia="zh-CN"/>
              </w:rPr>
              <m:t>τ</m:t>
            </m:r>
            <m:ctrlPr>
              <w:rPr>
                <w:rFonts w:hint="default" w:ascii="Cambria Math" w:hAnsi="Cambria Math" w:eastAsia="宋体" w:cs="Arial"/>
                <w:b/>
                <w:bCs/>
                <w:color w:val="auto"/>
                <w:lang w:val="en-US" w:eastAsia="zh-CN"/>
              </w:rPr>
            </m:ctrlPr>
          </m:e>
          <m:sub>
            <m:r>
              <m:rPr>
                <m:sty m:val="b"/>
              </m:rPr>
              <w:rPr>
                <w:rFonts w:hint="default" w:ascii="Cambria Math" w:hAnsi="Cambria Math" w:eastAsia="宋体" w:cs="Arial"/>
                <w:color w:val="auto"/>
                <w:lang w:val="en-US" w:eastAsia="zh-CN"/>
              </w:rPr>
              <m:t>min</m:t>
            </m:r>
            <m:ctrlPr>
              <w:rPr>
                <w:rFonts w:hint="default" w:ascii="Cambria Math" w:hAnsi="Cambria Math" w:eastAsia="宋体" w:cs="Arial"/>
                <w:b/>
                <w:bCs/>
                <w:color w:val="auto"/>
                <w:lang w:val="en-US" w:eastAsia="zh-CN"/>
              </w:rPr>
            </m:ctrlPr>
          </m:sub>
        </m:sSub>
      </m:oMath>
      <w:r>
        <w:rPr>
          <w:rFonts w:hint="eastAsia" w:hAnsi="Cambria Math" w:eastAsia="宋体" w:cs="Arial"/>
          <w:b/>
          <w:bCs/>
          <w:i w:val="0"/>
          <w:color w:val="auto"/>
          <w:lang w:val="en-US" w:eastAsia="zh-CN"/>
        </w:rPr>
        <w:t>.</w:t>
      </w:r>
    </w:p>
    <w:p w14:paraId="1A790E4E">
      <w:pPr>
        <w:rPr>
          <w:rFonts w:hint="eastAsia" w:hAnsi="Cambria Math" w:eastAsia="宋体" w:cs="Arial"/>
          <w:b/>
          <w:bCs/>
          <w:i w:val="0"/>
          <w:color w:val="auto"/>
          <w:lang w:val="en-US" w:eastAsia="zh-CN"/>
        </w:rPr>
      </w:pPr>
    </w:p>
    <w:p w14:paraId="428B849A">
      <w:pPr>
        <w:rPr>
          <w:rFonts w:hint="eastAsia" w:ascii="Arial" w:hAnsi="Arial" w:eastAsia="宋体" w:cs="Arial"/>
          <w:b/>
          <w:bCs/>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5</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 xml:space="preserve">For regenerative NTN payload, </w:t>
      </w:r>
      <w:r>
        <w:rPr>
          <w:rFonts w:hint="eastAsia" w:ascii="Arial" w:hAnsi="Arial" w:eastAsia="宋体" w:cs="Arial"/>
          <w:b/>
          <w:bCs/>
          <w:color w:val="auto"/>
          <w:lang w:val="en-US" w:eastAsia="zh-CN"/>
        </w:rPr>
        <w:t xml:space="preserve">the assignment in a TDD period is DL, UL and GP in sequence, among which the duration of GP is </w:t>
      </w:r>
      <m:oMath>
        <m:r>
          <m:rPr>
            <m:sty m:val="b"/>
          </m:rPr>
          <w:rPr>
            <w:rFonts w:hint="default" w:ascii="Cambria Math" w:hAnsi="Arial" w:eastAsia="宋体" w:cs="Arial"/>
            <w:color w:val="auto"/>
            <w:lang w:val="en-US" w:eastAsia="zh-CN"/>
          </w:rPr>
          <m:t>q−2p</m:t>
        </m:r>
      </m:oMath>
      <w:r>
        <w:rPr>
          <w:rFonts w:hint="eastAsia" w:ascii="Arial" w:hAnsi="Arial" w:eastAsia="宋体" w:cs="Arial"/>
          <w:b/>
          <w:bCs/>
          <w:color w:val="auto"/>
          <w:lang w:val="en-US" w:eastAsia="zh-CN"/>
        </w:rPr>
        <w:t>.</w:t>
      </w:r>
    </w:p>
    <w:p w14:paraId="66F51002">
      <w:pPr>
        <w:rPr>
          <w:rFonts w:hint="eastAsia" w:ascii="Arial" w:hAnsi="Arial" w:eastAsia="宋体" w:cs="Arial"/>
          <w:b/>
          <w:bCs/>
          <w:color w:val="auto"/>
          <w:lang w:val="en-US" w:eastAsia="zh-CN"/>
        </w:rPr>
      </w:pPr>
    </w:p>
    <w:p w14:paraId="630BBA4C">
      <w:pPr>
        <w:rPr>
          <w:rFonts w:hint="default" w:ascii="Arial" w:hAnsi="Arial" w:eastAsia="宋体" w:cs="Arial"/>
          <w:color w:val="auto"/>
          <w:lang w:val="en-US" w:eastAsia="zh-CN"/>
        </w:rPr>
      </w:pPr>
      <w:r>
        <w:rPr>
          <w:rFonts w:hint="eastAsia" w:ascii="Arial" w:hAnsi="Arial" w:eastAsia="宋体" w:cs="Arial"/>
          <w:b/>
          <w:bCs/>
          <w:color w:val="auto"/>
          <w:lang w:val="en-US" w:eastAsia="zh-CN"/>
        </w:rPr>
        <w:t xml:space="preserve">Proposal </w:t>
      </w:r>
      <w:r>
        <w:rPr>
          <w:rFonts w:hint="eastAsia" w:ascii="Arial" w:hAnsi="Arial" w:cs="Arial"/>
          <w:b/>
          <w:bCs/>
          <w:color w:val="auto"/>
          <w:lang w:val="en-US" w:eastAsia="zh-CN"/>
        </w:rPr>
        <w:t>6</w:t>
      </w:r>
      <w:r>
        <w:rPr>
          <w:rFonts w:hint="eastAsia" w:ascii="Arial" w:hAnsi="Arial" w:eastAsia="宋体" w:cs="Arial"/>
          <w:b/>
          <w:bCs/>
          <w:color w:val="auto"/>
          <w:lang w:val="en-US" w:eastAsia="zh-CN"/>
        </w:rPr>
        <w:t xml:space="preserve">: </w:t>
      </w:r>
      <w:r>
        <w:rPr>
          <w:rFonts w:hint="eastAsia" w:ascii="Arial" w:hAnsi="Arial" w:cs="Arial"/>
          <w:b/>
          <w:bCs/>
          <w:color w:val="auto"/>
          <w:lang w:val="en-US" w:eastAsia="zh-CN"/>
        </w:rPr>
        <w:t>For regenerative NTN payload, t</w:t>
      </w:r>
      <w:r>
        <w:rPr>
          <w:rFonts w:hint="eastAsia" w:ascii="Arial" w:hAnsi="Arial" w:eastAsia="宋体" w:cs="Arial"/>
          <w:b/>
          <w:bCs/>
          <w:color w:val="auto"/>
          <w:lang w:val="en-US" w:eastAsia="zh-CN"/>
        </w:rPr>
        <w:t xml:space="preserve">o be compliant with the duplex switching overhead, a number of OFDM symbols at the end of DL/UL subframe set shall be reserved for </w:t>
      </w:r>
      <w:r>
        <w:rPr>
          <w:rFonts w:hint="eastAsia" w:ascii="Arial" w:hAnsi="Arial" w:cs="Arial"/>
          <w:b/>
          <w:bCs/>
          <w:color w:val="auto"/>
          <w:lang w:val="en-US" w:eastAsia="zh-CN"/>
        </w:rPr>
        <w:t>DL-UL switching</w:t>
      </w:r>
      <w:r>
        <w:rPr>
          <w:rFonts w:hint="eastAsia" w:ascii="Arial" w:hAnsi="Arial" w:eastAsia="宋体" w:cs="Arial"/>
          <w:b/>
          <w:bCs/>
          <w:color w:val="auto"/>
          <w:lang w:val="en-US" w:eastAsia="zh-CN"/>
        </w:rPr>
        <w:t>. The number of reserved symbol</w:t>
      </w:r>
      <w:r>
        <w:rPr>
          <w:rFonts w:hint="eastAsia" w:ascii="Arial" w:hAnsi="Arial" w:cs="Arial"/>
          <w:b/>
          <w:bCs/>
          <w:color w:val="auto"/>
          <w:lang w:val="en-US" w:eastAsia="zh-CN"/>
        </w:rPr>
        <w:t>s</w:t>
      </w:r>
      <w:r>
        <w:rPr>
          <w:rFonts w:hint="eastAsia" w:ascii="Arial" w:hAnsi="Arial" w:eastAsia="宋体" w:cs="Arial"/>
          <w:b/>
          <w:bCs/>
          <w:color w:val="auto"/>
          <w:lang w:val="en-US" w:eastAsia="zh-CN"/>
        </w:rPr>
        <w:t xml:space="preserve"> is FFS.</w:t>
      </w:r>
    </w:p>
    <w:p w14:paraId="3837813B">
      <w:pPr>
        <w:rPr>
          <w:rFonts w:hint="eastAsia" w:ascii="Arial" w:hAnsi="Arial" w:eastAsia="宋体" w:cs="Arial"/>
          <w:b/>
          <w:bCs/>
          <w:color w:val="auto"/>
          <w:lang w:val="en-US" w:eastAsia="zh-CN"/>
        </w:rPr>
      </w:pPr>
    </w:p>
    <w:p w14:paraId="326F5AF7">
      <w:pPr>
        <w:spacing w:after="120"/>
        <w:rPr>
          <w:rFonts w:hint="eastAsia" w:ascii="Arial" w:hAnsi="Arial" w:eastAsia="宋体" w:cs="Arial"/>
          <w:b/>
          <w:bCs/>
          <w:color w:val="auto"/>
          <w:lang w:val="en-US" w:eastAsia="zh-CN"/>
        </w:rPr>
      </w:pPr>
    </w:p>
    <w:p w14:paraId="557221C0">
      <w:pPr>
        <w:spacing w:after="120"/>
        <w:rPr>
          <w:rFonts w:ascii="Arial" w:hAnsi="Arial" w:cs="Arial"/>
          <w:b/>
        </w:rPr>
      </w:pPr>
      <w:r>
        <w:rPr>
          <w:rFonts w:ascii="Arial" w:hAnsi="Arial" w:cs="Arial"/>
          <w:b/>
        </w:rPr>
        <w:t>4. References</w:t>
      </w:r>
    </w:p>
    <w:p w14:paraId="64C86197">
      <w:pPr>
        <w:rPr>
          <w:rFonts w:hint="eastAsia" w:ascii="Arial" w:hAnsi="Arial" w:eastAsia="宋体" w:cs="Arial"/>
          <w:color w:val="auto"/>
          <w:lang w:val="en-US" w:eastAsia="zh-CN"/>
        </w:rPr>
      </w:pPr>
      <w:r>
        <w:rPr>
          <w:rFonts w:hint="eastAsia" w:ascii="Arial" w:hAnsi="Arial" w:eastAsia="宋体" w:cs="Arial"/>
          <w:color w:val="auto"/>
          <w:lang w:val="en-US" w:eastAsia="zh-CN"/>
        </w:rPr>
        <w:t>[1] Report of 3GPP TSG RAN#105 meeting.</w:t>
      </w:r>
    </w:p>
    <w:p w14:paraId="28EE587C">
      <w:pPr>
        <w:rPr>
          <w:rFonts w:hint="default" w:ascii="Arial" w:hAnsi="Arial" w:eastAsia="宋体" w:cs="Arial"/>
          <w:color w:val="auto"/>
          <w:lang w:val="en-US" w:eastAsia="zh-CN"/>
        </w:rPr>
      </w:pPr>
      <w:r>
        <w:rPr>
          <w:rFonts w:hint="eastAsia" w:ascii="Arial" w:hAnsi="Arial" w:eastAsia="宋体" w:cs="Arial"/>
          <w:color w:val="auto"/>
          <w:lang w:val="en-US" w:eastAsia="zh-CN"/>
        </w:rPr>
        <w:t xml:space="preserve">[2] RP-242415, </w:t>
      </w:r>
      <w:r>
        <w:rPr>
          <w:rFonts w:hint="default" w:ascii="Arial" w:hAnsi="Arial" w:eastAsia="宋体" w:cs="Arial"/>
          <w:color w:val="auto"/>
          <w:lang w:val="en-US" w:eastAsia="zh-CN"/>
        </w:rPr>
        <w:t>“</w:t>
      </w:r>
      <w:r>
        <w:rPr>
          <w:rFonts w:hint="eastAsia" w:ascii="Arial" w:hAnsi="Arial" w:eastAsia="宋体" w:cs="Arial"/>
          <w:color w:val="auto"/>
          <w:lang w:val="en-US" w:eastAsia="zh-CN"/>
        </w:rPr>
        <w:t>New WID on introduction of IoT-NTN TDD mode</w:t>
      </w:r>
      <w:r>
        <w:rPr>
          <w:rFonts w:hint="default" w:ascii="Arial" w:hAnsi="Arial" w:eastAsia="宋体" w:cs="Arial"/>
          <w:color w:val="auto"/>
          <w:lang w:val="en-US" w:eastAsia="zh-CN"/>
        </w:rPr>
        <w:t>”</w:t>
      </w:r>
    </w:p>
    <w:p w14:paraId="1551F24B">
      <w:pPr>
        <w:rPr>
          <w:rFonts w:hint="default" w:ascii="Arial" w:hAnsi="Arial" w:eastAsia="宋体" w:cs="Arial"/>
          <w:color w:val="auto"/>
          <w:lang w:val="en-US" w:eastAsia="zh-CN"/>
        </w:rPr>
      </w:pPr>
      <w:r>
        <w:rPr>
          <w:rFonts w:hint="eastAsia" w:ascii="Arial" w:hAnsi="Arial" w:eastAsia="宋体" w:cs="Arial"/>
          <w:color w:val="auto"/>
          <w:lang w:val="en-US" w:eastAsia="zh-CN"/>
        </w:rPr>
        <w:t>[</w:t>
      </w:r>
      <w:r>
        <w:rPr>
          <w:rFonts w:hint="eastAsia" w:ascii="Arial" w:hAnsi="Arial" w:cs="Arial"/>
          <w:color w:val="auto"/>
          <w:lang w:val="en-US" w:eastAsia="zh-CN"/>
        </w:rPr>
        <w:t>3</w:t>
      </w:r>
      <w:r>
        <w:rPr>
          <w:rFonts w:hint="eastAsia" w:ascii="Arial" w:hAnsi="Arial" w:eastAsia="宋体" w:cs="Arial"/>
          <w:color w:val="auto"/>
          <w:lang w:val="en-US" w:eastAsia="zh-CN"/>
        </w:rPr>
        <w:t>]</w:t>
      </w:r>
      <w:r>
        <w:rPr>
          <w:rFonts w:hint="eastAsia" w:ascii="Arial" w:hAnsi="Arial" w:cs="Arial"/>
          <w:color w:val="auto"/>
          <w:lang w:val="en-US" w:eastAsia="zh-CN"/>
        </w:rPr>
        <w:t xml:space="preserve"> R1-2408078 (TDOC revised from)</w:t>
      </w:r>
    </w:p>
    <w:p w14:paraId="2A35A906">
      <w:pPr>
        <w:rPr>
          <w:rFonts w:hint="eastAsia" w:ascii="Arial" w:hAnsi="Arial" w:eastAsia="宋体" w:cs="Arial"/>
          <w:color w:val="auto"/>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13D74D"/>
    <w:multiLevelType w:val="singleLevel"/>
    <w:tmpl w:val="C013D74D"/>
    <w:lvl w:ilvl="0" w:tentative="0">
      <w:start w:val="3"/>
      <w:numFmt w:val="decimal"/>
      <w:suff w:val="space"/>
      <w:lvlText w:val="%1."/>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1B0A1344"/>
    <w:multiLevelType w:val="singleLevel"/>
    <w:tmpl w:val="1B0A1344"/>
    <w:lvl w:ilvl="0" w:tentative="0">
      <w:start w:val="1"/>
      <w:numFmt w:val="bullet"/>
      <w:pStyle w:val="28"/>
      <w:lvlText w:val=""/>
      <w:lvlJc w:val="left"/>
      <w:pPr>
        <w:tabs>
          <w:tab w:val="left" w:pos="0"/>
        </w:tabs>
        <w:ind w:left="1728" w:hanging="288"/>
      </w:pPr>
      <w:rPr>
        <w:rFonts w:hint="default" w:ascii="Monotype Sorts" w:hAnsi="Monotype Sorts"/>
      </w:rPr>
    </w:lvl>
  </w:abstractNum>
  <w:abstractNum w:abstractNumId="3">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4">
    <w:nsid w:val="52C87AE4"/>
    <w:multiLevelType w:val="multilevel"/>
    <w:tmpl w:val="52C87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9A69FD"/>
    <w:multiLevelType w:val="multilevel"/>
    <w:tmpl w:val="549A69FD"/>
    <w:lvl w:ilvl="0" w:tentative="0">
      <w:start w:val="5"/>
      <w:numFmt w:val="decimal"/>
      <w:pStyle w:val="2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7">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5"/>
  </w:num>
  <w:num w:numId="4">
    <w:abstractNumId w:val="2"/>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701"/>
  <w:drawingGridVerticalOrigin w:val="1984"/>
  <w:noPunctuationKerning w:val="1"/>
  <w:characterSpacingControl w:val="doNotCompress"/>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Dc0NmJlODZjZDAyYWZmMjNmODM5ZDRiY2ZkNjIifQ=="/>
  </w:docVars>
  <w:rsids>
    <w:rsidRoot w:val="00A361F7"/>
    <w:rsid w:val="004607C3"/>
    <w:rsid w:val="005D20F1"/>
    <w:rsid w:val="00A361F7"/>
    <w:rsid w:val="0238439F"/>
    <w:rsid w:val="0297502E"/>
    <w:rsid w:val="0364773F"/>
    <w:rsid w:val="076A763A"/>
    <w:rsid w:val="09B34CB1"/>
    <w:rsid w:val="0C651C50"/>
    <w:rsid w:val="105F3B97"/>
    <w:rsid w:val="11E76DE3"/>
    <w:rsid w:val="11EF4542"/>
    <w:rsid w:val="1313758B"/>
    <w:rsid w:val="154A16A1"/>
    <w:rsid w:val="156A1844"/>
    <w:rsid w:val="163B4975"/>
    <w:rsid w:val="1AE60D31"/>
    <w:rsid w:val="1E634597"/>
    <w:rsid w:val="20EF0855"/>
    <w:rsid w:val="26913EBB"/>
    <w:rsid w:val="29771C3E"/>
    <w:rsid w:val="2E2C74EF"/>
    <w:rsid w:val="2E994775"/>
    <w:rsid w:val="3BB90EB9"/>
    <w:rsid w:val="3D3265A4"/>
    <w:rsid w:val="3F610905"/>
    <w:rsid w:val="47CD4DE2"/>
    <w:rsid w:val="4A05227B"/>
    <w:rsid w:val="4F25345D"/>
    <w:rsid w:val="52290DBB"/>
    <w:rsid w:val="57174A9E"/>
    <w:rsid w:val="5D2C1864"/>
    <w:rsid w:val="5DA74B34"/>
    <w:rsid w:val="5FA41BF6"/>
    <w:rsid w:val="62723385"/>
    <w:rsid w:val="657B1248"/>
    <w:rsid w:val="7372458F"/>
    <w:rsid w:val="74F138EB"/>
    <w:rsid w:val="76E94695"/>
    <w:rsid w:val="77C841D3"/>
    <w:rsid w:val="79C924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qFormat/>
    <w:uiPriority w:val="0"/>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rFonts w:ascii="Arial" w:hAnsi="Arial" w:eastAsia="黑体"/>
      <w:sz w:val="20"/>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9"/>
    <w:semiHidden/>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character" w:styleId="19">
    <w:name w:val="page number"/>
    <w:basedOn w:val="18"/>
    <w:semiHidden/>
    <w:qFormat/>
    <w:uiPriority w:val="0"/>
  </w:style>
  <w:style w:type="character" w:styleId="20">
    <w:name w:val="annotation reference"/>
    <w:semiHidden/>
    <w:qFormat/>
    <w:uiPriority w:val="0"/>
    <w:rPr>
      <w:sz w:val="16"/>
    </w:rPr>
  </w:style>
  <w:style w:type="paragraph" w:customStyle="1" w:styleId="21">
    <w:name w:val="B1"/>
    <w:basedOn w:val="1"/>
    <w:qFormat/>
    <w:uiPriority w:val="0"/>
    <w:pPr>
      <w:ind w:left="567" w:hanging="567"/>
      <w:jc w:val="both"/>
    </w:pPr>
    <w:rPr>
      <w:rFonts w:ascii="Arial" w:hAnsi="Arial"/>
      <w:lang w:eastAsia="en-US"/>
    </w:rPr>
  </w:style>
  <w:style w:type="paragraph" w:customStyle="1" w:styleId="22">
    <w:name w:val="00 BodyText"/>
    <w:basedOn w:val="1"/>
    <w:qFormat/>
    <w:uiPriority w:val="0"/>
    <w:pPr>
      <w:spacing w:after="220"/>
    </w:pPr>
    <w:rPr>
      <w:rFonts w:ascii="Arial" w:hAnsi="Arial"/>
      <w:sz w:val="22"/>
      <w:lang w:val="en-US" w:eastAsia="en-US"/>
    </w:rPr>
  </w:style>
  <w:style w:type="paragraph" w:customStyle="1" w:styleId="23">
    <w:name w:val="??"/>
    <w:qFormat/>
    <w:uiPriority w:val="0"/>
    <w:pPr>
      <w:widowControl w:val="0"/>
    </w:pPr>
    <w:rPr>
      <w:rFonts w:ascii="Times New Roman" w:hAnsi="Times New Roman" w:eastAsia="宋体"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2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27">
    <w:name w:val="done"/>
    <w:basedOn w:val="26"/>
    <w:qFormat/>
    <w:uiPriority w:val="0"/>
    <w:pPr>
      <w:numPr>
        <w:ilvl w:val="0"/>
        <w:numId w:val="3"/>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28">
    <w:name w:val="Not Done"/>
    <w:basedOn w:val="27"/>
    <w:qFormat/>
    <w:uiPriority w:val="0"/>
    <w:pPr>
      <w:numPr>
        <w:ilvl w:val="0"/>
        <w:numId w:val="4"/>
      </w:numPr>
      <w:tabs>
        <w:tab w:val="clear" w:pos="1125"/>
      </w:tabs>
    </w:pPr>
    <w:rPr>
      <w:color w:val="FF0000"/>
    </w:rPr>
  </w:style>
  <w:style w:type="character" w:customStyle="1" w:styleId="29">
    <w:name w:val="Balloon Text Char"/>
    <w:link w:val="14"/>
    <w:semiHidden/>
    <w:qFormat/>
    <w:uiPriority w:val="99"/>
    <w:rPr>
      <w:rFonts w:ascii="Segoe UI" w:hAnsi="Segoe UI" w:cs="Segoe UI"/>
      <w:sz w:val="18"/>
      <w:szCs w:val="18"/>
      <w:lang w:eastAsia="en-US"/>
    </w:rPr>
  </w:style>
  <w:style w:type="character" w:customStyle="1" w:styleId="30">
    <w:name w:val="ui-provider"/>
    <w:qFormat/>
    <w:uiPriority w:val="0"/>
  </w:style>
  <w:style w:type="paragraph" w:customStyle="1" w:styleId="31">
    <w:name w:val="b1"/>
    <w:basedOn w:val="1"/>
    <w:qFormat/>
    <w:uiPriority w:val="0"/>
    <w:pPr>
      <w:overflowPunct/>
      <w:autoSpaceDE/>
      <w:spacing w:before="280" w:after="280"/>
      <w:textAlignment w:val="auto"/>
    </w:pPr>
    <w:rPr>
      <w:rFonts w:eastAsia="Times New Roman"/>
      <w:sz w:val="24"/>
      <w:szCs w:val="24"/>
    </w:rPr>
  </w:style>
  <w:style w:type="character" w:customStyle="1" w:styleId="32">
    <w:name w:val="WW8Num1z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1495</Words>
  <Characters>7039</Characters>
  <Lines>6</Lines>
  <Paragraphs>1</Paragraphs>
  <TotalTime>7</TotalTime>
  <ScaleCrop>false</ScaleCrop>
  <LinksUpToDate>false</LinksUpToDate>
  <CharactersWithSpaces>8389</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林力</cp:lastModifiedBy>
  <cp:lastPrinted>2002-04-23T07:10:00Z</cp:lastPrinted>
  <dcterms:modified xsi:type="dcterms:W3CDTF">2024-10-04T08:09:26Z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34E0A9FEB49E429A95C68D8362D04687_13</vt:lpwstr>
  </property>
</Properties>
</file>