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1457D">
      <w:pPr>
        <w:spacing w:after="120"/>
        <w:rPr>
          <w:rFonts w:hint="default" w:ascii="Arial" w:hAnsi="Arial" w:cs="Arial"/>
          <w:b/>
          <w:bCs/>
          <w:sz w:val="22"/>
          <w:szCs w:val="22"/>
        </w:rPr>
      </w:pPr>
      <w:bookmarkStart w:id="0" w:name="_Hlk117841894"/>
      <w:r>
        <w:rPr>
          <w:rFonts w:hint="default" w:ascii="Arial" w:hAnsi="Arial" w:cs="Arial"/>
          <w:b/>
          <w:bCs/>
          <w:sz w:val="22"/>
          <w:szCs w:val="22"/>
        </w:rPr>
        <w:t>3GPP TSG RAN WG1 #118bis</w:t>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default" w:ascii="Arial" w:hAnsi="Arial" w:cs="Arial"/>
          <w:b/>
          <w:bCs/>
          <w:sz w:val="22"/>
          <w:szCs w:val="22"/>
        </w:rPr>
        <w:t>R1-2408475</w:t>
      </w:r>
    </w:p>
    <w:p w14:paraId="72786951">
      <w:pPr>
        <w:spacing w:after="120"/>
        <w:rPr>
          <w:rFonts w:hint="default" w:ascii="Arial" w:hAnsi="Arial" w:cs="Arial"/>
          <w:b/>
          <w:bCs/>
          <w:sz w:val="22"/>
          <w:szCs w:val="22"/>
        </w:rPr>
      </w:pPr>
      <w:r>
        <w:rPr>
          <w:rFonts w:hint="default" w:ascii="Arial" w:hAnsi="Arial" w:cs="Arial"/>
          <w:b/>
          <w:bCs/>
          <w:sz w:val="22"/>
          <w:szCs w:val="22"/>
        </w:rPr>
        <w:t>Hefei, China, October 14th – 18th, 2024</w:t>
      </w:r>
    </w:p>
    <w:p w14:paraId="25BC0696">
      <w:pPr>
        <w:spacing w:after="120"/>
        <w:rPr>
          <w:rFonts w:hint="default" w:ascii="Arial" w:hAnsi="Arial" w:cs="Arial"/>
          <w:b/>
          <w:bCs/>
          <w:sz w:val="22"/>
          <w:szCs w:val="22"/>
          <w:lang w:val="en-US" w:eastAsia="ja-JP"/>
        </w:rPr>
      </w:pPr>
    </w:p>
    <w:bookmarkEnd w:id="0"/>
    <w:p w14:paraId="5CF13BEB">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9.5.3</w:t>
      </w:r>
    </w:p>
    <w:p w14:paraId="50CABC86">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2B4D8644">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1" w:name="Title"/>
      <w:bookmarkEnd w:id="1"/>
      <w:r>
        <w:rPr>
          <w:rFonts w:ascii="Arial" w:hAnsi="Arial"/>
          <w:b/>
          <w:sz w:val="22"/>
          <w:szCs w:val="22"/>
        </w:rPr>
        <w:tab/>
      </w:r>
      <w:r>
        <w:rPr>
          <w:rFonts w:ascii="Arial" w:hAnsi="Arial"/>
          <w:b/>
          <w:sz w:val="22"/>
          <w:szCs w:val="22"/>
          <w:lang w:val="en-US"/>
        </w:rPr>
        <w:t>On adaptation of common signal/channel for NES enhancements</w:t>
      </w:r>
    </w:p>
    <w:p w14:paraId="750E6B31">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w:t>
      </w:r>
      <w:r>
        <w:rPr>
          <w:rFonts w:ascii="Arial" w:hAnsi="Arial"/>
          <w:b/>
          <w:sz w:val="22"/>
          <w:szCs w:val="22"/>
          <w:lang w:val="en-US"/>
        </w:rPr>
        <w:t>iscussion/Decision</w:t>
      </w:r>
    </w:p>
    <w:p w14:paraId="0148269D">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6D694C71">
      <w:pPr>
        <w:spacing w:after="120"/>
        <w:rPr>
          <w:rFonts w:hint="default" w:eastAsia="Times New Roman" w:cs="Times New Roman"/>
          <w:lang w:val="en-US" w:eastAsia="zh-CN"/>
        </w:rPr>
      </w:pPr>
      <w:r>
        <w:rPr>
          <w:rFonts w:eastAsia="Times New Roman"/>
          <w:lang w:val="en-US" w:eastAsia="zh-CN"/>
        </w:rPr>
        <w:t>In RP-</w:t>
      </w:r>
      <w:r>
        <w:rPr>
          <w:rFonts w:hint="default" w:eastAsia="Times New Roman" w:cs="Times New Roman"/>
          <w:lang w:val="en-US" w:eastAsia="zh-CN"/>
        </w:rPr>
        <w:t xml:space="preserve">242354 </w:t>
      </w:r>
      <w:r>
        <w:rPr>
          <w:rFonts w:eastAsia="Times New Roman"/>
          <w:lang w:val="en-US" w:eastAsia="zh-CN"/>
        </w:rPr>
        <w:t xml:space="preserve">[1], the Release 19 work item on Enhancements of network energy savings for NR has been </w:t>
      </w:r>
      <w:r>
        <w:rPr>
          <w:rFonts w:hint="default" w:eastAsia="Times New Roman"/>
          <w:lang w:val="en-US" w:eastAsia="zh-CN"/>
        </w:rPr>
        <w:t xml:space="preserve">updated, while the description on the adaptation of common signal/channel objective remains: </w:t>
      </w:r>
      <w:r>
        <w:rPr>
          <w:rFonts w:hint="default" w:eastAsia="Times New Roman" w:cs="Times New Roman"/>
          <w:lang w:val="en-US" w:eastAsia="zh-CN"/>
        </w:rPr>
        <w:t xml:space="preserve">: </w:t>
      </w:r>
    </w:p>
    <w:p w14:paraId="1A3B5953">
      <w:pPr>
        <w:numPr>
          <w:ilvl w:val="0"/>
          <w:numId w:val="4"/>
        </w:numPr>
        <w:snapToGrid w:val="0"/>
        <w:spacing w:after="0" w:afterLines="0"/>
        <w:rPr>
          <w:lang w:eastAsia="zh-CN"/>
        </w:rPr>
      </w:pPr>
      <w:r>
        <w:rPr>
          <w:lang w:eastAsia="zh-CN"/>
        </w:rPr>
        <w:t>Specify a</w:t>
      </w:r>
      <w:r>
        <w:t xml:space="preserve">daptation of common signal/channel transmissions. </w:t>
      </w:r>
      <w:r>
        <w:rPr>
          <w:lang w:eastAsia="zh-CN"/>
        </w:rPr>
        <w:t>[RAN1/2/3/4]</w:t>
      </w:r>
    </w:p>
    <w:p w14:paraId="0C2BA526">
      <w:pPr>
        <w:numPr>
          <w:ilvl w:val="1"/>
          <w:numId w:val="5"/>
        </w:numPr>
        <w:snapToGrid w:val="0"/>
        <w:spacing w:after="0" w:afterLines="0"/>
        <w:ind w:left="1049" w:hanging="329"/>
        <w:rPr>
          <w:bCs/>
          <w:lang w:val="en-US" w:eastAsia="zh-CN"/>
        </w:rPr>
      </w:pPr>
      <w:r>
        <w:rPr>
          <w:bCs/>
          <w:lang w:val="en-US" w:eastAsia="zh-CN"/>
        </w:rPr>
        <w:t xml:space="preserve">Adaptation of SSB in time domain, e.g. adapting periodicity </w:t>
      </w:r>
    </w:p>
    <w:p w14:paraId="68DB9720">
      <w:pPr>
        <w:numPr>
          <w:ilvl w:val="1"/>
          <w:numId w:val="5"/>
        </w:numPr>
        <w:snapToGrid w:val="0"/>
        <w:spacing w:after="0" w:afterLines="0"/>
        <w:ind w:left="1049" w:hanging="329"/>
        <w:rPr>
          <w:lang w:eastAsia="zh-CN"/>
        </w:rPr>
      </w:pPr>
      <w:r>
        <w:t>Adaptation of PRACH in time domain</w:t>
      </w:r>
    </w:p>
    <w:p w14:paraId="54E5F956">
      <w:pPr>
        <w:numPr>
          <w:ilvl w:val="1"/>
          <w:numId w:val="5"/>
        </w:numPr>
        <w:snapToGrid w:val="0"/>
        <w:spacing w:after="0" w:afterLines="0"/>
        <w:ind w:left="1049" w:hanging="329"/>
        <w:rPr>
          <w:lang w:eastAsia="zh-CN"/>
        </w:rPr>
      </w:pPr>
      <w:r>
        <w:rPr>
          <w:lang w:eastAsia="zh-CN"/>
        </w:rPr>
        <w:t>Adaptation of paging occasions including confining the paging occasions in the time domain</w:t>
      </w:r>
    </w:p>
    <w:p w14:paraId="3D4DCC34">
      <w:pPr>
        <w:numPr>
          <w:ilvl w:val="2"/>
          <w:numId w:val="5"/>
        </w:numPr>
        <w:snapToGrid w:val="0"/>
        <w:spacing w:after="0" w:afterLines="0"/>
        <w:rPr>
          <w:lang w:eastAsia="zh-CN"/>
        </w:rPr>
      </w:pPr>
      <w:r>
        <w:rPr>
          <w:lang w:eastAsia="zh-CN"/>
        </w:rPr>
        <w:t>Note: there shall be no paging latency increase</w:t>
      </w:r>
    </w:p>
    <w:p w14:paraId="3716BD26">
      <w:pPr>
        <w:numPr>
          <w:ilvl w:val="1"/>
          <w:numId w:val="5"/>
        </w:numPr>
        <w:spacing w:before="0" w:beforeLines="0" w:after="120"/>
        <w:ind w:left="1051" w:hanging="331"/>
        <w:rPr>
          <w:lang w:eastAsia="zh-CN"/>
        </w:rPr>
      </w:pPr>
      <w:r>
        <w:rPr>
          <w:lang w:eastAsia="zh-CN"/>
        </w:rPr>
        <w:t xml:space="preserve">Note: there shall be no negative impact to legacy UEs, unless significant benefits are shown </w:t>
      </w:r>
    </w:p>
    <w:p w14:paraId="552FDFF9">
      <w:pPr>
        <w:spacing w:after="120"/>
        <w:rPr>
          <w:rFonts w:eastAsia="Times New Roman"/>
          <w:lang w:val="en-US" w:eastAsia="zh-CN"/>
        </w:rPr>
      </w:pPr>
      <w:r>
        <w:rPr>
          <w:rFonts w:eastAsia="Times New Roman"/>
          <w:lang w:val="en-US" w:eastAsia="zh-CN"/>
        </w:rPr>
        <w:t xml:space="preserve">In this contribution, we provide further details on how these common signals/channels should be adapted and the corresponding impacts to UEs. </w:t>
      </w:r>
    </w:p>
    <w:p w14:paraId="3879A68B">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SSB adaptation</w:t>
      </w:r>
      <w:r>
        <w:rPr>
          <w:rFonts w:eastAsia="Malgun Gothic"/>
          <w:sz w:val="36"/>
          <w:szCs w:val="36"/>
          <w:lang w:val="en-US" w:eastAsia="zh-CN"/>
        </w:rPr>
        <w:tab/>
      </w:r>
    </w:p>
    <w:p w14:paraId="5E22A3E2">
      <w:pPr>
        <w:spacing w:after="120"/>
        <w:rPr>
          <w:rFonts w:hint="default"/>
          <w:lang w:val="en-US" w:eastAsia="zh-CN"/>
        </w:rPr>
      </w:pPr>
      <w:r>
        <w:rPr>
          <w:lang w:val="en-US" w:eastAsia="zh-CN"/>
        </w:rPr>
        <w:t>In RAN1 #11</w:t>
      </w:r>
      <w:r>
        <w:rPr>
          <w:rFonts w:hint="eastAsia"/>
          <w:lang w:val="en-US" w:eastAsia="zh-CN"/>
        </w:rPr>
        <w:t>8</w:t>
      </w:r>
      <w:r>
        <w:rPr>
          <w:lang w:val="en-US" w:eastAsia="zh-CN"/>
        </w:rPr>
        <w:t>,</w:t>
      </w:r>
      <w:r>
        <w:rPr>
          <w:rFonts w:hint="eastAsia"/>
          <w:lang w:val="en-US" w:eastAsia="zh-CN"/>
        </w:rPr>
        <w:t xml:space="preserve"> </w:t>
      </w:r>
      <w:r>
        <w:rPr>
          <w:rFonts w:hint="default"/>
          <w:lang w:val="en-US" w:eastAsia="zh-CN"/>
        </w:rPr>
        <w:t>further agreements were made on the applicable scenarios for SSB adaptation. The adaptation mechanism were also discussed.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14:paraId="3ECC2392">
        <w:tc>
          <w:tcPr>
            <w:tcW w:w="9057" w:type="dxa"/>
          </w:tcPr>
          <w:p w14:paraId="1B20B7E6">
            <w:pPr>
              <w:keepNext w:val="0"/>
              <w:keepLines w:val="0"/>
              <w:pageBreakBefore w:val="0"/>
              <w:widowControl/>
              <w:tabs>
                <w:tab w:val="left" w:pos="1440"/>
              </w:tabs>
              <w:kinsoku/>
              <w:wordWrap/>
              <w:topLinePunct w:val="0"/>
              <w:autoSpaceDE w:val="0"/>
              <w:autoSpaceDN w:val="0"/>
              <w:bidi w:val="0"/>
              <w:snapToGrid/>
              <w:spacing w:after="0" w:afterLines="0" w:line="240" w:lineRule="auto"/>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(RAN1 #118)</w:t>
            </w:r>
          </w:p>
          <w:p w14:paraId="3E8D3B7E">
            <w:pPr>
              <w:keepNext w:val="0"/>
              <w:keepLines w:val="0"/>
              <w:pageBreakBefore w:val="0"/>
              <w:widowControl/>
              <w:tabs>
                <w:tab w:val="left" w:pos="1440"/>
              </w:tabs>
              <w:kinsoku/>
              <w:wordWrap/>
              <w:topLinePunct w:val="0"/>
              <w:autoSpaceDE w:val="0"/>
              <w:autoSpaceDN w:val="0"/>
              <w:bidi w:val="0"/>
              <w:snapToGrid/>
              <w:spacing w:after="0" w:afterLines="0" w:line="240" w:lineRule="auto"/>
            </w:pPr>
            <w:r>
              <w:rPr>
                <w:rFonts w:ascii="Times New Roman" w:hAnsi="Times New Roman"/>
              </w:rPr>
              <w:t>For adaptation mechanism(s) of SSB in time-domain,</w:t>
            </w:r>
          </w:p>
          <w:p w14:paraId="46BDCC5E">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line="240" w:lineRule="auto"/>
              <w:jc w:val="left"/>
              <w:textAlignment w:val="baseline"/>
              <w:rPr>
                <w:rFonts w:ascii="Times New Roman" w:hAnsi="Times New Roman"/>
              </w:rPr>
            </w:pPr>
            <w:r>
              <w:rPr>
                <w:rFonts w:ascii="Times New Roman" w:hAnsi="Times New Roman"/>
              </w:rPr>
              <w:t xml:space="preserve">For Rel-19 NES-capable UE’s PCell (Connected mode), adaptation of CD-SSB on sync raster is not supported </w:t>
            </w:r>
          </w:p>
          <w:p w14:paraId="043A3B8E">
            <w:pPr>
              <w:keepNext w:val="0"/>
              <w:keepLines w:val="0"/>
              <w:pageBreakBefore w:val="0"/>
              <w:widowControl/>
              <w:numPr>
                <w:ilvl w:val="1"/>
                <w:numId w:val="7"/>
              </w:numPr>
              <w:tabs>
                <w:tab w:val="left" w:pos="1440"/>
              </w:tabs>
              <w:kinsoku/>
              <w:wordWrap/>
              <w:topLinePunct w:val="0"/>
              <w:autoSpaceDE w:val="0"/>
              <w:autoSpaceDN w:val="0"/>
              <w:bidi w:val="0"/>
              <w:snapToGrid/>
              <w:spacing w:after="0" w:afterLines="0" w:line="240" w:lineRule="auto"/>
              <w:contextualSpacing/>
              <w:rPr>
                <w:rFonts w:ascii="Times New Roman" w:hAnsi="Times New Roman"/>
              </w:rPr>
            </w:pPr>
            <w:r>
              <w:rPr>
                <w:rFonts w:ascii="Times New Roman" w:hAnsi="Times New Roman"/>
              </w:rPr>
              <w:t>FFS</w:t>
            </w:r>
            <w:r>
              <w:rPr>
                <w:rFonts w:ascii="Times New Roman" w:hAnsi="Times New Roman"/>
                <w:lang w:val="en-US"/>
              </w:rPr>
              <w:t xml:space="preserve">: </w:t>
            </w:r>
            <w:r>
              <w:rPr>
                <w:rFonts w:ascii="Times New Roman" w:hAnsi="Times New Roman"/>
              </w:rPr>
              <w:t>Adaptation for SSB that is not CD-SSB is supported (A2)</w:t>
            </w:r>
          </w:p>
          <w:p w14:paraId="18FA55FB">
            <w:pPr>
              <w:keepNext w:val="0"/>
              <w:keepLines w:val="0"/>
              <w:pageBreakBefore w:val="0"/>
              <w:widowControl/>
              <w:numPr>
                <w:ilvl w:val="1"/>
                <w:numId w:val="7"/>
              </w:numPr>
              <w:tabs>
                <w:tab w:val="left" w:pos="1440"/>
              </w:tabs>
              <w:kinsoku/>
              <w:wordWrap/>
              <w:topLinePunct w:val="0"/>
              <w:autoSpaceDE w:val="0"/>
              <w:autoSpaceDN w:val="0"/>
              <w:bidi w:val="0"/>
              <w:snapToGrid/>
              <w:spacing w:after="0" w:afterLines="0" w:line="240" w:lineRule="auto"/>
              <w:contextualSpacing/>
              <w:rPr>
                <w:rFonts w:ascii="Times New Roman" w:hAnsi="Times New Roman"/>
              </w:rPr>
            </w:pPr>
            <w:r>
              <w:rPr>
                <w:rFonts w:ascii="Times New Roman" w:hAnsi="Times New Roman"/>
              </w:rPr>
              <w:t>FFS: Adaptation for SSB not on sync raster is supported (A3)</w:t>
            </w:r>
          </w:p>
          <w:p w14:paraId="38480DAD">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line="240" w:lineRule="auto"/>
              <w:jc w:val="left"/>
              <w:textAlignment w:val="baseline"/>
              <w:rPr>
                <w:rFonts w:ascii="Times New Roman" w:hAnsi="Times New Roman"/>
              </w:rPr>
            </w:pPr>
            <w:r>
              <w:rPr>
                <w:rFonts w:ascii="Times New Roman" w:hAnsi="Times New Roman"/>
              </w:rPr>
              <w:t>For Rel-19 NES-capable UE’s SCell</w:t>
            </w:r>
          </w:p>
          <w:p w14:paraId="5E36EB7B">
            <w:pPr>
              <w:keepNext w:val="0"/>
              <w:keepLines w:val="0"/>
              <w:pageBreakBefore w:val="0"/>
              <w:widowControl/>
              <w:numPr>
                <w:ilvl w:val="1"/>
                <w:numId w:val="7"/>
              </w:numPr>
              <w:tabs>
                <w:tab w:val="left" w:pos="1440"/>
              </w:tabs>
              <w:kinsoku/>
              <w:wordWrap/>
              <w:topLinePunct w:val="0"/>
              <w:autoSpaceDE w:val="0"/>
              <w:autoSpaceDN w:val="0"/>
              <w:bidi w:val="0"/>
              <w:snapToGrid/>
              <w:spacing w:after="0" w:afterLines="0" w:line="240" w:lineRule="auto"/>
              <w:contextualSpacing/>
              <w:rPr>
                <w:rFonts w:ascii="Times New Roman" w:hAnsi="Times New Roman"/>
              </w:rPr>
            </w:pPr>
            <w:r>
              <w:rPr>
                <w:rFonts w:ascii="Times New Roman" w:hAnsi="Times New Roman"/>
                <w:lang w:val="en-US"/>
              </w:rPr>
              <w:t xml:space="preserve">Adaptation </w:t>
            </w:r>
            <w:r>
              <w:rPr>
                <w:rFonts w:ascii="Times New Roman" w:hAnsi="Times New Roman"/>
              </w:rPr>
              <w:t>of SSB configured for the SCell is supported for the following cases</w:t>
            </w:r>
          </w:p>
          <w:p w14:paraId="2EA319D2">
            <w:pPr>
              <w:keepNext w:val="0"/>
              <w:keepLines w:val="0"/>
              <w:pageBreakBefore w:val="0"/>
              <w:widowControl/>
              <w:numPr>
                <w:ilvl w:val="2"/>
                <w:numId w:val="8"/>
              </w:numPr>
              <w:tabs>
                <w:tab w:val="left" w:pos="1440"/>
              </w:tabs>
              <w:kinsoku/>
              <w:wordWrap/>
              <w:topLinePunct w:val="0"/>
              <w:autoSpaceDE w:val="0"/>
              <w:autoSpaceDN w:val="0"/>
              <w:bidi w:val="0"/>
              <w:snapToGrid/>
              <w:spacing w:after="0" w:afterLines="0" w:line="240" w:lineRule="auto"/>
              <w:rPr>
                <w:rFonts w:ascii="Times New Roman" w:hAnsi="Times New Roman"/>
              </w:rPr>
            </w:pPr>
            <w:r>
              <w:rPr>
                <w:rFonts w:ascii="Times New Roman" w:hAnsi="Times New Roman"/>
              </w:rPr>
              <w:t>FFS: Adaptation for CD-SSB (B1) including UE impact compared to legacy operation where the SSB is configured with periodicity&gt;20msec for SCell</w:t>
            </w:r>
          </w:p>
          <w:p w14:paraId="65EC0D75">
            <w:pPr>
              <w:keepNext w:val="0"/>
              <w:keepLines w:val="0"/>
              <w:pageBreakBefore w:val="0"/>
              <w:widowControl/>
              <w:numPr>
                <w:ilvl w:val="2"/>
                <w:numId w:val="8"/>
              </w:numPr>
              <w:tabs>
                <w:tab w:val="left" w:pos="1440"/>
              </w:tabs>
              <w:kinsoku/>
              <w:wordWrap/>
              <w:topLinePunct w:val="0"/>
              <w:autoSpaceDE w:val="0"/>
              <w:autoSpaceDN w:val="0"/>
              <w:bidi w:val="0"/>
              <w:snapToGrid/>
              <w:spacing w:after="0" w:afterLines="0" w:line="240" w:lineRule="auto"/>
              <w:rPr>
                <w:rFonts w:ascii="Times New Roman" w:hAnsi="Times New Roman"/>
              </w:rPr>
            </w:pPr>
            <w:r>
              <w:rPr>
                <w:rFonts w:ascii="Times New Roman" w:hAnsi="Times New Roman"/>
              </w:rPr>
              <w:t>Adaptation for SSB that is not CD-SSB on sync raster (B2’)</w:t>
            </w:r>
          </w:p>
          <w:p w14:paraId="3E8A6B53">
            <w:pPr>
              <w:keepNext w:val="0"/>
              <w:keepLines w:val="0"/>
              <w:pageBreakBefore w:val="0"/>
              <w:widowControl/>
              <w:numPr>
                <w:ilvl w:val="2"/>
                <w:numId w:val="8"/>
              </w:numPr>
              <w:tabs>
                <w:tab w:val="left" w:pos="1440"/>
              </w:tabs>
              <w:kinsoku/>
              <w:wordWrap/>
              <w:topLinePunct w:val="0"/>
              <w:autoSpaceDE w:val="0"/>
              <w:autoSpaceDN w:val="0"/>
              <w:bidi w:val="0"/>
              <w:snapToGrid/>
              <w:spacing w:after="0" w:afterLines="0" w:line="240" w:lineRule="auto"/>
              <w:rPr>
                <w:lang w:val="en-US"/>
              </w:rPr>
            </w:pPr>
            <w:r>
              <w:rPr>
                <w:rFonts w:ascii="Times New Roman" w:hAnsi="Times New Roman"/>
              </w:rPr>
              <w:t>Adaptation for SSB that is not CD-SSB not on sync raster (B3’)</w:t>
            </w:r>
          </w:p>
        </w:tc>
      </w:tr>
    </w:tbl>
    <w:p w14:paraId="2348EBB3">
      <w:pPr>
        <w:spacing w:after="120"/>
        <w:rPr>
          <w:rFonts w:hint="default"/>
          <w:lang w:val="en-US" w:eastAsia="zh-CN"/>
        </w:rPr>
      </w:pPr>
    </w:p>
    <w:p w14:paraId="22C8FFAB">
      <w:pPr>
        <w:spacing w:after="120"/>
        <w:rPr>
          <w:rFonts w:hint="default"/>
          <w:lang w:val="en-US" w:eastAsia="zh-CN"/>
        </w:rPr>
      </w:pPr>
      <w:r>
        <w:rPr>
          <w:rFonts w:hint="default"/>
          <w:lang w:val="en-US" w:eastAsia="zh-CN"/>
        </w:rPr>
        <w:t xml:space="preserve">There are still many FFSs on the applicability of SSB adaptation, especially on UE assumptions on the PCell. For the two FFS points for PCell, i.e. whether SSB adaptation can be applied to non CD-SSBs of the PCell or to SSBs not on sync raster for the PCell, we do not see the use cases to support additional non CD-SSBs or SSBs not on sync raster for the PCell, especially for network energy saving purpose. Therefore, </w:t>
      </w:r>
    </w:p>
    <w:p w14:paraId="3BBED3B2">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Do not support SSB adaptation for PCell in Rel-19.</w:t>
      </w:r>
    </w:p>
    <w:p w14:paraId="1C2B8B54">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SCell, there were discussions on whether to support CD-SSBs larger than 20ms periodicity. The intention is not to impact UE initial cell search assumptions, however, a UE performing initial access</w:t>
      </w:r>
      <w:r>
        <w:rPr>
          <w:rFonts w:hint="default" w:cs="Times New Roman"/>
          <w:b w:val="0"/>
          <w:bCs w:val="0"/>
          <w:lang w:val="en-US" w:eastAsia="zh-CN"/>
        </w:rPr>
        <w:t xml:space="preserve"> cannot obtain the corresponding periodicity until it decodes the SIB1. Moreover, it</w:t>
      </w:r>
      <w:r>
        <w:rPr>
          <w:rFonts w:hint="default" w:ascii="Times New Roman" w:hAnsi="Times New Roman" w:cs="Times New Roman"/>
          <w:b w:val="0"/>
          <w:bCs w:val="0"/>
          <w:lang w:val="en-US" w:eastAsia="zh-CN"/>
        </w:rPr>
        <w:t xml:space="preserve"> should be noted that CD-SSBs on sync raster is not supported for PCell, then there is no reason to support for SCell.  </w:t>
      </w:r>
    </w:p>
    <w:p w14:paraId="2A86978E">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Do not support adaptation for CD-SSBs where SSB is configured with periodicity &gt;20ms for SCell.</w:t>
      </w:r>
    </w:p>
    <w:p w14:paraId="1538612C">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 </w:t>
      </w:r>
    </w:p>
    <w:p w14:paraId="4501AEBA">
      <w:pPr>
        <w:pStyle w:val="3"/>
        <w:numPr>
          <w:ilvl w:val="1"/>
          <w:numId w:val="3"/>
        </w:numPr>
        <w:spacing w:after="120"/>
        <w:rPr>
          <w:lang w:val="en-US" w:eastAsia="zh-CN"/>
        </w:rPr>
      </w:pPr>
      <w:r>
        <w:rPr>
          <w:rFonts w:ascii="Times New Roman" w:hAnsi="Times New Roman"/>
          <w:iCs w:val="0"/>
          <w:lang w:val="en-US" w:eastAsia="sv-SE"/>
        </w:rPr>
        <w:t xml:space="preserve"> SSB adaptation mechanisms</w:t>
      </w:r>
    </w:p>
    <w:p w14:paraId="010AE40B">
      <w:pPr>
        <w:spacing w:after="120"/>
        <w:rPr>
          <w:rFonts w:hint="default"/>
          <w:lang w:val="en-US" w:eastAsia="zh-CN"/>
        </w:rPr>
      </w:pPr>
      <w:r>
        <w:rPr>
          <w:lang w:val="en-US" w:eastAsia="zh-CN"/>
        </w:rPr>
        <w:t>In RAN1 #117, it was agreed to support adaptation of SSB burst period</w:t>
      </w:r>
      <w:r>
        <w:rPr>
          <w:rFonts w:hint="default"/>
          <w:lang w:val="en-US" w:eastAsia="zh-CN"/>
        </w:rPr>
        <w:t xml:space="preserve"> using one or more SSB burst periodicity value(s). In RAN1 #118, the extension of cell DTX was discussed and three options were listed for details.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14:paraId="5515B507">
        <w:tc>
          <w:tcPr>
            <w:tcW w:w="9057" w:type="dxa"/>
          </w:tcPr>
          <w:p w14:paraId="06C0A2F9">
            <w:pPr>
              <w:keepNext w:val="0"/>
              <w:keepLines w:val="0"/>
              <w:pageBreakBefore w:val="0"/>
              <w:widowControl/>
              <w:tabs>
                <w:tab w:val="left" w:pos="1440"/>
              </w:tabs>
              <w:kinsoku/>
              <w:wordWrap/>
              <w:topLinePunct w:val="0"/>
              <w:autoSpaceDE w:val="0"/>
              <w:autoSpaceDN w:val="0"/>
              <w:bidi w:val="0"/>
              <w:snapToGrid/>
              <w:spacing w:after="0" w:afterLines="0"/>
              <w:rPr>
                <w:rFonts w:hint="default"/>
                <w:b/>
                <w:bCs/>
                <w:lang w:val="en-US" w:eastAsia="zh-CN"/>
              </w:rPr>
            </w:pPr>
            <w:r>
              <w:rPr>
                <w:b/>
                <w:bCs/>
                <w:highlight w:val="green"/>
                <w:lang w:val="en-US" w:eastAsia="zh-CN"/>
              </w:rPr>
              <w:t>Agreement</w:t>
            </w:r>
            <w:r>
              <w:rPr>
                <w:rFonts w:hint="default"/>
                <w:b/>
                <w:bCs/>
                <w:highlight w:val="green"/>
                <w:lang w:val="en-US" w:eastAsia="zh-CN"/>
              </w:rPr>
              <w:t xml:space="preserve"> (RAN1 #117)</w:t>
            </w:r>
          </w:p>
          <w:p w14:paraId="30C8DF2C">
            <w:pPr>
              <w:keepNext w:val="0"/>
              <w:keepLines w:val="0"/>
              <w:pageBreakBefore w:val="0"/>
              <w:widowControl/>
              <w:tabs>
                <w:tab w:val="left" w:pos="1440"/>
              </w:tabs>
              <w:kinsoku/>
              <w:wordWrap/>
              <w:topLinePunct w:val="0"/>
              <w:autoSpaceDE w:val="0"/>
              <w:autoSpaceDN w:val="0"/>
              <w:bidi w:val="0"/>
              <w:snapToGrid/>
              <w:spacing w:after="0" w:afterLines="0"/>
              <w:rPr>
                <w:lang w:eastAsia="zh-CN"/>
              </w:rPr>
            </w:pPr>
            <w:r>
              <w:rPr>
                <w:lang w:eastAsia="zh-CN"/>
              </w:rPr>
              <w:t>For adaptation of SSB in time-domain, Option 1 is supported</w:t>
            </w:r>
          </w:p>
          <w:p w14:paraId="0415E6F6">
            <w:pPr>
              <w:pStyle w:val="56"/>
              <w:keepNext w:val="0"/>
              <w:keepLines w:val="0"/>
              <w:pageBreakBefore w:val="0"/>
              <w:widowControl/>
              <w:numPr>
                <w:ilvl w:val="0"/>
                <w:numId w:val="9"/>
              </w:numPr>
              <w:tabs>
                <w:tab w:val="left" w:pos="800"/>
                <w:tab w:val="clear" w:pos="1440"/>
              </w:tabs>
              <w:kinsoku/>
              <w:wordWrap/>
              <w:overflowPunct w:val="0"/>
              <w:topLinePunct w:val="0"/>
              <w:autoSpaceDE w:val="0"/>
              <w:autoSpaceDN w:val="0"/>
              <w:bidi w:val="0"/>
              <w:adjustRightInd w:val="0"/>
              <w:snapToGrid/>
              <w:spacing w:after="0" w:afterLines="0"/>
              <w:ind w:left="800" w:leftChars="200" w:hanging="400" w:hangingChars="200"/>
              <w:contextualSpacing/>
              <w:textAlignment w:val="baseline"/>
              <w:rPr>
                <w:rFonts w:cs="Times"/>
              </w:rPr>
            </w:pPr>
            <w:r>
              <w:rPr>
                <w:rFonts w:cs="Times"/>
              </w:rPr>
              <w:t>Option 1: Adaptation of SSB burst periodicity using one or more SSB burst periodicity value(s)</w:t>
            </w:r>
          </w:p>
          <w:p w14:paraId="2B6B532D">
            <w:pPr>
              <w:pStyle w:val="56"/>
              <w:keepNext w:val="0"/>
              <w:keepLines w:val="0"/>
              <w:pageBreakBefore w:val="0"/>
              <w:widowControl/>
              <w:numPr>
                <w:ilvl w:val="0"/>
                <w:numId w:val="9"/>
              </w:numPr>
              <w:tabs>
                <w:tab w:val="left" w:pos="800"/>
                <w:tab w:val="clear" w:pos="1440"/>
              </w:tabs>
              <w:kinsoku/>
              <w:wordWrap/>
              <w:overflowPunct w:val="0"/>
              <w:topLinePunct w:val="0"/>
              <w:autoSpaceDE w:val="0"/>
              <w:autoSpaceDN w:val="0"/>
              <w:bidi w:val="0"/>
              <w:adjustRightInd w:val="0"/>
              <w:snapToGrid/>
              <w:spacing w:after="0" w:afterLines="0"/>
              <w:ind w:left="800" w:leftChars="200" w:hanging="400" w:hangingChars="200"/>
              <w:contextualSpacing/>
              <w:textAlignment w:val="baseline"/>
              <w:rPr>
                <w:rFonts w:cs="Times"/>
              </w:rPr>
            </w:pPr>
            <w:r>
              <w:rPr>
                <w:rFonts w:cs="Times"/>
                <w:lang w:eastAsia="ko-KR"/>
              </w:rPr>
              <w:t>Note: Using Option 2 to realize Option 1 is not precluded</w:t>
            </w:r>
          </w:p>
          <w:p w14:paraId="2DC7F7C7">
            <w:pPr>
              <w:pStyle w:val="56"/>
              <w:keepNext w:val="0"/>
              <w:keepLines w:val="0"/>
              <w:pageBreakBefore w:val="0"/>
              <w:widowControl/>
              <w:numPr>
                <w:ilvl w:val="1"/>
                <w:numId w:val="9"/>
              </w:numPr>
              <w:kinsoku/>
              <w:wordWrap/>
              <w:overflowPunct w:val="0"/>
              <w:topLinePunct w:val="0"/>
              <w:autoSpaceDE w:val="0"/>
              <w:autoSpaceDN w:val="0"/>
              <w:bidi w:val="0"/>
              <w:adjustRightInd w:val="0"/>
              <w:snapToGrid/>
              <w:spacing w:after="0" w:afterLines="0"/>
              <w:ind w:leftChars="0"/>
              <w:contextualSpacing/>
              <w:textAlignment w:val="baseline"/>
              <w:rPr>
                <w:rFonts w:cs="Times"/>
              </w:rPr>
            </w:pPr>
            <w:r>
              <w:rPr>
                <w:color w:val="000000" w:themeColor="text1"/>
                <w14:textFill>
                  <w14:solidFill>
                    <w14:schemeClr w14:val="tx1"/>
                  </w14:solidFill>
                </w14:textFill>
              </w:rPr>
              <w:t xml:space="preserve">Option </w:t>
            </w:r>
            <w:r>
              <w:rPr>
                <w:rFonts w:cs="Times"/>
              </w:rPr>
              <w:t>2: Adaptation based on two SSB configurations [where up to two configurations can be active]</w:t>
            </w:r>
          </w:p>
          <w:p w14:paraId="05BA0FC1">
            <w:pPr>
              <w:keepNext w:val="0"/>
              <w:keepLines w:val="0"/>
              <w:pageBreakBefore w:val="0"/>
              <w:widowControl/>
              <w:numPr>
                <w:ilvl w:val="2"/>
                <w:numId w:val="10"/>
              </w:numPr>
              <w:tabs>
                <w:tab w:val="left" w:pos="2200"/>
              </w:tabs>
              <w:suppressAutoHyphens/>
              <w:kinsoku/>
              <w:wordWrap/>
              <w:topLinePunct w:val="0"/>
              <w:autoSpaceDE w:val="0"/>
              <w:autoSpaceDN w:val="0"/>
              <w:bidi w:val="0"/>
              <w:snapToGrid/>
              <w:spacing w:after="0" w:afterLines="0"/>
              <w:ind w:left="2200" w:hanging="400"/>
              <w:rPr>
                <w:rFonts w:cs="Times"/>
              </w:rPr>
            </w:pPr>
            <w:r>
              <w:rPr>
                <w:rFonts w:cs="Times"/>
              </w:rPr>
              <w:t>FFS: details of the differences between the two SSB configurations, e.g. two different periodicities</w:t>
            </w:r>
          </w:p>
          <w:p w14:paraId="22A05945">
            <w:pPr>
              <w:pStyle w:val="56"/>
              <w:keepNext w:val="0"/>
              <w:keepLines w:val="0"/>
              <w:pageBreakBefore w:val="0"/>
              <w:widowControl/>
              <w:numPr>
                <w:ilvl w:val="0"/>
                <w:numId w:val="9"/>
              </w:numPr>
              <w:tabs>
                <w:tab w:val="left" w:pos="800"/>
                <w:tab w:val="clear" w:pos="1440"/>
              </w:tabs>
              <w:kinsoku/>
              <w:wordWrap/>
              <w:overflowPunct w:val="0"/>
              <w:topLinePunct w:val="0"/>
              <w:autoSpaceDE w:val="0"/>
              <w:autoSpaceDN w:val="0"/>
              <w:bidi w:val="0"/>
              <w:adjustRightInd w:val="0"/>
              <w:snapToGrid/>
              <w:spacing w:after="0" w:afterLines="0"/>
              <w:ind w:left="800" w:leftChars="200" w:hanging="400" w:hangingChars="200"/>
              <w:contextualSpacing/>
              <w:textAlignment w:val="baseline"/>
              <w:rPr>
                <w:rFonts w:cs="Times"/>
              </w:rPr>
            </w:pPr>
            <w:r>
              <w:rPr>
                <w:rFonts w:cs="Times"/>
              </w:rPr>
              <w:t xml:space="preserve">FFS: Details including applicable scenarios </w:t>
            </w:r>
          </w:p>
          <w:p w14:paraId="70D394EF">
            <w:pPr>
              <w:pStyle w:val="56"/>
              <w:keepNext w:val="0"/>
              <w:keepLines w:val="0"/>
              <w:pageBreakBefore w:val="0"/>
              <w:widowControl/>
              <w:numPr>
                <w:ilvl w:val="0"/>
                <w:numId w:val="9"/>
              </w:numPr>
              <w:tabs>
                <w:tab w:val="left" w:pos="800"/>
                <w:tab w:val="clear" w:pos="1440"/>
              </w:tabs>
              <w:kinsoku/>
              <w:wordWrap/>
              <w:overflowPunct w:val="0"/>
              <w:topLinePunct w:val="0"/>
              <w:autoSpaceDE w:val="0"/>
              <w:autoSpaceDN w:val="0"/>
              <w:bidi w:val="0"/>
              <w:adjustRightInd w:val="0"/>
              <w:snapToGrid/>
              <w:spacing w:after="0" w:afterLines="0"/>
              <w:ind w:left="800" w:leftChars="200" w:hanging="400" w:hangingChars="200"/>
              <w:contextualSpacing/>
              <w:textAlignment w:val="baseline"/>
              <w:rPr>
                <w:lang w:val="en-US"/>
              </w:rPr>
            </w:pPr>
            <w:r>
              <w:rPr>
                <w:rFonts w:cs="Times"/>
              </w:rPr>
              <w:t>FFS: Support of Cell DTX for connected mode UEs for SSB</w:t>
            </w:r>
          </w:p>
          <w:p w14:paraId="73B4903B">
            <w:pPr>
              <w:keepNext w:val="0"/>
              <w:keepLines w:val="0"/>
              <w:pageBreakBefore w:val="0"/>
              <w:widowControl/>
              <w:tabs>
                <w:tab w:val="left" w:pos="1440"/>
              </w:tabs>
              <w:kinsoku/>
              <w:wordWrap/>
              <w:topLinePunct w:val="0"/>
              <w:autoSpaceDE w:val="0"/>
              <w:autoSpaceDN w:val="0"/>
              <w:bidi w:val="0"/>
              <w:snapToGrid/>
              <w:spacing w:after="0" w:afterLines="0"/>
              <w:rPr>
                <w:b/>
                <w:bCs/>
                <w:highlight w:val="green"/>
                <w:lang w:eastAsia="zh-CN"/>
              </w:rPr>
            </w:pPr>
          </w:p>
          <w:p w14:paraId="33951FF7">
            <w:pPr>
              <w:keepNext w:val="0"/>
              <w:keepLines w:val="0"/>
              <w:pageBreakBefore w:val="0"/>
              <w:widowControl/>
              <w:tabs>
                <w:tab w:val="left" w:pos="1440"/>
              </w:tabs>
              <w:kinsoku/>
              <w:wordWrap/>
              <w:topLinePunct w:val="0"/>
              <w:autoSpaceDE w:val="0"/>
              <w:autoSpaceDN w:val="0"/>
              <w:bidi w:val="0"/>
              <w:snapToGrid/>
              <w:spacing w:after="0" w:afterLines="0"/>
              <w:rPr>
                <w:rFonts w:hint="default"/>
                <w:b/>
                <w:bCs/>
                <w:lang w:val="en-US" w:eastAsia="zh-CN"/>
              </w:rPr>
            </w:pPr>
            <w:r>
              <w:rPr>
                <w:b/>
                <w:bCs/>
                <w:highlight w:val="green"/>
                <w:lang w:eastAsia="zh-CN"/>
              </w:rPr>
              <w:t>Agreement</w:t>
            </w:r>
            <w:r>
              <w:rPr>
                <w:rFonts w:hint="default"/>
                <w:b/>
                <w:bCs/>
                <w:highlight w:val="green"/>
                <w:lang w:val="en-US" w:eastAsia="zh-CN"/>
              </w:rPr>
              <w:t xml:space="preserve"> (RAN1 #118)</w:t>
            </w:r>
          </w:p>
          <w:p w14:paraId="5D9C1A99">
            <w:pPr>
              <w:keepNext w:val="0"/>
              <w:keepLines w:val="0"/>
              <w:pageBreakBefore w:val="0"/>
              <w:widowControl/>
              <w:tabs>
                <w:tab w:val="left" w:pos="1440"/>
              </w:tabs>
              <w:kinsoku/>
              <w:wordWrap/>
              <w:topLinePunct w:val="0"/>
              <w:autoSpaceDE w:val="0"/>
              <w:autoSpaceDN w:val="0"/>
              <w:bidi w:val="0"/>
              <w:snapToGrid/>
              <w:spacing w:after="0" w:afterLines="0"/>
              <w:rPr>
                <w:rFonts w:cs="Times"/>
              </w:rPr>
            </w:pPr>
            <w:r>
              <w:rPr>
                <w:rFonts w:cs="Times"/>
              </w:rPr>
              <w:t>For Cell DTX extension to SSBs not on sync-raster for connected mode UEs, select from following options</w:t>
            </w:r>
          </w:p>
          <w:p w14:paraId="472EDDA6">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lang w:val="en-US"/>
              </w:rPr>
              <w:t>O</w:t>
            </w:r>
            <w:r>
              <w:rPr>
                <w:rFonts w:ascii="Times New Roman" w:hAnsi="Times New Roman"/>
                <w:lang w:val="en-US" w:eastAsia="zh-CN"/>
              </w:rPr>
              <w:t>p</w:t>
            </w:r>
            <w:r>
              <w:rPr>
                <w:rFonts w:ascii="Times New Roman" w:hAnsi="Times New Roman"/>
                <w:lang w:val="en-US"/>
              </w:rPr>
              <w:t xml:space="preserve">tion </w:t>
            </w:r>
            <w:r>
              <w:rPr>
                <w:rFonts w:ascii="Times New Roman" w:hAnsi="Times New Roman"/>
              </w:rPr>
              <w:t xml:space="preserve">1: One SSB burst periodicity is configured for the UE and UEs assumes SSB transmissions are not present during Cell DTX non-active period </w:t>
            </w:r>
          </w:p>
          <w:p w14:paraId="07694DA5">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lang w:val="en-US"/>
              </w:rPr>
              <w:t xml:space="preserve">Option </w:t>
            </w:r>
            <w:r>
              <w:rPr>
                <w:rFonts w:ascii="Times New Roman" w:hAnsi="Times New Roman"/>
              </w:rPr>
              <w:t xml:space="preserve">2: UE assumes SSB transmission with different periodicities during Cell DTX non-active period and during Cell DTX active period </w:t>
            </w:r>
          </w:p>
          <w:p w14:paraId="73483903">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lang w:val="en-US"/>
              </w:rPr>
            </w:pPr>
            <w:r>
              <w:rPr>
                <w:rFonts w:ascii="Times New Roman" w:hAnsi="Times New Roman"/>
                <w:lang w:val="en-US"/>
              </w:rPr>
              <w:t xml:space="preserve">Option </w:t>
            </w:r>
            <w:r>
              <w:rPr>
                <w:rFonts w:ascii="Times New Roman" w:hAnsi="Times New Roman"/>
              </w:rPr>
              <w:t>3: Cell DTX does not impact UE assumption on SSB transmissions (i.e. legacy behavior) – no spec impact</w:t>
            </w:r>
          </w:p>
        </w:tc>
      </w:tr>
    </w:tbl>
    <w:p w14:paraId="3D54C957">
      <w:pPr>
        <w:spacing w:after="120"/>
        <w:rPr>
          <w:iCs/>
          <w:szCs w:val="22"/>
          <w:lang w:val="en-US" w:eastAsia="zh-CN"/>
        </w:rPr>
      </w:pPr>
    </w:p>
    <w:p w14:paraId="3CD9EE56">
      <w:pPr>
        <w:spacing w:after="120"/>
        <w:rPr>
          <w:rFonts w:hint="default"/>
          <w:iCs/>
          <w:szCs w:val="22"/>
          <w:lang w:val="en-US" w:eastAsia="zh-CN"/>
        </w:rPr>
      </w:pPr>
      <w:r>
        <w:rPr>
          <w:rFonts w:hint="default"/>
          <w:iCs/>
          <w:szCs w:val="22"/>
          <w:lang w:val="en-US" w:eastAsia="zh-CN"/>
        </w:rPr>
        <w:t>Since SSB-based measurement is always based on the smtc configuration, the change of SSB adaptation periodicity would cause impact to the smtc configuration, especially considering that SSB adaptation for SCell would be possibly indicated by a DCI signaling. The smtc configuration may not be adapted as fast as the SSB adaptation. If the SSB of either serving cell or neighbor cell is adapted and does not fall into the smtc window, UE cannot obtain measurement results for that cell. In Fig.1, we illustrate the case when SSB adaptation results in SSB transmission outside smtc window</w:t>
      </w:r>
      <w:bookmarkStart w:id="3" w:name="_GoBack"/>
      <w:bookmarkEnd w:id="3"/>
      <w:r>
        <w:rPr>
          <w:rFonts w:hint="default"/>
          <w:iCs/>
          <w:szCs w:val="22"/>
          <w:lang w:val="en-US" w:eastAsia="zh-CN"/>
        </w:rPr>
        <w:t xml:space="preserve">. </w:t>
      </w:r>
    </w:p>
    <w:p w14:paraId="3E98869E">
      <w:pPr>
        <w:spacing w:after="120"/>
        <w:rPr>
          <w:rFonts w:hint="default" w:ascii="Times New Roman Bold" w:hAnsi="Times New Roman Bold" w:cs="Times New Roman Bold"/>
          <w:b/>
          <w:bCs/>
        </w:rPr>
      </w:pPr>
      <w:r>
        <w:drawing>
          <wp:inline distT="0" distB="0" distL="114300" distR="114300">
            <wp:extent cx="5982335" cy="890270"/>
            <wp:effectExtent l="0" t="0" r="12065" b="2413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5"/>
                    <a:stretch>
                      <a:fillRect/>
                    </a:stretch>
                  </pic:blipFill>
                  <pic:spPr>
                    <a:xfrm>
                      <a:off x="0" y="0"/>
                      <a:ext cx="5982335" cy="890270"/>
                    </a:xfrm>
                    <a:prstGeom prst="rect">
                      <a:avLst/>
                    </a:prstGeom>
                    <a:noFill/>
                    <a:ln>
                      <a:noFill/>
                    </a:ln>
                  </pic:spPr>
                </pic:pic>
              </a:graphicData>
            </a:graphic>
          </wp:inline>
        </w:drawing>
      </w:r>
    </w:p>
    <w:p w14:paraId="2C51BBEE">
      <w:pPr>
        <w:spacing w:after="12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Fig. 1 SSB adaptation causing miss match of SSB transmission and smtc window</w:t>
      </w:r>
    </w:p>
    <w:p w14:paraId="04C04C39">
      <w:pPr>
        <w:spacing w:after="120"/>
        <w:rPr>
          <w:rFonts w:hint="default"/>
          <w:iCs/>
          <w:szCs w:val="22"/>
          <w:lang w:val="en-US" w:eastAsia="zh-CN"/>
        </w:rPr>
      </w:pPr>
      <w:r>
        <w:rPr>
          <w:rFonts w:hint="default"/>
          <w:iCs/>
          <w:szCs w:val="22"/>
          <w:lang w:val="en-US" w:eastAsia="zh-CN"/>
        </w:rPr>
        <w:t xml:space="preserve">Assuming only the adapted periodicity is configured for the SSB adaptation, and when UE receives the SSB adaptation indication, after a sufficient time gap, UE assumes the SSB is transmitted at a second value. If the offset is not explicitly configured, it is straightforward to determine the start of next SSB position as the one that is after a sufficient gap after reception of the signaling, which causes the problem. To avoid such problem, it is reasonable to explicitly configure the offset of the adapted SSB pattern together with the periodicity, as illustrated in Fig.2 </w:t>
      </w:r>
    </w:p>
    <w:p w14:paraId="28A79899">
      <w:pPr>
        <w:spacing w:after="120"/>
      </w:pPr>
      <w:r>
        <w:drawing>
          <wp:inline distT="0" distB="0" distL="114300" distR="114300">
            <wp:extent cx="5982335" cy="1350645"/>
            <wp:effectExtent l="0" t="0" r="12065" b="2095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pic:cNvPicPr>
                  </pic:nvPicPr>
                  <pic:blipFill>
                    <a:blip r:embed="rId6"/>
                    <a:stretch>
                      <a:fillRect/>
                    </a:stretch>
                  </pic:blipFill>
                  <pic:spPr>
                    <a:xfrm>
                      <a:off x="0" y="0"/>
                      <a:ext cx="5982335" cy="1350645"/>
                    </a:xfrm>
                    <a:prstGeom prst="rect">
                      <a:avLst/>
                    </a:prstGeom>
                    <a:noFill/>
                    <a:ln>
                      <a:noFill/>
                    </a:ln>
                  </pic:spPr>
                </pic:pic>
              </a:graphicData>
            </a:graphic>
          </wp:inline>
        </w:drawing>
      </w:r>
    </w:p>
    <w:p w14:paraId="3B890902">
      <w:pPr>
        <w:spacing w:after="120"/>
        <w:jc w:val="center"/>
        <w:rPr>
          <w:rFonts w:hint="default"/>
          <w:lang w:val="en-US" w:eastAsia="zh-CN"/>
        </w:rPr>
      </w:pPr>
      <w:r>
        <w:rPr>
          <w:rFonts w:hint="default"/>
          <w:b/>
          <w:bCs/>
          <w:lang w:val="en-US" w:eastAsia="zh-CN"/>
        </w:rPr>
        <w:t>Fig.2</w:t>
      </w:r>
      <w:r>
        <w:rPr>
          <w:rFonts w:hint="default" w:ascii="Times New Roman Bold" w:hAnsi="Times New Roman Bold" w:cs="Times New Roman Bold"/>
          <w:b/>
          <w:bCs/>
          <w:lang w:val="en-US"/>
        </w:rPr>
        <w:t xml:space="preserve"> SSB adaptation avoiding miss match of SSB transmission and smtc window</w:t>
      </w:r>
    </w:p>
    <w:p w14:paraId="24BDF9C4">
      <w:pPr>
        <w:spacing w:after="120"/>
        <w:rPr>
          <w:iCs/>
          <w:szCs w:val="22"/>
          <w:lang w:val="en-US" w:eastAsia="zh-CN"/>
        </w:rPr>
      </w:pPr>
    </w:p>
    <w:p w14:paraId="5D337106">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3: Periodicity and offset should be both configured for the adapted SSB pattern so that both SSBs before and after adaptation can fall in the same smtc configuration. </w:t>
      </w:r>
    </w:p>
    <w:p w14:paraId="2EEDE5DD">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4: UE assumes SSB is transmitted with the adapted periodicity and offset after a sufficient time gap after the indication signaling. </w:t>
      </w:r>
    </w:p>
    <w:p w14:paraId="2D264141">
      <w:pPr>
        <w:spacing w:after="120"/>
        <w:rPr>
          <w:iCs/>
          <w:szCs w:val="22"/>
          <w:lang w:val="en-US" w:eastAsia="zh-CN"/>
        </w:rPr>
      </w:pPr>
      <w:r>
        <w:rPr>
          <w:iCs/>
          <w:szCs w:val="22"/>
          <w:lang w:val="en-US" w:eastAsia="zh-CN"/>
        </w:rPr>
        <w:t xml:space="preserve">The time gap between UE receiving the indication of SSB adaptation and UE assuming the SSB periodicity change shall be above certain value (value can be FFS) to give UE sufficient preparation time to implement new RRM behavior on new SSB periodicity. Note that in current spec, SSB periodicity adaptation can be achieved by using RRC reconfiguration, which allows 10ms processing and application. The exact values </w:t>
      </w:r>
      <w:r>
        <w:rPr>
          <w:rFonts w:hint="default"/>
          <w:iCs/>
          <w:szCs w:val="22"/>
          <w:lang w:val="en-US" w:eastAsia="zh-CN"/>
        </w:rPr>
        <w:t xml:space="preserve">should </w:t>
      </w:r>
      <w:r>
        <w:rPr>
          <w:iCs/>
          <w:szCs w:val="22"/>
          <w:lang w:val="en-US" w:eastAsia="zh-CN"/>
        </w:rPr>
        <w:t xml:space="preserve">be determined </w:t>
      </w:r>
      <w:r>
        <w:rPr>
          <w:rFonts w:hint="default"/>
          <w:iCs/>
          <w:szCs w:val="22"/>
          <w:lang w:val="en-US" w:eastAsia="zh-CN"/>
        </w:rPr>
        <w:t xml:space="preserve">considering the SCell </w:t>
      </w:r>
      <w:r>
        <w:rPr>
          <w:iCs/>
          <w:szCs w:val="22"/>
          <w:lang w:val="en-US" w:eastAsia="zh-CN"/>
        </w:rPr>
        <w:t>scenarios.</w:t>
      </w:r>
    </w:p>
    <w:p w14:paraId="4BE7CAA3">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5</w:t>
      </w:r>
      <w:r>
        <w:rPr>
          <w:rFonts w:ascii="Times New Roman Bold" w:hAnsi="Times New Roman Bold" w:cs="Times New Roman Bold"/>
          <w:b/>
          <w:bCs/>
          <w:lang w:val="en-US"/>
        </w:rPr>
        <w:t xml:space="preserve">: </w:t>
      </w:r>
      <w:r>
        <w:rPr>
          <w:rFonts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p>
    <w:p w14:paraId="13B8F719">
      <w:pPr>
        <w:rPr>
          <w:rFonts w:hint="default"/>
          <w:iCs/>
          <w:szCs w:val="22"/>
          <w:lang w:val="en-US" w:eastAsia="zh-CN"/>
        </w:rPr>
      </w:pPr>
    </w:p>
    <w:p w14:paraId="0BFDE504">
      <w:pPr>
        <w:rPr>
          <w:rFonts w:hint="default"/>
          <w:iCs/>
          <w:szCs w:val="22"/>
          <w:lang w:val="en-US" w:eastAsia="zh-CN"/>
        </w:rPr>
      </w:pPr>
      <w:r>
        <w:rPr>
          <w:rFonts w:hint="default"/>
          <w:iCs/>
          <w:szCs w:val="22"/>
          <w:lang w:val="en-US" w:eastAsia="zh-CN"/>
        </w:rPr>
        <w:t xml:space="preserve">For the Cell DTX extension to support SSB adaptation, the main concern for Option 1 is that if there is no SSB transmission during Cell DTX non-active period, UE would not be able to obtain sync from SSB or perform measurement on SSB for a long time, especially considering the supported Cell DTX cycle value could be up to 10240ms. The adaptation not only impacts serving cell but also neighbor cell measurement since the smtc periodicity  is maximum 160ms. Therefore, the impact to UE implementation and performance as well as spec effort is huge. </w:t>
      </w:r>
    </w:p>
    <w:p w14:paraId="75704C75">
      <w:pPr>
        <w:spacing w:after="120"/>
        <w:rPr>
          <w:rFonts w:hint="default" w:ascii="Times New Roman Bold" w:hAnsi="Times New Roman Bold" w:cs="Times New Roman Bold"/>
          <w:b/>
          <w:bCs/>
          <w:iCs/>
          <w:szCs w:val="22"/>
          <w:lang w:val="en-US" w:eastAsia="zh-CN"/>
        </w:rPr>
      </w:pPr>
      <w:r>
        <w:rPr>
          <w:rFonts w:hint="default" w:ascii="Times New Roman Bold" w:hAnsi="Times New Roman Bold" w:cs="Times New Roman Bold"/>
          <w:b/>
          <w:bCs/>
          <w:iCs/>
          <w:szCs w:val="22"/>
          <w:lang w:val="en-US" w:eastAsia="zh-CN"/>
        </w:rPr>
        <w:t xml:space="preserve">Proposal 6: Do not support Option 1 for cell DTX extension to SSB. </w:t>
      </w:r>
    </w:p>
    <w:p w14:paraId="0E7F200A">
      <w:pPr>
        <w:spacing w:after="120"/>
        <w:rPr>
          <w:rFonts w:hint="default"/>
          <w:iCs/>
          <w:szCs w:val="22"/>
          <w:lang w:val="en-US" w:eastAsia="zh-CN"/>
        </w:rPr>
      </w:pPr>
      <w:r>
        <w:rPr>
          <w:rFonts w:hint="default"/>
          <w:iCs/>
          <w:szCs w:val="22"/>
          <w:lang w:val="en-US" w:eastAsia="zh-CN"/>
        </w:rPr>
        <w:t>For Option 2, if the SSB transmission during cell DTX non-active period is maximum 160ms, the impact on UE measurement could be alleviated, however, the smtc configuration also needs to adapted to be aligned/aware of the cell DTX pattern. A periodicity and offset of the SSB pattern outside cell DTX active period is also needed.</w:t>
      </w:r>
    </w:p>
    <w:p w14:paraId="09FA5825">
      <w:pPr>
        <w:spacing w:after="120"/>
        <w:rPr>
          <w:rFonts w:hint="default" w:ascii="Times New Roman Bold" w:hAnsi="Times New Roman Bold" w:cs="Times New Roman Bold"/>
          <w:b/>
          <w:bCs/>
          <w:iCs/>
          <w:szCs w:val="22"/>
          <w:lang w:val="en-US" w:eastAsia="zh-CN"/>
        </w:rPr>
      </w:pPr>
      <w:r>
        <w:rPr>
          <w:rFonts w:hint="default" w:ascii="Times New Roman Bold" w:hAnsi="Times New Roman Bold" w:cs="Times New Roman Bold"/>
          <w:b/>
          <w:bCs/>
          <w:iCs/>
          <w:szCs w:val="22"/>
          <w:lang w:val="en-US" w:eastAsia="zh-CN"/>
        </w:rPr>
        <w:t xml:space="preserve">Proposal 7: If Option 2 for cell DTX extension to SSB, the maximum supported SSB periodicity during cell DTX non-active period should be no larger than 160ms. Both periodicity and offset of the SSB transmitted during non-active period of cell DTX should also be configured. </w:t>
      </w:r>
    </w:p>
    <w:p w14:paraId="68216C6A">
      <w:pPr>
        <w:spacing w:after="120"/>
        <w:rPr>
          <w:rFonts w:hint="default"/>
          <w:iCs/>
          <w:szCs w:val="22"/>
          <w:lang w:val="en-US" w:eastAsia="zh-CN"/>
        </w:rPr>
      </w:pPr>
      <w:r>
        <w:rPr>
          <w:rFonts w:hint="default"/>
          <w:iCs/>
          <w:szCs w:val="22"/>
          <w:lang w:val="en-US" w:eastAsia="zh-CN"/>
        </w:rPr>
        <w:t xml:space="preserve">Besides the periodicity and offset configuration, for supporting cell DTX extension, a cell DTX pattern also needs to be configured. It should be discussed that whether this configured cell DTX pattern should also support legacy Rel-18 cell DTX behaviors. Since this is not the scope to extend Rel-18 cell DTX operation to SSB, and also considering the large configuration overhead to support the full flexibility of cell DTX configuration, which is over flexible for SSB adaptation, we have the following proposal: </w:t>
      </w:r>
    </w:p>
    <w:p w14:paraId="48AF88FB">
      <w:pPr>
        <w:spacing w:after="120"/>
        <w:rPr>
          <w:rFonts w:ascii="Times New Roman Bold" w:hAnsi="Times New Roman Bold" w:cs="Times New Roman Bold"/>
          <w:b/>
          <w:bCs/>
          <w:lang w:val="en-US"/>
        </w:rPr>
      </w:pPr>
      <w:r>
        <w:rPr>
          <w:rFonts w:hint="default" w:ascii="Times New Roman Bold" w:hAnsi="Times New Roman Bold" w:cs="Times New Roman Bold"/>
          <w:b/>
          <w:bCs/>
          <w:iCs/>
          <w:szCs w:val="22"/>
          <w:lang w:val="en-US" w:eastAsia="zh-CN"/>
        </w:rPr>
        <w:t>Proposal 8: Do not support cell DTX extension to SSB adaptation in Rel-19.</w:t>
      </w:r>
    </w:p>
    <w:p w14:paraId="6036C823">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PRACH adaptation </w:t>
      </w:r>
    </w:p>
    <w:p w14:paraId="50340401">
      <w:pPr>
        <w:spacing w:after="120"/>
        <w:rPr>
          <w:rFonts w:hint="default"/>
          <w:lang w:val="en-US" w:eastAsia="sv-SE"/>
        </w:rPr>
      </w:pPr>
      <w:r>
        <w:rPr>
          <w:rFonts w:hint="default"/>
          <w:lang w:val="en-US" w:eastAsia="sv-SE"/>
        </w:rPr>
        <w:t>I</w:t>
      </w:r>
      <w:r>
        <w:rPr>
          <w:lang w:val="en-US" w:eastAsia="sv-SE"/>
        </w:rPr>
        <w:t>n RAN1 #11</w:t>
      </w:r>
      <w:r>
        <w:rPr>
          <w:rFonts w:hint="default"/>
          <w:lang w:val="en-US" w:eastAsia="sv-SE"/>
        </w:rPr>
        <w:t>8</w:t>
      </w:r>
      <w:r>
        <w:rPr>
          <w:lang w:val="en-US" w:eastAsia="sv-SE"/>
        </w:rPr>
        <w:t xml:space="preserve"> meeting, there were </w:t>
      </w:r>
      <w:r>
        <w:rPr>
          <w:rFonts w:hint="default"/>
          <w:lang w:val="en-US" w:eastAsia="sv-SE"/>
        </w:rPr>
        <w:t xml:space="preserve">further </w:t>
      </w:r>
      <w:r>
        <w:rPr>
          <w:lang w:val="en-US" w:eastAsia="sv-SE"/>
        </w:rPr>
        <w:t>discussion on the relation between additionally configured PRACH resources and the PRACH resource for legacy UEs, as well as the SSB-to-RO mapping rules for the new UEs. Also the adaptation mechanisms were discussed. In this section, we provide further considerations on these aspects</w:t>
      </w:r>
      <w:r>
        <w:rPr>
          <w:rFonts w:hint="default"/>
          <w:lang w:val="en-US" w:eastAsia="sv-SE"/>
        </w:rPr>
        <w:t>.</w:t>
      </w:r>
    </w:p>
    <w:p w14:paraId="5ACADA8B">
      <w:pPr>
        <w:pStyle w:val="3"/>
        <w:spacing w:after="120"/>
        <w:rPr>
          <w:lang w:val="en-US" w:eastAsia="sv-SE"/>
        </w:rPr>
      </w:pPr>
      <w:r>
        <w:rPr>
          <w:rFonts w:hint="default"/>
          <w:lang w:val="en-US" w:eastAsia="sv-SE"/>
        </w:rPr>
        <w:t xml:space="preserve"> Configuration for additional PRACH resources </w:t>
      </w:r>
    </w:p>
    <w:p w14:paraId="1F7DF2F6">
      <w:pPr>
        <w:spacing w:after="120"/>
        <w:rPr>
          <w:lang w:val="en-US"/>
        </w:rPr>
      </w:pPr>
      <w:r>
        <w:rPr>
          <w:lang w:val="en-US"/>
        </w:rPr>
        <w:t xml:space="preserve">There were discussions on whether PRACH resources for legacy UEs and NES-capable UEs could overlap in time and frequency domain. </w:t>
      </w:r>
    </w:p>
    <w:p w14:paraId="785DD745">
      <w:pPr>
        <w:spacing w:after="120"/>
        <w:rPr>
          <w:lang w:val="en-US"/>
        </w:rPr>
      </w:pPr>
      <w:r>
        <w:rPr>
          <w:lang w:val="en-US"/>
        </w:rPr>
        <w:t xml:space="preserve">In RAN1 #117 </w:t>
      </w:r>
      <w:r>
        <w:rPr>
          <w:rFonts w:hint="default"/>
          <w:lang w:val="en-US"/>
        </w:rPr>
        <w:t xml:space="preserve">and RAN1 #118 </w:t>
      </w:r>
      <w:r>
        <w:rPr>
          <w:lang w:val="en-US"/>
        </w:rPr>
        <w:t xml:space="preserve">meeting, the following agreements were made: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7ECBC83A">
        <w:tc>
          <w:tcPr>
            <w:tcW w:w="9657" w:type="dxa"/>
          </w:tcPr>
          <w:p w14:paraId="08725A02">
            <w:pPr>
              <w:tabs>
                <w:tab w:val="left" w:pos="1440"/>
              </w:tabs>
              <w:spacing w:after="120"/>
              <w:rPr>
                <w:rFonts w:hint="default"/>
                <w:b/>
                <w:bCs/>
                <w:lang w:val="en-US" w:eastAsia="ko-KR"/>
              </w:rPr>
            </w:pPr>
            <w:r>
              <w:rPr>
                <w:b/>
                <w:bCs/>
                <w:highlight w:val="green"/>
                <w:lang w:val="en-US" w:eastAsia="ko-KR"/>
              </w:rPr>
              <w:t>Agreement</w:t>
            </w:r>
            <w:r>
              <w:rPr>
                <w:rFonts w:hint="default"/>
                <w:b/>
                <w:bCs/>
                <w:highlight w:val="green"/>
                <w:lang w:val="en-US" w:eastAsia="ko-KR"/>
              </w:rPr>
              <w:t xml:space="preserve"> (RAN1 #117)</w:t>
            </w:r>
          </w:p>
          <w:p w14:paraId="5D68B3DE">
            <w:pPr>
              <w:pStyle w:val="14"/>
              <w:jc w:val="left"/>
            </w:pPr>
            <w:r>
              <w:t xml:space="preserve">For adaptation of PRACH in time-domain, support at least the following case(s) </w:t>
            </w:r>
          </w:p>
          <w:p w14:paraId="04F48902">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Case 1: no time-domain overlap between the additional PRACH resources for NES-capable UEs and the PRACH resources for legacy UEs</w:t>
            </w:r>
          </w:p>
          <w:p w14:paraId="7F04205E">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Case 2: time-domain overlap but no overlap in frequency domain between the additional PRACH resources for NES-capable UEs and the PRACH resources for legacy UEs</w:t>
            </w:r>
          </w:p>
          <w:p w14:paraId="3541E738">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Case 3: additional PRACH resources for NES-capable UEs and legacy PRACH resources overlap neither in time nor frequency domains</w:t>
            </w:r>
          </w:p>
          <w:p w14:paraId="24BDCA4B">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rPr>
                <w:lang w:eastAsia="ko-KR"/>
              </w:rPr>
              <w:t>FFS: whether additional conditions are needed to support the above cases</w:t>
            </w:r>
          </w:p>
          <w:p w14:paraId="7B99F968">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FFS: Additional case whether full/partial overlap in both time and frequency is allowed</w:t>
            </w:r>
          </w:p>
          <w:p w14:paraId="6E9AFB2C">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rPr>
                <w:lang w:eastAsia="ko-KR"/>
              </w:rPr>
            </w:pPr>
            <w:r>
              <w:rPr>
                <w:lang w:eastAsia="ko-KR"/>
              </w:rPr>
              <w:t>Above does not preclude discussion for the case where the configuration for additional PRACH resources contains legacy PRACH resources</w:t>
            </w:r>
          </w:p>
          <w:p w14:paraId="3DADF478">
            <w:pPr>
              <w:tabs>
                <w:tab w:val="left" w:pos="1440"/>
              </w:tabs>
              <w:spacing w:after="120"/>
              <w:rPr>
                <w:rFonts w:hint="default"/>
                <w:b/>
                <w:bCs/>
                <w:lang w:val="en-US" w:eastAsia="ko-KR"/>
              </w:rPr>
            </w:pPr>
            <w:r>
              <w:rPr>
                <w:b/>
                <w:bCs/>
                <w:highlight w:val="green"/>
                <w:lang w:val="en-US" w:eastAsia="ko-KR"/>
              </w:rPr>
              <w:t>Agreement</w:t>
            </w:r>
            <w:r>
              <w:rPr>
                <w:rFonts w:hint="default"/>
                <w:b/>
                <w:bCs/>
                <w:highlight w:val="green"/>
                <w:lang w:val="en-US" w:eastAsia="ko-KR"/>
              </w:rPr>
              <w:t xml:space="preserve"> (RAN1 #117)</w:t>
            </w:r>
          </w:p>
          <w:p w14:paraId="66257BF1">
            <w:pPr>
              <w:pStyle w:val="14"/>
              <w:tabs>
                <w:tab w:val="left" w:pos="0"/>
                <w:tab w:val="clear" w:pos="1440"/>
              </w:tabs>
              <w:jc w:val="left"/>
            </w:pPr>
            <w:r>
              <w:t>At least for the case where legacy ROs and additional ROs overlap in neither time nor frequency domain, for adaptation of PRACH in time-domain, the SSB-RO mapping rule for additional PRACH resources follows the legacy SSB-RO mapping rule.</w:t>
            </w:r>
          </w:p>
          <w:p w14:paraId="7CBB5302">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Mapping SS/PBCH block indexes to valid additional PRACH occasions provided by semi-static signalling follows the legacy mapping order for preamble/time resource/frequency/PRACH slot indexes.</w:t>
            </w:r>
          </w:p>
          <w:p w14:paraId="1054C174">
            <w:pPr>
              <w:pStyle w:val="56"/>
              <w:numPr>
                <w:ilvl w:val="1"/>
                <w:numId w:val="9"/>
              </w:numPr>
              <w:overflowPunct w:val="0"/>
              <w:adjustRightInd w:val="0"/>
              <w:spacing w:after="120"/>
              <w:ind w:leftChars="0"/>
              <w:contextualSpacing/>
              <w:textAlignment w:val="baseline"/>
            </w:pPr>
            <w:r>
              <w:rPr>
                <w:rFonts w:hint="eastAsia"/>
                <w:lang w:eastAsia="ko-KR"/>
              </w:rPr>
              <w:t>N</w:t>
            </w:r>
            <w:r>
              <w:rPr>
                <w:lang w:eastAsia="ko-KR"/>
              </w:rPr>
              <w:t xml:space="preserve">ote: </w:t>
            </w:r>
            <w:r>
              <w:rPr>
                <w:color w:val="000000" w:themeColor="text1"/>
                <w:lang w:eastAsia="ko-KR"/>
                <w14:textFill>
                  <w14:solidFill>
                    <w14:schemeClr w14:val="tx1"/>
                  </w14:solidFill>
                </w14:textFill>
              </w:rPr>
              <w:t xml:space="preserve">This </w:t>
            </w:r>
            <w:r>
              <w:rPr>
                <w:lang w:eastAsia="ko-KR"/>
              </w:rPr>
              <w:t>mapping is not impacted by time domain PRACH adaptation</w:t>
            </w:r>
          </w:p>
          <w:p w14:paraId="4B956D7F">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rPr>
                <w:lang w:val="en-US"/>
              </w:rPr>
            </w:pPr>
            <w:r>
              <w:t>Validation rules for the additional PRACH resources follow the legacy validation rules for PRACH resources configured for legacy UEs.</w:t>
            </w:r>
          </w:p>
          <w:p w14:paraId="4F1F0066">
            <w:pPr>
              <w:pStyle w:val="56"/>
              <w:numPr>
                <w:ilvl w:val="0"/>
                <w:numId w:val="0"/>
              </w:numPr>
              <w:tabs>
                <w:tab w:val="left" w:pos="800"/>
                <w:tab w:val="clear" w:pos="1440"/>
              </w:tabs>
              <w:overflowPunct w:val="0"/>
              <w:autoSpaceDE w:val="0"/>
              <w:autoSpaceDN w:val="0"/>
              <w:adjustRightInd w:val="0"/>
              <w:spacing w:after="120" w:afterLines="50"/>
              <w:contextualSpacing/>
              <w:jc w:val="both"/>
              <w:textAlignment w:val="baseline"/>
            </w:pPr>
          </w:p>
          <w:p w14:paraId="52AC1650">
            <w:pPr>
              <w:keepNext w:val="0"/>
              <w:keepLines w:val="0"/>
              <w:pageBreakBefore w:val="0"/>
              <w:widowControl/>
              <w:tabs>
                <w:tab w:val="left" w:pos="1440"/>
              </w:tabs>
              <w:kinsoku/>
              <w:wordWrap/>
              <w:topLinePunct w:val="0"/>
              <w:autoSpaceDE w:val="0"/>
              <w:autoSpaceDN w:val="0"/>
              <w:bidi w:val="0"/>
              <w:snapToGrid/>
              <w:spacing w:after="0" w:afterLines="0"/>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(RAN1 #118)</w:t>
            </w:r>
          </w:p>
          <w:p w14:paraId="19AD395F">
            <w:pPr>
              <w:pStyle w:val="14"/>
              <w:keepNext w:val="0"/>
              <w:keepLines w:val="0"/>
              <w:pageBreakBefore w:val="0"/>
              <w:widowControl/>
              <w:kinsoku/>
              <w:wordWrap/>
              <w:topLinePunct w:val="0"/>
              <w:autoSpaceDE w:val="0"/>
              <w:autoSpaceDN w:val="0"/>
              <w:bidi w:val="0"/>
              <w:snapToGrid/>
              <w:spacing w:after="0" w:afterLines="0"/>
              <w:jc w:val="left"/>
              <w:rPr>
                <w:rFonts w:ascii="Times New Roman" w:hAnsi="Times New Roman"/>
              </w:rPr>
            </w:pPr>
            <w:r>
              <w:rPr>
                <w:rFonts w:ascii="Times New Roman" w:hAnsi="Times New Roman"/>
              </w:rPr>
              <w:t xml:space="preserve">Extend the RAN1#117 agreement on SSB-RO mapping rule for additional PRACH resources to Case 1 </w:t>
            </w:r>
          </w:p>
          <w:p w14:paraId="6DEDD4D8">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607C348A">
            <w:pPr>
              <w:keepNext w:val="0"/>
              <w:keepLines w:val="0"/>
              <w:pageBreakBefore w:val="0"/>
              <w:widowControl/>
              <w:tabs>
                <w:tab w:val="left" w:pos="1440"/>
              </w:tabs>
              <w:kinsoku/>
              <w:wordWrap/>
              <w:topLinePunct w:val="0"/>
              <w:autoSpaceDE w:val="0"/>
              <w:autoSpaceDN w:val="0"/>
              <w:bidi w:val="0"/>
              <w:snapToGrid/>
              <w:spacing w:after="0" w:afterLines="0"/>
              <w:rPr>
                <w:rFonts w:cs="Times"/>
                <w:b/>
                <w:bCs/>
                <w:highlight w:val="green"/>
                <w:lang w:eastAsia="zh-CN"/>
              </w:rPr>
            </w:pPr>
          </w:p>
          <w:p w14:paraId="578D5FFE">
            <w:pPr>
              <w:keepNext w:val="0"/>
              <w:keepLines w:val="0"/>
              <w:pageBreakBefore w:val="0"/>
              <w:widowControl/>
              <w:tabs>
                <w:tab w:val="left" w:pos="1440"/>
              </w:tabs>
              <w:kinsoku/>
              <w:wordWrap/>
              <w:topLinePunct w:val="0"/>
              <w:autoSpaceDE w:val="0"/>
              <w:autoSpaceDN w:val="0"/>
              <w:bidi w:val="0"/>
              <w:snapToGrid/>
              <w:spacing w:after="0" w:afterLines="0"/>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(RAN1 #118)</w:t>
            </w:r>
          </w:p>
          <w:p w14:paraId="0A710DC1">
            <w:pPr>
              <w:pStyle w:val="14"/>
              <w:keepNext w:val="0"/>
              <w:keepLines w:val="0"/>
              <w:pageBreakBefore w:val="0"/>
              <w:widowControl/>
              <w:kinsoku/>
              <w:wordWrap/>
              <w:topLinePunct w:val="0"/>
              <w:autoSpaceDE w:val="0"/>
              <w:autoSpaceDN w:val="0"/>
              <w:bidi w:val="0"/>
              <w:snapToGrid/>
              <w:spacing w:after="0" w:afterLines="0"/>
              <w:jc w:val="left"/>
              <w:rPr>
                <w:rFonts w:ascii="Times New Roman" w:hAnsi="Times New Roman"/>
              </w:rPr>
            </w:pPr>
            <w:r>
              <w:rPr>
                <w:rFonts w:ascii="Times New Roman" w:hAnsi="Times New Roman"/>
              </w:rPr>
              <w:t xml:space="preserve">For SSB-RO mapping rule for additional PRACH resources for Case 2. </w:t>
            </w:r>
          </w:p>
          <w:p w14:paraId="4C9319AF">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lang w:val="en-US"/>
              </w:rPr>
            </w:pPr>
            <w:r>
              <w:rPr>
                <w:rFonts w:ascii="Times New Roman" w:hAnsi="Times New Roman"/>
              </w:rPr>
              <w:t>Extend the RAN1#117 and RAN1#118 agreements on SSB-RO mapping</w:t>
            </w:r>
          </w:p>
        </w:tc>
      </w:tr>
    </w:tbl>
    <w:p w14:paraId="2C87AFEC">
      <w:pPr>
        <w:spacing w:after="120"/>
        <w:rPr>
          <w:lang w:val="en-US"/>
        </w:rPr>
      </w:pPr>
    </w:p>
    <w:p w14:paraId="459DC916">
      <w:pPr>
        <w:spacing w:after="120"/>
        <w:rPr>
          <w:rFonts w:hint="default"/>
          <w:lang w:val="en-US"/>
        </w:rPr>
      </w:pPr>
      <w:r>
        <w:rPr>
          <w:rFonts w:hint="default"/>
          <w:lang w:val="en-US"/>
        </w:rPr>
        <w:t xml:space="preserve">The agreements show that Case 1, 2 and 3 are supported and the illustrations are provided in the following figure. </w:t>
      </w:r>
    </w:p>
    <w:p w14:paraId="296E9AAC">
      <w:pPr>
        <w:spacing w:after="120"/>
      </w:pPr>
      <w:r>
        <w:drawing>
          <wp:inline distT="0" distB="0" distL="114300" distR="114300">
            <wp:extent cx="5986145" cy="2526665"/>
            <wp:effectExtent l="0" t="0" r="8255"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986145" cy="2526665"/>
                    </a:xfrm>
                    <a:prstGeom prst="rect">
                      <a:avLst/>
                    </a:prstGeom>
                    <a:noFill/>
                    <a:ln>
                      <a:noFill/>
                    </a:ln>
                  </pic:spPr>
                </pic:pic>
              </a:graphicData>
            </a:graphic>
          </wp:inline>
        </w:drawing>
      </w:r>
    </w:p>
    <w:p w14:paraId="70A3B4EB">
      <w:pPr>
        <w:spacing w:after="120"/>
        <w:jc w:val="center"/>
        <w:rPr>
          <w:rFonts w:hint="default"/>
          <w:lang w:val="en-US"/>
        </w:rPr>
      </w:pPr>
      <w:r>
        <w:rPr>
          <w:rFonts w:hint="default"/>
          <w:lang w:val="en-US"/>
        </w:rPr>
        <w:t>Fig.3 PRACH resources for legacy and Rel-19 NES capable UEs</w:t>
      </w:r>
    </w:p>
    <w:p w14:paraId="00C3AFDA">
      <w:pPr>
        <w:spacing w:after="120"/>
        <w:rPr>
          <w:rFonts w:hint="default"/>
          <w:lang w:val="en-US"/>
        </w:rPr>
      </w:pPr>
      <w:r>
        <w:rPr>
          <w:rFonts w:hint="default"/>
          <w:lang w:val="en-US"/>
        </w:rPr>
        <w:t xml:space="preserve">In our understanding, Case 1 and Case 3 are similar since the PRACH resources in time domain are non-overlapping. It needs to be investigated that whether the current PRACH configuration options can provide the above configuration flexibility. </w:t>
      </w:r>
    </w:p>
    <w:p w14:paraId="7BB86ACA">
      <w:pPr>
        <w:spacing w:after="120"/>
        <w:rPr>
          <w:lang w:val="en-US"/>
        </w:rPr>
      </w:pPr>
      <w:r>
        <w:rPr>
          <w:rFonts w:hint="default"/>
          <w:lang w:val="en-US"/>
        </w:rPr>
        <w:t xml:space="preserve">In RAN1 #118 meeting, the configuration options were listed as follows: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0EDD9E5D">
        <w:tc>
          <w:tcPr>
            <w:tcW w:w="9657" w:type="dxa"/>
          </w:tcPr>
          <w:p w14:paraId="69ABDD98">
            <w:pPr>
              <w:keepNext w:val="0"/>
              <w:keepLines w:val="0"/>
              <w:pageBreakBefore w:val="0"/>
              <w:widowControl/>
              <w:tabs>
                <w:tab w:val="left" w:pos="1440"/>
              </w:tabs>
              <w:kinsoku/>
              <w:wordWrap/>
              <w:topLinePunct w:val="0"/>
              <w:autoSpaceDE w:val="0"/>
              <w:autoSpaceDN w:val="0"/>
              <w:bidi w:val="0"/>
              <w:snapToGrid/>
              <w:spacing w:after="0" w:afterLines="0"/>
              <w:rPr>
                <w:rFonts w:cs="Times"/>
                <w:b/>
                <w:bCs/>
                <w:highlight w:val="green"/>
                <w:lang w:eastAsia="zh-CN"/>
              </w:rPr>
            </w:pPr>
            <w:r>
              <w:rPr>
                <w:rFonts w:cs="Times"/>
                <w:b/>
                <w:bCs/>
                <w:highlight w:val="green"/>
                <w:lang w:eastAsia="zh-CN"/>
              </w:rPr>
              <w:t>Agreement</w:t>
            </w:r>
          </w:p>
          <w:p w14:paraId="4925F698">
            <w:pPr>
              <w:keepNext w:val="0"/>
              <w:keepLines w:val="0"/>
              <w:pageBreakBefore w:val="0"/>
              <w:widowControl/>
              <w:tabs>
                <w:tab w:val="left" w:pos="0"/>
              </w:tabs>
              <w:kinsoku/>
              <w:wordWrap/>
              <w:topLinePunct w:val="0"/>
              <w:autoSpaceDE w:val="0"/>
              <w:autoSpaceDN w:val="0"/>
              <w:bidi w:val="0"/>
              <w:snapToGrid/>
              <w:spacing w:after="0" w:afterLines="0"/>
              <w:ind w:left="0" w:leftChars="0" w:firstLine="0" w:firstLineChars="0"/>
              <w:rPr>
                <w:rFonts w:ascii="Times New Roman" w:hAnsi="Times New Roman"/>
                <w:lang w:eastAsia="en-US"/>
              </w:rPr>
            </w:pPr>
            <w:r>
              <w:rPr>
                <w:rFonts w:ascii="Times New Roman" w:hAnsi="Times New Roman"/>
                <w:lang w:eastAsia="en-US"/>
              </w:rPr>
              <w:t>For adaptation of PRACH in time-domain, select at least one from the following alternatives for configuration of the additional PRACH resources</w:t>
            </w:r>
          </w:p>
          <w:p w14:paraId="5071F34B">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lang w:val="en-US"/>
              </w:rPr>
            </w:pPr>
            <w:r>
              <w:rPr>
                <w:rFonts w:ascii="Times New Roman" w:hAnsi="Times New Roman"/>
                <w:lang w:val="en-US"/>
              </w:rPr>
              <w:t xml:space="preserve">Alt 1: The PRACH configuration index for the additional PRACH resources is same as the PRACH configuration index for the legacy resources and </w:t>
            </w:r>
          </w:p>
          <w:p w14:paraId="1EA5F1D2">
            <w:pPr>
              <w:keepNext w:val="0"/>
              <w:keepLines w:val="0"/>
              <w:pageBreakBefore w:val="0"/>
              <w:widowControl/>
              <w:numPr>
                <w:ilvl w:val="1"/>
                <w:numId w:val="7"/>
              </w:numPr>
              <w:tabs>
                <w:tab w:val="left" w:pos="1440"/>
              </w:tabs>
              <w:kinsoku/>
              <w:wordWrap/>
              <w:topLinePunct w:val="0"/>
              <w:autoSpaceDE w:val="0"/>
              <w:autoSpaceDN w:val="0"/>
              <w:bidi w:val="0"/>
              <w:snapToGrid/>
              <w:spacing w:after="0" w:afterLines="0"/>
              <w:contextualSpacing/>
              <w:rPr>
                <w:rFonts w:ascii="Times New Roman" w:hAnsi="Times New Roman"/>
                <w:lang w:val="en-US"/>
              </w:rPr>
            </w:pPr>
            <w:r>
              <w:rPr>
                <w:rFonts w:ascii="Times New Roman" w:hAnsi="Times New Roman"/>
                <w:lang w:val="en-US"/>
              </w:rPr>
              <w:t>Discuss further additional mechanism(s) for determining the additional PRACH resources, e.g.</w:t>
            </w:r>
          </w:p>
          <w:p w14:paraId="5F3ABF0F">
            <w:pPr>
              <w:keepNext w:val="0"/>
              <w:keepLines w:val="0"/>
              <w:pageBreakBefore w:val="0"/>
              <w:widowControl/>
              <w:numPr>
                <w:ilvl w:val="2"/>
                <w:numId w:val="7"/>
              </w:numPr>
              <w:tabs>
                <w:tab w:val="left" w:pos="1440"/>
              </w:tabs>
              <w:kinsoku/>
              <w:wordWrap/>
              <w:topLinePunct w:val="0"/>
              <w:autoSpaceDE w:val="0"/>
              <w:autoSpaceDN w:val="0"/>
              <w:bidi w:val="0"/>
              <w:snapToGrid/>
              <w:spacing w:after="0" w:afterLines="0"/>
              <w:contextualSpacing/>
              <w:rPr>
                <w:rFonts w:ascii="Times New Roman" w:hAnsi="Times New Roman"/>
                <w:lang w:val="en-US"/>
              </w:rPr>
            </w:pPr>
            <w:r>
              <w:rPr>
                <w:rFonts w:ascii="Times New Roman" w:hAnsi="Times New Roman"/>
                <w:lang w:val="en-US"/>
              </w:rPr>
              <w:t xml:space="preserve">Opt 1-1: Scaled/adjusted PRACH configuration period </w:t>
            </w:r>
          </w:p>
          <w:p w14:paraId="6BC07E02">
            <w:pPr>
              <w:keepNext w:val="0"/>
              <w:keepLines w:val="0"/>
              <w:pageBreakBefore w:val="0"/>
              <w:widowControl/>
              <w:numPr>
                <w:ilvl w:val="2"/>
                <w:numId w:val="7"/>
              </w:numPr>
              <w:tabs>
                <w:tab w:val="left" w:pos="1440"/>
              </w:tabs>
              <w:kinsoku/>
              <w:wordWrap/>
              <w:topLinePunct w:val="0"/>
              <w:autoSpaceDE w:val="0"/>
              <w:autoSpaceDN w:val="0"/>
              <w:bidi w:val="0"/>
              <w:snapToGrid/>
              <w:spacing w:after="0" w:afterLines="0"/>
              <w:contextualSpacing/>
              <w:rPr>
                <w:rFonts w:ascii="Times New Roman" w:hAnsi="Times New Roman"/>
                <w:lang w:val="en-US"/>
              </w:rPr>
            </w:pPr>
            <w:r>
              <w:rPr>
                <w:rFonts w:ascii="Times New Roman" w:hAnsi="Times New Roman"/>
                <w:lang w:val="en-US"/>
              </w:rPr>
              <w:t>Opt 1-2: Adjusting the parameters (e.g., (x, y) value and slot number) of the PRACH configuration</w:t>
            </w:r>
          </w:p>
          <w:p w14:paraId="52AF1194">
            <w:pPr>
              <w:keepNext w:val="0"/>
              <w:keepLines w:val="0"/>
              <w:pageBreakBefore w:val="0"/>
              <w:widowControl/>
              <w:numPr>
                <w:ilvl w:val="2"/>
                <w:numId w:val="7"/>
              </w:numPr>
              <w:tabs>
                <w:tab w:val="left" w:pos="1440"/>
              </w:tabs>
              <w:kinsoku/>
              <w:wordWrap/>
              <w:topLinePunct w:val="0"/>
              <w:autoSpaceDE w:val="0"/>
              <w:autoSpaceDN w:val="0"/>
              <w:bidi w:val="0"/>
              <w:snapToGrid/>
              <w:spacing w:after="0" w:afterLines="0"/>
              <w:contextualSpacing/>
              <w:rPr>
                <w:rFonts w:ascii="Times New Roman" w:hAnsi="Times New Roman"/>
                <w:lang w:val="en-US"/>
              </w:rPr>
            </w:pPr>
            <w:r>
              <w:rPr>
                <w:rFonts w:ascii="Times New Roman" w:hAnsi="Times New Roman"/>
                <w:lang w:val="en-US"/>
              </w:rPr>
              <w:t>Opt 1-3: Muting/masking ROs</w:t>
            </w:r>
          </w:p>
          <w:p w14:paraId="7FEA038A">
            <w:pPr>
              <w:keepNext w:val="0"/>
              <w:keepLines w:val="0"/>
              <w:pageBreakBefore w:val="0"/>
              <w:widowControl/>
              <w:numPr>
                <w:ilvl w:val="2"/>
                <w:numId w:val="7"/>
              </w:numPr>
              <w:tabs>
                <w:tab w:val="left" w:pos="1440"/>
              </w:tabs>
              <w:kinsoku/>
              <w:wordWrap/>
              <w:topLinePunct w:val="0"/>
              <w:autoSpaceDE w:val="0"/>
              <w:autoSpaceDN w:val="0"/>
              <w:bidi w:val="0"/>
              <w:snapToGrid/>
              <w:spacing w:after="0" w:afterLines="0"/>
              <w:contextualSpacing/>
              <w:rPr>
                <w:rFonts w:ascii="Times New Roman" w:hAnsi="Times New Roman"/>
                <w:lang w:val="en-US"/>
              </w:rPr>
            </w:pPr>
            <w:r>
              <w:rPr>
                <w:rFonts w:ascii="Times New Roman" w:hAnsi="Times New Roman"/>
                <w:lang w:val="en-US"/>
              </w:rPr>
              <w:t>Opt 1-4: additional timing offset(s)</w:t>
            </w:r>
          </w:p>
          <w:p w14:paraId="2142488A">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lang w:val="en-US"/>
              </w:rPr>
            </w:pPr>
            <w:r>
              <w:rPr>
                <w:rFonts w:ascii="Times New Roman" w:hAnsi="Times New Roman"/>
                <w:lang w:val="en-US"/>
              </w:rPr>
              <w:t xml:space="preserve">Alt 2: The PRACH configuration index for the additional PRACH resources is different from the PRACH configuration index for the legacy resources, </w:t>
            </w:r>
          </w:p>
          <w:p w14:paraId="06E58D95">
            <w:pPr>
              <w:keepNext w:val="0"/>
              <w:keepLines w:val="0"/>
              <w:pageBreakBefore w:val="0"/>
              <w:widowControl/>
              <w:numPr>
                <w:ilvl w:val="1"/>
                <w:numId w:val="7"/>
              </w:numPr>
              <w:tabs>
                <w:tab w:val="left" w:pos="1440"/>
              </w:tabs>
              <w:kinsoku/>
              <w:wordWrap/>
              <w:topLinePunct w:val="0"/>
              <w:autoSpaceDE w:val="0"/>
              <w:autoSpaceDN w:val="0"/>
              <w:bidi w:val="0"/>
              <w:snapToGrid/>
              <w:spacing w:after="0" w:afterLines="0"/>
              <w:contextualSpacing/>
              <w:rPr>
                <w:rFonts w:ascii="Times New Roman" w:hAnsi="Times New Roman"/>
                <w:lang w:val="en-US"/>
              </w:rPr>
            </w:pPr>
            <w:r>
              <w:rPr>
                <w:rFonts w:ascii="Times New Roman" w:hAnsi="Times New Roman"/>
                <w:lang w:val="en-US"/>
              </w:rPr>
              <w:t>Discuss further additional mechanism(s) for determining the additional PRACH resources, e.g.</w:t>
            </w:r>
          </w:p>
          <w:p w14:paraId="2F75507E">
            <w:pPr>
              <w:keepNext w:val="0"/>
              <w:keepLines w:val="0"/>
              <w:pageBreakBefore w:val="0"/>
              <w:widowControl/>
              <w:numPr>
                <w:ilvl w:val="2"/>
                <w:numId w:val="7"/>
              </w:numPr>
              <w:tabs>
                <w:tab w:val="left" w:pos="1440"/>
              </w:tabs>
              <w:kinsoku/>
              <w:wordWrap/>
              <w:topLinePunct w:val="0"/>
              <w:autoSpaceDE w:val="0"/>
              <w:autoSpaceDN w:val="0"/>
              <w:bidi w:val="0"/>
              <w:snapToGrid/>
              <w:spacing w:after="0" w:afterLines="0"/>
              <w:contextualSpacing/>
              <w:rPr>
                <w:rFonts w:ascii="Times New Roman" w:hAnsi="Times New Roman"/>
                <w:lang w:val="en-US"/>
              </w:rPr>
            </w:pPr>
            <w:r>
              <w:rPr>
                <w:rFonts w:ascii="Times New Roman" w:hAnsi="Times New Roman"/>
                <w:lang w:val="en-US"/>
              </w:rPr>
              <w:t>Opt 2-1: Muting/masking ROs (e.g. for the case when the PRACH configuration index for the additional PRACH resources contains legacy resources)</w:t>
            </w:r>
          </w:p>
          <w:p w14:paraId="429DB090">
            <w:pPr>
              <w:keepNext w:val="0"/>
              <w:keepLines w:val="0"/>
              <w:pageBreakBefore w:val="0"/>
              <w:widowControl/>
              <w:numPr>
                <w:ilvl w:val="2"/>
                <w:numId w:val="7"/>
              </w:numPr>
              <w:tabs>
                <w:tab w:val="left" w:pos="1440"/>
              </w:tabs>
              <w:kinsoku/>
              <w:wordWrap/>
              <w:topLinePunct w:val="0"/>
              <w:autoSpaceDE w:val="0"/>
              <w:autoSpaceDN w:val="0"/>
              <w:bidi w:val="0"/>
              <w:snapToGrid/>
              <w:spacing w:after="0" w:afterLines="0"/>
              <w:contextualSpacing/>
              <w:rPr>
                <w:rFonts w:ascii="Times New Roman" w:hAnsi="Times New Roman"/>
                <w:lang w:val="en-US"/>
              </w:rPr>
            </w:pPr>
            <w:r>
              <w:rPr>
                <w:rFonts w:ascii="Times New Roman" w:hAnsi="Times New Roman"/>
                <w:lang w:val="en-US"/>
              </w:rPr>
              <w:t>Opt 2-2: Additional timing offset(s)</w:t>
            </w:r>
          </w:p>
          <w:p w14:paraId="368B6665">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lang w:val="en-US"/>
              </w:rPr>
            </w:pPr>
            <w:r>
              <w:rPr>
                <w:rFonts w:ascii="Times New Roman" w:hAnsi="Times New Roman"/>
                <w:lang w:val="en-US"/>
              </w:rPr>
              <w:t>FFS: Additional parameters to facilitate condensed/cluster RACH resources in time-domain (including whether needed)</w:t>
            </w:r>
          </w:p>
          <w:p w14:paraId="308AEAD5">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vertAlign w:val="baseline"/>
                <w:lang w:val="en-US"/>
              </w:rPr>
            </w:pPr>
            <w:r>
              <w:rPr>
                <w:rFonts w:ascii="Times New Roman" w:hAnsi="Times New Roman"/>
                <w:lang w:val="en-US"/>
              </w:rPr>
              <w:t>FFS: Additional frequency domain parameter(s) (e.g., freq. starting offset)</w:t>
            </w:r>
          </w:p>
        </w:tc>
      </w:tr>
    </w:tbl>
    <w:p w14:paraId="4B55E625">
      <w:pPr>
        <w:spacing w:after="120"/>
        <w:rPr>
          <w:rFonts w:ascii="Times New Roman Bold" w:hAnsi="Times New Roman Bold" w:cs="Times New Roman Bold"/>
          <w:b/>
          <w:bCs/>
          <w:lang w:val="en-US"/>
        </w:rPr>
      </w:pPr>
    </w:p>
    <w:p w14:paraId="08EC8262">
      <w:pPr>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One important basic assumption is that both legacy PRACH resources and additional PRACH resource should use the same preamble format. </w:t>
      </w:r>
    </w:p>
    <w:p w14:paraId="1F891B8F">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9: PRACH preamble format should be the same for legacy PRACH resources and additional PRACH resources. </w:t>
      </w:r>
    </w:p>
    <w:p w14:paraId="3D8FB3D5">
      <w:pPr>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Then it comes to which alternative to choose for configuration of the additional PRACH resources. </w:t>
      </w:r>
    </w:p>
    <w:p w14:paraId="175C3D3B">
      <w:pPr>
        <w:spacing w:after="120"/>
        <w:rPr>
          <w:rFonts w:hint="default" w:cs="Times New Roman"/>
          <w:b w:val="0"/>
          <w:bCs w:val="0"/>
          <w:lang w:val="en-US"/>
        </w:rPr>
      </w:pPr>
      <w:r>
        <w:rPr>
          <w:rFonts w:hint="default" w:cs="Times New Roman"/>
          <w:b w:val="0"/>
          <w:bCs w:val="0"/>
          <w:lang w:val="en-US"/>
        </w:rPr>
        <w:t>It can be observed from the PRACH configuration table that, for preamble format 1 and format 3 in FR1 PRACH configuration, by configuring different PRACH configuration index, non-overlapping PRACH resources could be configured, however, for other preamble formats especially short preamble format, almost all configuration will be overlap in time domain.</w:t>
      </w:r>
    </w:p>
    <w:p w14:paraId="736988FE">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 For preamble format 1 and format 3 in FR1 PRACH configuration, by configuring different PRACH configuration index, non-overlapping PRACH resources could be configured, however, for other preamble formats especially short preamble format, almost all configuration will be overlap in time domain.</w:t>
      </w:r>
    </w:p>
    <w:p w14:paraId="6F747792">
      <w:pPr>
        <w:spacing w:after="120"/>
        <w:ind w:left="0" w:leftChars="0" w:firstLine="0" w:firstLineChars="0"/>
        <w:rPr>
          <w:rFonts w:hint="default" w:cs="Times New Roman"/>
          <w:b w:val="0"/>
          <w:bCs w:val="0"/>
          <w:lang w:val="en-US"/>
        </w:rPr>
      </w:pPr>
      <w:r>
        <w:rPr>
          <w:rFonts w:hint="default" w:cs="Times New Roman"/>
          <w:b w:val="0"/>
          <w:bCs w:val="0"/>
          <w:lang w:val="en-US"/>
        </w:rPr>
        <w:t xml:space="preserve">It is also observed that for PRACH configurations with 160ms, 80ms and 40ms (e.g. Index 0,1,2, in Table 6.3.3.2-3), the PRACH resources are already scaled in periodicity. For PRACH configurations with 20ms and 10ms, the denser PRACH resources with more sub frames/slots are allocated. Some (most) configurations with 20ms periodicity have  a scaled version with 10ms periodicity (e.g. Index 3,4,5,6 in FR1 Table 6.3.3.2-3 can be scaled down to Index 7 and 12), while some other configurations with 20ms periodicity do not have a scaled version with 10ms periodicity (e.g. Index 154 in FR1 Table 6.3.3.2-3 does not have a scaled version). </w:t>
      </w:r>
    </w:p>
    <w:p w14:paraId="249B87B7">
      <w:pPr>
        <w:spacing w:after="120"/>
        <w:ind w:left="0" w:leftChars="0" w:firstLine="0" w:firstLineChars="0"/>
        <w:jc w:val="center"/>
        <w:rPr>
          <w:rFonts w:hint="default" w:cs="Times New Roman"/>
          <w:b w:val="0"/>
          <w:bCs w:val="0"/>
          <w:lang w:val="en-US"/>
        </w:rPr>
      </w:pPr>
      <w:r>
        <w:rPr>
          <w:rFonts w:hint="default" w:cs="Times New Roman"/>
          <w:b w:val="0"/>
          <w:bCs w:val="0"/>
          <w:lang w:val="en-US"/>
        </w:rPr>
        <w:t>Table 1 Example table of PRACH configuration for FR1 unpaired spectrum</w:t>
      </w:r>
    </w:p>
    <w:p w14:paraId="5340E7C9">
      <w:pPr>
        <w:spacing w:after="120"/>
        <w:jc w:val="center"/>
      </w:pPr>
      <w:r>
        <w:drawing>
          <wp:inline distT="0" distB="0" distL="114300" distR="114300">
            <wp:extent cx="5836285" cy="4843145"/>
            <wp:effectExtent l="0" t="0" r="5715" b="8255"/>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pic:cNvPicPr>
                  </pic:nvPicPr>
                  <pic:blipFill>
                    <a:blip r:embed="rId8"/>
                    <a:stretch>
                      <a:fillRect/>
                    </a:stretch>
                  </pic:blipFill>
                  <pic:spPr>
                    <a:xfrm>
                      <a:off x="0" y="0"/>
                      <a:ext cx="5836285" cy="4843145"/>
                    </a:xfrm>
                    <a:prstGeom prst="rect">
                      <a:avLst/>
                    </a:prstGeom>
                    <a:noFill/>
                    <a:ln>
                      <a:noFill/>
                    </a:ln>
                  </pic:spPr>
                </pic:pic>
              </a:graphicData>
            </a:graphic>
          </wp:inline>
        </w:drawing>
      </w:r>
    </w:p>
    <w:p w14:paraId="6FB21FD2">
      <w:pPr>
        <w:spacing w:after="120"/>
        <w:jc w:val="center"/>
        <w:rPr>
          <w:rFonts w:hint="default"/>
          <w:lang w:val="en-US"/>
        </w:rPr>
      </w:pPr>
      <w:r>
        <w:drawing>
          <wp:inline distT="0" distB="0" distL="114300" distR="114300">
            <wp:extent cx="5848350" cy="3019425"/>
            <wp:effectExtent l="0" t="0" r="19050" b="317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5"/>
                    <pic:cNvPicPr>
                      <a:picLocks noChangeAspect="1"/>
                    </pic:cNvPicPr>
                  </pic:nvPicPr>
                  <pic:blipFill>
                    <a:blip r:embed="rId9"/>
                    <a:stretch>
                      <a:fillRect/>
                    </a:stretch>
                  </pic:blipFill>
                  <pic:spPr>
                    <a:xfrm>
                      <a:off x="0" y="0"/>
                      <a:ext cx="5848350" cy="3019425"/>
                    </a:xfrm>
                    <a:prstGeom prst="rect">
                      <a:avLst/>
                    </a:prstGeom>
                    <a:noFill/>
                    <a:ln>
                      <a:noFill/>
                    </a:ln>
                  </pic:spPr>
                </pic:pic>
              </a:graphicData>
            </a:graphic>
          </wp:inline>
        </w:drawing>
      </w:r>
    </w:p>
    <w:p w14:paraId="4837B735">
      <w:pPr>
        <w:spacing w:after="120"/>
        <w:ind w:left="0" w:leftChars="0" w:firstLine="0" w:firstLineChars="0"/>
        <w:rPr>
          <w:rFonts w:hint="default" w:cs="Times New Roman"/>
          <w:b w:val="0"/>
          <w:bCs w:val="0"/>
          <w:lang w:val="en-US"/>
        </w:rPr>
      </w:pPr>
    </w:p>
    <w:p w14:paraId="7860FFF0">
      <w:pPr>
        <w:spacing w:after="120"/>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2: For PRACH configurations with 160ms, 80ms and 40ms (e.g. Index 0,1,2, in Table 6.3.3.2-3), the PRACH resources are already scaled in periodicity. Some (most) configurations with 20ms periodicity have a scaled version with 10ms periodicity, while some other configurations with 20ms periodicity do not have a scaled version with 10ms periodicity. </w:t>
      </w:r>
    </w:p>
    <w:p w14:paraId="7874B973">
      <w:pPr>
        <w:spacing w:after="120"/>
        <w:ind w:left="0" w:leftChars="0" w:firstLine="0" w:firstLineChars="0"/>
        <w:rPr>
          <w:rFonts w:hint="default" w:cs="Times New Roman"/>
          <w:b w:val="0"/>
          <w:bCs w:val="0"/>
          <w:lang w:val="en-US"/>
        </w:rPr>
      </w:pPr>
      <w:r>
        <w:rPr>
          <w:rFonts w:hint="default" w:cs="Times New Roman"/>
          <w:b w:val="0"/>
          <w:bCs w:val="0"/>
          <w:lang w:val="en-US"/>
        </w:rPr>
        <w:t xml:space="preserve">However, for NES purpose, it is more likely to configure legacy resources with larger than 40ms PRACH resources, considering the limited number of subframes can be allocated, we think at least a different PRACH configuration a different PRACH configuration index should be chosen for legacy and additional PRACH resources. A scaled periodicity from a 20ms periodicity to 10ms periodicity may provide more flexibility in resource configuration however that will also create non-existing PRACH resource in current spec. It can be actually up to NW to select either different or same PRACH configuration indexes, however, to reduce the spec impact, different PRACH configuration index may be sufficient. Therefore, we have the following proposal: </w:t>
      </w:r>
    </w:p>
    <w:p w14:paraId="3AFB86F0">
      <w:pPr>
        <w:spacing w:after="120"/>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10: For additional PRACH resource configuration, Alt 2, different PRACH configuration indexes can be supported. </w:t>
      </w:r>
    </w:p>
    <w:p w14:paraId="13A25AEA">
      <w:pPr>
        <w:pStyle w:val="3"/>
        <w:spacing w:after="120"/>
        <w:rPr>
          <w:lang w:val="en-US" w:eastAsia="sv-SE"/>
        </w:rPr>
      </w:pPr>
      <w:r>
        <w:rPr>
          <w:rFonts w:hint="default"/>
          <w:lang w:val="en-US" w:eastAsia="sv-SE"/>
        </w:rPr>
        <w:t xml:space="preserve"> Additional parameters to facilitate condensed/cluster RACH resources </w:t>
      </w:r>
    </w:p>
    <w:p w14:paraId="0241C42D">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There was an FFS point that whether additional parameters to facilitate condensed/cluster RACH resources in time-domain is needed in the additional PRACH resource configuration. This is also related to the alternatives to be determined for the DCI-based PRACH adaptation.</w:t>
      </w:r>
    </w:p>
    <w:p w14:paraId="3E0081FE">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In general, we consider it necessary to configure condensed/clustered RACH resources for Rel-19 NES-capable UEs to achieve higher NES gain with increased UE access latency.</w:t>
      </w:r>
    </w:p>
    <w:p w14:paraId="40400E3A">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Assuming that legacy UEs are configured with a PRACH resource with 80ms periodicity (illustrated in Fig.4 (a), assuming 2 SSBs and resulting in 160ms PRACH association pattern period for simplicity), for the additional PRACH resource, the maximum NES gain can be obtained when the additional PRACH resources are configured with 40ms periodicity, where 80ms PRACH association pattern period is resulted, see Fig.4(b). NW could enter sleep mode for almost 40ms if the additional PRACH resources are activated. If 10ms periodicity for additional PRACH resources are configured, NW could sleep for only 10ms, see Fig. 4(c)</w:t>
      </w:r>
    </w:p>
    <w:p w14:paraId="5947E39D">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If a muting pattern is configured on top of the additional PRACH resources, either in SSB-to-RO mapping cycle level, PRACH association period level or PRACH association pattern period level, resulting in a condensed PRACH resource effect, then it would create more opportunities for NW sleeping without sacrificing UE RACH latency. In Fig.4(d), three PRACH association pattern periods (20ms) are muted, while the available pattern periods provides a 80ms access latency which is the same as Fig.4(b), while the NW sleep time is around 70ms which is almost doubled compared to Fig.4(b) by using 40ms PRACH configuration periodicity.</w:t>
      </w:r>
    </w:p>
    <w:p w14:paraId="25B88975">
      <w:pPr>
        <w:spacing w:after="120"/>
        <w:ind w:left="0" w:leftChars="0" w:firstLine="0" w:firstLineChars="0"/>
      </w:pPr>
      <w:r>
        <w:drawing>
          <wp:inline distT="0" distB="0" distL="114300" distR="114300">
            <wp:extent cx="5993130" cy="2999740"/>
            <wp:effectExtent l="0" t="0" r="1270" b="2286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pic:cNvPicPr>
                  </pic:nvPicPr>
                  <pic:blipFill>
                    <a:blip r:embed="rId10"/>
                    <a:stretch>
                      <a:fillRect/>
                    </a:stretch>
                  </pic:blipFill>
                  <pic:spPr>
                    <a:xfrm>
                      <a:off x="0" y="0"/>
                      <a:ext cx="5993130" cy="2999740"/>
                    </a:xfrm>
                    <a:prstGeom prst="rect">
                      <a:avLst/>
                    </a:prstGeom>
                    <a:noFill/>
                    <a:ln>
                      <a:noFill/>
                    </a:ln>
                  </pic:spPr>
                </pic:pic>
              </a:graphicData>
            </a:graphic>
          </wp:inline>
        </w:drawing>
      </w:r>
    </w:p>
    <w:p w14:paraId="67C677C9">
      <w:pPr>
        <w:spacing w:after="120"/>
        <w:ind w:left="0" w:leftChars="0" w:firstLine="0" w:firstLineChars="0"/>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rPr>
        <w:t>Fig.4 Muting in Association pattern period to create condensed PRACH resources</w:t>
      </w:r>
    </w:p>
    <w:p w14:paraId="37B00A06">
      <w:pPr>
        <w:pStyle w:val="3"/>
        <w:spacing w:after="120"/>
        <w:rPr>
          <w:lang w:val="en-US"/>
        </w:rPr>
      </w:pPr>
      <w:r>
        <w:rPr>
          <w:lang w:val="en-US" w:eastAsia="sv-SE"/>
        </w:rPr>
        <w:t xml:space="preserve"> Adaptation on the additional PRACH resources </w:t>
      </w:r>
    </w:p>
    <w:p w14:paraId="6BD72984">
      <w:pPr>
        <w:spacing w:after="120"/>
        <w:rPr>
          <w:lang w:val="en-US"/>
        </w:rPr>
      </w:pPr>
      <w:r>
        <w:rPr>
          <w:rFonts w:hint="default"/>
          <w:lang w:val="en-US"/>
        </w:rPr>
        <w:t>F</w:t>
      </w:r>
      <w:r>
        <w:rPr>
          <w:lang w:val="en-US"/>
        </w:rPr>
        <w:t>or adaptation mechanisms for the additional PRACH resources, the agreement in last RAN1 #11</w:t>
      </w:r>
      <w:r>
        <w:rPr>
          <w:rFonts w:hint="default"/>
          <w:lang w:val="en-US"/>
        </w:rPr>
        <w:t>8</w:t>
      </w:r>
      <w:r>
        <w:rPr>
          <w:lang w:val="en-US"/>
        </w:rPr>
        <w:t xml:space="preserve"> meeting listed out </w:t>
      </w:r>
      <w:r>
        <w:rPr>
          <w:rFonts w:hint="default"/>
          <w:lang w:val="en-US"/>
        </w:rPr>
        <w:t xml:space="preserve">the </w:t>
      </w:r>
      <w:r>
        <w:rPr>
          <w:lang w:val="en-US"/>
        </w:rPr>
        <w:t xml:space="preserve">options to </w:t>
      </w:r>
      <w:r>
        <w:rPr>
          <w:rFonts w:hint="default"/>
          <w:lang w:val="en-US"/>
        </w:rPr>
        <w:t>select from</w:t>
      </w:r>
      <w:r>
        <w:rPr>
          <w:lang w:val="en-US"/>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66D9FDBD">
        <w:tc>
          <w:tcPr>
            <w:tcW w:w="9657" w:type="dxa"/>
          </w:tcPr>
          <w:p w14:paraId="36D85270">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rFonts w:ascii="Times New Roman" w:hAnsi="Times New Roman"/>
                <w:lang w:eastAsia="zh-CN"/>
              </w:rPr>
            </w:pPr>
            <w:r>
              <w:rPr>
                <w:b/>
                <w:bCs/>
                <w:highlight w:val="green"/>
                <w:lang w:eastAsia="zh-CN"/>
              </w:rPr>
              <w:t>Agreement</w:t>
            </w:r>
          </w:p>
          <w:p w14:paraId="2889CA5E">
            <w:pPr>
              <w:keepNext w:val="0"/>
              <w:keepLines w:val="0"/>
              <w:pageBreakBefore w:val="0"/>
              <w:widowControl/>
              <w:tabs>
                <w:tab w:val="left" w:pos="1440"/>
              </w:tabs>
              <w:kinsoku/>
              <w:wordWrap/>
              <w:topLinePunct w:val="0"/>
              <w:autoSpaceDE w:val="0"/>
              <w:autoSpaceDN w:val="0"/>
              <w:bidi w:val="0"/>
              <w:snapToGrid/>
              <w:spacing w:after="0" w:afterLines="0"/>
              <w:rPr>
                <w:rFonts w:ascii="Times New Roman" w:hAnsi="Times New Roman"/>
                <w:lang w:eastAsia="zh-CN"/>
              </w:rPr>
            </w:pPr>
            <w:r>
              <w:rPr>
                <w:rFonts w:ascii="Times New Roman" w:hAnsi="Times New Roman"/>
                <w:lang w:eastAsia="zh-CN"/>
              </w:rPr>
              <w:t>For DCI-based adaptation for additional PRACH resources, select only from the following alternatives</w:t>
            </w:r>
          </w:p>
          <w:p w14:paraId="628CA231">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rPr>
              <w:t>Alt 1: (</w:t>
            </w:r>
            <w:r>
              <w:rPr>
                <w:rFonts w:ascii="Times New Roman" w:hAnsi="Times New Roman"/>
                <w:lang w:val="en-US"/>
              </w:rPr>
              <w:t xml:space="preserve">PRACH </w:t>
            </w:r>
            <w:r>
              <w:rPr>
                <w:rFonts w:ascii="Times New Roman" w:hAnsi="Times New Roman"/>
              </w:rPr>
              <w:t>resource configuration level) DCI-based adaptation to indicate whether the additional PRACH resources provided by semi-static signalling are available or not</w:t>
            </w:r>
          </w:p>
          <w:p w14:paraId="7BBB71DB">
            <w:pPr>
              <w:keepNext w:val="0"/>
              <w:keepLines w:val="0"/>
              <w:pageBreakBefore w:val="0"/>
              <w:widowControl/>
              <w:numPr>
                <w:ilvl w:val="1"/>
                <w:numId w:val="11"/>
              </w:numPr>
              <w:tabs>
                <w:tab w:val="left" w:pos="1440"/>
              </w:tabs>
              <w:kinsoku/>
              <w:wordWrap/>
              <w:topLinePunct w:val="0"/>
              <w:autoSpaceDE w:val="0"/>
              <w:autoSpaceDN w:val="0"/>
              <w:bidi w:val="0"/>
              <w:snapToGrid/>
              <w:spacing w:after="0" w:afterLines="0"/>
              <w:rPr>
                <w:rFonts w:ascii="Times New Roman" w:hAnsi="Times New Roman"/>
              </w:rPr>
            </w:pPr>
            <w:r>
              <w:rPr>
                <w:rFonts w:ascii="Times New Roman" w:hAnsi="Times New Roman"/>
              </w:rPr>
              <w:t>FFS: details</w:t>
            </w:r>
          </w:p>
          <w:p w14:paraId="09AF4E93">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148C2755">
            <w:pPr>
              <w:keepNext w:val="0"/>
              <w:keepLines w:val="0"/>
              <w:pageBreakBefore w:val="0"/>
              <w:widowControl/>
              <w:numPr>
                <w:ilvl w:val="1"/>
                <w:numId w:val="11"/>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 xml:space="preserve">FFS: whether the subset of the additional PRACH resources is in </w:t>
            </w:r>
          </w:p>
          <w:p w14:paraId="2FB0D685">
            <w:pPr>
              <w:keepNext w:val="0"/>
              <w:keepLines w:val="0"/>
              <w:pageBreakBefore w:val="0"/>
              <w:widowControl/>
              <w:numPr>
                <w:ilvl w:val="2"/>
                <w:numId w:val="11"/>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2-1: RO level per SSB</w:t>
            </w:r>
          </w:p>
          <w:p w14:paraId="16CF38AB">
            <w:pPr>
              <w:keepNext w:val="0"/>
              <w:keepLines w:val="0"/>
              <w:pageBreakBefore w:val="0"/>
              <w:widowControl/>
              <w:numPr>
                <w:ilvl w:val="2"/>
                <w:numId w:val="11"/>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2-2: SSB-to-RO mapping cycle level</w:t>
            </w:r>
          </w:p>
          <w:p w14:paraId="7A3E9A3E">
            <w:pPr>
              <w:keepNext w:val="0"/>
              <w:keepLines w:val="0"/>
              <w:pageBreakBefore w:val="0"/>
              <w:widowControl/>
              <w:numPr>
                <w:ilvl w:val="2"/>
                <w:numId w:val="11"/>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2-3: PRACH association period level</w:t>
            </w:r>
          </w:p>
          <w:p w14:paraId="3964E676">
            <w:pPr>
              <w:keepNext w:val="0"/>
              <w:keepLines w:val="0"/>
              <w:pageBreakBefore w:val="0"/>
              <w:widowControl/>
              <w:numPr>
                <w:ilvl w:val="2"/>
                <w:numId w:val="11"/>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2-4: PRACH association pattern period level </w:t>
            </w:r>
          </w:p>
          <w:p w14:paraId="6F689B8C">
            <w:pPr>
              <w:keepNext w:val="0"/>
              <w:keepLines w:val="0"/>
              <w:pageBreakBefore w:val="0"/>
              <w:widowControl/>
              <w:numPr>
                <w:ilvl w:val="2"/>
                <w:numId w:val="11"/>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2-5: SFN level</w:t>
            </w:r>
          </w:p>
          <w:p w14:paraId="21B1EE79">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14:paraId="71B029E9">
            <w:pPr>
              <w:keepNext w:val="0"/>
              <w:keepLines w:val="0"/>
              <w:pageBreakBefore w:val="0"/>
              <w:widowControl/>
              <w:numPr>
                <w:ilvl w:val="1"/>
                <w:numId w:val="11"/>
              </w:numPr>
              <w:tabs>
                <w:tab w:val="left" w:pos="1440"/>
              </w:tabs>
              <w:kinsoku/>
              <w:wordWrap/>
              <w:topLinePunct w:val="0"/>
              <w:autoSpaceDE w:val="0"/>
              <w:autoSpaceDN w:val="0"/>
              <w:bidi w:val="0"/>
              <w:snapToGrid/>
              <w:spacing w:after="0" w:afterLines="0"/>
              <w:rPr>
                <w:rFonts w:ascii="Times New Roman" w:hAnsi="Times New Roman"/>
              </w:rPr>
            </w:pPr>
            <w:r>
              <w:rPr>
                <w:rFonts w:ascii="Times New Roman" w:hAnsi="Times New Roman"/>
              </w:rPr>
              <w:t>If activated, the additional configured PRACH provided by semi-static signalling within non-active period are not available.</w:t>
            </w:r>
          </w:p>
          <w:p w14:paraId="6A64E669">
            <w:pPr>
              <w:keepNext w:val="0"/>
              <w:keepLines w:val="0"/>
              <w:pageBreakBefore w:val="0"/>
              <w:widowControl/>
              <w:numPr>
                <w:ilvl w:val="1"/>
                <w:numId w:val="11"/>
              </w:numPr>
              <w:tabs>
                <w:tab w:val="left" w:pos="1440"/>
              </w:tabs>
              <w:kinsoku/>
              <w:wordWrap/>
              <w:topLinePunct w:val="0"/>
              <w:autoSpaceDE w:val="0"/>
              <w:autoSpaceDN w:val="0"/>
              <w:bidi w:val="0"/>
              <w:snapToGrid/>
              <w:spacing w:after="0" w:afterLines="0"/>
              <w:rPr>
                <w:rFonts w:ascii="Times New Roman" w:hAnsi="Times New Roman"/>
              </w:rPr>
            </w:pPr>
            <w:r>
              <w:rPr>
                <w:rFonts w:ascii="Times New Roman" w:hAnsi="Times New Roman"/>
              </w:rPr>
              <w:t>FFS: whether Alt 1 and/or Alt 2 can be applied to the active period</w:t>
            </w:r>
          </w:p>
          <w:p w14:paraId="09765E7A">
            <w:pPr>
              <w:keepNext w:val="0"/>
              <w:keepLines w:val="0"/>
              <w:pageBreakBefore w:val="0"/>
              <w:widowControl/>
              <w:numPr>
                <w:ilvl w:val="1"/>
                <w:numId w:val="11"/>
              </w:numPr>
              <w:tabs>
                <w:tab w:val="left" w:pos="1440"/>
              </w:tabs>
              <w:kinsoku/>
              <w:wordWrap/>
              <w:topLinePunct w:val="0"/>
              <w:autoSpaceDE w:val="0"/>
              <w:autoSpaceDN w:val="0"/>
              <w:bidi w:val="0"/>
              <w:snapToGrid/>
              <w:spacing w:after="0" w:afterLines="0"/>
              <w:rPr>
                <w:lang w:val="en-US"/>
              </w:rPr>
            </w:pPr>
            <w:r>
              <w:rPr>
                <w:rFonts w:ascii="Times New Roman" w:hAnsi="Times New Roman"/>
              </w:rPr>
              <w:t>FFS: details</w:t>
            </w:r>
          </w:p>
        </w:tc>
      </w:tr>
    </w:tbl>
    <w:p w14:paraId="6AA6C3A0">
      <w:pPr>
        <w:spacing w:after="120"/>
        <w:rPr>
          <w:lang w:val="en-US"/>
        </w:rPr>
      </w:pPr>
    </w:p>
    <w:p w14:paraId="042E0A63">
      <w:pPr>
        <w:spacing w:after="120"/>
        <w:rPr>
          <w:rFonts w:hint="default"/>
          <w:lang w:val="en-US"/>
        </w:rPr>
      </w:pPr>
      <w:r>
        <w:rPr>
          <w:rFonts w:hint="default"/>
          <w:lang w:val="en-US"/>
        </w:rPr>
        <w:t xml:space="preserve">According to our previous proposal, we think it is important to configure condensed PRACH resources for new UEs. Therefore Alt 2 is preferred. However, since the muting pattern can be configured together with the additional PRACH configuration, it can be further discussed what information is needed in the DCI. </w:t>
      </w:r>
    </w:p>
    <w:p w14:paraId="41BA6F5A">
      <w:pPr>
        <w:spacing w:after="120"/>
        <w:rPr>
          <w:rFonts w:hint="default"/>
          <w:lang w:val="en-US"/>
        </w:rPr>
      </w:pPr>
      <w:r>
        <w:rPr>
          <w:rFonts w:hint="default"/>
          <w:lang w:val="en-US"/>
        </w:rPr>
        <w:t xml:space="preserve">If the muting pattern, including the muting level and the bitmap to indicate which SSB-to-RO mapping cycle/PRACH association period/PRACH association pattern period is muted are all configured in SIB, the additional PRACH resources are already in a condensed pattern, then the DCI can only indicate whether the condensed PRACH resources are available or not, i.e. only 1 bit is needed. If not all configurations are provided in the additional PRACH resource configuration, it needs to be indicated in the DCI, therefore multiple bits are needed. </w:t>
      </w:r>
    </w:p>
    <w:p w14:paraId="07BAC6F9">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12: For DCI-based adaptation </w:t>
      </w:r>
      <w:r>
        <w:rPr>
          <w:rFonts w:hint="default" w:ascii="Times New Roman Bold" w:hAnsi="Times New Roman Bold" w:cs="Times New Roman Bold"/>
          <w:b/>
          <w:bCs/>
          <w:lang w:eastAsia="zh-CN"/>
        </w:rPr>
        <w:t>for additional PRACH resources,</w:t>
      </w:r>
      <w:r>
        <w:rPr>
          <w:rFonts w:hint="default" w:ascii="Times New Roman Bold" w:hAnsi="Times New Roman Bold" w:cs="Times New Roman Bold"/>
          <w:b/>
          <w:bCs/>
          <w:lang w:val="en-US" w:eastAsia="zh-CN"/>
        </w:rPr>
        <w:t xml:space="preserve"> support Alt 2. If </w:t>
      </w:r>
      <w:r>
        <w:rPr>
          <w:rFonts w:hint="default" w:ascii="Times New Roman Bold" w:hAnsi="Times New Roman Bold" w:cs="Times New Roman Bold"/>
          <w:b/>
          <w:bCs/>
          <w:lang w:val="en-US"/>
        </w:rPr>
        <w:t xml:space="preserve">the additional PRACH resources are already in a condensed pattern, 1 bit is enough to activate or deactivate the additional PRACH resources. Otherwise, multiple bits are needed to indicate the activation/deactivation of the subset of PRACH resource. </w:t>
      </w:r>
    </w:p>
    <w:p w14:paraId="021A4B7D">
      <w:pPr>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For the cell DRX extension to PRACH adaptation, we do not see any additional benefit compared to our previous proposal by configuring muting pattern to facilitate the condensed PRACH resources, therefore, we do not think Option 3 needs to be supported. </w:t>
      </w:r>
    </w:p>
    <w:p w14:paraId="16FDF0D3">
      <w:pPr>
        <w:spacing w:after="12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rPr>
        <w:t xml:space="preserve">Proposal 13: Considering no additional benefit compared to configuring muting pattern to facilitate the condensed PRACH resources, do not support cell DRX extension to PRACH adaptation in Rel-19. </w:t>
      </w:r>
    </w:p>
    <w:p w14:paraId="252607EB">
      <w:pPr>
        <w:pStyle w:val="3"/>
        <w:spacing w:after="120"/>
        <w:rPr>
          <w:lang w:val="en-US" w:eastAsia="sv-SE"/>
        </w:rPr>
      </w:pPr>
      <w:r>
        <w:rPr>
          <w:lang w:val="en-US" w:eastAsia="sv-SE"/>
        </w:rPr>
        <w:t xml:space="preserve"> </w:t>
      </w:r>
      <w:r>
        <w:rPr>
          <w:rFonts w:hint="default"/>
          <w:lang w:val="en-US" w:eastAsia="sv-SE"/>
        </w:rPr>
        <w:t>DCI formats to carry adaptation indication</w:t>
      </w:r>
    </w:p>
    <w:p w14:paraId="482630E6">
      <w:pPr>
        <w:bidi w:val="0"/>
        <w:rPr>
          <w:rFonts w:hint="default"/>
          <w:lang w:val="en-US" w:eastAsia="sv-SE"/>
        </w:rPr>
      </w:pPr>
      <w:r>
        <w:rPr>
          <w:rFonts w:hint="default"/>
          <w:lang w:val="en-US" w:eastAsia="sv-SE"/>
        </w:rPr>
        <w:t xml:space="preserve">In RAN1 #118 meeting, which DCI format can be used to convey the adaptation signaling was also discussed.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577D8420">
        <w:tc>
          <w:tcPr>
            <w:tcW w:w="9657" w:type="dxa"/>
          </w:tcPr>
          <w:p w14:paraId="567990BC">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rFonts w:ascii="Times New Roman" w:hAnsi="Times New Roman"/>
                <w:lang w:eastAsia="zh-CN"/>
              </w:rPr>
            </w:pPr>
            <w:r>
              <w:rPr>
                <w:b/>
                <w:bCs/>
                <w:highlight w:val="green"/>
                <w:lang w:eastAsia="zh-CN"/>
              </w:rPr>
              <w:t>Agreement</w:t>
            </w:r>
          </w:p>
          <w:p w14:paraId="28A82118">
            <w:pPr>
              <w:keepNext w:val="0"/>
              <w:keepLines w:val="0"/>
              <w:pageBreakBefore w:val="0"/>
              <w:widowControl/>
              <w:tabs>
                <w:tab w:val="left" w:pos="1440"/>
              </w:tabs>
              <w:kinsoku/>
              <w:wordWrap/>
              <w:topLinePunct w:val="0"/>
              <w:autoSpaceDE w:val="0"/>
              <w:autoSpaceDN w:val="0"/>
              <w:bidi w:val="0"/>
              <w:snapToGrid/>
              <w:spacing w:after="0" w:afterLines="0"/>
              <w:rPr>
                <w:rFonts w:ascii="Times New Roman" w:hAnsi="Times New Roman"/>
                <w:lang w:eastAsia="zh-CN"/>
              </w:rPr>
            </w:pPr>
            <w:r>
              <w:rPr>
                <w:rFonts w:ascii="Times New Roman" w:hAnsi="Times New Roman"/>
                <w:lang w:eastAsia="zh-CN"/>
              </w:rPr>
              <w:t xml:space="preserve">For DCI-based adaptation for additional PRACH resources, </w:t>
            </w:r>
          </w:p>
          <w:p w14:paraId="4087F1C6">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lang w:val="en-US"/>
              </w:rPr>
              <w:t xml:space="preserve">Select </w:t>
            </w:r>
            <w:r>
              <w:rPr>
                <w:rFonts w:ascii="Times New Roman" w:hAnsi="Times New Roman"/>
              </w:rPr>
              <w:t xml:space="preserve">from the following DCI format(s) to carry the adaptation indication. </w:t>
            </w:r>
          </w:p>
          <w:p w14:paraId="66B26953">
            <w:pPr>
              <w:keepNext w:val="0"/>
              <w:keepLines w:val="0"/>
              <w:pageBreakBefore w:val="0"/>
              <w:widowControl/>
              <w:numPr>
                <w:ilvl w:val="1"/>
                <w:numId w:val="7"/>
              </w:numPr>
              <w:tabs>
                <w:tab w:val="left" w:pos="1440"/>
              </w:tabs>
              <w:kinsoku/>
              <w:wordWrap/>
              <w:topLinePunct w:val="0"/>
              <w:autoSpaceDE w:val="0"/>
              <w:autoSpaceDN w:val="0"/>
              <w:bidi w:val="0"/>
              <w:snapToGrid/>
              <w:spacing w:after="0" w:afterLines="0"/>
              <w:contextualSpacing/>
              <w:rPr>
                <w:rFonts w:ascii="Times New Roman" w:hAnsi="Times New Roman"/>
              </w:rPr>
            </w:pPr>
            <w:r>
              <w:rPr>
                <w:rFonts w:ascii="Times New Roman" w:hAnsi="Times New Roman"/>
              </w:rPr>
              <w:t xml:space="preserve">DCI </w:t>
            </w:r>
            <w:r>
              <w:rPr>
                <w:rFonts w:ascii="Times New Roman" w:hAnsi="Times New Roman"/>
                <w:lang w:val="en-US"/>
              </w:rPr>
              <w:t xml:space="preserve">format </w:t>
            </w:r>
            <w:r>
              <w:rPr>
                <w:rFonts w:ascii="Times New Roman" w:hAnsi="Times New Roman"/>
              </w:rPr>
              <w:t>1_0</w:t>
            </w:r>
          </w:p>
          <w:p w14:paraId="201EBE46">
            <w:pPr>
              <w:pStyle w:val="56"/>
              <w:keepNext w:val="0"/>
              <w:keepLines w:val="0"/>
              <w:pageBreakBefore w:val="0"/>
              <w:widowControl/>
              <w:numPr>
                <w:ilvl w:val="1"/>
                <w:numId w:val="12"/>
              </w:numPr>
              <w:kinsoku/>
              <w:wordWrap/>
              <w:overflowPunct w:val="0"/>
              <w:topLinePunct w:val="0"/>
              <w:autoSpaceDE w:val="0"/>
              <w:autoSpaceDN w:val="0"/>
              <w:bidi w:val="0"/>
              <w:adjustRightInd w:val="0"/>
              <w:snapToGrid/>
              <w:spacing w:after="0" w:afterLines="0"/>
              <w:ind w:leftChars="0"/>
              <w:contextualSpacing/>
              <w:jc w:val="both"/>
              <w:textAlignment w:val="baseline"/>
              <w:rPr>
                <w:rFonts w:ascii="Times New Roman" w:hAnsi="Times New Roman"/>
              </w:rPr>
            </w:pPr>
            <w:r>
              <w:rPr>
                <w:rFonts w:ascii="Times New Roman" w:hAnsi="Times New Roman"/>
              </w:rPr>
              <w:t>DCI format 2_7</w:t>
            </w:r>
          </w:p>
          <w:p w14:paraId="6616B8AC">
            <w:pPr>
              <w:pStyle w:val="56"/>
              <w:keepNext w:val="0"/>
              <w:keepLines w:val="0"/>
              <w:pageBreakBefore w:val="0"/>
              <w:widowControl/>
              <w:numPr>
                <w:ilvl w:val="1"/>
                <w:numId w:val="12"/>
              </w:numPr>
              <w:kinsoku/>
              <w:wordWrap/>
              <w:overflowPunct w:val="0"/>
              <w:topLinePunct w:val="0"/>
              <w:autoSpaceDE w:val="0"/>
              <w:autoSpaceDN w:val="0"/>
              <w:bidi w:val="0"/>
              <w:adjustRightInd w:val="0"/>
              <w:snapToGrid/>
              <w:spacing w:after="0" w:afterLines="0"/>
              <w:ind w:leftChars="0"/>
              <w:contextualSpacing/>
              <w:jc w:val="both"/>
              <w:textAlignment w:val="baseline"/>
              <w:rPr>
                <w:rFonts w:ascii="Times New Roman" w:hAnsi="Times New Roman"/>
                <w:strike/>
              </w:rPr>
            </w:pPr>
            <w:r>
              <w:rPr>
                <w:rFonts w:ascii="Times New Roman" w:hAnsi="Times New Roman"/>
              </w:rPr>
              <w:t>DCI format 2_9</w:t>
            </w:r>
          </w:p>
          <w:p w14:paraId="1C51052E">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lang w:val="en-US"/>
              </w:rPr>
            </w:pPr>
            <w:r>
              <w:rPr>
                <w:rFonts w:ascii="Times New Roman" w:hAnsi="Times New Roman"/>
              </w:rPr>
              <w:t>FFS: existing (P-RNTI, SI-RNTI, CellDTRX-RNTI, PEI-RNTI, C-RNTI) or new RNTI used for detecting the DCI format</w:t>
            </w:r>
          </w:p>
        </w:tc>
      </w:tr>
    </w:tbl>
    <w:p w14:paraId="4F5CE922">
      <w:pPr>
        <w:bidi w:val="0"/>
        <w:rPr>
          <w:rFonts w:hint="default"/>
          <w:lang w:val="en-US" w:eastAsia="sv-SE"/>
        </w:rPr>
      </w:pPr>
    </w:p>
    <w:p w14:paraId="1AEFCE11">
      <w:pPr>
        <w:bidi w:val="0"/>
        <w:rPr>
          <w:rFonts w:hint="default"/>
          <w:lang w:val="en-US" w:eastAsia="sv-SE"/>
        </w:rPr>
      </w:pPr>
      <w:r>
        <w:rPr>
          <w:rFonts w:hint="default"/>
          <w:lang w:val="en-US" w:eastAsia="sv-SE"/>
        </w:rPr>
        <w:t>According to our understanding, for IDLE/INACTIVE UEs, only DCI format 1_0 with P-RNTI or DCI format 2_7 with PEI-RNTI would work for conveying the indication information. However, since not all IDLE/INACTIVE UE are required to monitor DCI format 2_7, we think it is reasonable to at least support DCI format 1_0 for IDLE/INACTIVE UEs. For CONNECTED UEs, DCI format 1_0 with C-RNTI would be preferred among the options.</w:t>
      </w:r>
    </w:p>
    <w:p w14:paraId="10A851EE">
      <w:pPr>
        <w:bidi w:val="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14: For indication of the PRACH adaptation, support DCI format 1_0 with P-RNTI for IDLE/INACTIVE UEs and with C-RNTI for CONNECTED UEs. </w:t>
      </w:r>
    </w:p>
    <w:p w14:paraId="02B26C46">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Paging adaptation </w:t>
      </w:r>
    </w:p>
    <w:p w14:paraId="6CED4142">
      <w:pPr>
        <w:spacing w:after="120"/>
        <w:rPr>
          <w:lang w:val="en-US"/>
        </w:rPr>
      </w:pPr>
      <w:r>
        <w:rPr>
          <w:lang w:val="en-US"/>
        </w:rPr>
        <w:t>In RAN1 #116, the general agreement on study the paging adaptation was made. In this part, we provide our consideration on the potential schemes to provide more compact Paging occasions/frames.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14:paraId="794C811E">
        <w:tc>
          <w:tcPr>
            <w:tcW w:w="9057" w:type="dxa"/>
          </w:tcPr>
          <w:p w14:paraId="372B93A2">
            <w:pPr>
              <w:tabs>
                <w:tab w:val="left" w:pos="1440"/>
              </w:tabs>
              <w:autoSpaceDE/>
              <w:autoSpaceDN/>
              <w:spacing w:after="0" w:afterLines="0"/>
              <w:ind w:left="1440" w:hanging="1440"/>
              <w:jc w:val="left"/>
              <w:rPr>
                <w:rFonts w:ascii="Times" w:hAnsi="Times"/>
                <w:b/>
                <w:bCs/>
                <w:szCs w:val="24"/>
                <w:highlight w:val="green"/>
              </w:rPr>
            </w:pPr>
            <w:r>
              <w:rPr>
                <w:rFonts w:ascii="Times" w:hAnsi="Times"/>
                <w:b/>
                <w:bCs/>
                <w:szCs w:val="24"/>
                <w:highlight w:val="green"/>
              </w:rPr>
              <w:t>Agreement</w:t>
            </w:r>
          </w:p>
          <w:p w14:paraId="2E379F6A">
            <w:pPr>
              <w:spacing w:after="120"/>
              <w:ind w:left="1440" w:hanging="1440"/>
              <w:rPr>
                <w:szCs w:val="24"/>
                <w:lang w:eastAsia="zh-CN"/>
              </w:rPr>
            </w:pPr>
            <w:r>
              <w:rPr>
                <w:szCs w:val="24"/>
                <w:lang w:eastAsia="zh-CN"/>
              </w:rPr>
              <w:t xml:space="preserve">For adaptation of paging, </w:t>
            </w:r>
          </w:p>
          <w:p w14:paraId="70DC052C">
            <w:pPr>
              <w:numPr>
                <w:ilvl w:val="0"/>
                <w:numId w:val="13"/>
              </w:numPr>
              <w:tabs>
                <w:tab w:val="left" w:pos="800"/>
              </w:tabs>
              <w:spacing w:after="120"/>
              <w:ind w:left="800" w:hanging="440"/>
              <w:jc w:val="left"/>
              <w:rPr>
                <w:szCs w:val="24"/>
                <w:lang w:eastAsia="zh-CN"/>
              </w:rPr>
            </w:pPr>
            <w:r>
              <w:rPr>
                <w:szCs w:val="24"/>
                <w:lang w:eastAsia="zh-CN"/>
              </w:rPr>
              <w:t>Study further from RAN1 perspective, techniques for adaptation of paging occasions in time-domain and achievable network energy savings</w:t>
            </w:r>
          </w:p>
          <w:p w14:paraId="2C1D5A74">
            <w:pPr>
              <w:numPr>
                <w:ilvl w:val="0"/>
                <w:numId w:val="13"/>
              </w:numPr>
              <w:tabs>
                <w:tab w:val="left" w:pos="800"/>
              </w:tabs>
              <w:spacing w:after="120"/>
              <w:ind w:left="800" w:hanging="440"/>
              <w:jc w:val="left"/>
              <w:rPr>
                <w:lang w:val="en-US"/>
              </w:rPr>
            </w:pPr>
            <w:r>
              <w:rPr>
                <w:szCs w:val="24"/>
                <w:lang w:eastAsia="zh-CN"/>
              </w:rPr>
              <w:t>Note: Specification details for PO/PF determination and paging-related configuration/procedures to be handled by RAN2</w:t>
            </w:r>
          </w:p>
        </w:tc>
      </w:tr>
    </w:tbl>
    <w:p w14:paraId="6A15A909">
      <w:pPr>
        <w:spacing w:after="120"/>
        <w:rPr>
          <w:lang w:val="en-US"/>
        </w:rPr>
      </w:pPr>
    </w:p>
    <w:p w14:paraId="42712C2C">
      <w:pPr>
        <w:spacing w:after="120"/>
        <w:rPr>
          <w:lang w:val="en-US"/>
        </w:rPr>
      </w:pPr>
      <w:r>
        <w:rPr>
          <w:lang w:val="en-US"/>
        </w:rPr>
        <w:t xml:space="preserve">In legacy NR design, paging configuration is configured in </w:t>
      </w:r>
      <w:r>
        <w:rPr>
          <w:rFonts w:ascii="Times New Roman Italic" w:hAnsi="Times New Roman Italic" w:cs="Times New Roman Italic"/>
          <w:i/>
          <w:iCs/>
          <w:lang w:val="en-US"/>
        </w:rPr>
        <w:t xml:space="preserve">PCCH-Config </w:t>
      </w:r>
      <w:r>
        <w:rPr>
          <w:lang w:val="en-US"/>
        </w:rPr>
        <w:t>in SIB1.</w:t>
      </w:r>
    </w:p>
    <w:p w14:paraId="0E08953A">
      <w:pPr>
        <w:pStyle w:val="52"/>
      </w:pPr>
      <w:r>
        <w:t xml:space="preserve">PCCH-Config ::=             </w:t>
      </w:r>
      <w:r>
        <w:rPr>
          <w:color w:val="993366"/>
        </w:rPr>
        <w:t>SEQUENCE</w:t>
      </w:r>
      <w:r>
        <w:t xml:space="preserve"> {</w:t>
      </w:r>
    </w:p>
    <w:p w14:paraId="0AE1BC67">
      <w:pPr>
        <w:pStyle w:val="52"/>
      </w:pPr>
      <w:r>
        <w:t xml:space="preserve">    defaultPagingCycle                  PagingCycle,</w:t>
      </w:r>
    </w:p>
    <w:p w14:paraId="333D076F">
      <w:pPr>
        <w:pStyle w:val="52"/>
      </w:pPr>
      <w:r>
        <w:t xml:space="preserve">    nAndPagingFrameOffset               </w:t>
      </w:r>
      <w:r>
        <w:rPr>
          <w:color w:val="993366"/>
        </w:rPr>
        <w:t>CHOICE</w:t>
      </w:r>
      <w:r>
        <w:t xml:space="preserve"> {</w:t>
      </w:r>
    </w:p>
    <w:p w14:paraId="4E7C01A8">
      <w:pPr>
        <w:pStyle w:val="52"/>
      </w:pPr>
      <w:r>
        <w:t xml:space="preserve">        oneT                                </w:t>
      </w:r>
      <w:r>
        <w:rPr>
          <w:color w:val="993366"/>
        </w:rPr>
        <w:t>NULL</w:t>
      </w:r>
      <w:r>
        <w:t>,</w:t>
      </w:r>
    </w:p>
    <w:p w14:paraId="4310C3FB">
      <w:pPr>
        <w:pStyle w:val="52"/>
      </w:pPr>
      <w:r>
        <w:t xml:space="preserve">        halfT                               </w:t>
      </w:r>
      <w:r>
        <w:rPr>
          <w:color w:val="993366"/>
        </w:rPr>
        <w:t>INTEGER</w:t>
      </w:r>
      <w:r>
        <w:t xml:space="preserve"> (0..1),</w:t>
      </w:r>
    </w:p>
    <w:p w14:paraId="056F1885">
      <w:pPr>
        <w:pStyle w:val="52"/>
      </w:pPr>
      <w:r>
        <w:t xml:space="preserve">        quarterT                            </w:t>
      </w:r>
      <w:r>
        <w:rPr>
          <w:color w:val="993366"/>
        </w:rPr>
        <w:t>INTEGER</w:t>
      </w:r>
      <w:r>
        <w:t xml:space="preserve"> (0..3),</w:t>
      </w:r>
    </w:p>
    <w:p w14:paraId="5B07F191">
      <w:pPr>
        <w:pStyle w:val="52"/>
      </w:pPr>
      <w:r>
        <w:t xml:space="preserve">        oneEighthT                          </w:t>
      </w:r>
      <w:r>
        <w:rPr>
          <w:color w:val="993366"/>
        </w:rPr>
        <w:t>INTEGER</w:t>
      </w:r>
      <w:r>
        <w:t xml:space="preserve"> (0..7),</w:t>
      </w:r>
    </w:p>
    <w:p w14:paraId="2BC19D47">
      <w:pPr>
        <w:pStyle w:val="52"/>
      </w:pPr>
      <w:r>
        <w:t xml:space="preserve">        oneSixteenthT                       </w:t>
      </w:r>
      <w:r>
        <w:rPr>
          <w:color w:val="993366"/>
        </w:rPr>
        <w:t>INTEGER</w:t>
      </w:r>
      <w:r>
        <w:t xml:space="preserve"> (0..15)</w:t>
      </w:r>
    </w:p>
    <w:p w14:paraId="128C358D">
      <w:pPr>
        <w:pStyle w:val="52"/>
      </w:pPr>
      <w:r>
        <w:t xml:space="preserve">    },</w:t>
      </w:r>
    </w:p>
    <w:p w14:paraId="49D27F1E">
      <w:pPr>
        <w:pStyle w:val="52"/>
      </w:pPr>
      <w:r>
        <w:t xml:space="preserve">    ns                                  </w:t>
      </w:r>
      <w:r>
        <w:rPr>
          <w:color w:val="993366"/>
        </w:rPr>
        <w:t>ENUMERATED</w:t>
      </w:r>
      <w:r>
        <w:t xml:space="preserve"> {four, two, one},</w:t>
      </w:r>
    </w:p>
    <w:p w14:paraId="166A69DE">
      <w:pPr>
        <w:spacing w:after="120"/>
        <w:rPr>
          <w:lang w:val="en-US"/>
        </w:rPr>
      </w:pPr>
      <w:r>
        <w:rPr>
          <w:lang w:val="en-US"/>
        </w:rPr>
        <w:t>The PF and PO for paging are determined by the following formulae:</w:t>
      </w:r>
    </w:p>
    <w:p w14:paraId="1BD9C9EE">
      <w:pPr>
        <w:spacing w:after="120"/>
        <w:ind w:firstLine="799"/>
        <w:rPr>
          <w:lang w:val="en-US"/>
        </w:rPr>
      </w:pPr>
      <w:r>
        <w:rPr>
          <w:lang w:val="en-US"/>
        </w:rPr>
        <w:t>SFN for the PF is determined by:</w:t>
      </w:r>
    </w:p>
    <w:p w14:paraId="6AF8B8C6">
      <w:pPr>
        <w:spacing w:after="120"/>
        <w:ind w:left="799" w:firstLine="799"/>
        <w:rPr>
          <w:lang w:val="en-US"/>
        </w:rPr>
      </w:pPr>
      <w:r>
        <w:rPr>
          <w:lang w:val="en-US"/>
        </w:rPr>
        <w:t>(SFN + PF_offset) mod T = (T div N)*(UE_ID mod N)</w:t>
      </w:r>
    </w:p>
    <w:p w14:paraId="6EAB29AF">
      <w:pPr>
        <w:spacing w:after="120"/>
        <w:ind w:firstLine="799"/>
        <w:rPr>
          <w:lang w:val="en-US"/>
        </w:rPr>
      </w:pPr>
      <w:r>
        <w:rPr>
          <w:lang w:val="en-US"/>
        </w:rPr>
        <w:t>Index (i_s), indicating the index of the PO is determined by:</w:t>
      </w:r>
    </w:p>
    <w:p w14:paraId="1CA3173B">
      <w:pPr>
        <w:spacing w:after="120"/>
        <w:ind w:left="799" w:firstLine="799"/>
        <w:rPr>
          <w:lang w:val="en-US"/>
        </w:rPr>
      </w:pPr>
      <w:r>
        <w:rPr>
          <w:lang w:val="en-US"/>
        </w:rPr>
        <w:t>i_s = floor (UE_ID/N) mod Ns</w:t>
      </w:r>
    </w:p>
    <w:p w14:paraId="2A1B4E03">
      <w:pPr>
        <w:spacing w:after="120"/>
      </w:pPr>
      <w:r>
        <w:rPr>
          <w:lang w:val="en-US"/>
        </w:rPr>
        <w:t>where t</w:t>
      </w:r>
      <w:r>
        <w:t>he following parameters are used for the calculation of PF and i_s above:</w:t>
      </w:r>
    </w:p>
    <w:p w14:paraId="3D0535FE">
      <w:pPr>
        <w:spacing w:after="120"/>
        <w:ind w:firstLine="799"/>
        <w:rPr>
          <w:lang w:val="en-US"/>
        </w:rPr>
      </w:pPr>
      <w:r>
        <w:rPr>
          <w:lang w:val="en-US"/>
        </w:rPr>
        <w:t>T: DRX cycle of the UE.</w:t>
      </w:r>
    </w:p>
    <w:p w14:paraId="57C1A384">
      <w:pPr>
        <w:spacing w:after="120"/>
        <w:ind w:firstLine="799"/>
        <w:rPr>
          <w:lang w:val="en-US" w:eastAsia="ko-KR"/>
        </w:rPr>
      </w:pPr>
      <w:r>
        <w:rPr>
          <w:lang w:val="en-US"/>
        </w:rPr>
        <w:t xml:space="preserve">N: number of total paging </w:t>
      </w:r>
      <w:r>
        <w:rPr>
          <w:lang w:val="en-US" w:eastAsia="ko-KR"/>
        </w:rPr>
        <w:t>frames</w:t>
      </w:r>
      <w:r>
        <w:rPr>
          <w:lang w:val="en-US"/>
        </w:rPr>
        <w:t xml:space="preserve"> in T</w:t>
      </w:r>
    </w:p>
    <w:p w14:paraId="7A26A76E">
      <w:pPr>
        <w:spacing w:after="120"/>
        <w:ind w:firstLine="799"/>
        <w:rPr>
          <w:lang w:val="en-US" w:eastAsia="zh-CN"/>
        </w:rPr>
      </w:pPr>
      <w:r>
        <w:rPr>
          <w:lang w:val="en-US" w:eastAsia="ko-KR"/>
        </w:rPr>
        <w:t xml:space="preserve">Ns: number of paging </w:t>
      </w:r>
      <w:r>
        <w:rPr>
          <w:lang w:val="en-US"/>
        </w:rPr>
        <w:t xml:space="preserve">occasions </w:t>
      </w:r>
      <w:r>
        <w:rPr>
          <w:lang w:val="en-US" w:eastAsia="ko-KR"/>
        </w:rPr>
        <w:t>for a PF</w:t>
      </w:r>
    </w:p>
    <w:p w14:paraId="6A8A4543">
      <w:pPr>
        <w:spacing w:after="120"/>
        <w:ind w:firstLine="799"/>
        <w:rPr>
          <w:lang w:val="en-US" w:eastAsia="zh-CN"/>
        </w:rPr>
      </w:pPr>
      <w:r>
        <w:rPr>
          <w:lang w:val="en-US" w:eastAsia="zh-CN"/>
        </w:rPr>
        <w:t>PF_offset: offset used for PF determination</w:t>
      </w:r>
    </w:p>
    <w:p w14:paraId="1F735401">
      <w:pPr>
        <w:spacing w:after="120"/>
        <w:ind w:firstLine="799"/>
        <w:rPr>
          <w:lang w:val="en-US"/>
        </w:rPr>
      </w:pPr>
      <w:r>
        <w:rPr>
          <w:lang w:val="en-US"/>
        </w:rPr>
        <w:t>UE_ID: 5G-S-TMSI mod 4096, if the UE operates in eDRX;  else: 5G-S-TMSI mod 1024</w:t>
      </w:r>
    </w:p>
    <w:p w14:paraId="3ADEEC2D">
      <w:pPr>
        <w:spacing w:after="120"/>
        <w:rPr>
          <w:lang w:val="en-US"/>
        </w:rPr>
      </w:pPr>
      <w:r>
        <w:rPr>
          <w:lang w:val="en-US"/>
        </w:rPr>
        <w:t>Take the following parameters as an example, T = 128 frames default paging cycle, N=T/16, PF_offset = 0, then there are only 8 paging frames per 1280ms, and these 8 paging frames are uniformly distributed within the paging cycle due to the operation of (T div N). The UEs are then sequentially distributed to the PFs according to the UE_ID due to the operation of (UE_ID mod N).</w:t>
      </w:r>
    </w:p>
    <w:p w14:paraId="54B5091C">
      <w:pPr>
        <w:spacing w:after="120"/>
        <w:jc w:val="center"/>
      </w:pPr>
      <w:r>
        <w:drawing>
          <wp:inline distT="0" distB="0" distL="114300" distR="114300">
            <wp:extent cx="3633470" cy="944245"/>
            <wp:effectExtent l="0" t="0" r="0" b="20955"/>
            <wp:docPr id="1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1"/>
                    <pic:cNvPicPr>
                      <a:picLocks noChangeAspect="1"/>
                    </pic:cNvPicPr>
                  </pic:nvPicPr>
                  <pic:blipFill>
                    <a:blip r:embed="rId11"/>
                    <a:stretch>
                      <a:fillRect/>
                    </a:stretch>
                  </pic:blipFill>
                  <pic:spPr>
                    <a:xfrm>
                      <a:off x="0" y="0"/>
                      <a:ext cx="3633470" cy="944245"/>
                    </a:xfrm>
                    <a:prstGeom prst="rect">
                      <a:avLst/>
                    </a:prstGeom>
                    <a:noFill/>
                    <a:ln>
                      <a:noFill/>
                    </a:ln>
                  </pic:spPr>
                </pic:pic>
              </a:graphicData>
            </a:graphic>
          </wp:inline>
        </w:drawing>
      </w:r>
    </w:p>
    <w:p w14:paraId="54115F91">
      <w:pPr>
        <w:spacing w:after="120"/>
        <w:jc w:val="center"/>
        <w:rPr>
          <w:lang w:val="en-US"/>
        </w:rPr>
      </w:pPr>
      <w:r>
        <w:rPr>
          <w:lang w:val="en-US"/>
        </w:rPr>
        <w:t>Fig.</w:t>
      </w:r>
      <w:r>
        <w:rPr>
          <w:rFonts w:hint="default"/>
          <w:lang w:val="en-US"/>
        </w:rPr>
        <w:t>5</w:t>
      </w:r>
      <w:r>
        <w:rPr>
          <w:lang w:val="en-US"/>
        </w:rPr>
        <w:t xml:space="preserve"> Legacy PF and UE distribution in a paging cycle</w:t>
      </w:r>
    </w:p>
    <w:p w14:paraId="762430C8">
      <w:pPr>
        <w:spacing w:after="120"/>
        <w:rPr>
          <w:lang w:val="en-US"/>
        </w:rPr>
      </w:pPr>
      <w:r>
        <w:rPr>
          <w:lang w:val="en-US"/>
        </w:rPr>
        <w:t xml:space="preserve">For Rel-19 NES enhancement, the intention is to group the </w:t>
      </w:r>
      <w:r>
        <w:t>paging resources in a compact manner,</w:t>
      </w:r>
      <w:r>
        <w:rPr>
          <w:lang w:val="en-US"/>
        </w:rPr>
        <w:t xml:space="preserve"> so that network may have more time to sleep within a paging cycle. We propose the following options for further staggering paging resources. </w:t>
      </w:r>
    </w:p>
    <w:p w14:paraId="328A7B3E">
      <w:pPr>
        <w:numPr>
          <w:ilvl w:val="0"/>
          <w:numId w:val="14"/>
        </w:numPr>
        <w:spacing w:after="120"/>
        <w:jc w:val="left"/>
        <w:rPr>
          <w:iCs/>
          <w:szCs w:val="22"/>
          <w:lang w:val="en-US" w:eastAsia="sv-SE"/>
        </w:rPr>
      </w:pPr>
      <w:r>
        <w:rPr>
          <w:rFonts w:ascii="Times New Roman Bold" w:hAnsi="Times New Roman Bold" w:cs="Times New Roman Bold"/>
          <w:b/>
          <w:bCs/>
          <w:lang w:val="en-US"/>
        </w:rPr>
        <w:t>Option 1: Enable configuring only one PF within the paging cycle</w:t>
      </w:r>
    </w:p>
    <w:p w14:paraId="2137DA11">
      <w:pPr>
        <w:spacing w:after="120"/>
        <w:rPr>
          <w:lang w:val="en-US"/>
        </w:rPr>
      </w:pPr>
      <w:r>
        <w:rPr>
          <w:lang w:val="en-US"/>
        </w:rPr>
        <w:t xml:space="preserve">Since the multiple paging frames are evenly distributed in the paging cycle, the simplest way is to configure only one PF within the paging cycle, i.e. enable N = 1. </w:t>
      </w:r>
    </w:p>
    <w:p w14:paraId="45930374">
      <w:pPr>
        <w:spacing w:after="120"/>
        <w:rPr>
          <w:lang w:val="en-US"/>
        </w:rPr>
      </w:pPr>
      <w:r>
        <w:rPr>
          <w:lang w:val="en-US"/>
        </w:rPr>
        <w:t xml:space="preserve">This requires change to the RRC configuration to allow more values configured for </w:t>
      </w:r>
      <w:r>
        <w:t>nAndPagingFrameOffset</w:t>
      </w:r>
      <w:r>
        <w:rPr>
          <w:lang w:val="en-US"/>
        </w:rPr>
        <w:t xml:space="preserve">, that is at least extend from T/16 to T/32, T/64, T/128, T/256. Then for Paging cycle T=1280ms, N=T/128, we will have only one PF within the cycle. Consequently, to accommodate for the number of UEs to be paged within one paging frame, the number of subframes for paging occasions also need to be increased, i.e. value range of Ns also needs to be increased. </w:t>
      </w:r>
    </w:p>
    <w:p w14:paraId="0B3341B5">
      <w:pPr>
        <w:spacing w:after="120"/>
        <w:jc w:val="center"/>
      </w:pPr>
      <w:r>
        <w:drawing>
          <wp:inline distT="0" distB="0" distL="114300" distR="114300">
            <wp:extent cx="1962150" cy="1222375"/>
            <wp:effectExtent l="0" t="0" r="19050" b="0"/>
            <wp:docPr id="2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4"/>
                    <pic:cNvPicPr>
                      <a:picLocks noChangeAspect="1"/>
                    </pic:cNvPicPr>
                  </pic:nvPicPr>
                  <pic:blipFill>
                    <a:blip r:embed="rId12"/>
                    <a:stretch>
                      <a:fillRect/>
                    </a:stretch>
                  </pic:blipFill>
                  <pic:spPr>
                    <a:xfrm>
                      <a:off x="0" y="0"/>
                      <a:ext cx="1962150" cy="1222375"/>
                    </a:xfrm>
                    <a:prstGeom prst="rect">
                      <a:avLst/>
                    </a:prstGeom>
                    <a:noFill/>
                    <a:ln>
                      <a:noFill/>
                    </a:ln>
                  </pic:spPr>
                </pic:pic>
              </a:graphicData>
            </a:graphic>
          </wp:inline>
        </w:drawing>
      </w:r>
    </w:p>
    <w:p w14:paraId="7BAD5BDB">
      <w:pPr>
        <w:spacing w:after="120"/>
        <w:jc w:val="center"/>
        <w:rPr>
          <w:lang w:val="en-US"/>
        </w:rPr>
      </w:pPr>
      <w:r>
        <w:rPr>
          <w:lang w:val="en-US"/>
        </w:rPr>
        <w:t>Fig.</w:t>
      </w:r>
      <w:r>
        <w:rPr>
          <w:rFonts w:hint="default"/>
          <w:lang w:val="en-US"/>
        </w:rPr>
        <w:t>6</w:t>
      </w:r>
      <w:r>
        <w:rPr>
          <w:lang w:val="en-US"/>
        </w:rPr>
        <w:t xml:space="preserve"> Enable configuring only one PF for every paging cycle</w:t>
      </w:r>
    </w:p>
    <w:p w14:paraId="7DC9B62D">
      <w:pPr>
        <w:spacing w:after="120"/>
        <w:rPr>
          <w:lang w:val="en-US"/>
        </w:rPr>
      </w:pPr>
      <w:r>
        <w:rPr>
          <w:lang w:val="en-US"/>
        </w:rPr>
        <w:t xml:space="preserve">With this option, the length of the paging frame would be longer with more monitoring occasions, and possibly larger paging group. </w:t>
      </w:r>
    </w:p>
    <w:p w14:paraId="1FDC1B07">
      <w:pPr>
        <w:numPr>
          <w:ilvl w:val="0"/>
          <w:numId w:val="14"/>
        </w:num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Option 2: Stagger uniformly distributed PFs in one paging cycle into consecutive PFs</w:t>
      </w:r>
    </w:p>
    <w:p w14:paraId="7BE00B97">
      <w:pPr>
        <w:spacing w:after="120"/>
        <w:rPr>
          <w:lang w:val="en-US" w:eastAsia="zh-CN"/>
        </w:rPr>
      </w:pPr>
      <w:r>
        <w:rPr>
          <w:lang w:val="en-US" w:eastAsia="zh-CN"/>
        </w:rPr>
        <w:t xml:space="preserve">Another option is to stagger the uniformly distributed PFs into consecutive PFs. Since the uniform distribution of PF is due to the (T div N) operation PF calculation equation, we could concentrate PFs within one paging cycle by changing the equation to (SFN + PF_offset) mod T = UE_ID mod N, while the PO calculation equation remains unchanged. </w:t>
      </w:r>
    </w:p>
    <w:p w14:paraId="1EAD153E">
      <w:pPr>
        <w:spacing w:after="120"/>
        <w:jc w:val="center"/>
      </w:pPr>
      <w:r>
        <w:drawing>
          <wp:inline distT="0" distB="0" distL="114300" distR="114300">
            <wp:extent cx="2851785" cy="1032510"/>
            <wp:effectExtent l="0" t="0" r="18415" b="8255"/>
            <wp:docPr id="2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5"/>
                    <pic:cNvPicPr>
                      <a:picLocks noChangeAspect="1"/>
                    </pic:cNvPicPr>
                  </pic:nvPicPr>
                  <pic:blipFill>
                    <a:blip r:embed="rId13"/>
                    <a:stretch>
                      <a:fillRect/>
                    </a:stretch>
                  </pic:blipFill>
                  <pic:spPr>
                    <a:xfrm>
                      <a:off x="0" y="0"/>
                      <a:ext cx="2851785" cy="1032510"/>
                    </a:xfrm>
                    <a:prstGeom prst="rect">
                      <a:avLst/>
                    </a:prstGeom>
                    <a:noFill/>
                    <a:ln>
                      <a:noFill/>
                    </a:ln>
                  </pic:spPr>
                </pic:pic>
              </a:graphicData>
            </a:graphic>
          </wp:inline>
        </w:drawing>
      </w:r>
    </w:p>
    <w:p w14:paraId="17AD9A7D">
      <w:pPr>
        <w:spacing w:after="120"/>
        <w:jc w:val="center"/>
        <w:rPr>
          <w:lang w:val="en-US"/>
        </w:rPr>
      </w:pPr>
      <w:r>
        <w:rPr>
          <w:lang w:val="en-US"/>
        </w:rPr>
        <w:t>Fig.</w:t>
      </w:r>
      <w:r>
        <w:rPr>
          <w:rFonts w:hint="default"/>
          <w:lang w:val="en-US"/>
        </w:rPr>
        <w:t>7</w:t>
      </w:r>
      <w:r>
        <w:rPr>
          <w:lang w:val="en-US"/>
        </w:rPr>
        <w:t>Staggering distributed PRs into consecutive PFs</w:t>
      </w:r>
    </w:p>
    <w:p w14:paraId="1563DC1F">
      <w:pPr>
        <w:spacing w:after="120"/>
        <w:jc w:val="left"/>
        <w:rPr>
          <w:rFonts w:ascii="Times New Roman Bold" w:hAnsi="Times New Roman Bold" w:cs="Times New Roman Bold"/>
          <w:b/>
          <w:bCs/>
          <w:lang w:val="en-US"/>
        </w:rPr>
      </w:pPr>
      <w:r>
        <w:rPr>
          <w:lang w:val="en-US" w:eastAsia="zh-CN"/>
        </w:rPr>
        <w:t xml:space="preserve">Note that, for Option 1 and Option 2, either the RRC configuration parameter or the PF equation is changed, </w:t>
      </w:r>
      <w:r>
        <w:rPr>
          <w:rFonts w:hint="eastAsia" w:eastAsia="Malgun Gothic"/>
          <w:lang w:val="en-US" w:eastAsia="ko-KR"/>
        </w:rPr>
        <w:t xml:space="preserve">and thus </w:t>
      </w:r>
      <w:r>
        <w:rPr>
          <w:lang w:val="en-US" w:eastAsia="zh-CN"/>
        </w:rPr>
        <w:t xml:space="preserve">they actually changed the paging resource from network perspective. Legacy UEs can not recognize these resource, therefore, separate resources needs to be configured for legacy UEs and new UEs. </w:t>
      </w:r>
    </w:p>
    <w:p w14:paraId="158DD2DB">
      <w:pPr>
        <w:numPr>
          <w:ilvl w:val="0"/>
          <w:numId w:val="14"/>
        </w:numPr>
        <w:spacing w:after="120"/>
        <w:jc w:val="left"/>
        <w:rPr>
          <w:rFonts w:ascii="Times New Roman Bold" w:hAnsi="Times New Roman Bold" w:cs="Times New Roman Bold"/>
          <w:b/>
          <w:bCs/>
          <w:lang w:val="en-US" w:eastAsia="sv-SE"/>
        </w:rPr>
      </w:pPr>
      <w:r>
        <w:rPr>
          <w:rFonts w:ascii="Times New Roman Bold" w:hAnsi="Times New Roman Bold" w:cs="Times New Roman Bold"/>
          <w:b/>
          <w:bCs/>
          <w:lang w:val="en-US" w:eastAsia="sv-SE"/>
        </w:rPr>
        <w:t xml:space="preserve">Option 3: Map UEs to concentrated PF/POs to enable gNB sleeping in PFs without UE mapping </w:t>
      </w:r>
    </w:p>
    <w:p w14:paraId="73592988">
      <w:pPr>
        <w:spacing w:after="120"/>
        <w:rPr>
          <w:lang w:val="en-US"/>
        </w:rPr>
      </w:pPr>
      <w:r>
        <w:rPr>
          <w:lang w:val="en-US"/>
        </w:rPr>
        <w:t xml:space="preserve">In legacy PF mapping formula, the UEs are sequentially mapped to PFs according to their UE_ID, according to the operation (UE_ID mod N). To allow more time for gNB sleeping, if the UEs could be mapped to only a subset of concentrated PFs, e.g. the first several PFs, it would allow gNB to sleep for the rest PFs. </w:t>
      </w:r>
    </w:p>
    <w:p w14:paraId="772AA9CB">
      <w:pPr>
        <w:spacing w:after="120"/>
        <w:rPr>
          <w:lang w:val="en-US"/>
        </w:rPr>
      </w:pPr>
      <w:r>
        <w:rPr>
          <w:lang w:val="en-US"/>
        </w:rPr>
        <w:t>Rel-19 NES UEs could be configured with a group_ID to replace UE_ID when determining the PF and PO</w:t>
      </w:r>
      <w:r>
        <w:rPr>
          <w:rFonts w:hint="eastAsia" w:eastAsia="Malgun Gothic"/>
          <w:lang w:val="en-US" w:eastAsia="ko-KR"/>
        </w:rPr>
        <w:t>. Therefore,</w:t>
      </w:r>
      <w:r>
        <w:rPr>
          <w:lang w:val="en-US"/>
        </w:rPr>
        <w:t xml:space="preserve"> the UEs that are configured with the same group_ID will be confined within the same PF</w:t>
      </w:r>
      <w:r>
        <w:rPr>
          <w:rFonts w:hint="eastAsia" w:eastAsia="Malgun Gothic"/>
          <w:lang w:val="en-US" w:eastAsia="ko-KR"/>
        </w:rPr>
        <w:t>. B</w:t>
      </w:r>
      <w:r>
        <w:rPr>
          <w:lang w:val="en-US"/>
        </w:rPr>
        <w:t>y setting group_ID, NW could ensure that all these UEs are mapped to particular PFs instead of spread</w:t>
      </w:r>
      <w:r>
        <w:rPr>
          <w:rFonts w:hint="eastAsia" w:eastAsia="Malgun Gothic"/>
          <w:lang w:val="en-US" w:eastAsia="ko-KR"/>
        </w:rPr>
        <w:t>ing out</w:t>
      </w:r>
      <w:r>
        <w:rPr>
          <w:lang w:val="en-US"/>
        </w:rPr>
        <w:t xml:space="preserve"> all over the paging cycle. </w:t>
      </w:r>
    </w:p>
    <w:p w14:paraId="4CAEB628">
      <w:pPr>
        <w:spacing w:after="120"/>
        <w:jc w:val="center"/>
      </w:pPr>
      <w:r>
        <w:drawing>
          <wp:inline distT="0" distB="0" distL="114300" distR="114300">
            <wp:extent cx="3301365" cy="1783080"/>
            <wp:effectExtent l="0" t="0" r="635" b="20320"/>
            <wp:docPr id="2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6"/>
                    <pic:cNvPicPr>
                      <a:picLocks noChangeAspect="1"/>
                    </pic:cNvPicPr>
                  </pic:nvPicPr>
                  <pic:blipFill>
                    <a:blip r:embed="rId14"/>
                    <a:stretch>
                      <a:fillRect/>
                    </a:stretch>
                  </pic:blipFill>
                  <pic:spPr>
                    <a:xfrm>
                      <a:off x="0" y="0"/>
                      <a:ext cx="3301365" cy="1783080"/>
                    </a:xfrm>
                    <a:prstGeom prst="rect">
                      <a:avLst/>
                    </a:prstGeom>
                    <a:noFill/>
                    <a:ln>
                      <a:noFill/>
                    </a:ln>
                  </pic:spPr>
                </pic:pic>
              </a:graphicData>
            </a:graphic>
          </wp:inline>
        </w:drawing>
      </w:r>
    </w:p>
    <w:p w14:paraId="134071BB">
      <w:pPr>
        <w:spacing w:after="120"/>
        <w:jc w:val="center"/>
        <w:rPr>
          <w:lang w:val="en-US"/>
        </w:rPr>
      </w:pPr>
      <w:r>
        <w:rPr>
          <w:lang w:val="en-US"/>
        </w:rPr>
        <w:t>Fig.</w:t>
      </w:r>
      <w:r>
        <w:rPr>
          <w:rFonts w:hint="default"/>
          <w:lang w:val="en-US"/>
        </w:rPr>
        <w:t xml:space="preserve">8 </w:t>
      </w:r>
      <w:r>
        <w:rPr>
          <w:lang w:val="en-US"/>
        </w:rPr>
        <w:t>Mapping UEs to concentrated PF/POs</w:t>
      </w:r>
    </w:p>
    <w:p w14:paraId="0F57D4BE">
      <w:pPr>
        <w:spacing w:after="120"/>
        <w:jc w:val="left"/>
        <w:rPr>
          <w:lang w:val="en-US"/>
        </w:rPr>
      </w:pPr>
      <w:r>
        <w:rPr>
          <w:lang w:val="en-US"/>
        </w:rPr>
        <w:t xml:space="preserve">By using Option 3, even when legacy UEs and Rel-19 NES-capable UEs share the same paging resource, it also provides gNB opportunity to sleep if gNB finds there are no legacy UEs to page on those PFs that there are fewer UEs mapped.  </w:t>
      </w:r>
    </w:p>
    <w:p w14:paraId="5DA95750">
      <w:pPr>
        <w:keepNext w:val="0"/>
        <w:keepLines w:val="0"/>
        <w:pageBreakBefore w:val="0"/>
        <w:widowControl/>
        <w:kinsoku/>
        <w:wordWrap/>
        <w:overflowPunct/>
        <w:topLinePunct w:val="0"/>
        <w:autoSpaceDE w:val="0"/>
        <w:autoSpaceDN w:val="0"/>
        <w:bidi w:val="0"/>
        <w:adjustRightInd/>
        <w:snapToGrid/>
        <w:spacing w:after="0" w:afterLines="0"/>
        <w:textAlignment w:val="auto"/>
        <w:rPr>
          <w:rFonts w:ascii="Times New Roman Bold" w:hAnsi="Times New Roman Bold" w:cs="Times New Roman Bold"/>
          <w:b/>
          <w:bCs/>
          <w:lang w:val="en-US"/>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15</w:t>
      </w:r>
      <w:r>
        <w:rPr>
          <w:rFonts w:ascii="Times New Roman Bold" w:hAnsi="Times New Roman Bold" w:cs="Times New Roman Bold"/>
          <w:b/>
          <w:bCs/>
          <w:lang w:val="en-US"/>
        </w:rPr>
        <w:t xml:space="preserve">: Consider the following options for Paging adaptation </w:t>
      </w:r>
    </w:p>
    <w:p w14:paraId="15CFDDF9">
      <w:pPr>
        <w:keepNext w:val="0"/>
        <w:keepLines w:val="0"/>
        <w:pageBreakBefore w:val="0"/>
        <w:widowControl/>
        <w:numPr>
          <w:ilvl w:val="0"/>
          <w:numId w:val="14"/>
        </w:numPr>
        <w:kinsoku/>
        <w:wordWrap/>
        <w:overflowPunct/>
        <w:topLinePunct w:val="0"/>
        <w:autoSpaceDE w:val="0"/>
        <w:autoSpaceDN w:val="0"/>
        <w:bidi w:val="0"/>
        <w:adjustRightInd/>
        <w:snapToGrid/>
        <w:spacing w:after="0" w:afterLines="0"/>
        <w:jc w:val="left"/>
        <w:textAlignment w:val="auto"/>
        <w:rPr>
          <w:iCs/>
          <w:szCs w:val="22"/>
          <w:lang w:val="en-US" w:eastAsia="sv-SE"/>
        </w:rPr>
      </w:pPr>
      <w:r>
        <w:rPr>
          <w:rFonts w:ascii="Times New Roman Bold" w:hAnsi="Times New Roman Bold" w:cs="Times New Roman Bold"/>
          <w:b/>
          <w:bCs/>
          <w:lang w:val="en-US"/>
        </w:rPr>
        <w:t>Option 1: Enable configuring only one PF within the paging cycle</w:t>
      </w:r>
    </w:p>
    <w:p w14:paraId="49022F1D">
      <w:pPr>
        <w:keepNext w:val="0"/>
        <w:keepLines w:val="0"/>
        <w:pageBreakBefore w:val="0"/>
        <w:widowControl/>
        <w:numPr>
          <w:ilvl w:val="0"/>
          <w:numId w:val="14"/>
        </w:numPr>
        <w:kinsoku/>
        <w:wordWrap/>
        <w:overflowPunct/>
        <w:topLinePunct w:val="0"/>
        <w:autoSpaceDE w:val="0"/>
        <w:autoSpaceDN w:val="0"/>
        <w:bidi w:val="0"/>
        <w:adjustRightInd/>
        <w:snapToGrid/>
        <w:spacing w:after="0" w:afterLines="0"/>
        <w:jc w:val="left"/>
        <w:textAlignment w:val="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Option 2: Stagger uniformly distributed PFs in one paging cycle into consecutive PFs</w:t>
      </w:r>
    </w:p>
    <w:p w14:paraId="460D3D03">
      <w:pPr>
        <w:keepNext w:val="0"/>
        <w:keepLines w:val="0"/>
        <w:pageBreakBefore w:val="0"/>
        <w:widowControl/>
        <w:numPr>
          <w:ilvl w:val="0"/>
          <w:numId w:val="14"/>
        </w:numPr>
        <w:kinsoku/>
        <w:wordWrap/>
        <w:overflowPunct/>
        <w:topLinePunct w:val="0"/>
        <w:autoSpaceDE w:val="0"/>
        <w:autoSpaceDN w:val="0"/>
        <w:bidi w:val="0"/>
        <w:adjustRightInd/>
        <w:snapToGrid/>
        <w:spacing w:after="0" w:afterLines="0"/>
        <w:jc w:val="left"/>
        <w:textAlignment w:val="auto"/>
        <w:rPr>
          <w:rFonts w:ascii="Times New Roman Bold" w:hAnsi="Times New Roman Bold" w:cs="Times New Roman Bold"/>
          <w:b/>
          <w:bCs/>
          <w:lang w:val="en-US" w:eastAsia="sv-SE"/>
        </w:rPr>
      </w:pPr>
      <w:r>
        <w:rPr>
          <w:rFonts w:ascii="Times New Roman Bold" w:hAnsi="Times New Roman Bold" w:cs="Times New Roman Bold"/>
          <w:b/>
          <w:bCs/>
          <w:lang w:val="en-US" w:eastAsia="sv-SE"/>
        </w:rPr>
        <w:t xml:space="preserve">Option 3: Map UEs to concentrated PF/POs  </w:t>
      </w:r>
    </w:p>
    <w:p w14:paraId="599F7F32">
      <w:pPr>
        <w:spacing w:after="120"/>
        <w:jc w:val="left"/>
        <w:rPr>
          <w:lang w:val="en-US"/>
        </w:rPr>
      </w:pPr>
    </w:p>
    <w:p w14:paraId="4B8D9659">
      <w:pPr>
        <w:spacing w:after="120"/>
        <w:jc w:val="left"/>
        <w:rPr>
          <w:lang w:val="en-US"/>
        </w:rPr>
      </w:pPr>
      <w:r>
        <w:rPr>
          <w:lang w:val="en-US"/>
        </w:rPr>
        <w:t>Note that in Rel-17, PEI was introduced enable UE power saving in idle/inactive mode. With the adaptation of PFs and POs, the PEI indication may also need to be adapted as well. The impact of paging resource adaptation on PEI should also be considered.</w:t>
      </w:r>
    </w:p>
    <w:p w14:paraId="57B20A1A">
      <w:pPr>
        <w:spacing w:after="120"/>
        <w:rPr>
          <w:lang w:val="en-US"/>
        </w:rPr>
      </w:pPr>
      <w:r>
        <w:rPr>
          <w:rFonts w:ascii="Times New Roman Bold" w:hAnsi="Times New Roman Bold" w:cs="Times New Roman Bold"/>
          <w:b/>
          <w:bCs/>
          <w:lang w:val="en-US"/>
        </w:rPr>
        <w:t>Proposal 1</w:t>
      </w:r>
      <w:r>
        <w:rPr>
          <w:rFonts w:hint="default" w:ascii="Times New Roman Bold" w:hAnsi="Times New Roman Bold" w:cs="Times New Roman Bold"/>
          <w:b/>
          <w:bCs/>
          <w:lang w:val="en-US"/>
        </w:rPr>
        <w:t>6</w:t>
      </w:r>
      <w:r>
        <w:rPr>
          <w:rFonts w:ascii="Times New Roman Bold" w:hAnsi="Times New Roman Bold" w:cs="Times New Roman Bold"/>
          <w:b/>
          <w:bCs/>
          <w:lang w:val="en-US"/>
        </w:rPr>
        <w:t xml:space="preserve">: Impact of paging resource adaptation on PEI should also be considered. </w:t>
      </w:r>
    </w:p>
    <w:p w14:paraId="339270EC">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0BAE109E">
      <w:pPr>
        <w:spacing w:after="120"/>
        <w:rPr>
          <w:rFonts w:eastAsia="Times New Roman"/>
          <w:lang w:val="en-US" w:eastAsia="zh-CN"/>
        </w:rPr>
      </w:pPr>
      <w:r>
        <w:rPr>
          <w:rFonts w:eastAsia="Times New Roman"/>
          <w:lang w:val="en-US" w:eastAsia="zh-CN"/>
        </w:rPr>
        <w:t xml:space="preserve">In this contribution, we discussed on the signaling and adaptation mechanisms for common SSB, PRACH and Paging for Rel-19 NES enhancements, the following proposal are made: </w:t>
      </w:r>
    </w:p>
    <w:p w14:paraId="2B25EBD9">
      <w:p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SSB adaptation</w:t>
      </w:r>
    </w:p>
    <w:p w14:paraId="3F47EBE4">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Do not support SSB adaptation for PCell in Rel-19.</w:t>
      </w:r>
    </w:p>
    <w:p w14:paraId="6E4B9651">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Do not support adaptation for CD-SSBs where SSB is configured with periodicity &gt;20ms for SCell.</w:t>
      </w:r>
    </w:p>
    <w:p w14:paraId="424AC102">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3: Periodicity and offset should be both configured for the adapted SSB pattern so that both SSBs before and after adaptation can fall in the same smtc configuration. </w:t>
      </w:r>
    </w:p>
    <w:p w14:paraId="4723A554">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4: UE assumes SSB is transmitted with the adapted periodicity and offset after a sufficient time gap after the indication signaling. </w:t>
      </w:r>
    </w:p>
    <w:p w14:paraId="6AF6A59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5</w:t>
      </w:r>
      <w:r>
        <w:rPr>
          <w:rFonts w:ascii="Times New Roman Bold" w:hAnsi="Times New Roman Bold" w:cs="Times New Roman Bold"/>
          <w:b/>
          <w:bCs/>
          <w:lang w:val="en-US"/>
        </w:rPr>
        <w:t xml:space="preserve">: </w:t>
      </w:r>
      <w:r>
        <w:rPr>
          <w:rFonts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p>
    <w:p w14:paraId="0F4B7008">
      <w:pPr>
        <w:spacing w:after="120"/>
        <w:jc w:val="left"/>
        <w:rPr>
          <w:rFonts w:ascii="Times New Roman Bold" w:hAnsi="Times New Roman Bold" w:cs="Times New Roman Bold"/>
          <w:b/>
          <w:bCs/>
          <w:lang w:val="en-US"/>
        </w:rPr>
      </w:pPr>
    </w:p>
    <w:p w14:paraId="5E0E6949">
      <w:pPr>
        <w:spacing w:after="120"/>
        <w:rPr>
          <w:rFonts w:hint="default" w:ascii="Times New Roman Bold" w:hAnsi="Times New Roman Bold" w:cs="Times New Roman Bold"/>
          <w:b/>
          <w:bCs/>
          <w:iCs/>
          <w:szCs w:val="22"/>
          <w:lang w:val="en-US" w:eastAsia="zh-CN"/>
        </w:rPr>
      </w:pPr>
      <w:r>
        <w:rPr>
          <w:rFonts w:hint="default" w:ascii="Times New Roman Bold" w:hAnsi="Times New Roman Bold" w:cs="Times New Roman Bold"/>
          <w:b/>
          <w:bCs/>
          <w:iCs/>
          <w:szCs w:val="22"/>
          <w:lang w:val="en-US" w:eastAsia="zh-CN"/>
        </w:rPr>
        <w:t xml:space="preserve">Proposal 6: Do not support Option 1 for cell DTX extension to SSB. </w:t>
      </w:r>
    </w:p>
    <w:p w14:paraId="7FDFA6EF">
      <w:pPr>
        <w:spacing w:after="120"/>
        <w:rPr>
          <w:rFonts w:hint="default" w:ascii="Times New Roman Bold" w:hAnsi="Times New Roman Bold" w:cs="Times New Roman Bold"/>
          <w:b/>
          <w:bCs/>
          <w:iCs/>
          <w:szCs w:val="22"/>
          <w:lang w:val="en-US" w:eastAsia="zh-CN"/>
        </w:rPr>
      </w:pPr>
      <w:r>
        <w:rPr>
          <w:rFonts w:hint="default" w:ascii="Times New Roman Bold" w:hAnsi="Times New Roman Bold" w:cs="Times New Roman Bold"/>
          <w:b/>
          <w:bCs/>
          <w:iCs/>
          <w:szCs w:val="22"/>
          <w:lang w:val="en-US" w:eastAsia="zh-CN"/>
        </w:rPr>
        <w:t xml:space="preserve">Proposal 7: If Option 2 for cell DTX extension to SSB, the maximum supported SSB periodicity during cell DTX non-active period should be no larger than 160ms. Both periodicity and offset of the SSB transmitted during non-active period of cell DTX should also be configured. </w:t>
      </w:r>
    </w:p>
    <w:p w14:paraId="3F41BB2C">
      <w:pPr>
        <w:spacing w:after="120"/>
        <w:rPr>
          <w:rFonts w:ascii="Times New Roman Bold" w:hAnsi="Times New Roman Bold" w:cs="Times New Roman Bold"/>
          <w:b/>
          <w:bCs/>
          <w:lang w:val="en-US"/>
        </w:rPr>
      </w:pPr>
      <w:r>
        <w:rPr>
          <w:rFonts w:hint="default" w:ascii="Times New Roman Bold" w:hAnsi="Times New Roman Bold" w:cs="Times New Roman Bold"/>
          <w:b/>
          <w:bCs/>
          <w:iCs/>
          <w:szCs w:val="22"/>
          <w:lang w:val="en-US" w:eastAsia="zh-CN"/>
        </w:rPr>
        <w:t>Proposal 8: Do not support cell DTX extension to SSB adaptation in Rel-19.</w:t>
      </w:r>
    </w:p>
    <w:p w14:paraId="75916E75">
      <w:pPr>
        <w:spacing w:after="120"/>
        <w:jc w:val="left"/>
        <w:rPr>
          <w:rFonts w:ascii="Times New Roman Bold" w:hAnsi="Times New Roman Bold" w:cs="Times New Roman Bold"/>
          <w:b/>
          <w:bCs/>
          <w:lang w:val="en-US"/>
        </w:rPr>
      </w:pPr>
    </w:p>
    <w:p w14:paraId="32D22941">
      <w:pPr>
        <w:spacing w:after="120"/>
        <w:jc w:val="left"/>
        <w:rPr>
          <w:rFonts w:ascii="Times New Roman Bold" w:hAnsi="Times New Roman Bold" w:cs="Times New Roman Bold"/>
          <w:b/>
          <w:bCs/>
          <w:lang w:val="en-US"/>
        </w:rPr>
      </w:pPr>
      <w:r>
        <w:rPr>
          <w:rFonts w:ascii="Times New Roman Bold" w:hAnsi="Times New Roman Bold" w:cs="Times New Roman Bold"/>
          <w:b/>
          <w:bCs/>
          <w:lang w:val="en-US"/>
        </w:rPr>
        <w:t>PRACH adaptation</w:t>
      </w:r>
    </w:p>
    <w:p w14:paraId="390D089E">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 For preamble format 1 and format 3 in FR1 PRACH configuration, by configuring different PRACH configuration index, non-overlapping PRACH resources could be configured, however, for other preamble formats especially short preamble format, almost all configuration will be overlap in time domain.</w:t>
      </w:r>
    </w:p>
    <w:p w14:paraId="5DD8E189">
      <w:pPr>
        <w:spacing w:after="120"/>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2: For PRACH configurations with 160ms, 80ms and 40ms (e.g. Index 0,1,2, in Table 6.3.3.2-3), the PRACH resources are already scaled in periodicity. Some (most) configurations with 20ms periodicity have a scaled version with 10ms periodicity, while some other configurations with 20ms periodicity do not have a scaled version with 10ms periodicity. </w:t>
      </w:r>
    </w:p>
    <w:p w14:paraId="5077B7EB">
      <w:pPr>
        <w:spacing w:after="120"/>
        <w:jc w:val="left"/>
        <w:rPr>
          <w:rFonts w:ascii="Times New Roman Bold" w:hAnsi="Times New Roman Bold" w:cs="Times New Roman Bold"/>
          <w:b/>
          <w:bCs/>
          <w:lang w:val="en-US"/>
        </w:rPr>
      </w:pPr>
    </w:p>
    <w:p w14:paraId="66BB87DA">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9: PRACH preamble format should be the same for legacy PRACH resources and additional PRACH resources. </w:t>
      </w:r>
    </w:p>
    <w:p w14:paraId="6692ED6D">
      <w:pPr>
        <w:spacing w:after="120"/>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10: For additional PRACH resource configuration, Alt 2, different PRACH configuration indexes can be supported. </w:t>
      </w:r>
    </w:p>
    <w:p w14:paraId="72700678">
      <w:pPr>
        <w:spacing w:after="120"/>
        <w:ind w:left="0" w:leftChars="0" w:firstLine="0" w:firstLineChars="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11: </w:t>
      </w:r>
      <w:r>
        <w:rPr>
          <w:rFonts w:hint="default" w:ascii="Times New Roman Bold" w:hAnsi="Times New Roman Bold" w:cs="Times New Roman Bold"/>
          <w:b/>
          <w:bCs/>
          <w:lang w:val="en-US" w:eastAsia="sv-SE"/>
        </w:rPr>
        <w:t xml:space="preserve">Additional parameters to facilitate condensed/cluster RACH resources are needed, which can be achieved by configuring a bitmap muting pattern to indicate which SSB-to-RO mapping cycle/PRACH association period/PRACH association pattern period are muted, where the muting level can be also configured by network. </w:t>
      </w:r>
    </w:p>
    <w:p w14:paraId="3FE4361E">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12: For DCI-based adaptation </w:t>
      </w:r>
      <w:r>
        <w:rPr>
          <w:rFonts w:hint="default" w:ascii="Times New Roman Bold" w:hAnsi="Times New Roman Bold" w:cs="Times New Roman Bold"/>
          <w:b/>
          <w:bCs/>
          <w:lang w:eastAsia="zh-CN"/>
        </w:rPr>
        <w:t>for additional PRACH resources,</w:t>
      </w:r>
      <w:r>
        <w:rPr>
          <w:rFonts w:hint="default" w:ascii="Times New Roman Bold" w:hAnsi="Times New Roman Bold" w:cs="Times New Roman Bold"/>
          <w:b/>
          <w:bCs/>
          <w:lang w:val="en-US" w:eastAsia="zh-CN"/>
        </w:rPr>
        <w:t xml:space="preserve"> support Alt 2. If </w:t>
      </w:r>
      <w:r>
        <w:rPr>
          <w:rFonts w:hint="default" w:ascii="Times New Roman Bold" w:hAnsi="Times New Roman Bold" w:cs="Times New Roman Bold"/>
          <w:b/>
          <w:bCs/>
          <w:lang w:val="en-US"/>
        </w:rPr>
        <w:t xml:space="preserve">the additional PRACH resources are already in a condensed pattern, 1 bit is enough to activate or deactivate the additional PRACH resources. Otherwise, multiple bits are needed to indicate the activation/deactivation of the subset of PRACH resource. </w:t>
      </w:r>
    </w:p>
    <w:p w14:paraId="05F770A3">
      <w:pPr>
        <w:spacing w:after="12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rPr>
        <w:t xml:space="preserve">Proposal 13: Considering no additional benefit compared to configuring muting pattern to facilitate the condensed PRACH resources, do not support cell DRX extension to PRACH adaptation in Rel-19. </w:t>
      </w:r>
    </w:p>
    <w:p w14:paraId="3E948473">
      <w:pPr>
        <w:bidi w:val="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14: For indication of the PRACH adaptation, support DCI format 1_0 with P-RNTI for IDLE/INACTIVE UEs and with C-RNTI for CONNECTED UEs. </w:t>
      </w:r>
    </w:p>
    <w:p w14:paraId="571EEB1F">
      <w:pPr>
        <w:spacing w:after="120"/>
        <w:rPr>
          <w:rFonts w:ascii="Times New Roman Bold" w:hAnsi="Times New Roman Bold" w:cs="Times New Roman Bold"/>
          <w:b/>
          <w:bCs/>
          <w:lang w:val="en-US" w:eastAsia="sv-SE"/>
        </w:rPr>
      </w:pPr>
    </w:p>
    <w:p w14:paraId="049D368E">
      <w:pPr>
        <w:spacing w:after="120"/>
        <w:rPr>
          <w:rFonts w:ascii="Times New Roman Bold" w:hAnsi="Times New Roman Bold" w:cs="Times New Roman Bold"/>
          <w:b/>
          <w:bCs/>
          <w:lang w:val="en-US" w:eastAsia="sv-SE"/>
        </w:rPr>
      </w:pPr>
      <w:r>
        <w:rPr>
          <w:rFonts w:ascii="Times New Roman Bold" w:hAnsi="Times New Roman Bold" w:cs="Times New Roman Bold"/>
          <w:b/>
          <w:bCs/>
          <w:lang w:val="en-US" w:eastAsia="sv-SE"/>
        </w:rPr>
        <w:t>Paging adaptation</w:t>
      </w:r>
    </w:p>
    <w:p w14:paraId="63DAB781">
      <w:pPr>
        <w:keepNext w:val="0"/>
        <w:keepLines w:val="0"/>
        <w:pageBreakBefore w:val="0"/>
        <w:widowControl/>
        <w:kinsoku/>
        <w:wordWrap/>
        <w:overflowPunct/>
        <w:topLinePunct w:val="0"/>
        <w:autoSpaceDE w:val="0"/>
        <w:autoSpaceDN w:val="0"/>
        <w:bidi w:val="0"/>
        <w:adjustRightInd/>
        <w:snapToGrid/>
        <w:spacing w:after="0" w:afterLines="0"/>
        <w:textAlignment w:val="auto"/>
        <w:rPr>
          <w:rFonts w:ascii="Times New Roman Bold" w:hAnsi="Times New Roman Bold" w:cs="Times New Roman Bold"/>
          <w:b/>
          <w:bCs/>
          <w:lang w:val="en-US"/>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15</w:t>
      </w:r>
      <w:r>
        <w:rPr>
          <w:rFonts w:ascii="Times New Roman Bold" w:hAnsi="Times New Roman Bold" w:cs="Times New Roman Bold"/>
          <w:b/>
          <w:bCs/>
          <w:lang w:val="en-US"/>
        </w:rPr>
        <w:t xml:space="preserve">: Consider the following options for Paging adaptation </w:t>
      </w:r>
    </w:p>
    <w:p w14:paraId="4854DF45">
      <w:pPr>
        <w:keepNext w:val="0"/>
        <w:keepLines w:val="0"/>
        <w:pageBreakBefore w:val="0"/>
        <w:widowControl/>
        <w:numPr>
          <w:ilvl w:val="0"/>
          <w:numId w:val="14"/>
        </w:numPr>
        <w:kinsoku/>
        <w:wordWrap/>
        <w:overflowPunct/>
        <w:topLinePunct w:val="0"/>
        <w:autoSpaceDE w:val="0"/>
        <w:autoSpaceDN w:val="0"/>
        <w:bidi w:val="0"/>
        <w:adjustRightInd/>
        <w:snapToGrid/>
        <w:spacing w:after="0" w:afterLines="0"/>
        <w:jc w:val="left"/>
        <w:textAlignment w:val="auto"/>
        <w:rPr>
          <w:iCs/>
          <w:szCs w:val="22"/>
          <w:lang w:val="en-US" w:eastAsia="sv-SE"/>
        </w:rPr>
      </w:pPr>
      <w:r>
        <w:rPr>
          <w:rFonts w:ascii="Times New Roman Bold" w:hAnsi="Times New Roman Bold" w:cs="Times New Roman Bold"/>
          <w:b/>
          <w:bCs/>
          <w:lang w:val="en-US"/>
        </w:rPr>
        <w:t>Option 1: Enable configuring only one PF within the paging cycle</w:t>
      </w:r>
    </w:p>
    <w:p w14:paraId="6E874663">
      <w:pPr>
        <w:keepNext w:val="0"/>
        <w:keepLines w:val="0"/>
        <w:pageBreakBefore w:val="0"/>
        <w:widowControl/>
        <w:numPr>
          <w:ilvl w:val="0"/>
          <w:numId w:val="14"/>
        </w:numPr>
        <w:kinsoku/>
        <w:wordWrap/>
        <w:overflowPunct/>
        <w:topLinePunct w:val="0"/>
        <w:autoSpaceDE w:val="0"/>
        <w:autoSpaceDN w:val="0"/>
        <w:bidi w:val="0"/>
        <w:adjustRightInd/>
        <w:snapToGrid/>
        <w:spacing w:after="0" w:afterLines="0"/>
        <w:jc w:val="left"/>
        <w:textAlignment w:val="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Option 2: Stagger uniformly distributed PFs in one paging cycle into consecutive PFs</w:t>
      </w:r>
    </w:p>
    <w:p w14:paraId="60754922">
      <w:pPr>
        <w:keepNext w:val="0"/>
        <w:keepLines w:val="0"/>
        <w:pageBreakBefore w:val="0"/>
        <w:widowControl/>
        <w:numPr>
          <w:ilvl w:val="0"/>
          <w:numId w:val="14"/>
        </w:numPr>
        <w:kinsoku/>
        <w:wordWrap/>
        <w:overflowPunct/>
        <w:topLinePunct w:val="0"/>
        <w:autoSpaceDE w:val="0"/>
        <w:autoSpaceDN w:val="0"/>
        <w:bidi w:val="0"/>
        <w:adjustRightInd/>
        <w:snapToGrid/>
        <w:spacing w:after="137" w:afterLines="50"/>
        <w:ind w:left="418" w:hanging="418"/>
        <w:jc w:val="left"/>
        <w:textAlignment w:val="auto"/>
        <w:rPr>
          <w:rFonts w:ascii="Times New Roman Bold" w:hAnsi="Times New Roman Bold" w:cs="Times New Roman Bold"/>
          <w:b/>
          <w:bCs/>
          <w:lang w:val="en-US"/>
        </w:rPr>
      </w:pPr>
      <w:r>
        <w:rPr>
          <w:rFonts w:ascii="Times New Roman Bold" w:hAnsi="Times New Roman Bold" w:cs="Times New Roman Bold"/>
          <w:b/>
          <w:bCs/>
          <w:lang w:val="en-US" w:eastAsia="sv-SE"/>
        </w:rPr>
        <w:t xml:space="preserve">Option 3: Map UEs to concentrated PF/POs  </w:t>
      </w:r>
    </w:p>
    <w:p w14:paraId="16FD5A15">
      <w:pPr>
        <w:spacing w:after="120"/>
        <w:rPr>
          <w:rFonts w:ascii="Times New Roman Bold" w:hAnsi="Times New Roman Bold" w:cs="Times New Roman Bold"/>
          <w:b/>
          <w:bCs/>
          <w:lang w:val="en-US" w:eastAsia="sv-SE"/>
        </w:rPr>
      </w:pPr>
      <w:r>
        <w:rPr>
          <w:rFonts w:ascii="Times New Roman Bold" w:hAnsi="Times New Roman Bold" w:cs="Times New Roman Bold"/>
          <w:b/>
          <w:bCs/>
          <w:lang w:val="en-US"/>
        </w:rPr>
        <w:t>Proposal 1</w:t>
      </w:r>
      <w:r>
        <w:rPr>
          <w:rFonts w:hint="default" w:ascii="Times New Roman Bold" w:hAnsi="Times New Roman Bold" w:cs="Times New Roman Bold"/>
          <w:b/>
          <w:bCs/>
          <w:lang w:val="en-US"/>
        </w:rPr>
        <w:t>6</w:t>
      </w:r>
      <w:r>
        <w:rPr>
          <w:rFonts w:ascii="Times New Roman Bold" w:hAnsi="Times New Roman Bold" w:cs="Times New Roman Bold"/>
          <w:b/>
          <w:bCs/>
          <w:lang w:val="en-US"/>
        </w:rPr>
        <w:t xml:space="preserve">: Impact of paging resource adaptation on PEI should also be considered. </w:t>
      </w:r>
    </w:p>
    <w:p w14:paraId="6AB7C5DF">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385DFE8A">
      <w:pPr>
        <w:numPr>
          <w:ilvl w:val="0"/>
          <w:numId w:val="15"/>
        </w:numPr>
        <w:spacing w:after="120"/>
        <w:jc w:val="both"/>
      </w:pPr>
      <w:r>
        <w:rPr>
          <w:rFonts w:hint="default" w:eastAsia="Times New Roman" w:cs="Times New Roman"/>
          <w:lang w:val="en-US" w:eastAsia="zh-CN"/>
        </w:rPr>
        <w:t>RP-242354, Revised WID: Enhancements of network energy savings for NR, Ericsson, 3GPP TSG RAN Meeting #105, Melbourne, Australia, Sep 9-12, 2024.</w:t>
      </w:r>
    </w:p>
    <w:sectPr>
      <w:pgSz w:w="11909" w:h="16834"/>
      <w:pgMar w:top="1134" w:right="1134" w:bottom="1134" w:left="13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Arial Regular">
    <w:panose1 w:val="020B0604020202090204"/>
    <w:charset w:val="00"/>
    <w:family w:val="auto"/>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86"/>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20B0604020202020204"/>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7BF24"/>
    <w:multiLevelType w:val="singleLevel"/>
    <w:tmpl w:val="CFF7BF24"/>
    <w:lvl w:ilvl="0" w:tentative="0">
      <w:start w:val="3"/>
      <w:numFmt w:val="decimal"/>
      <w:suff w:val="space"/>
      <w:lvlText w:val="%1."/>
      <w:lvlJc w:val="left"/>
    </w:lvl>
  </w:abstractNum>
  <w:abstractNum w:abstractNumId="1">
    <w:nsid w:val="F8DB5926"/>
    <w:multiLevelType w:val="singleLevel"/>
    <w:tmpl w:val="F8DB5926"/>
    <w:lvl w:ilvl="0" w:tentative="0">
      <w:start w:val="1"/>
      <w:numFmt w:val="bullet"/>
      <w:lvlText w:val=""/>
      <w:lvlJc w:val="left"/>
      <w:pPr>
        <w:tabs>
          <w:tab w:val="left" w:pos="420"/>
        </w:tabs>
        <w:ind w:left="420" w:hanging="420"/>
      </w:pPr>
      <w:rPr>
        <w:rFonts w:hint="default" w:ascii="Wingdings" w:hAnsi="Wingdings"/>
      </w:rPr>
    </w:lvl>
  </w:abstractNum>
  <w:abstractNum w:abstractNumId="2">
    <w:nsid w:val="FDFE4864"/>
    <w:multiLevelType w:val="singleLevel"/>
    <w:tmpl w:val="FDFE4864"/>
    <w:lvl w:ilvl="0" w:tentative="0">
      <w:start w:val="1"/>
      <w:numFmt w:val="decimal"/>
      <w:suff w:val="space"/>
      <w:lvlText w:val="[%1]"/>
      <w:lvlJc w:val="left"/>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5D61159"/>
    <w:multiLevelType w:val="multilevel"/>
    <w:tmpl w:val="05D6115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5015543"/>
    <w:multiLevelType w:val="multilevel"/>
    <w:tmpl w:val="5501554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C173751"/>
    <w:multiLevelType w:val="multilevel"/>
    <w:tmpl w:val="5C1737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5647342"/>
    <w:multiLevelType w:val="multilevel"/>
    <w:tmpl w:val="656473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ED68BD4"/>
    <w:multiLevelType w:val="multilevel"/>
    <w:tmpl w:val="7ED68BD4"/>
    <w:lvl w:ilvl="0" w:tentative="0">
      <w:start w:val="3"/>
      <w:numFmt w:val="decimal"/>
      <w:pStyle w:val="2"/>
      <w:lvlText w:val="%1"/>
      <w:lvlJc w:val="left"/>
      <w:pPr>
        <w:tabs>
          <w:tab w:val="left" w:pos="432"/>
        </w:tabs>
        <w:ind w:left="432" w:hanging="432"/>
      </w:pPr>
      <w:rPr>
        <w:rFonts w:hint="default" w:ascii="宋体" w:hAnsi="宋体" w:eastAsia="宋体" w:cs="宋体"/>
      </w:rPr>
    </w:lvl>
    <w:lvl w:ilvl="1" w:tentative="0">
      <w:start w:val="1"/>
      <w:numFmt w:val="decimal"/>
      <w:pStyle w:val="3"/>
      <w:lvlText w:val="%1.%2"/>
      <w:lvlJc w:val="left"/>
      <w:pPr>
        <w:tabs>
          <w:tab w:val="left" w:pos="576"/>
        </w:tabs>
        <w:ind w:left="576" w:hanging="576"/>
      </w:pPr>
      <w:rPr>
        <w:rFonts w:hint="default" w:ascii="Arial Regular" w:hAnsi="Arial Regular" w:eastAsia="宋体" w:cs="Arial Regular"/>
      </w:rPr>
    </w:lvl>
    <w:lvl w:ilvl="2" w:tentative="0">
      <w:start w:val="1"/>
      <w:numFmt w:val="decimal"/>
      <w:lvlRestart w:val="0"/>
      <w:pStyle w:val="4"/>
      <w:lvlText w:val="%1.%2.%3"/>
      <w:lvlJc w:val="left"/>
      <w:pPr>
        <w:tabs>
          <w:tab w:val="left" w:pos="0"/>
        </w:tabs>
        <w:ind w:left="720" w:hanging="720"/>
      </w:pPr>
      <w:rPr>
        <w:rFonts w:hint="default"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14"/>
  </w:num>
  <w:num w:numId="2">
    <w:abstractNumId w:val="4"/>
  </w:num>
  <w:num w:numId="3">
    <w:abstractNumId w:val="3"/>
  </w:num>
  <w:num w:numId="4">
    <w:abstractNumId w:val="0"/>
  </w:num>
  <w:num w:numId="5">
    <w:abstractNumId w:val="13"/>
  </w:num>
  <w:num w:numId="6">
    <w:abstractNumId w:val="9"/>
  </w:num>
  <w:num w:numId="7">
    <w:abstractNumId w:val="11"/>
  </w:num>
  <w:num w:numId="8">
    <w:abstractNumId w:val="6"/>
  </w:num>
  <w:num w:numId="9">
    <w:abstractNumId w:val="10"/>
  </w:num>
  <w:num w:numId="10">
    <w:abstractNumId w:val="5"/>
  </w:num>
  <w:num w:numId="11">
    <w:abstractNumId w:val="8"/>
  </w:num>
  <w:num w:numId="12">
    <w:abstractNumId w:val="7"/>
  </w:num>
  <w:num w:numId="13">
    <w:abstractNumId w:val="12"/>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99"/>
  <w:noPunctuationKerning w:val="1"/>
  <w:characterSpacingControl w:val="doNotCompress"/>
  <w:footnotePr>
    <w:footnote w:id="0"/>
    <w:footnote w:id="1"/>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2F76"/>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19DD"/>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1712"/>
    <w:rsid w:val="003B3DC0"/>
    <w:rsid w:val="003B6548"/>
    <w:rsid w:val="003C3033"/>
    <w:rsid w:val="003C3148"/>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9656F"/>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592"/>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9CA"/>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221E"/>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1C2A"/>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2610F"/>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44E6"/>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E53B6"/>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7FC6AF9"/>
    <w:rsid w:val="07FF2236"/>
    <w:rsid w:val="0BFFCB31"/>
    <w:rsid w:val="0DBE51FE"/>
    <w:rsid w:val="0E674F9E"/>
    <w:rsid w:val="0EFF5EE5"/>
    <w:rsid w:val="0F3F688D"/>
    <w:rsid w:val="0F7939A3"/>
    <w:rsid w:val="0FB75FF2"/>
    <w:rsid w:val="12F38DA4"/>
    <w:rsid w:val="12FD98AF"/>
    <w:rsid w:val="14EEE120"/>
    <w:rsid w:val="167FA8FB"/>
    <w:rsid w:val="16BCF935"/>
    <w:rsid w:val="16F234CB"/>
    <w:rsid w:val="16F64615"/>
    <w:rsid w:val="1737FD4E"/>
    <w:rsid w:val="17754508"/>
    <w:rsid w:val="177F295B"/>
    <w:rsid w:val="177F5C08"/>
    <w:rsid w:val="17B37065"/>
    <w:rsid w:val="17BF423E"/>
    <w:rsid w:val="17F5DFCD"/>
    <w:rsid w:val="17FE843A"/>
    <w:rsid w:val="196A639A"/>
    <w:rsid w:val="19C68BD0"/>
    <w:rsid w:val="19FBF958"/>
    <w:rsid w:val="1AD5EF0C"/>
    <w:rsid w:val="1AFD1BD4"/>
    <w:rsid w:val="1B47F461"/>
    <w:rsid w:val="1B4B8F93"/>
    <w:rsid w:val="1B58552D"/>
    <w:rsid w:val="1BD7A710"/>
    <w:rsid w:val="1BE917CF"/>
    <w:rsid w:val="1BED3D43"/>
    <w:rsid w:val="1BF1A51D"/>
    <w:rsid w:val="1BFF06F2"/>
    <w:rsid w:val="1CD710B2"/>
    <w:rsid w:val="1D683FB7"/>
    <w:rsid w:val="1D7BDE20"/>
    <w:rsid w:val="1D7E90B0"/>
    <w:rsid w:val="1D8F9836"/>
    <w:rsid w:val="1DCE3724"/>
    <w:rsid w:val="1DD1514B"/>
    <w:rsid w:val="1DF7D2FA"/>
    <w:rsid w:val="1DFA6340"/>
    <w:rsid w:val="1DFB5AD0"/>
    <w:rsid w:val="1DFF6EC0"/>
    <w:rsid w:val="1EA8C724"/>
    <w:rsid w:val="1EB5DD13"/>
    <w:rsid w:val="1EB7DA5D"/>
    <w:rsid w:val="1ED72561"/>
    <w:rsid w:val="1EDD1C9B"/>
    <w:rsid w:val="1EEBD891"/>
    <w:rsid w:val="1EEF206A"/>
    <w:rsid w:val="1EFEEEA3"/>
    <w:rsid w:val="1F591576"/>
    <w:rsid w:val="1F5F2EA8"/>
    <w:rsid w:val="1F7D00E2"/>
    <w:rsid w:val="1F7F2AB2"/>
    <w:rsid w:val="1F87E1C8"/>
    <w:rsid w:val="1FA64DF9"/>
    <w:rsid w:val="1FACF26E"/>
    <w:rsid w:val="1FBCFB4B"/>
    <w:rsid w:val="1FBE963B"/>
    <w:rsid w:val="1FBF6F0E"/>
    <w:rsid w:val="1FCF462C"/>
    <w:rsid w:val="1FD72CEB"/>
    <w:rsid w:val="1FDC7134"/>
    <w:rsid w:val="1FDE22F9"/>
    <w:rsid w:val="1FDFE669"/>
    <w:rsid w:val="1FDFFC35"/>
    <w:rsid w:val="1FE7A4CB"/>
    <w:rsid w:val="1FF5DC31"/>
    <w:rsid w:val="1FFB0274"/>
    <w:rsid w:val="1FFE1B73"/>
    <w:rsid w:val="1FFE86D9"/>
    <w:rsid w:val="1FFF5A15"/>
    <w:rsid w:val="2369DAD2"/>
    <w:rsid w:val="2399B001"/>
    <w:rsid w:val="239F143E"/>
    <w:rsid w:val="23F7DA84"/>
    <w:rsid w:val="25B1E3A4"/>
    <w:rsid w:val="266ED5DB"/>
    <w:rsid w:val="26CF4810"/>
    <w:rsid w:val="26FF91BD"/>
    <w:rsid w:val="2739D001"/>
    <w:rsid w:val="275F57DF"/>
    <w:rsid w:val="27938C60"/>
    <w:rsid w:val="27C54ADD"/>
    <w:rsid w:val="28FB3A62"/>
    <w:rsid w:val="29BFF69A"/>
    <w:rsid w:val="29FED9AD"/>
    <w:rsid w:val="2AFE2CA9"/>
    <w:rsid w:val="2AFFAEB5"/>
    <w:rsid w:val="2B3EFF9B"/>
    <w:rsid w:val="2BD8EDF3"/>
    <w:rsid w:val="2BFF480C"/>
    <w:rsid w:val="2BFFFFF4"/>
    <w:rsid w:val="2CFF80B2"/>
    <w:rsid w:val="2D7CCA7E"/>
    <w:rsid w:val="2D9F7D3C"/>
    <w:rsid w:val="2DC66CC5"/>
    <w:rsid w:val="2DE31D95"/>
    <w:rsid w:val="2DEDD455"/>
    <w:rsid w:val="2DF3F66F"/>
    <w:rsid w:val="2DFDEF4F"/>
    <w:rsid w:val="2DFF1358"/>
    <w:rsid w:val="2ED72B33"/>
    <w:rsid w:val="2F3B305C"/>
    <w:rsid w:val="2F79BEBC"/>
    <w:rsid w:val="2F7EA45E"/>
    <w:rsid w:val="2F7FC481"/>
    <w:rsid w:val="2F7FE822"/>
    <w:rsid w:val="2FBAC71C"/>
    <w:rsid w:val="2FCD17FE"/>
    <w:rsid w:val="2FD6F407"/>
    <w:rsid w:val="2FDD9AEC"/>
    <w:rsid w:val="2FDE3CF5"/>
    <w:rsid w:val="2FEBA335"/>
    <w:rsid w:val="2FEFC43B"/>
    <w:rsid w:val="2FF7BD03"/>
    <w:rsid w:val="2FFE296A"/>
    <w:rsid w:val="2FFE4BB4"/>
    <w:rsid w:val="2FFEAE68"/>
    <w:rsid w:val="2FFF38B2"/>
    <w:rsid w:val="2FFFFD3B"/>
    <w:rsid w:val="31774F73"/>
    <w:rsid w:val="326A9861"/>
    <w:rsid w:val="32DF5FEE"/>
    <w:rsid w:val="337F9985"/>
    <w:rsid w:val="339B29B5"/>
    <w:rsid w:val="33A1780B"/>
    <w:rsid w:val="33D7DF31"/>
    <w:rsid w:val="33DF60F7"/>
    <w:rsid w:val="33FEE5C6"/>
    <w:rsid w:val="34979F28"/>
    <w:rsid w:val="3625C9C7"/>
    <w:rsid w:val="36E71FC6"/>
    <w:rsid w:val="36FAA28E"/>
    <w:rsid w:val="36FAAC8C"/>
    <w:rsid w:val="36FD62CB"/>
    <w:rsid w:val="3729A6D2"/>
    <w:rsid w:val="373F842E"/>
    <w:rsid w:val="3749908D"/>
    <w:rsid w:val="376F1F80"/>
    <w:rsid w:val="377DD044"/>
    <w:rsid w:val="37CFE1E7"/>
    <w:rsid w:val="37D32AE9"/>
    <w:rsid w:val="37EF7C89"/>
    <w:rsid w:val="37F15855"/>
    <w:rsid w:val="37F5DFF0"/>
    <w:rsid w:val="37F6DB5E"/>
    <w:rsid w:val="37FB4846"/>
    <w:rsid w:val="37FBB579"/>
    <w:rsid w:val="37FE8436"/>
    <w:rsid w:val="37FFBC96"/>
    <w:rsid w:val="38ED71FF"/>
    <w:rsid w:val="38FD8B28"/>
    <w:rsid w:val="39599940"/>
    <w:rsid w:val="39793E25"/>
    <w:rsid w:val="397C1970"/>
    <w:rsid w:val="39DFDC60"/>
    <w:rsid w:val="39FAA8B1"/>
    <w:rsid w:val="39FE87FE"/>
    <w:rsid w:val="3A3E30E5"/>
    <w:rsid w:val="3AAFE401"/>
    <w:rsid w:val="3AB51E0A"/>
    <w:rsid w:val="3ABD0261"/>
    <w:rsid w:val="3AD59A74"/>
    <w:rsid w:val="3AE78345"/>
    <w:rsid w:val="3AEBC369"/>
    <w:rsid w:val="3AFB6D37"/>
    <w:rsid w:val="3B5A07C9"/>
    <w:rsid w:val="3B5E9A3D"/>
    <w:rsid w:val="3B950255"/>
    <w:rsid w:val="3BBBBBB7"/>
    <w:rsid w:val="3BBC56CF"/>
    <w:rsid w:val="3BBCAA3F"/>
    <w:rsid w:val="3BBD3DD7"/>
    <w:rsid w:val="3BC83D5B"/>
    <w:rsid w:val="3BCF7D96"/>
    <w:rsid w:val="3BD2E74C"/>
    <w:rsid w:val="3BD70A7B"/>
    <w:rsid w:val="3BDF6DFD"/>
    <w:rsid w:val="3BDFAE9A"/>
    <w:rsid w:val="3BE93401"/>
    <w:rsid w:val="3BEF3C2F"/>
    <w:rsid w:val="3BF96107"/>
    <w:rsid w:val="3BFCDA68"/>
    <w:rsid w:val="3BFDF1DE"/>
    <w:rsid w:val="3BFEBC01"/>
    <w:rsid w:val="3BFF6D4E"/>
    <w:rsid w:val="3C679A74"/>
    <w:rsid w:val="3C73EF66"/>
    <w:rsid w:val="3CBD3B9E"/>
    <w:rsid w:val="3CBDD602"/>
    <w:rsid w:val="3CCE5D48"/>
    <w:rsid w:val="3D6C6809"/>
    <w:rsid w:val="3D6F97E1"/>
    <w:rsid w:val="3D76EFCF"/>
    <w:rsid w:val="3D9CD68A"/>
    <w:rsid w:val="3DA51C0F"/>
    <w:rsid w:val="3DB7D722"/>
    <w:rsid w:val="3DDC5071"/>
    <w:rsid w:val="3DDFC8A6"/>
    <w:rsid w:val="3DEF3E02"/>
    <w:rsid w:val="3DF39836"/>
    <w:rsid w:val="3DF7A907"/>
    <w:rsid w:val="3DFEB275"/>
    <w:rsid w:val="3DFF1C6C"/>
    <w:rsid w:val="3DFF320A"/>
    <w:rsid w:val="3DFF842F"/>
    <w:rsid w:val="3DFF906A"/>
    <w:rsid w:val="3DFF9265"/>
    <w:rsid w:val="3DFFC6F5"/>
    <w:rsid w:val="3E39CDDC"/>
    <w:rsid w:val="3E7F8524"/>
    <w:rsid w:val="3E7FFDF2"/>
    <w:rsid w:val="3E9FD91D"/>
    <w:rsid w:val="3EA92C72"/>
    <w:rsid w:val="3EAFB311"/>
    <w:rsid w:val="3EDB9DF8"/>
    <w:rsid w:val="3EEB091C"/>
    <w:rsid w:val="3EEFC854"/>
    <w:rsid w:val="3EFD52C1"/>
    <w:rsid w:val="3EFF3045"/>
    <w:rsid w:val="3EFF8FCE"/>
    <w:rsid w:val="3EFFAD1C"/>
    <w:rsid w:val="3EFFD595"/>
    <w:rsid w:val="3F2F90B0"/>
    <w:rsid w:val="3F3D89BE"/>
    <w:rsid w:val="3F4D471A"/>
    <w:rsid w:val="3F57DE20"/>
    <w:rsid w:val="3F611987"/>
    <w:rsid w:val="3F63EAC5"/>
    <w:rsid w:val="3F6F1446"/>
    <w:rsid w:val="3F746EFB"/>
    <w:rsid w:val="3F7A8097"/>
    <w:rsid w:val="3F7BE574"/>
    <w:rsid w:val="3F7CD38E"/>
    <w:rsid w:val="3F7D5570"/>
    <w:rsid w:val="3F7F0760"/>
    <w:rsid w:val="3F7F17B4"/>
    <w:rsid w:val="3F7F49AD"/>
    <w:rsid w:val="3F91CC08"/>
    <w:rsid w:val="3F99D58D"/>
    <w:rsid w:val="3F9E20F3"/>
    <w:rsid w:val="3FACA718"/>
    <w:rsid w:val="3FACB02C"/>
    <w:rsid w:val="3FAD175A"/>
    <w:rsid w:val="3FBF2F7A"/>
    <w:rsid w:val="3FBFE78E"/>
    <w:rsid w:val="3FC211D6"/>
    <w:rsid w:val="3FC595B3"/>
    <w:rsid w:val="3FCFC00F"/>
    <w:rsid w:val="3FD90DE9"/>
    <w:rsid w:val="3FDB0F3C"/>
    <w:rsid w:val="3FDCA234"/>
    <w:rsid w:val="3FDD9AAA"/>
    <w:rsid w:val="3FDF15E4"/>
    <w:rsid w:val="3FDF9B9C"/>
    <w:rsid w:val="3FDFC961"/>
    <w:rsid w:val="3FDFDC87"/>
    <w:rsid w:val="3FEB3D82"/>
    <w:rsid w:val="3FED3B9E"/>
    <w:rsid w:val="3FED99EB"/>
    <w:rsid w:val="3FEE1525"/>
    <w:rsid w:val="3FEE2E00"/>
    <w:rsid w:val="3FEF02FD"/>
    <w:rsid w:val="3FEF60BD"/>
    <w:rsid w:val="3FF36D69"/>
    <w:rsid w:val="3FF770EE"/>
    <w:rsid w:val="3FF78505"/>
    <w:rsid w:val="3FFB200D"/>
    <w:rsid w:val="3FFC2BA0"/>
    <w:rsid w:val="3FFED96B"/>
    <w:rsid w:val="3FFFB6DB"/>
    <w:rsid w:val="3FFFEDD1"/>
    <w:rsid w:val="3FFFF6F4"/>
    <w:rsid w:val="42FBFAB4"/>
    <w:rsid w:val="4335B52F"/>
    <w:rsid w:val="43FF29B0"/>
    <w:rsid w:val="443F6464"/>
    <w:rsid w:val="457DD5B8"/>
    <w:rsid w:val="478F00E7"/>
    <w:rsid w:val="47B7B2B0"/>
    <w:rsid w:val="47F71E7F"/>
    <w:rsid w:val="47FFE77F"/>
    <w:rsid w:val="48FFBF54"/>
    <w:rsid w:val="499EA8EB"/>
    <w:rsid w:val="4AFFA14B"/>
    <w:rsid w:val="4B574010"/>
    <w:rsid w:val="4BBFCC52"/>
    <w:rsid w:val="4BCE0F0D"/>
    <w:rsid w:val="4BDF173F"/>
    <w:rsid w:val="4BEF729F"/>
    <w:rsid w:val="4BFB6D7D"/>
    <w:rsid w:val="4BFF1C0F"/>
    <w:rsid w:val="4BFF43CD"/>
    <w:rsid w:val="4CFF43DF"/>
    <w:rsid w:val="4D7714F5"/>
    <w:rsid w:val="4DFD82A9"/>
    <w:rsid w:val="4EBB49D9"/>
    <w:rsid w:val="4EBFFD95"/>
    <w:rsid w:val="4EFC03B0"/>
    <w:rsid w:val="4F2E23DC"/>
    <w:rsid w:val="4F2E6E6F"/>
    <w:rsid w:val="4F3289ED"/>
    <w:rsid w:val="4F73F38A"/>
    <w:rsid w:val="4F7795BA"/>
    <w:rsid w:val="4F790468"/>
    <w:rsid w:val="4F7D2D1B"/>
    <w:rsid w:val="4FA7CE88"/>
    <w:rsid w:val="4FCD002C"/>
    <w:rsid w:val="4FCFB67F"/>
    <w:rsid w:val="4FDD59B8"/>
    <w:rsid w:val="4FED1289"/>
    <w:rsid w:val="4FEF2FB8"/>
    <w:rsid w:val="4FFA8F75"/>
    <w:rsid w:val="4FFE8978"/>
    <w:rsid w:val="4FFF7E42"/>
    <w:rsid w:val="517AB350"/>
    <w:rsid w:val="51FC44F9"/>
    <w:rsid w:val="52DFFC42"/>
    <w:rsid w:val="52EFB736"/>
    <w:rsid w:val="52F705CD"/>
    <w:rsid w:val="53BCD43E"/>
    <w:rsid w:val="53BDDEAC"/>
    <w:rsid w:val="53EF833D"/>
    <w:rsid w:val="53F44591"/>
    <w:rsid w:val="53F99A15"/>
    <w:rsid w:val="53FE2E18"/>
    <w:rsid w:val="53FFECBF"/>
    <w:rsid w:val="54BF9E32"/>
    <w:rsid w:val="54EFD6A2"/>
    <w:rsid w:val="55355B0A"/>
    <w:rsid w:val="55EE46D5"/>
    <w:rsid w:val="55F7C28A"/>
    <w:rsid w:val="55FCBBFA"/>
    <w:rsid w:val="569DE0E5"/>
    <w:rsid w:val="56F3B552"/>
    <w:rsid w:val="56FD4FC2"/>
    <w:rsid w:val="56FF6BFE"/>
    <w:rsid w:val="571C412A"/>
    <w:rsid w:val="572F581E"/>
    <w:rsid w:val="577FB7CD"/>
    <w:rsid w:val="578A5A4C"/>
    <w:rsid w:val="57AB3C1F"/>
    <w:rsid w:val="57BB4020"/>
    <w:rsid w:val="57D577A6"/>
    <w:rsid w:val="57EDBB43"/>
    <w:rsid w:val="57EFB44C"/>
    <w:rsid w:val="57F5F8CB"/>
    <w:rsid w:val="57F9434C"/>
    <w:rsid w:val="57FCB477"/>
    <w:rsid w:val="57FCE081"/>
    <w:rsid w:val="57FF6AE9"/>
    <w:rsid w:val="587B3231"/>
    <w:rsid w:val="58DB2FC8"/>
    <w:rsid w:val="58FF9F7B"/>
    <w:rsid w:val="592DB141"/>
    <w:rsid w:val="596DF8F6"/>
    <w:rsid w:val="59ADCE7C"/>
    <w:rsid w:val="59BAFFCD"/>
    <w:rsid w:val="59C6D7CD"/>
    <w:rsid w:val="59F55A21"/>
    <w:rsid w:val="5A6C914D"/>
    <w:rsid w:val="5AB39BDF"/>
    <w:rsid w:val="5ABB1D52"/>
    <w:rsid w:val="5ABE3926"/>
    <w:rsid w:val="5AC4411B"/>
    <w:rsid w:val="5AEF8475"/>
    <w:rsid w:val="5AEF87D7"/>
    <w:rsid w:val="5AFBE507"/>
    <w:rsid w:val="5AFC6073"/>
    <w:rsid w:val="5AFF801D"/>
    <w:rsid w:val="5B577AAE"/>
    <w:rsid w:val="5B7F679C"/>
    <w:rsid w:val="5BBB6762"/>
    <w:rsid w:val="5BCD9CB9"/>
    <w:rsid w:val="5BCF52E0"/>
    <w:rsid w:val="5BDF98B0"/>
    <w:rsid w:val="5BF97753"/>
    <w:rsid w:val="5BFC4AF8"/>
    <w:rsid w:val="5BFD280B"/>
    <w:rsid w:val="5C67FA28"/>
    <w:rsid w:val="5C7F6D61"/>
    <w:rsid w:val="5CBD15DF"/>
    <w:rsid w:val="5CED1F8B"/>
    <w:rsid w:val="5CFE71C1"/>
    <w:rsid w:val="5D39A983"/>
    <w:rsid w:val="5D5FF611"/>
    <w:rsid w:val="5D6710AF"/>
    <w:rsid w:val="5D7BDF5D"/>
    <w:rsid w:val="5D9BB497"/>
    <w:rsid w:val="5D9F3B44"/>
    <w:rsid w:val="5DBD15AE"/>
    <w:rsid w:val="5DDD9C54"/>
    <w:rsid w:val="5DEB456D"/>
    <w:rsid w:val="5DED0560"/>
    <w:rsid w:val="5DEE7AD0"/>
    <w:rsid w:val="5DEEC1A5"/>
    <w:rsid w:val="5DEF6940"/>
    <w:rsid w:val="5DF70F25"/>
    <w:rsid w:val="5DFBF5D8"/>
    <w:rsid w:val="5DFE4B4B"/>
    <w:rsid w:val="5E2D0D96"/>
    <w:rsid w:val="5E2DD47F"/>
    <w:rsid w:val="5EBF6341"/>
    <w:rsid w:val="5EBFEB88"/>
    <w:rsid w:val="5EDD47F4"/>
    <w:rsid w:val="5EDF16E9"/>
    <w:rsid w:val="5EE79346"/>
    <w:rsid w:val="5EEF79D0"/>
    <w:rsid w:val="5EF73BBD"/>
    <w:rsid w:val="5EF959CF"/>
    <w:rsid w:val="5EFD58E5"/>
    <w:rsid w:val="5EFF6ABF"/>
    <w:rsid w:val="5F167CEF"/>
    <w:rsid w:val="5F2BDDD7"/>
    <w:rsid w:val="5F3D0900"/>
    <w:rsid w:val="5F5FDAA4"/>
    <w:rsid w:val="5F6ACE0B"/>
    <w:rsid w:val="5F776E2D"/>
    <w:rsid w:val="5F776FF0"/>
    <w:rsid w:val="5F778CD1"/>
    <w:rsid w:val="5F7B6072"/>
    <w:rsid w:val="5F7F2F50"/>
    <w:rsid w:val="5F86B797"/>
    <w:rsid w:val="5FA76ADE"/>
    <w:rsid w:val="5FB7F1A0"/>
    <w:rsid w:val="5FBDC23C"/>
    <w:rsid w:val="5FBF13F1"/>
    <w:rsid w:val="5FBFCA1C"/>
    <w:rsid w:val="5FBFCB9A"/>
    <w:rsid w:val="5FBFEA9E"/>
    <w:rsid w:val="5FDEA1AB"/>
    <w:rsid w:val="5FDF514E"/>
    <w:rsid w:val="5FDF52A3"/>
    <w:rsid w:val="5FDF6BEC"/>
    <w:rsid w:val="5FF7ECC8"/>
    <w:rsid w:val="5FF7FC36"/>
    <w:rsid w:val="5FF93235"/>
    <w:rsid w:val="5FFB2FD1"/>
    <w:rsid w:val="5FFB7435"/>
    <w:rsid w:val="5FFCD758"/>
    <w:rsid w:val="5FFD7A05"/>
    <w:rsid w:val="5FFE69F9"/>
    <w:rsid w:val="5FFF2D1B"/>
    <w:rsid w:val="5FFF4CEC"/>
    <w:rsid w:val="5FFFB03C"/>
    <w:rsid w:val="5FFFB463"/>
    <w:rsid w:val="61370541"/>
    <w:rsid w:val="6176B1AA"/>
    <w:rsid w:val="6199721E"/>
    <w:rsid w:val="6255D7DE"/>
    <w:rsid w:val="627D9AF7"/>
    <w:rsid w:val="629F4119"/>
    <w:rsid w:val="62DD949D"/>
    <w:rsid w:val="636F13DC"/>
    <w:rsid w:val="63A42056"/>
    <w:rsid w:val="63FC3560"/>
    <w:rsid w:val="64860BF2"/>
    <w:rsid w:val="64BA68B4"/>
    <w:rsid w:val="64EF2E01"/>
    <w:rsid w:val="6533D71B"/>
    <w:rsid w:val="656BD1D9"/>
    <w:rsid w:val="656D0340"/>
    <w:rsid w:val="657DA5B8"/>
    <w:rsid w:val="65DF6360"/>
    <w:rsid w:val="65E75653"/>
    <w:rsid w:val="65E75803"/>
    <w:rsid w:val="65F4A0A7"/>
    <w:rsid w:val="65FAFFE2"/>
    <w:rsid w:val="66799B59"/>
    <w:rsid w:val="667F1A99"/>
    <w:rsid w:val="667F3BCC"/>
    <w:rsid w:val="667FEB88"/>
    <w:rsid w:val="669CA4CC"/>
    <w:rsid w:val="66BB0D03"/>
    <w:rsid w:val="66BF9F41"/>
    <w:rsid w:val="66DBB7F1"/>
    <w:rsid w:val="677E306D"/>
    <w:rsid w:val="677FDC44"/>
    <w:rsid w:val="67A7996B"/>
    <w:rsid w:val="67B711DE"/>
    <w:rsid w:val="67B7199A"/>
    <w:rsid w:val="67BEAC87"/>
    <w:rsid w:val="67D040B9"/>
    <w:rsid w:val="67DD7B94"/>
    <w:rsid w:val="67DFE6AF"/>
    <w:rsid w:val="67F3118D"/>
    <w:rsid w:val="67FF0EDD"/>
    <w:rsid w:val="67FFD6E4"/>
    <w:rsid w:val="684D488A"/>
    <w:rsid w:val="68BD9255"/>
    <w:rsid w:val="68D51B67"/>
    <w:rsid w:val="68DF0A78"/>
    <w:rsid w:val="68F700F6"/>
    <w:rsid w:val="68FB00BC"/>
    <w:rsid w:val="68FF337F"/>
    <w:rsid w:val="695788F4"/>
    <w:rsid w:val="69BB5E77"/>
    <w:rsid w:val="69EDF1A7"/>
    <w:rsid w:val="6A774F55"/>
    <w:rsid w:val="6ABFD5F3"/>
    <w:rsid w:val="6AEBC67D"/>
    <w:rsid w:val="6B1F5E22"/>
    <w:rsid w:val="6B2F85CC"/>
    <w:rsid w:val="6B3F0E3F"/>
    <w:rsid w:val="6B6EDAD7"/>
    <w:rsid w:val="6B7B2C0D"/>
    <w:rsid w:val="6BA7253E"/>
    <w:rsid w:val="6BB73BC9"/>
    <w:rsid w:val="6BCF6349"/>
    <w:rsid w:val="6BD5342C"/>
    <w:rsid w:val="6BDE16B9"/>
    <w:rsid w:val="6BED3B44"/>
    <w:rsid w:val="6BF7D5AF"/>
    <w:rsid w:val="6BFA1BC6"/>
    <w:rsid w:val="6BFAC080"/>
    <w:rsid w:val="6BFE97FD"/>
    <w:rsid w:val="6BFF34D0"/>
    <w:rsid w:val="6BFFFB85"/>
    <w:rsid w:val="6C772487"/>
    <w:rsid w:val="6C7E4808"/>
    <w:rsid w:val="6C9FB842"/>
    <w:rsid w:val="6CAFA7D4"/>
    <w:rsid w:val="6CB3D9E4"/>
    <w:rsid w:val="6CD7F273"/>
    <w:rsid w:val="6CEC8A1F"/>
    <w:rsid w:val="6CEE33DA"/>
    <w:rsid w:val="6D36FE50"/>
    <w:rsid w:val="6D6E2C73"/>
    <w:rsid w:val="6D7FE0A8"/>
    <w:rsid w:val="6D9E056C"/>
    <w:rsid w:val="6DABFB57"/>
    <w:rsid w:val="6DB73056"/>
    <w:rsid w:val="6DBF04A6"/>
    <w:rsid w:val="6DBF6126"/>
    <w:rsid w:val="6DC36DF1"/>
    <w:rsid w:val="6DDE3796"/>
    <w:rsid w:val="6DEBEDED"/>
    <w:rsid w:val="6DFE04B5"/>
    <w:rsid w:val="6DFE1652"/>
    <w:rsid w:val="6DFFD413"/>
    <w:rsid w:val="6E373CCA"/>
    <w:rsid w:val="6E3B746B"/>
    <w:rsid w:val="6E5B765D"/>
    <w:rsid w:val="6E6B318A"/>
    <w:rsid w:val="6E6F973A"/>
    <w:rsid w:val="6E784AB3"/>
    <w:rsid w:val="6EA7D165"/>
    <w:rsid w:val="6EBFA798"/>
    <w:rsid w:val="6ED988E8"/>
    <w:rsid w:val="6EE9BEB1"/>
    <w:rsid w:val="6EFB84BC"/>
    <w:rsid w:val="6EFD39BF"/>
    <w:rsid w:val="6EFF8F2F"/>
    <w:rsid w:val="6F1F0F06"/>
    <w:rsid w:val="6F1FE594"/>
    <w:rsid w:val="6F4F2E43"/>
    <w:rsid w:val="6F5DF95D"/>
    <w:rsid w:val="6F6B5CF5"/>
    <w:rsid w:val="6F759620"/>
    <w:rsid w:val="6F7B1C65"/>
    <w:rsid w:val="6F7BDFD1"/>
    <w:rsid w:val="6F7DA596"/>
    <w:rsid w:val="6F7DFE3C"/>
    <w:rsid w:val="6F7E3E74"/>
    <w:rsid w:val="6F7FAEFF"/>
    <w:rsid w:val="6F958F90"/>
    <w:rsid w:val="6FB75B3A"/>
    <w:rsid w:val="6FB8B242"/>
    <w:rsid w:val="6FBE8802"/>
    <w:rsid w:val="6FBF7E80"/>
    <w:rsid w:val="6FC775D6"/>
    <w:rsid w:val="6FCBEF66"/>
    <w:rsid w:val="6FCDEF5F"/>
    <w:rsid w:val="6FD10053"/>
    <w:rsid w:val="6FD21CA6"/>
    <w:rsid w:val="6FDC3A62"/>
    <w:rsid w:val="6FDF4E3F"/>
    <w:rsid w:val="6FDF660A"/>
    <w:rsid w:val="6FDF7D13"/>
    <w:rsid w:val="6FEB20FF"/>
    <w:rsid w:val="6FEEEC14"/>
    <w:rsid w:val="6FEF2344"/>
    <w:rsid w:val="6FF344CB"/>
    <w:rsid w:val="6FF65E4C"/>
    <w:rsid w:val="6FF93807"/>
    <w:rsid w:val="6FFB0957"/>
    <w:rsid w:val="6FFB3E84"/>
    <w:rsid w:val="6FFB9915"/>
    <w:rsid w:val="6FFBEB46"/>
    <w:rsid w:val="6FFC7C18"/>
    <w:rsid w:val="6FFE0C47"/>
    <w:rsid w:val="6FFE3AF4"/>
    <w:rsid w:val="6FFEB3C0"/>
    <w:rsid w:val="6FFEEB8C"/>
    <w:rsid w:val="6FFF659A"/>
    <w:rsid w:val="6FFFBC9B"/>
    <w:rsid w:val="6FFFC35D"/>
    <w:rsid w:val="6FFFFAFE"/>
    <w:rsid w:val="707B0B89"/>
    <w:rsid w:val="70C7C51B"/>
    <w:rsid w:val="713D3F3E"/>
    <w:rsid w:val="717FD47B"/>
    <w:rsid w:val="72761237"/>
    <w:rsid w:val="72E07929"/>
    <w:rsid w:val="72FA7394"/>
    <w:rsid w:val="733FE5B7"/>
    <w:rsid w:val="735F973D"/>
    <w:rsid w:val="7363C258"/>
    <w:rsid w:val="737C767D"/>
    <w:rsid w:val="737F664C"/>
    <w:rsid w:val="73B6E9B4"/>
    <w:rsid w:val="73BE2158"/>
    <w:rsid w:val="73C6D4CE"/>
    <w:rsid w:val="73D5EBED"/>
    <w:rsid w:val="73D8BCE1"/>
    <w:rsid w:val="73DFFA01"/>
    <w:rsid w:val="73EB456E"/>
    <w:rsid w:val="73EB8752"/>
    <w:rsid w:val="73EBDE6D"/>
    <w:rsid w:val="73F300CB"/>
    <w:rsid w:val="73F7A283"/>
    <w:rsid w:val="73FA7638"/>
    <w:rsid w:val="73FADFED"/>
    <w:rsid w:val="73FD7C11"/>
    <w:rsid w:val="73FF1398"/>
    <w:rsid w:val="73FF8627"/>
    <w:rsid w:val="73FFDA0A"/>
    <w:rsid w:val="73FFE61C"/>
    <w:rsid w:val="747F12FB"/>
    <w:rsid w:val="74B7242A"/>
    <w:rsid w:val="74FC01CD"/>
    <w:rsid w:val="74FF8DDF"/>
    <w:rsid w:val="755F7D4D"/>
    <w:rsid w:val="757B51C5"/>
    <w:rsid w:val="757DCAFF"/>
    <w:rsid w:val="757FCACB"/>
    <w:rsid w:val="75892510"/>
    <w:rsid w:val="759FB682"/>
    <w:rsid w:val="759FCB8F"/>
    <w:rsid w:val="75B622F6"/>
    <w:rsid w:val="75B966B9"/>
    <w:rsid w:val="75B9AB41"/>
    <w:rsid w:val="75BCD856"/>
    <w:rsid w:val="75D5059F"/>
    <w:rsid w:val="75D99F7E"/>
    <w:rsid w:val="75DBFB72"/>
    <w:rsid w:val="75DF4BC7"/>
    <w:rsid w:val="75DFC984"/>
    <w:rsid w:val="75EB4490"/>
    <w:rsid w:val="75EB7D74"/>
    <w:rsid w:val="75F66364"/>
    <w:rsid w:val="75FD9053"/>
    <w:rsid w:val="75FF2D60"/>
    <w:rsid w:val="75FF573D"/>
    <w:rsid w:val="75FFB2C0"/>
    <w:rsid w:val="760245DF"/>
    <w:rsid w:val="761B0255"/>
    <w:rsid w:val="762272ED"/>
    <w:rsid w:val="7659D22A"/>
    <w:rsid w:val="765FC10D"/>
    <w:rsid w:val="766F3ED5"/>
    <w:rsid w:val="767F29B1"/>
    <w:rsid w:val="7698975F"/>
    <w:rsid w:val="76ABCD11"/>
    <w:rsid w:val="76AE200A"/>
    <w:rsid w:val="76B40A45"/>
    <w:rsid w:val="76B7CA2B"/>
    <w:rsid w:val="76DD7202"/>
    <w:rsid w:val="76DE68C5"/>
    <w:rsid w:val="76DF31F2"/>
    <w:rsid w:val="76DF8235"/>
    <w:rsid w:val="76E94852"/>
    <w:rsid w:val="76EF7BC6"/>
    <w:rsid w:val="76F5BDC6"/>
    <w:rsid w:val="76FAC1FA"/>
    <w:rsid w:val="76FB58E2"/>
    <w:rsid w:val="76FF623F"/>
    <w:rsid w:val="76FFA304"/>
    <w:rsid w:val="77075592"/>
    <w:rsid w:val="773FD625"/>
    <w:rsid w:val="7743D126"/>
    <w:rsid w:val="77572B20"/>
    <w:rsid w:val="775B1D63"/>
    <w:rsid w:val="775F58F1"/>
    <w:rsid w:val="7773362B"/>
    <w:rsid w:val="77742C96"/>
    <w:rsid w:val="7777BCF1"/>
    <w:rsid w:val="77783D8B"/>
    <w:rsid w:val="777E49D0"/>
    <w:rsid w:val="777F16DA"/>
    <w:rsid w:val="777F4C50"/>
    <w:rsid w:val="778F0AE1"/>
    <w:rsid w:val="779B1C04"/>
    <w:rsid w:val="77AF8F60"/>
    <w:rsid w:val="77BD6C0F"/>
    <w:rsid w:val="77BE8B60"/>
    <w:rsid w:val="77BF640A"/>
    <w:rsid w:val="77C919DA"/>
    <w:rsid w:val="77DAABCE"/>
    <w:rsid w:val="77DAF369"/>
    <w:rsid w:val="77DB0DA2"/>
    <w:rsid w:val="77DCA1FD"/>
    <w:rsid w:val="77DE0C5B"/>
    <w:rsid w:val="77DEE580"/>
    <w:rsid w:val="77DEF9A0"/>
    <w:rsid w:val="77DF67ED"/>
    <w:rsid w:val="77E53932"/>
    <w:rsid w:val="77E735B8"/>
    <w:rsid w:val="77EB2018"/>
    <w:rsid w:val="77EB4012"/>
    <w:rsid w:val="77EDCE88"/>
    <w:rsid w:val="77EE48C4"/>
    <w:rsid w:val="77EFBD1B"/>
    <w:rsid w:val="77F24640"/>
    <w:rsid w:val="77F4AEC6"/>
    <w:rsid w:val="77F76211"/>
    <w:rsid w:val="77F7BCF1"/>
    <w:rsid w:val="77F7FEBC"/>
    <w:rsid w:val="77FD8C32"/>
    <w:rsid w:val="77FE922E"/>
    <w:rsid w:val="77FEDA87"/>
    <w:rsid w:val="77FEE763"/>
    <w:rsid w:val="77FF007E"/>
    <w:rsid w:val="77FF0C05"/>
    <w:rsid w:val="77FF2CA8"/>
    <w:rsid w:val="77FF90FE"/>
    <w:rsid w:val="77FFA073"/>
    <w:rsid w:val="783FA6EE"/>
    <w:rsid w:val="78A3AFFD"/>
    <w:rsid w:val="78D334A2"/>
    <w:rsid w:val="78D7CF70"/>
    <w:rsid w:val="78EE3BC5"/>
    <w:rsid w:val="78F7D99B"/>
    <w:rsid w:val="78FDC933"/>
    <w:rsid w:val="78FE3972"/>
    <w:rsid w:val="795F2435"/>
    <w:rsid w:val="795FEDE4"/>
    <w:rsid w:val="797F389F"/>
    <w:rsid w:val="798BEC09"/>
    <w:rsid w:val="7999CA58"/>
    <w:rsid w:val="79AF6FF5"/>
    <w:rsid w:val="79B554C1"/>
    <w:rsid w:val="79D22DA2"/>
    <w:rsid w:val="79DAC33B"/>
    <w:rsid w:val="79DBF5DF"/>
    <w:rsid w:val="79DCCFE2"/>
    <w:rsid w:val="79DF4BE2"/>
    <w:rsid w:val="79E55861"/>
    <w:rsid w:val="79EE297F"/>
    <w:rsid w:val="79EF0602"/>
    <w:rsid w:val="79F71457"/>
    <w:rsid w:val="79FAA623"/>
    <w:rsid w:val="79FB4780"/>
    <w:rsid w:val="79FE5CED"/>
    <w:rsid w:val="79FFC651"/>
    <w:rsid w:val="7A77EA5C"/>
    <w:rsid w:val="7A7E68C0"/>
    <w:rsid w:val="7AAF6CD2"/>
    <w:rsid w:val="7ACD6925"/>
    <w:rsid w:val="7ACDD141"/>
    <w:rsid w:val="7ACEB05F"/>
    <w:rsid w:val="7ADB3DAD"/>
    <w:rsid w:val="7AE7A5B2"/>
    <w:rsid w:val="7AEB7DAA"/>
    <w:rsid w:val="7AEFC9D3"/>
    <w:rsid w:val="7AF467C0"/>
    <w:rsid w:val="7AF793EA"/>
    <w:rsid w:val="7AF7B2CF"/>
    <w:rsid w:val="7AFB249B"/>
    <w:rsid w:val="7AFD3D54"/>
    <w:rsid w:val="7AFE4330"/>
    <w:rsid w:val="7AFFDE4F"/>
    <w:rsid w:val="7B1E86AA"/>
    <w:rsid w:val="7B1EBB05"/>
    <w:rsid w:val="7B1F32A3"/>
    <w:rsid w:val="7B275854"/>
    <w:rsid w:val="7B2BF636"/>
    <w:rsid w:val="7B378FE1"/>
    <w:rsid w:val="7B5FB0A2"/>
    <w:rsid w:val="7B5FC6DB"/>
    <w:rsid w:val="7B6DD947"/>
    <w:rsid w:val="7B6F5C7D"/>
    <w:rsid w:val="7B750FB1"/>
    <w:rsid w:val="7B7744C3"/>
    <w:rsid w:val="7B7A45BD"/>
    <w:rsid w:val="7B7B37D7"/>
    <w:rsid w:val="7B7C6697"/>
    <w:rsid w:val="7B7F6AAC"/>
    <w:rsid w:val="7B7FE135"/>
    <w:rsid w:val="7B8E7DD2"/>
    <w:rsid w:val="7B9EC0B7"/>
    <w:rsid w:val="7B9FF84C"/>
    <w:rsid w:val="7BABFAE7"/>
    <w:rsid w:val="7BADF811"/>
    <w:rsid w:val="7BAFDD52"/>
    <w:rsid w:val="7BB72620"/>
    <w:rsid w:val="7BB7E6EB"/>
    <w:rsid w:val="7BC7C63F"/>
    <w:rsid w:val="7BD9893D"/>
    <w:rsid w:val="7BDD5EBD"/>
    <w:rsid w:val="7BDF3769"/>
    <w:rsid w:val="7BDF3A98"/>
    <w:rsid w:val="7BDF5C5A"/>
    <w:rsid w:val="7BDF86A2"/>
    <w:rsid w:val="7BDFD592"/>
    <w:rsid w:val="7BE32445"/>
    <w:rsid w:val="7BE7D416"/>
    <w:rsid w:val="7BEBFB97"/>
    <w:rsid w:val="7BEE2618"/>
    <w:rsid w:val="7BF72B0B"/>
    <w:rsid w:val="7BF75F79"/>
    <w:rsid w:val="7BF77663"/>
    <w:rsid w:val="7BF7E450"/>
    <w:rsid w:val="7BF91CC1"/>
    <w:rsid w:val="7BF95226"/>
    <w:rsid w:val="7BFB03DA"/>
    <w:rsid w:val="7BFB3216"/>
    <w:rsid w:val="7BFD2876"/>
    <w:rsid w:val="7BFED97E"/>
    <w:rsid w:val="7BFF2703"/>
    <w:rsid w:val="7BFF2DCA"/>
    <w:rsid w:val="7BFF6BC5"/>
    <w:rsid w:val="7BFF924D"/>
    <w:rsid w:val="7BFFD83C"/>
    <w:rsid w:val="7BFFE739"/>
    <w:rsid w:val="7C0D33A0"/>
    <w:rsid w:val="7C3E9B72"/>
    <w:rsid w:val="7C646209"/>
    <w:rsid w:val="7C75CA8E"/>
    <w:rsid w:val="7C919D17"/>
    <w:rsid w:val="7CA50AAA"/>
    <w:rsid w:val="7CB4BDE1"/>
    <w:rsid w:val="7CB6F3E0"/>
    <w:rsid w:val="7CC7E77E"/>
    <w:rsid w:val="7CCF85FB"/>
    <w:rsid w:val="7CEF2E98"/>
    <w:rsid w:val="7CEF91D4"/>
    <w:rsid w:val="7CF7928C"/>
    <w:rsid w:val="7CF91B72"/>
    <w:rsid w:val="7CFAA8D9"/>
    <w:rsid w:val="7CFD21BE"/>
    <w:rsid w:val="7CFEABE1"/>
    <w:rsid w:val="7CFFB46B"/>
    <w:rsid w:val="7D3E583D"/>
    <w:rsid w:val="7D57E2AB"/>
    <w:rsid w:val="7D5D7DF1"/>
    <w:rsid w:val="7D5DD509"/>
    <w:rsid w:val="7D5E6713"/>
    <w:rsid w:val="7D6FE386"/>
    <w:rsid w:val="7D70C8EA"/>
    <w:rsid w:val="7D7B6C6D"/>
    <w:rsid w:val="7D7DD08B"/>
    <w:rsid w:val="7D7F1D2B"/>
    <w:rsid w:val="7D7FBAA4"/>
    <w:rsid w:val="7D7FCA6F"/>
    <w:rsid w:val="7D7FE9AF"/>
    <w:rsid w:val="7D972E3E"/>
    <w:rsid w:val="7D9F2117"/>
    <w:rsid w:val="7D9FC573"/>
    <w:rsid w:val="7DAAED9F"/>
    <w:rsid w:val="7DAF537E"/>
    <w:rsid w:val="7DB32ADE"/>
    <w:rsid w:val="7DC9C6E6"/>
    <w:rsid w:val="7DDF98A4"/>
    <w:rsid w:val="7DEBC09F"/>
    <w:rsid w:val="7DEF72BD"/>
    <w:rsid w:val="7DEFECB1"/>
    <w:rsid w:val="7DF12DB6"/>
    <w:rsid w:val="7DF2D993"/>
    <w:rsid w:val="7DF3BDA4"/>
    <w:rsid w:val="7DF69C86"/>
    <w:rsid w:val="7DF723F3"/>
    <w:rsid w:val="7DFA4AF2"/>
    <w:rsid w:val="7DFAD83E"/>
    <w:rsid w:val="7DFAF7F9"/>
    <w:rsid w:val="7DFB218B"/>
    <w:rsid w:val="7DFC03EC"/>
    <w:rsid w:val="7DFD49C9"/>
    <w:rsid w:val="7DFDF6DC"/>
    <w:rsid w:val="7DFE65BB"/>
    <w:rsid w:val="7DFE7598"/>
    <w:rsid w:val="7DFEC013"/>
    <w:rsid w:val="7DFF00FB"/>
    <w:rsid w:val="7DFF15EF"/>
    <w:rsid w:val="7DFF2929"/>
    <w:rsid w:val="7DFF60FF"/>
    <w:rsid w:val="7DFF9AA2"/>
    <w:rsid w:val="7DFFBC05"/>
    <w:rsid w:val="7E1FE06C"/>
    <w:rsid w:val="7E2C1B25"/>
    <w:rsid w:val="7E333104"/>
    <w:rsid w:val="7E37F961"/>
    <w:rsid w:val="7E3E0B6E"/>
    <w:rsid w:val="7E567177"/>
    <w:rsid w:val="7E5F0069"/>
    <w:rsid w:val="7E5F8355"/>
    <w:rsid w:val="7E5FBD46"/>
    <w:rsid w:val="7E6F1BC0"/>
    <w:rsid w:val="7E76F9CD"/>
    <w:rsid w:val="7E778F2E"/>
    <w:rsid w:val="7E7C910A"/>
    <w:rsid w:val="7E7EA806"/>
    <w:rsid w:val="7E7F1E0F"/>
    <w:rsid w:val="7E7F77FB"/>
    <w:rsid w:val="7E7FD011"/>
    <w:rsid w:val="7E97F961"/>
    <w:rsid w:val="7E9CEE97"/>
    <w:rsid w:val="7E9D1DBB"/>
    <w:rsid w:val="7EA12BDC"/>
    <w:rsid w:val="7EA6731F"/>
    <w:rsid w:val="7EA7E675"/>
    <w:rsid w:val="7EA7FFB0"/>
    <w:rsid w:val="7EA907C1"/>
    <w:rsid w:val="7EADAC2E"/>
    <w:rsid w:val="7EB62F5C"/>
    <w:rsid w:val="7EB86791"/>
    <w:rsid w:val="7EBA5A85"/>
    <w:rsid w:val="7EBB6BF7"/>
    <w:rsid w:val="7EBBAECD"/>
    <w:rsid w:val="7EBBFD9D"/>
    <w:rsid w:val="7EBBFF65"/>
    <w:rsid w:val="7EBDC495"/>
    <w:rsid w:val="7EBDCC43"/>
    <w:rsid w:val="7EDFE8E8"/>
    <w:rsid w:val="7EDFEC23"/>
    <w:rsid w:val="7EE7A62B"/>
    <w:rsid w:val="7EE93B94"/>
    <w:rsid w:val="7EEF1757"/>
    <w:rsid w:val="7EF68BC1"/>
    <w:rsid w:val="7EF7BE90"/>
    <w:rsid w:val="7EF9DE75"/>
    <w:rsid w:val="7EFB50C3"/>
    <w:rsid w:val="7EFCF9DA"/>
    <w:rsid w:val="7EFD25FA"/>
    <w:rsid w:val="7EFD88B5"/>
    <w:rsid w:val="7EFDAD43"/>
    <w:rsid w:val="7EFF03F6"/>
    <w:rsid w:val="7EFF1EED"/>
    <w:rsid w:val="7EFF5DE9"/>
    <w:rsid w:val="7EFF761C"/>
    <w:rsid w:val="7EFF9C25"/>
    <w:rsid w:val="7EFFBD51"/>
    <w:rsid w:val="7EFFF302"/>
    <w:rsid w:val="7F0DD09E"/>
    <w:rsid w:val="7F2F826F"/>
    <w:rsid w:val="7F346187"/>
    <w:rsid w:val="7F371993"/>
    <w:rsid w:val="7F37533F"/>
    <w:rsid w:val="7F48EDE7"/>
    <w:rsid w:val="7F4A6031"/>
    <w:rsid w:val="7F4C1F70"/>
    <w:rsid w:val="7F57870C"/>
    <w:rsid w:val="7F5B7F5B"/>
    <w:rsid w:val="7F5E521A"/>
    <w:rsid w:val="7F69ADC3"/>
    <w:rsid w:val="7F6CD427"/>
    <w:rsid w:val="7F73FFD9"/>
    <w:rsid w:val="7F773EEC"/>
    <w:rsid w:val="7F779390"/>
    <w:rsid w:val="7F77DCDA"/>
    <w:rsid w:val="7F79A6FA"/>
    <w:rsid w:val="7F7BEFF6"/>
    <w:rsid w:val="7F7CBA93"/>
    <w:rsid w:val="7F7D6495"/>
    <w:rsid w:val="7F7DC623"/>
    <w:rsid w:val="7F7F0A53"/>
    <w:rsid w:val="7F7F152D"/>
    <w:rsid w:val="7F7F26EB"/>
    <w:rsid w:val="7F7F50BA"/>
    <w:rsid w:val="7F7F6475"/>
    <w:rsid w:val="7F7F67B2"/>
    <w:rsid w:val="7F7F68EB"/>
    <w:rsid w:val="7F7F6B44"/>
    <w:rsid w:val="7F947F5A"/>
    <w:rsid w:val="7F994C92"/>
    <w:rsid w:val="7F9DA31F"/>
    <w:rsid w:val="7F9DE047"/>
    <w:rsid w:val="7F9FC1AD"/>
    <w:rsid w:val="7FA7A812"/>
    <w:rsid w:val="7FAAD0AC"/>
    <w:rsid w:val="7FAD9BCA"/>
    <w:rsid w:val="7FAFF143"/>
    <w:rsid w:val="7FB16625"/>
    <w:rsid w:val="7FB445AB"/>
    <w:rsid w:val="7FB523B9"/>
    <w:rsid w:val="7FB9336D"/>
    <w:rsid w:val="7FB948CB"/>
    <w:rsid w:val="7FBBE709"/>
    <w:rsid w:val="7FBD63B6"/>
    <w:rsid w:val="7FBEA538"/>
    <w:rsid w:val="7FBECA8B"/>
    <w:rsid w:val="7FBF25C2"/>
    <w:rsid w:val="7FBF6312"/>
    <w:rsid w:val="7FBF7EEE"/>
    <w:rsid w:val="7FBF9E9D"/>
    <w:rsid w:val="7FBFC857"/>
    <w:rsid w:val="7FBFDB48"/>
    <w:rsid w:val="7FBFF8AD"/>
    <w:rsid w:val="7FC533DE"/>
    <w:rsid w:val="7FC56791"/>
    <w:rsid w:val="7FCF2CE8"/>
    <w:rsid w:val="7FCF4170"/>
    <w:rsid w:val="7FCF64C6"/>
    <w:rsid w:val="7FD9D7B6"/>
    <w:rsid w:val="7FDB078B"/>
    <w:rsid w:val="7FDB9132"/>
    <w:rsid w:val="7FDDEB4D"/>
    <w:rsid w:val="7FDE8D17"/>
    <w:rsid w:val="7FDE9144"/>
    <w:rsid w:val="7FDEF5E0"/>
    <w:rsid w:val="7FDF0CFE"/>
    <w:rsid w:val="7FDF7E3B"/>
    <w:rsid w:val="7FDF85FB"/>
    <w:rsid w:val="7FDFD9D9"/>
    <w:rsid w:val="7FE1FCF9"/>
    <w:rsid w:val="7FE294F5"/>
    <w:rsid w:val="7FE731CB"/>
    <w:rsid w:val="7FEAA6BE"/>
    <w:rsid w:val="7FEB13A8"/>
    <w:rsid w:val="7FEB18FF"/>
    <w:rsid w:val="7FEB2E71"/>
    <w:rsid w:val="7FEB906D"/>
    <w:rsid w:val="7FEBE740"/>
    <w:rsid w:val="7FED3AA0"/>
    <w:rsid w:val="7FED7105"/>
    <w:rsid w:val="7FEDB9E1"/>
    <w:rsid w:val="7FEF2082"/>
    <w:rsid w:val="7FEFF903"/>
    <w:rsid w:val="7FF4157B"/>
    <w:rsid w:val="7FF4C5B9"/>
    <w:rsid w:val="7FF57E66"/>
    <w:rsid w:val="7FF73947"/>
    <w:rsid w:val="7FF74FAF"/>
    <w:rsid w:val="7FF7D403"/>
    <w:rsid w:val="7FF7E102"/>
    <w:rsid w:val="7FF88306"/>
    <w:rsid w:val="7FFA9552"/>
    <w:rsid w:val="7FFB4AC7"/>
    <w:rsid w:val="7FFBC578"/>
    <w:rsid w:val="7FFBE056"/>
    <w:rsid w:val="7FFBEFF7"/>
    <w:rsid w:val="7FFBFB15"/>
    <w:rsid w:val="7FFCC8E5"/>
    <w:rsid w:val="7FFD0957"/>
    <w:rsid w:val="7FFD1D91"/>
    <w:rsid w:val="7FFD1DA1"/>
    <w:rsid w:val="7FFD3492"/>
    <w:rsid w:val="7FFD4691"/>
    <w:rsid w:val="7FFD7E10"/>
    <w:rsid w:val="7FFD88AA"/>
    <w:rsid w:val="7FFE90A5"/>
    <w:rsid w:val="7FFEEAA6"/>
    <w:rsid w:val="7FFF250F"/>
    <w:rsid w:val="7FFF31B0"/>
    <w:rsid w:val="7FFF3DC8"/>
    <w:rsid w:val="7FFF487E"/>
    <w:rsid w:val="7FFF4A90"/>
    <w:rsid w:val="7FFF5457"/>
    <w:rsid w:val="7FFFA4EB"/>
    <w:rsid w:val="7FFFE444"/>
    <w:rsid w:val="7FFFFEB1"/>
    <w:rsid w:val="83E59360"/>
    <w:rsid w:val="83FDB215"/>
    <w:rsid w:val="8B7F122A"/>
    <w:rsid w:val="8CBF3FFF"/>
    <w:rsid w:val="8CF9EAAB"/>
    <w:rsid w:val="8D9F1C4F"/>
    <w:rsid w:val="8DF78FBC"/>
    <w:rsid w:val="8DFF1255"/>
    <w:rsid w:val="8DFFD420"/>
    <w:rsid w:val="8EDD2E02"/>
    <w:rsid w:val="8F9F77B3"/>
    <w:rsid w:val="8FDD0C49"/>
    <w:rsid w:val="8FDFD254"/>
    <w:rsid w:val="8FEFFAE0"/>
    <w:rsid w:val="8FFF0EB1"/>
    <w:rsid w:val="936F7455"/>
    <w:rsid w:val="94F68FDF"/>
    <w:rsid w:val="94FF11FF"/>
    <w:rsid w:val="955F4313"/>
    <w:rsid w:val="95FB417D"/>
    <w:rsid w:val="95FF6CCF"/>
    <w:rsid w:val="97774202"/>
    <w:rsid w:val="9797DF7D"/>
    <w:rsid w:val="97BE4502"/>
    <w:rsid w:val="97FFBF98"/>
    <w:rsid w:val="995F49D6"/>
    <w:rsid w:val="9AFB4E60"/>
    <w:rsid w:val="9B294156"/>
    <w:rsid w:val="9B2A2C36"/>
    <w:rsid w:val="9B5FA97E"/>
    <w:rsid w:val="9BDF2FFD"/>
    <w:rsid w:val="9BF12DD7"/>
    <w:rsid w:val="9BF5ED61"/>
    <w:rsid w:val="9C7FC703"/>
    <w:rsid w:val="9CEED8AE"/>
    <w:rsid w:val="9D1C44B0"/>
    <w:rsid w:val="9D6F223C"/>
    <w:rsid w:val="9D7AB100"/>
    <w:rsid w:val="9DDD55F2"/>
    <w:rsid w:val="9DDEB802"/>
    <w:rsid w:val="9DEF2BB9"/>
    <w:rsid w:val="9E975E76"/>
    <w:rsid w:val="9EF66036"/>
    <w:rsid w:val="9EFF7D23"/>
    <w:rsid w:val="9EFFD2C1"/>
    <w:rsid w:val="9F3F6BBA"/>
    <w:rsid w:val="9F3FA6BC"/>
    <w:rsid w:val="9F5F8E23"/>
    <w:rsid w:val="9F7B616A"/>
    <w:rsid w:val="9F7CBDDF"/>
    <w:rsid w:val="9F7FA46F"/>
    <w:rsid w:val="9F9FB17D"/>
    <w:rsid w:val="9FAFAC11"/>
    <w:rsid w:val="9FB67F2A"/>
    <w:rsid w:val="9FB7A1A2"/>
    <w:rsid w:val="9FBE17CD"/>
    <w:rsid w:val="9FD5041F"/>
    <w:rsid w:val="9FEA024F"/>
    <w:rsid w:val="9FEE5271"/>
    <w:rsid w:val="9FEF0377"/>
    <w:rsid w:val="9FF67C87"/>
    <w:rsid w:val="9FFB2DDB"/>
    <w:rsid w:val="9FFDBF0F"/>
    <w:rsid w:val="9FFF43CE"/>
    <w:rsid w:val="9FFF8ED2"/>
    <w:rsid w:val="9FFF9276"/>
    <w:rsid w:val="A4FDF8B2"/>
    <w:rsid w:val="A5D69D04"/>
    <w:rsid w:val="A5FFF134"/>
    <w:rsid w:val="A6F7262E"/>
    <w:rsid w:val="A76A2D53"/>
    <w:rsid w:val="A7D7051C"/>
    <w:rsid w:val="A7DE9F8C"/>
    <w:rsid w:val="A7E7B3AF"/>
    <w:rsid w:val="A7F7BB64"/>
    <w:rsid w:val="A7FCA32C"/>
    <w:rsid w:val="A7FF4975"/>
    <w:rsid w:val="AB6B38B7"/>
    <w:rsid w:val="ABB6DB26"/>
    <w:rsid w:val="ABB71C30"/>
    <w:rsid w:val="ABDB74BF"/>
    <w:rsid w:val="ABFBA41A"/>
    <w:rsid w:val="ABFF7F87"/>
    <w:rsid w:val="AC7376B2"/>
    <w:rsid w:val="ACFB8E6D"/>
    <w:rsid w:val="ACFE2AF2"/>
    <w:rsid w:val="AD5F7576"/>
    <w:rsid w:val="ADBD1249"/>
    <w:rsid w:val="ADBD136E"/>
    <w:rsid w:val="ADFFC9A1"/>
    <w:rsid w:val="AEDBFA7B"/>
    <w:rsid w:val="AEF33391"/>
    <w:rsid w:val="AF3FE0A9"/>
    <w:rsid w:val="AF7706DD"/>
    <w:rsid w:val="AF77254C"/>
    <w:rsid w:val="AF7B9456"/>
    <w:rsid w:val="AFCF1F82"/>
    <w:rsid w:val="AFDA5302"/>
    <w:rsid w:val="AFDE2058"/>
    <w:rsid w:val="AFF757BE"/>
    <w:rsid w:val="AFFD202E"/>
    <w:rsid w:val="B267941B"/>
    <w:rsid w:val="B2EF65AE"/>
    <w:rsid w:val="B35F0F9B"/>
    <w:rsid w:val="B3BF5673"/>
    <w:rsid w:val="B3F70E21"/>
    <w:rsid w:val="B3F8EDF6"/>
    <w:rsid w:val="B3FB0237"/>
    <w:rsid w:val="B3FB72EF"/>
    <w:rsid w:val="B4DF08D4"/>
    <w:rsid w:val="B4E55ADA"/>
    <w:rsid w:val="B4ED73D1"/>
    <w:rsid w:val="B53DADE9"/>
    <w:rsid w:val="B5AF6BDA"/>
    <w:rsid w:val="B5BAD1AD"/>
    <w:rsid w:val="B5BEC459"/>
    <w:rsid w:val="B5BFC98A"/>
    <w:rsid w:val="B5D3C75D"/>
    <w:rsid w:val="B5DB6C91"/>
    <w:rsid w:val="B5DD178B"/>
    <w:rsid w:val="B5DF086F"/>
    <w:rsid w:val="B67D2059"/>
    <w:rsid w:val="B6AFC210"/>
    <w:rsid w:val="B6D78AB9"/>
    <w:rsid w:val="B6F394A4"/>
    <w:rsid w:val="B737A024"/>
    <w:rsid w:val="B757FF24"/>
    <w:rsid w:val="B76B60E2"/>
    <w:rsid w:val="B7ACE797"/>
    <w:rsid w:val="B7BBA3A8"/>
    <w:rsid w:val="B7BFA3CF"/>
    <w:rsid w:val="B7C6EDCF"/>
    <w:rsid w:val="B7CB7B1D"/>
    <w:rsid w:val="B7DAF56C"/>
    <w:rsid w:val="B7DEE547"/>
    <w:rsid w:val="B7F74EA6"/>
    <w:rsid w:val="B7F99515"/>
    <w:rsid w:val="B7FBACDC"/>
    <w:rsid w:val="B7FC9A18"/>
    <w:rsid w:val="B7FD03FC"/>
    <w:rsid w:val="B7FD2F84"/>
    <w:rsid w:val="B7FD3B7D"/>
    <w:rsid w:val="B7FE0708"/>
    <w:rsid w:val="B7FE4841"/>
    <w:rsid w:val="B7FE744E"/>
    <w:rsid w:val="B7FEF8CE"/>
    <w:rsid w:val="B8DC2CB3"/>
    <w:rsid w:val="B9B37872"/>
    <w:rsid w:val="B9D12C80"/>
    <w:rsid w:val="B9DDF53E"/>
    <w:rsid w:val="B9E78C5E"/>
    <w:rsid w:val="B9ED25D0"/>
    <w:rsid w:val="B9F7A3B8"/>
    <w:rsid w:val="B9FB4F89"/>
    <w:rsid w:val="BAFC25E0"/>
    <w:rsid w:val="BAFF2045"/>
    <w:rsid w:val="BAFFAFDC"/>
    <w:rsid w:val="BB360D08"/>
    <w:rsid w:val="BB3F5291"/>
    <w:rsid w:val="BB47DE59"/>
    <w:rsid w:val="BB572791"/>
    <w:rsid w:val="BB5D3999"/>
    <w:rsid w:val="BB774697"/>
    <w:rsid w:val="BB7F3B17"/>
    <w:rsid w:val="BB943487"/>
    <w:rsid w:val="BBB76DF4"/>
    <w:rsid w:val="BBBE2AEB"/>
    <w:rsid w:val="BBC595C1"/>
    <w:rsid w:val="BBD72C90"/>
    <w:rsid w:val="BBDB51A7"/>
    <w:rsid w:val="BBDBFEE2"/>
    <w:rsid w:val="BBDFABEE"/>
    <w:rsid w:val="BBDFDA47"/>
    <w:rsid w:val="BBE7AB3B"/>
    <w:rsid w:val="BBEF43D6"/>
    <w:rsid w:val="BBFCDA8A"/>
    <w:rsid w:val="BBFCDFDF"/>
    <w:rsid w:val="BBFD4013"/>
    <w:rsid w:val="BBFDC474"/>
    <w:rsid w:val="BBFDD411"/>
    <w:rsid w:val="BBFFD33E"/>
    <w:rsid w:val="BC4F5338"/>
    <w:rsid w:val="BC7FEAD6"/>
    <w:rsid w:val="BCFFF29B"/>
    <w:rsid w:val="BD6F74BB"/>
    <w:rsid w:val="BD7B39E0"/>
    <w:rsid w:val="BDAD0F2E"/>
    <w:rsid w:val="BDB74512"/>
    <w:rsid w:val="BDCC67FF"/>
    <w:rsid w:val="BDCFDA67"/>
    <w:rsid w:val="BDD53BB8"/>
    <w:rsid w:val="BDDAB90B"/>
    <w:rsid w:val="BDDF72F2"/>
    <w:rsid w:val="BDDFF735"/>
    <w:rsid w:val="BDE71836"/>
    <w:rsid w:val="BDF8E5A8"/>
    <w:rsid w:val="BDF904EA"/>
    <w:rsid w:val="BDF9A271"/>
    <w:rsid w:val="BDFEBDDC"/>
    <w:rsid w:val="BDFF7BC1"/>
    <w:rsid w:val="BE2EC49F"/>
    <w:rsid w:val="BE3BDBAE"/>
    <w:rsid w:val="BE6B1CBD"/>
    <w:rsid w:val="BE7580C3"/>
    <w:rsid w:val="BE7E8399"/>
    <w:rsid w:val="BE7F9D9C"/>
    <w:rsid w:val="BE7FC33C"/>
    <w:rsid w:val="BEAD0A71"/>
    <w:rsid w:val="BEBFC497"/>
    <w:rsid w:val="BEBFDB68"/>
    <w:rsid w:val="BEDE5F64"/>
    <w:rsid w:val="BEEF251D"/>
    <w:rsid w:val="BEEF3269"/>
    <w:rsid w:val="BEFF58EF"/>
    <w:rsid w:val="BEFFF216"/>
    <w:rsid w:val="BF0A6711"/>
    <w:rsid w:val="BF1F7393"/>
    <w:rsid w:val="BF25BA91"/>
    <w:rsid w:val="BF3343E5"/>
    <w:rsid w:val="BF6FB6B2"/>
    <w:rsid w:val="BF75A9A5"/>
    <w:rsid w:val="BF78FBFD"/>
    <w:rsid w:val="BF7BE57E"/>
    <w:rsid w:val="BF7CECDC"/>
    <w:rsid w:val="BF7D6BF1"/>
    <w:rsid w:val="BF7E2C07"/>
    <w:rsid w:val="BF7E6B93"/>
    <w:rsid w:val="BF7F0C0B"/>
    <w:rsid w:val="BF7F6831"/>
    <w:rsid w:val="BF7FB128"/>
    <w:rsid w:val="BF7FF65A"/>
    <w:rsid w:val="BF9F1542"/>
    <w:rsid w:val="BF9F58D7"/>
    <w:rsid w:val="BFA77635"/>
    <w:rsid w:val="BFAB60BF"/>
    <w:rsid w:val="BFAD531D"/>
    <w:rsid w:val="BFB7371E"/>
    <w:rsid w:val="BFB9C019"/>
    <w:rsid w:val="BFBB4E97"/>
    <w:rsid w:val="BFBD83D3"/>
    <w:rsid w:val="BFBDAC19"/>
    <w:rsid w:val="BFBE5BD7"/>
    <w:rsid w:val="BFBFA1C1"/>
    <w:rsid w:val="BFC33D45"/>
    <w:rsid w:val="BFD6E57A"/>
    <w:rsid w:val="BFE7A46F"/>
    <w:rsid w:val="BFEA6DC9"/>
    <w:rsid w:val="BFEB0AD3"/>
    <w:rsid w:val="BFEB53F7"/>
    <w:rsid w:val="BFEF26BE"/>
    <w:rsid w:val="BFEF6313"/>
    <w:rsid w:val="BFEFBFC7"/>
    <w:rsid w:val="BFF2D1A8"/>
    <w:rsid w:val="BFF33667"/>
    <w:rsid w:val="BFF41435"/>
    <w:rsid w:val="BFF653F4"/>
    <w:rsid w:val="BFF71C7E"/>
    <w:rsid w:val="BFF942F8"/>
    <w:rsid w:val="BFF95543"/>
    <w:rsid w:val="BFFA27EE"/>
    <w:rsid w:val="BFFB0BEF"/>
    <w:rsid w:val="BFFB7AA8"/>
    <w:rsid w:val="BFFBD36D"/>
    <w:rsid w:val="BFFD39FF"/>
    <w:rsid w:val="BFFD4E78"/>
    <w:rsid w:val="BFFD72B0"/>
    <w:rsid w:val="BFFDEEC0"/>
    <w:rsid w:val="BFFEE067"/>
    <w:rsid w:val="BFFF0C87"/>
    <w:rsid w:val="BFFF2DC4"/>
    <w:rsid w:val="BFFFB9A0"/>
    <w:rsid w:val="BFFFBA01"/>
    <w:rsid w:val="C13D46F6"/>
    <w:rsid w:val="C3752CDD"/>
    <w:rsid w:val="C39FFF79"/>
    <w:rsid w:val="C4F7A977"/>
    <w:rsid w:val="C5FF0B95"/>
    <w:rsid w:val="C6B9C59D"/>
    <w:rsid w:val="C6FF1E32"/>
    <w:rsid w:val="C75E2051"/>
    <w:rsid w:val="C7CA8611"/>
    <w:rsid w:val="C7F76CB8"/>
    <w:rsid w:val="C7FA8390"/>
    <w:rsid w:val="C7FF8C09"/>
    <w:rsid w:val="C8BE061E"/>
    <w:rsid w:val="C97EC343"/>
    <w:rsid w:val="C9F7AD69"/>
    <w:rsid w:val="CAEC67DC"/>
    <w:rsid w:val="CAFF0F27"/>
    <w:rsid w:val="CB7FA3CB"/>
    <w:rsid w:val="CB7FF9E3"/>
    <w:rsid w:val="CBA5DD9A"/>
    <w:rsid w:val="CD5D761D"/>
    <w:rsid w:val="CD7641BC"/>
    <w:rsid w:val="CDBF85D2"/>
    <w:rsid w:val="CDD7D95E"/>
    <w:rsid w:val="CDDFE49C"/>
    <w:rsid w:val="CDFF620B"/>
    <w:rsid w:val="CE0D2BBE"/>
    <w:rsid w:val="CE0E6FAD"/>
    <w:rsid w:val="CE2FF17F"/>
    <w:rsid w:val="CE5DED78"/>
    <w:rsid w:val="CE7EA83F"/>
    <w:rsid w:val="CECC6066"/>
    <w:rsid w:val="CEEBDD0A"/>
    <w:rsid w:val="CF2ACEB1"/>
    <w:rsid w:val="CF4B0F12"/>
    <w:rsid w:val="CF571E4B"/>
    <w:rsid w:val="CF775517"/>
    <w:rsid w:val="CFACF9BC"/>
    <w:rsid w:val="CFB69433"/>
    <w:rsid w:val="CFB7CDC7"/>
    <w:rsid w:val="CFBEA803"/>
    <w:rsid w:val="CFD4183B"/>
    <w:rsid w:val="CFD7F72C"/>
    <w:rsid w:val="CFDD10F7"/>
    <w:rsid w:val="CFE7AA4D"/>
    <w:rsid w:val="CFE7FC4B"/>
    <w:rsid w:val="CFFA2499"/>
    <w:rsid w:val="CFFF5C11"/>
    <w:rsid w:val="CFFF640A"/>
    <w:rsid w:val="CFFF75C8"/>
    <w:rsid w:val="D1BF2CE1"/>
    <w:rsid w:val="D1FD4A3B"/>
    <w:rsid w:val="D1FF79E9"/>
    <w:rsid w:val="D2DF0EBC"/>
    <w:rsid w:val="D37BB188"/>
    <w:rsid w:val="D37F1CDB"/>
    <w:rsid w:val="D3F5CD87"/>
    <w:rsid w:val="D3FA8346"/>
    <w:rsid w:val="D3FFE441"/>
    <w:rsid w:val="D4EE833E"/>
    <w:rsid w:val="D4F3FD1A"/>
    <w:rsid w:val="D5578B26"/>
    <w:rsid w:val="D57D768F"/>
    <w:rsid w:val="D5DBF5D2"/>
    <w:rsid w:val="D5EF278D"/>
    <w:rsid w:val="D5FAA8F5"/>
    <w:rsid w:val="D5FE1320"/>
    <w:rsid w:val="D5FF3551"/>
    <w:rsid w:val="D67B6AF0"/>
    <w:rsid w:val="D67F26EE"/>
    <w:rsid w:val="D68FC395"/>
    <w:rsid w:val="D6B7398E"/>
    <w:rsid w:val="D6DF94FD"/>
    <w:rsid w:val="D71A3079"/>
    <w:rsid w:val="D76E2F1E"/>
    <w:rsid w:val="D7724A82"/>
    <w:rsid w:val="D77FED32"/>
    <w:rsid w:val="D7AF958E"/>
    <w:rsid w:val="D7BF2FC6"/>
    <w:rsid w:val="D7DB6DCC"/>
    <w:rsid w:val="D7DD78D7"/>
    <w:rsid w:val="D7DF50F0"/>
    <w:rsid w:val="D7DF7E8E"/>
    <w:rsid w:val="D7DF8643"/>
    <w:rsid w:val="D7E93BB7"/>
    <w:rsid w:val="D7EAC0F7"/>
    <w:rsid w:val="D7EDD2A9"/>
    <w:rsid w:val="D7EF23C3"/>
    <w:rsid w:val="D7EFA52F"/>
    <w:rsid w:val="D7EFC391"/>
    <w:rsid w:val="D7F7F2AB"/>
    <w:rsid w:val="D7F85B1D"/>
    <w:rsid w:val="D7FCBE7C"/>
    <w:rsid w:val="D7FD586E"/>
    <w:rsid w:val="D7FE0932"/>
    <w:rsid w:val="D8F34E58"/>
    <w:rsid w:val="D8FEFF63"/>
    <w:rsid w:val="D95FD199"/>
    <w:rsid w:val="D9BF04F9"/>
    <w:rsid w:val="D9E7511B"/>
    <w:rsid w:val="D9E754ED"/>
    <w:rsid w:val="D9F516A5"/>
    <w:rsid w:val="D9F6EB6F"/>
    <w:rsid w:val="D9FE2277"/>
    <w:rsid w:val="D9FEE863"/>
    <w:rsid w:val="D9FF4756"/>
    <w:rsid w:val="D9FFDE06"/>
    <w:rsid w:val="DA579354"/>
    <w:rsid w:val="DA7F3442"/>
    <w:rsid w:val="DAB29172"/>
    <w:rsid w:val="DAC7524A"/>
    <w:rsid w:val="DAFBDD48"/>
    <w:rsid w:val="DAFBFBCF"/>
    <w:rsid w:val="DAFFAC6B"/>
    <w:rsid w:val="DAFFDFC8"/>
    <w:rsid w:val="DB2F6085"/>
    <w:rsid w:val="DB5C873D"/>
    <w:rsid w:val="DB5F6419"/>
    <w:rsid w:val="DB6F1A21"/>
    <w:rsid w:val="DB749F5A"/>
    <w:rsid w:val="DB78E05B"/>
    <w:rsid w:val="DB7B1CB4"/>
    <w:rsid w:val="DB9A6A83"/>
    <w:rsid w:val="DB9F00E5"/>
    <w:rsid w:val="DB9F4B65"/>
    <w:rsid w:val="DBAECAA0"/>
    <w:rsid w:val="DBB97026"/>
    <w:rsid w:val="DBBE5396"/>
    <w:rsid w:val="DBCCE519"/>
    <w:rsid w:val="DBDB38D7"/>
    <w:rsid w:val="DBDB6DC8"/>
    <w:rsid w:val="DBDF2405"/>
    <w:rsid w:val="DBEEF701"/>
    <w:rsid w:val="DBEFCD45"/>
    <w:rsid w:val="DBFCA1A2"/>
    <w:rsid w:val="DBFF1D17"/>
    <w:rsid w:val="DBFF8E89"/>
    <w:rsid w:val="DBFF9AE7"/>
    <w:rsid w:val="DBFFD7BD"/>
    <w:rsid w:val="DC4C70FF"/>
    <w:rsid w:val="DC67DF90"/>
    <w:rsid w:val="DC7D43D7"/>
    <w:rsid w:val="DC91B064"/>
    <w:rsid w:val="DCDE69B8"/>
    <w:rsid w:val="DCEA6D7F"/>
    <w:rsid w:val="DCF6F144"/>
    <w:rsid w:val="DCFA8FD8"/>
    <w:rsid w:val="DCFF2C51"/>
    <w:rsid w:val="DD35914E"/>
    <w:rsid w:val="DD5D6725"/>
    <w:rsid w:val="DD665B96"/>
    <w:rsid w:val="DD67001D"/>
    <w:rsid w:val="DD735960"/>
    <w:rsid w:val="DD765C36"/>
    <w:rsid w:val="DD7F54D6"/>
    <w:rsid w:val="DDB69F4E"/>
    <w:rsid w:val="DDBFDE32"/>
    <w:rsid w:val="DDDF64EC"/>
    <w:rsid w:val="DDEBC9A9"/>
    <w:rsid w:val="DDFB9388"/>
    <w:rsid w:val="DE3FFB6D"/>
    <w:rsid w:val="DE472184"/>
    <w:rsid w:val="DE7504DF"/>
    <w:rsid w:val="DE768D51"/>
    <w:rsid w:val="DE7F0BEC"/>
    <w:rsid w:val="DE9EFDFF"/>
    <w:rsid w:val="DEAB16AC"/>
    <w:rsid w:val="DEB68154"/>
    <w:rsid w:val="DEBF2B78"/>
    <w:rsid w:val="DECFB6F9"/>
    <w:rsid w:val="DED78786"/>
    <w:rsid w:val="DEDBC2A5"/>
    <w:rsid w:val="DEDE8F5B"/>
    <w:rsid w:val="DEEED69C"/>
    <w:rsid w:val="DEF65DE9"/>
    <w:rsid w:val="DEFDFBA4"/>
    <w:rsid w:val="DEFFA625"/>
    <w:rsid w:val="DEFFC284"/>
    <w:rsid w:val="DF1F2D30"/>
    <w:rsid w:val="DF27F0B0"/>
    <w:rsid w:val="DF4FFAAA"/>
    <w:rsid w:val="DF5FE1D6"/>
    <w:rsid w:val="DF67F927"/>
    <w:rsid w:val="DF6BB96C"/>
    <w:rsid w:val="DF7915B7"/>
    <w:rsid w:val="DF797530"/>
    <w:rsid w:val="DF7A6A64"/>
    <w:rsid w:val="DF7F095C"/>
    <w:rsid w:val="DF7F31D9"/>
    <w:rsid w:val="DF7FB390"/>
    <w:rsid w:val="DF85398A"/>
    <w:rsid w:val="DF9AA96F"/>
    <w:rsid w:val="DF9F3019"/>
    <w:rsid w:val="DF9FCAF8"/>
    <w:rsid w:val="DFAF7798"/>
    <w:rsid w:val="DFB66CE7"/>
    <w:rsid w:val="DFB73750"/>
    <w:rsid w:val="DFBD77ED"/>
    <w:rsid w:val="DFBFBFE9"/>
    <w:rsid w:val="DFD7D1A0"/>
    <w:rsid w:val="DFDBD44C"/>
    <w:rsid w:val="DFDE3236"/>
    <w:rsid w:val="DFDE74BA"/>
    <w:rsid w:val="DFE387D4"/>
    <w:rsid w:val="DFE4284F"/>
    <w:rsid w:val="DFEB9B3D"/>
    <w:rsid w:val="DFED19E0"/>
    <w:rsid w:val="DFEFB452"/>
    <w:rsid w:val="DFF1FD59"/>
    <w:rsid w:val="DFF50829"/>
    <w:rsid w:val="DFF752D7"/>
    <w:rsid w:val="DFF948E9"/>
    <w:rsid w:val="DFFA4849"/>
    <w:rsid w:val="DFFBF5F9"/>
    <w:rsid w:val="DFFE81F4"/>
    <w:rsid w:val="DFFE8885"/>
    <w:rsid w:val="DFFEC56E"/>
    <w:rsid w:val="DFFF17FB"/>
    <w:rsid w:val="DFFF25A5"/>
    <w:rsid w:val="DFFF7EE4"/>
    <w:rsid w:val="DFFFC836"/>
    <w:rsid w:val="DFFFEFC5"/>
    <w:rsid w:val="E196290A"/>
    <w:rsid w:val="E1EF9DFE"/>
    <w:rsid w:val="E2F926BB"/>
    <w:rsid w:val="E2FF7EE8"/>
    <w:rsid w:val="E337A866"/>
    <w:rsid w:val="E345EEB8"/>
    <w:rsid w:val="E3679A36"/>
    <w:rsid w:val="E377C2C3"/>
    <w:rsid w:val="E37C921D"/>
    <w:rsid w:val="E3BBF84A"/>
    <w:rsid w:val="E3DF52B1"/>
    <w:rsid w:val="E3DFFB7F"/>
    <w:rsid w:val="E3FF38A0"/>
    <w:rsid w:val="E43FBA99"/>
    <w:rsid w:val="E59FDEBF"/>
    <w:rsid w:val="E5E30141"/>
    <w:rsid w:val="E5FCD7F3"/>
    <w:rsid w:val="E5FFCA07"/>
    <w:rsid w:val="E5FFEF29"/>
    <w:rsid w:val="E62FA252"/>
    <w:rsid w:val="E6E7FE9C"/>
    <w:rsid w:val="E74DC7C3"/>
    <w:rsid w:val="E77BAE1C"/>
    <w:rsid w:val="E7BA9530"/>
    <w:rsid w:val="E7BE7DB3"/>
    <w:rsid w:val="E7D9E382"/>
    <w:rsid w:val="E7EF950A"/>
    <w:rsid w:val="E7F74A5C"/>
    <w:rsid w:val="E7F79FA8"/>
    <w:rsid w:val="E7FA9622"/>
    <w:rsid w:val="E7FDAB03"/>
    <w:rsid w:val="E7FDDBF5"/>
    <w:rsid w:val="E7FFD9D6"/>
    <w:rsid w:val="E8DF86EE"/>
    <w:rsid w:val="E8F7F1F0"/>
    <w:rsid w:val="E97120CE"/>
    <w:rsid w:val="E99F5413"/>
    <w:rsid w:val="E9BF1D36"/>
    <w:rsid w:val="E9DF001A"/>
    <w:rsid w:val="E9FE44BC"/>
    <w:rsid w:val="EA5F4718"/>
    <w:rsid w:val="EA93BB3E"/>
    <w:rsid w:val="EABFBB69"/>
    <w:rsid w:val="EAF71CA6"/>
    <w:rsid w:val="EAFF95CD"/>
    <w:rsid w:val="EB4FFAFC"/>
    <w:rsid w:val="EB73CECC"/>
    <w:rsid w:val="EB7E2A18"/>
    <w:rsid w:val="EB7F1BCF"/>
    <w:rsid w:val="EB9F62E6"/>
    <w:rsid w:val="EBB736AE"/>
    <w:rsid w:val="EBBE190A"/>
    <w:rsid w:val="EBE7A41E"/>
    <w:rsid w:val="EBF51BAB"/>
    <w:rsid w:val="EBF7795D"/>
    <w:rsid w:val="EBFD1589"/>
    <w:rsid w:val="EBFFB803"/>
    <w:rsid w:val="EC5B6C08"/>
    <w:rsid w:val="EC5D5850"/>
    <w:rsid w:val="EC9B763A"/>
    <w:rsid w:val="ECD4ACF8"/>
    <w:rsid w:val="ECF51DD2"/>
    <w:rsid w:val="ECF75E6A"/>
    <w:rsid w:val="ED9EDE5A"/>
    <w:rsid w:val="EDA73382"/>
    <w:rsid w:val="EDBF274B"/>
    <w:rsid w:val="EDBF9E3D"/>
    <w:rsid w:val="EDDBF8FD"/>
    <w:rsid w:val="EDDDDC5F"/>
    <w:rsid w:val="EDDE0704"/>
    <w:rsid w:val="EDE21B0F"/>
    <w:rsid w:val="EDEB55D7"/>
    <w:rsid w:val="EDEBAAED"/>
    <w:rsid w:val="EDF58937"/>
    <w:rsid w:val="EDF9BC2E"/>
    <w:rsid w:val="EDFB1E57"/>
    <w:rsid w:val="EDFC28F7"/>
    <w:rsid w:val="EDFE53A6"/>
    <w:rsid w:val="EDFEB9B8"/>
    <w:rsid w:val="EE3B67C5"/>
    <w:rsid w:val="EE6F606D"/>
    <w:rsid w:val="EE7612A2"/>
    <w:rsid w:val="EE77412B"/>
    <w:rsid w:val="EE7FB600"/>
    <w:rsid w:val="EE7FD042"/>
    <w:rsid w:val="EE95114D"/>
    <w:rsid w:val="EEA74941"/>
    <w:rsid w:val="EEAF6956"/>
    <w:rsid w:val="EEB7A7DA"/>
    <w:rsid w:val="EEBB6346"/>
    <w:rsid w:val="EEBFDD34"/>
    <w:rsid w:val="EEEFE554"/>
    <w:rsid w:val="EEF3FB0E"/>
    <w:rsid w:val="EEF3FEBC"/>
    <w:rsid w:val="EEF75386"/>
    <w:rsid w:val="EEFF1112"/>
    <w:rsid w:val="EF1EE17D"/>
    <w:rsid w:val="EF3B83F3"/>
    <w:rsid w:val="EF52B055"/>
    <w:rsid w:val="EF5E1872"/>
    <w:rsid w:val="EF5E5C68"/>
    <w:rsid w:val="EF6D7CCD"/>
    <w:rsid w:val="EF6F2685"/>
    <w:rsid w:val="EF7779AB"/>
    <w:rsid w:val="EF7BEBB5"/>
    <w:rsid w:val="EF7D5968"/>
    <w:rsid w:val="EF7ED8F4"/>
    <w:rsid w:val="EF7F0C98"/>
    <w:rsid w:val="EF7F3E34"/>
    <w:rsid w:val="EF7F4B4D"/>
    <w:rsid w:val="EF9A0829"/>
    <w:rsid w:val="EF9FB113"/>
    <w:rsid w:val="EFADB054"/>
    <w:rsid w:val="EFAF0D5B"/>
    <w:rsid w:val="EFAFE7AA"/>
    <w:rsid w:val="EFCF48DA"/>
    <w:rsid w:val="EFD576DA"/>
    <w:rsid w:val="EFDFBEC1"/>
    <w:rsid w:val="EFDFC412"/>
    <w:rsid w:val="EFDFE6A3"/>
    <w:rsid w:val="EFE64A47"/>
    <w:rsid w:val="EFE72690"/>
    <w:rsid w:val="EFE7DB9C"/>
    <w:rsid w:val="EFE929AC"/>
    <w:rsid w:val="EFED98E0"/>
    <w:rsid w:val="EFEF2A30"/>
    <w:rsid w:val="EFF3AE5B"/>
    <w:rsid w:val="EFF3E4DE"/>
    <w:rsid w:val="EFF7F24E"/>
    <w:rsid w:val="EFFB68E2"/>
    <w:rsid w:val="EFFB9FFE"/>
    <w:rsid w:val="EFFC6378"/>
    <w:rsid w:val="EFFC8DD2"/>
    <w:rsid w:val="EFFD985F"/>
    <w:rsid w:val="EFFDB1CF"/>
    <w:rsid w:val="EFFDCB7A"/>
    <w:rsid w:val="EFFF04E9"/>
    <w:rsid w:val="EFFF98CD"/>
    <w:rsid w:val="EFFFB38B"/>
    <w:rsid w:val="EFFFCBC8"/>
    <w:rsid w:val="EFFFEB73"/>
    <w:rsid w:val="EFFFEFCA"/>
    <w:rsid w:val="F015EB2D"/>
    <w:rsid w:val="F0DFDB71"/>
    <w:rsid w:val="F0FF208C"/>
    <w:rsid w:val="F1CDE2EF"/>
    <w:rsid w:val="F1FF4655"/>
    <w:rsid w:val="F1FF8BD2"/>
    <w:rsid w:val="F2AF3611"/>
    <w:rsid w:val="F2BB49C3"/>
    <w:rsid w:val="F2BEB065"/>
    <w:rsid w:val="F2FD4143"/>
    <w:rsid w:val="F339977A"/>
    <w:rsid w:val="F35B05C3"/>
    <w:rsid w:val="F37D6018"/>
    <w:rsid w:val="F3979036"/>
    <w:rsid w:val="F3BF743E"/>
    <w:rsid w:val="F3CD3966"/>
    <w:rsid w:val="F3DB0299"/>
    <w:rsid w:val="F3F532D2"/>
    <w:rsid w:val="F3FBA869"/>
    <w:rsid w:val="F3FE7A32"/>
    <w:rsid w:val="F3FFD75F"/>
    <w:rsid w:val="F473A4B6"/>
    <w:rsid w:val="F4778063"/>
    <w:rsid w:val="F49F002C"/>
    <w:rsid w:val="F4B7F2C6"/>
    <w:rsid w:val="F4C36AE0"/>
    <w:rsid w:val="F4C75959"/>
    <w:rsid w:val="F4EF3413"/>
    <w:rsid w:val="F4F9719C"/>
    <w:rsid w:val="F4FF2F68"/>
    <w:rsid w:val="F4FF366A"/>
    <w:rsid w:val="F4FF4B60"/>
    <w:rsid w:val="F4FF547D"/>
    <w:rsid w:val="F53F5DAB"/>
    <w:rsid w:val="F57B3BC0"/>
    <w:rsid w:val="F57EFD26"/>
    <w:rsid w:val="F596CD85"/>
    <w:rsid w:val="F5BD07DF"/>
    <w:rsid w:val="F5BF5BD0"/>
    <w:rsid w:val="F5C62EC6"/>
    <w:rsid w:val="F5DA79DD"/>
    <w:rsid w:val="F5DF0321"/>
    <w:rsid w:val="F5E38D88"/>
    <w:rsid w:val="F5EB03F1"/>
    <w:rsid w:val="F5EB0E28"/>
    <w:rsid w:val="F5EF69D0"/>
    <w:rsid w:val="F5FB034A"/>
    <w:rsid w:val="F5FB8552"/>
    <w:rsid w:val="F5FEE626"/>
    <w:rsid w:val="F5FFB775"/>
    <w:rsid w:val="F65F01AB"/>
    <w:rsid w:val="F67D8C6B"/>
    <w:rsid w:val="F67EDAB6"/>
    <w:rsid w:val="F696BDDF"/>
    <w:rsid w:val="F6BC0EE0"/>
    <w:rsid w:val="F6BFE770"/>
    <w:rsid w:val="F6CFF706"/>
    <w:rsid w:val="F6E97DB8"/>
    <w:rsid w:val="F6EBEF60"/>
    <w:rsid w:val="F6EF5BFB"/>
    <w:rsid w:val="F6F375BD"/>
    <w:rsid w:val="F6F3BBA7"/>
    <w:rsid w:val="F6F9E451"/>
    <w:rsid w:val="F6FC6CE4"/>
    <w:rsid w:val="F6FFE955"/>
    <w:rsid w:val="F72559CA"/>
    <w:rsid w:val="F72F7D30"/>
    <w:rsid w:val="F73550C9"/>
    <w:rsid w:val="F739E75D"/>
    <w:rsid w:val="F73CA25A"/>
    <w:rsid w:val="F73F1D98"/>
    <w:rsid w:val="F73F7029"/>
    <w:rsid w:val="F755A15C"/>
    <w:rsid w:val="F7595FA6"/>
    <w:rsid w:val="F75B6D70"/>
    <w:rsid w:val="F75D3F7E"/>
    <w:rsid w:val="F75DC377"/>
    <w:rsid w:val="F76A78A6"/>
    <w:rsid w:val="F76BDDF3"/>
    <w:rsid w:val="F76D6409"/>
    <w:rsid w:val="F76F98FC"/>
    <w:rsid w:val="F76FD604"/>
    <w:rsid w:val="F775B352"/>
    <w:rsid w:val="F779F31F"/>
    <w:rsid w:val="F77A2D62"/>
    <w:rsid w:val="F77F21CC"/>
    <w:rsid w:val="F77F4D87"/>
    <w:rsid w:val="F7A75E8E"/>
    <w:rsid w:val="F7AD3BB9"/>
    <w:rsid w:val="F7AF55CF"/>
    <w:rsid w:val="F7B5FECB"/>
    <w:rsid w:val="F7B7860C"/>
    <w:rsid w:val="F7B8C4F9"/>
    <w:rsid w:val="F7BBEBDC"/>
    <w:rsid w:val="F7BD2855"/>
    <w:rsid w:val="F7CDD0D2"/>
    <w:rsid w:val="F7D79E07"/>
    <w:rsid w:val="F7DD00F0"/>
    <w:rsid w:val="F7DDA7E0"/>
    <w:rsid w:val="F7DDC196"/>
    <w:rsid w:val="F7DEA9BD"/>
    <w:rsid w:val="F7DF7703"/>
    <w:rsid w:val="F7E9DEBA"/>
    <w:rsid w:val="F7EEE66C"/>
    <w:rsid w:val="F7EFFE7D"/>
    <w:rsid w:val="F7F32CCB"/>
    <w:rsid w:val="F7F34219"/>
    <w:rsid w:val="F7FA812A"/>
    <w:rsid w:val="F7FDEC17"/>
    <w:rsid w:val="F7FE4E29"/>
    <w:rsid w:val="F7FEEFF4"/>
    <w:rsid w:val="F7FF592A"/>
    <w:rsid w:val="F7FFF685"/>
    <w:rsid w:val="F87BFF15"/>
    <w:rsid w:val="F87E0E99"/>
    <w:rsid w:val="F8F70281"/>
    <w:rsid w:val="F8FB43BC"/>
    <w:rsid w:val="F8FF950A"/>
    <w:rsid w:val="F8FFBCEB"/>
    <w:rsid w:val="F94FA4AB"/>
    <w:rsid w:val="F973C8FE"/>
    <w:rsid w:val="F97A6304"/>
    <w:rsid w:val="F97B17A7"/>
    <w:rsid w:val="F99EB409"/>
    <w:rsid w:val="F9A832FA"/>
    <w:rsid w:val="F9B39373"/>
    <w:rsid w:val="F9D665EE"/>
    <w:rsid w:val="F9DE9933"/>
    <w:rsid w:val="F9DF2339"/>
    <w:rsid w:val="F9EBAE04"/>
    <w:rsid w:val="F9EE87F1"/>
    <w:rsid w:val="F9FBE6B1"/>
    <w:rsid w:val="F9FCBA95"/>
    <w:rsid w:val="F9FEE992"/>
    <w:rsid w:val="F9FF637D"/>
    <w:rsid w:val="F9FF7994"/>
    <w:rsid w:val="F9FFA6B2"/>
    <w:rsid w:val="F9FFD5E9"/>
    <w:rsid w:val="FABB6B18"/>
    <w:rsid w:val="FABD52A3"/>
    <w:rsid w:val="FABFDF05"/>
    <w:rsid w:val="FADFBD0E"/>
    <w:rsid w:val="FADFF173"/>
    <w:rsid w:val="FAE11E62"/>
    <w:rsid w:val="FAEAE6F4"/>
    <w:rsid w:val="FAF7F702"/>
    <w:rsid w:val="FAFEC97F"/>
    <w:rsid w:val="FAFF27BD"/>
    <w:rsid w:val="FAFF4FE3"/>
    <w:rsid w:val="FB3EDB51"/>
    <w:rsid w:val="FB3F496D"/>
    <w:rsid w:val="FB56246A"/>
    <w:rsid w:val="FB562937"/>
    <w:rsid w:val="FB5D5295"/>
    <w:rsid w:val="FB5F3939"/>
    <w:rsid w:val="FB66B6BC"/>
    <w:rsid w:val="FB79C85F"/>
    <w:rsid w:val="FB7AD835"/>
    <w:rsid w:val="FB7F5DD6"/>
    <w:rsid w:val="FB7F652A"/>
    <w:rsid w:val="FB7F870E"/>
    <w:rsid w:val="FBAD4609"/>
    <w:rsid w:val="FBAFECC6"/>
    <w:rsid w:val="FBB7A04C"/>
    <w:rsid w:val="FBBF51B6"/>
    <w:rsid w:val="FBD38076"/>
    <w:rsid w:val="FBD54724"/>
    <w:rsid w:val="FBDB8B69"/>
    <w:rsid w:val="FBDFB951"/>
    <w:rsid w:val="FBE32F49"/>
    <w:rsid w:val="FBE62A81"/>
    <w:rsid w:val="FBEE4404"/>
    <w:rsid w:val="FBEF56C9"/>
    <w:rsid w:val="FBF260FA"/>
    <w:rsid w:val="FBF290BA"/>
    <w:rsid w:val="FBF34DCF"/>
    <w:rsid w:val="FBF7CD8C"/>
    <w:rsid w:val="FBF9190D"/>
    <w:rsid w:val="FBF9DD62"/>
    <w:rsid w:val="FBF9E57A"/>
    <w:rsid w:val="FBFC22FC"/>
    <w:rsid w:val="FBFD0EF4"/>
    <w:rsid w:val="FBFE081A"/>
    <w:rsid w:val="FBFE52DA"/>
    <w:rsid w:val="FBFEB932"/>
    <w:rsid w:val="FBFF10B9"/>
    <w:rsid w:val="FBFF17E5"/>
    <w:rsid w:val="FBFF1EF3"/>
    <w:rsid w:val="FBFF945E"/>
    <w:rsid w:val="FC5F032E"/>
    <w:rsid w:val="FC7747CB"/>
    <w:rsid w:val="FC7BC053"/>
    <w:rsid w:val="FC7E0B5C"/>
    <w:rsid w:val="FC7F3BC4"/>
    <w:rsid w:val="FC8F5739"/>
    <w:rsid w:val="FCB6AD8F"/>
    <w:rsid w:val="FCBFC082"/>
    <w:rsid w:val="FCC6A7CD"/>
    <w:rsid w:val="FCCC2984"/>
    <w:rsid w:val="FCE5BE1F"/>
    <w:rsid w:val="FCF1DEBA"/>
    <w:rsid w:val="FCF3199A"/>
    <w:rsid w:val="FCF7149B"/>
    <w:rsid w:val="FCFA9D44"/>
    <w:rsid w:val="FCFECE0D"/>
    <w:rsid w:val="FCFF9BD5"/>
    <w:rsid w:val="FD3722FC"/>
    <w:rsid w:val="FD374CDF"/>
    <w:rsid w:val="FD37E26E"/>
    <w:rsid w:val="FD3D0E73"/>
    <w:rsid w:val="FD3E638D"/>
    <w:rsid w:val="FD3E7485"/>
    <w:rsid w:val="FD458315"/>
    <w:rsid w:val="FD4DACA2"/>
    <w:rsid w:val="FD5D9EB9"/>
    <w:rsid w:val="FD5F6177"/>
    <w:rsid w:val="FD6749DE"/>
    <w:rsid w:val="FD67AE51"/>
    <w:rsid w:val="FD6F7AB7"/>
    <w:rsid w:val="FD73A3DC"/>
    <w:rsid w:val="FD7AFF16"/>
    <w:rsid w:val="FD7D2198"/>
    <w:rsid w:val="FD7F07FE"/>
    <w:rsid w:val="FD7FF8D1"/>
    <w:rsid w:val="FD9F98D8"/>
    <w:rsid w:val="FDA35F2E"/>
    <w:rsid w:val="FDBDCC19"/>
    <w:rsid w:val="FDBEC1F8"/>
    <w:rsid w:val="FDBF54C7"/>
    <w:rsid w:val="FDD7A2B8"/>
    <w:rsid w:val="FDDA5D7E"/>
    <w:rsid w:val="FDDDDFDE"/>
    <w:rsid w:val="FDDDEF04"/>
    <w:rsid w:val="FDDF74CA"/>
    <w:rsid w:val="FDE4F706"/>
    <w:rsid w:val="FDEB066F"/>
    <w:rsid w:val="FDEF7061"/>
    <w:rsid w:val="FDEF87BC"/>
    <w:rsid w:val="FDF3AD60"/>
    <w:rsid w:val="FDF98BDA"/>
    <w:rsid w:val="FDF9A2CB"/>
    <w:rsid w:val="FDF9F429"/>
    <w:rsid w:val="FDFA0509"/>
    <w:rsid w:val="FDFB3044"/>
    <w:rsid w:val="FDFBBAF4"/>
    <w:rsid w:val="FDFC4B69"/>
    <w:rsid w:val="FDFCADCA"/>
    <w:rsid w:val="FDFD1912"/>
    <w:rsid w:val="FDFD66E5"/>
    <w:rsid w:val="FDFD971D"/>
    <w:rsid w:val="FDFE185D"/>
    <w:rsid w:val="FDFE2351"/>
    <w:rsid w:val="FDFF59D2"/>
    <w:rsid w:val="FDFFAABF"/>
    <w:rsid w:val="FDFFC291"/>
    <w:rsid w:val="FDFFC8A9"/>
    <w:rsid w:val="FE2744CB"/>
    <w:rsid w:val="FE3DA8DF"/>
    <w:rsid w:val="FE3F7829"/>
    <w:rsid w:val="FE550DEA"/>
    <w:rsid w:val="FE5DED2C"/>
    <w:rsid w:val="FE64F5AB"/>
    <w:rsid w:val="FE6F1302"/>
    <w:rsid w:val="FE6F4479"/>
    <w:rsid w:val="FE776666"/>
    <w:rsid w:val="FE7DA149"/>
    <w:rsid w:val="FE7F3FB5"/>
    <w:rsid w:val="FE7FAA33"/>
    <w:rsid w:val="FE9E8FDF"/>
    <w:rsid w:val="FE9F7F65"/>
    <w:rsid w:val="FE9F808E"/>
    <w:rsid w:val="FEAF8328"/>
    <w:rsid w:val="FEBF3692"/>
    <w:rsid w:val="FEBF6FBB"/>
    <w:rsid w:val="FEBFB14B"/>
    <w:rsid w:val="FED685C3"/>
    <w:rsid w:val="FEE7AF29"/>
    <w:rsid w:val="FEEB145B"/>
    <w:rsid w:val="FEEB55A2"/>
    <w:rsid w:val="FEEF3CC2"/>
    <w:rsid w:val="FEF32B61"/>
    <w:rsid w:val="FEFE8294"/>
    <w:rsid w:val="FEFEB50F"/>
    <w:rsid w:val="FEFF336C"/>
    <w:rsid w:val="FEFF4584"/>
    <w:rsid w:val="FEFF5D85"/>
    <w:rsid w:val="FEFF7B77"/>
    <w:rsid w:val="FEFF7E41"/>
    <w:rsid w:val="FEFF9A5A"/>
    <w:rsid w:val="FEFF9B19"/>
    <w:rsid w:val="FEFFBF6A"/>
    <w:rsid w:val="FEFFF0EB"/>
    <w:rsid w:val="FF2CE3E3"/>
    <w:rsid w:val="FF2DA9A6"/>
    <w:rsid w:val="FF3B398F"/>
    <w:rsid w:val="FF3D4481"/>
    <w:rsid w:val="FF3E500E"/>
    <w:rsid w:val="FF3E680A"/>
    <w:rsid w:val="FF3F6870"/>
    <w:rsid w:val="FF3F88FD"/>
    <w:rsid w:val="FF3FDC6A"/>
    <w:rsid w:val="FF4F0501"/>
    <w:rsid w:val="FF56C9F8"/>
    <w:rsid w:val="FF5B15C0"/>
    <w:rsid w:val="FF5B72BD"/>
    <w:rsid w:val="FF5F0765"/>
    <w:rsid w:val="FF5F91E7"/>
    <w:rsid w:val="FF6481E1"/>
    <w:rsid w:val="FF692B21"/>
    <w:rsid w:val="FF6AB21A"/>
    <w:rsid w:val="FF6CE2C7"/>
    <w:rsid w:val="FF6F509A"/>
    <w:rsid w:val="FF6F74B3"/>
    <w:rsid w:val="FF6F7B19"/>
    <w:rsid w:val="FF751BC8"/>
    <w:rsid w:val="FF76966C"/>
    <w:rsid w:val="FF78BE7E"/>
    <w:rsid w:val="FF7A43BB"/>
    <w:rsid w:val="FF7B3FFF"/>
    <w:rsid w:val="FF7B8808"/>
    <w:rsid w:val="FF7BA39D"/>
    <w:rsid w:val="FF7CB4D3"/>
    <w:rsid w:val="FF7D0BA6"/>
    <w:rsid w:val="FF7E264A"/>
    <w:rsid w:val="FF7E7A89"/>
    <w:rsid w:val="FF7E855C"/>
    <w:rsid w:val="FF7E95A2"/>
    <w:rsid w:val="FF7EA1C5"/>
    <w:rsid w:val="FF7F4844"/>
    <w:rsid w:val="FF7F95FF"/>
    <w:rsid w:val="FF7F9D05"/>
    <w:rsid w:val="FF7FD7E7"/>
    <w:rsid w:val="FF7FFEFA"/>
    <w:rsid w:val="FF8D8293"/>
    <w:rsid w:val="FF8F5AB4"/>
    <w:rsid w:val="FF98C9DF"/>
    <w:rsid w:val="FF9F7554"/>
    <w:rsid w:val="FFAB3989"/>
    <w:rsid w:val="FFAB5C29"/>
    <w:rsid w:val="FFAF97CF"/>
    <w:rsid w:val="FFAFA0A1"/>
    <w:rsid w:val="FFB0BAEC"/>
    <w:rsid w:val="FFB5C899"/>
    <w:rsid w:val="FFB6A8F2"/>
    <w:rsid w:val="FFB780B7"/>
    <w:rsid w:val="FFB7877B"/>
    <w:rsid w:val="FFB99453"/>
    <w:rsid w:val="FFB9DF4F"/>
    <w:rsid w:val="FFBA9CCF"/>
    <w:rsid w:val="FFBB616A"/>
    <w:rsid w:val="FFBB898A"/>
    <w:rsid w:val="FFBBA585"/>
    <w:rsid w:val="FFBC70E1"/>
    <w:rsid w:val="FFBD0B92"/>
    <w:rsid w:val="FFBE094E"/>
    <w:rsid w:val="FFBE09CE"/>
    <w:rsid w:val="FFBE304E"/>
    <w:rsid w:val="FFBECB5B"/>
    <w:rsid w:val="FFBF0407"/>
    <w:rsid w:val="FFBF1B6A"/>
    <w:rsid w:val="FFBF48A7"/>
    <w:rsid w:val="FFBF9834"/>
    <w:rsid w:val="FFBFB342"/>
    <w:rsid w:val="FFC61425"/>
    <w:rsid w:val="FFC7FF38"/>
    <w:rsid w:val="FFCF7064"/>
    <w:rsid w:val="FFCF9443"/>
    <w:rsid w:val="FFCFD9BF"/>
    <w:rsid w:val="FFCFF030"/>
    <w:rsid w:val="FFD2D2C6"/>
    <w:rsid w:val="FFD4A91A"/>
    <w:rsid w:val="FFD7022D"/>
    <w:rsid w:val="FFD7B0C2"/>
    <w:rsid w:val="FFD7DE79"/>
    <w:rsid w:val="FFDA9EBE"/>
    <w:rsid w:val="FFDF06AB"/>
    <w:rsid w:val="FFDF64EF"/>
    <w:rsid w:val="FFED559D"/>
    <w:rsid w:val="FFEDFA1D"/>
    <w:rsid w:val="FFEE0FDA"/>
    <w:rsid w:val="FFEF559E"/>
    <w:rsid w:val="FFEF6F4B"/>
    <w:rsid w:val="FFEFE73B"/>
    <w:rsid w:val="FFF320FC"/>
    <w:rsid w:val="FFF32E9B"/>
    <w:rsid w:val="FFF34DDF"/>
    <w:rsid w:val="FFF3C8EF"/>
    <w:rsid w:val="FFF3E8A5"/>
    <w:rsid w:val="FFF57FF1"/>
    <w:rsid w:val="FFF69935"/>
    <w:rsid w:val="FFF72A8D"/>
    <w:rsid w:val="FFF76BF9"/>
    <w:rsid w:val="FFF7A85E"/>
    <w:rsid w:val="FFF7AEEB"/>
    <w:rsid w:val="FFF7B766"/>
    <w:rsid w:val="FFF7D355"/>
    <w:rsid w:val="FFF7F94A"/>
    <w:rsid w:val="FFF875F6"/>
    <w:rsid w:val="FFFB252C"/>
    <w:rsid w:val="FFFB37F6"/>
    <w:rsid w:val="FFFB3F8B"/>
    <w:rsid w:val="FFFB42AE"/>
    <w:rsid w:val="FFFB6374"/>
    <w:rsid w:val="FFFB6E5C"/>
    <w:rsid w:val="FFFB91AC"/>
    <w:rsid w:val="FFFB9646"/>
    <w:rsid w:val="FFFBC22C"/>
    <w:rsid w:val="FFFC3DF9"/>
    <w:rsid w:val="FFFCE016"/>
    <w:rsid w:val="FFFD45C5"/>
    <w:rsid w:val="FFFD6884"/>
    <w:rsid w:val="FFFDB0FD"/>
    <w:rsid w:val="FFFDC6B2"/>
    <w:rsid w:val="FFFDC82B"/>
    <w:rsid w:val="FFFDEEB8"/>
    <w:rsid w:val="FFFE915B"/>
    <w:rsid w:val="FFFEC151"/>
    <w:rsid w:val="FFFF0671"/>
    <w:rsid w:val="FFFF0FB6"/>
    <w:rsid w:val="FFFF2FB7"/>
    <w:rsid w:val="FFFF3B9D"/>
    <w:rsid w:val="FFFF4C18"/>
    <w:rsid w:val="FFFF5B91"/>
    <w:rsid w:val="FFFF7847"/>
    <w:rsid w:val="FFFF7A89"/>
    <w:rsid w:val="FFFF7F29"/>
    <w:rsid w:val="FFFF84B2"/>
    <w:rsid w:val="FFFFB6FA"/>
    <w:rsid w:val="FFFFC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nhideWhenUsed="0" w:uiPriority="0" w:semiHidden="0" w:name="List 2"/>
    <w:lsdException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outlineLvl w:val="0"/>
    </w:pPr>
    <w:rPr>
      <w:rFonts w:ascii="Arial" w:hAnsi="Arial"/>
      <w:b/>
      <w:bCs/>
      <w:kern w:val="32"/>
      <w:sz w:val="32"/>
      <w:szCs w:val="32"/>
    </w:rPr>
  </w:style>
  <w:style w:type="paragraph" w:styleId="3">
    <w:name w:val="heading 2"/>
    <w:basedOn w:val="2"/>
    <w:next w:val="1"/>
    <w:link w:val="29"/>
    <w:qFormat/>
    <w:uiPriority w:val="9"/>
    <w:pPr>
      <w:keepNext/>
      <w:numPr>
        <w:ilvl w:val="1"/>
      </w:numPr>
      <w:tabs>
        <w:tab w:val="clear" w:pos="432"/>
      </w:tabs>
      <w:spacing w:before="240" w:after="50"/>
      <w:outlineLvl w:val="1"/>
    </w:pPr>
    <w:rPr>
      <w:b w:val="0"/>
      <w:bCs w:val="0"/>
      <w:iCs/>
      <w:sz w:val="24"/>
      <w:szCs w:val="28"/>
    </w:rPr>
  </w:style>
  <w:style w:type="paragraph" w:styleId="4">
    <w:name w:val="heading 3"/>
    <w:basedOn w:val="1"/>
    <w:next w:val="1"/>
    <w:link w:val="30"/>
    <w:qFormat/>
    <w:uiPriority w:val="0"/>
    <w:pPr>
      <w:keepNext/>
      <w:numPr>
        <w:ilvl w:val="2"/>
        <w:numId w:val="1"/>
      </w:numPr>
      <w:tabs>
        <w:tab w:val="left" w:pos="720"/>
      </w:tabs>
      <w:spacing w:before="240" w:after="60"/>
      <w:outlineLvl w:val="2"/>
    </w:pPr>
    <w:rPr>
      <w:rFonts w:ascii="Arial" w:hAnsi="Arial"/>
      <w:b/>
      <w:bCs/>
      <w:szCs w:val="26"/>
    </w:rPr>
  </w:style>
  <w:style w:type="paragraph" w:styleId="5">
    <w:name w:val="heading 4"/>
    <w:basedOn w:val="4"/>
    <w:next w:val="1"/>
    <w:link w:val="31"/>
    <w:qFormat/>
    <w:uiPriority w:val="9"/>
    <w:pPr>
      <w:numPr>
        <w:ilvl w:val="3"/>
      </w:numPr>
      <w:tabs>
        <w:tab w:val="clear" w:pos="0"/>
      </w:tabs>
      <w:outlineLvl w:val="3"/>
    </w:pPr>
    <w:rPr>
      <w:i/>
    </w:rPr>
  </w:style>
  <w:style w:type="paragraph" w:styleId="6">
    <w:name w:val="heading 5"/>
    <w:basedOn w:val="5"/>
    <w:next w:val="1"/>
    <w:link w:val="32"/>
    <w:qFormat/>
    <w:uiPriority w:val="9"/>
    <w:pPr>
      <w:numPr>
        <w:ilvl w:val="4"/>
      </w:numPr>
      <w:ind w:left="864" w:hanging="864"/>
      <w:outlineLvl w:val="4"/>
    </w:pPr>
    <w:rPr>
      <w:bCs w:val="0"/>
      <w:i w:val="0"/>
      <w:iCs/>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qFormat/>
    <w:uiPriority w:val="0"/>
    <w:pPr>
      <w:tabs>
        <w:tab w:val="left" w:pos="1440"/>
      </w:tabs>
      <w:spacing w:after="120"/>
    </w:pPr>
    <w:rPr>
      <w:lang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8"/>
    <w:semiHidden/>
    <w:unhideWhenUsed/>
    <w:uiPriority w:val="99"/>
    <w:pPr>
      <w:jc w:val="left"/>
    </w:pPr>
  </w:style>
  <w:style w:type="paragraph" w:styleId="17">
    <w:name w:val="annotation subject"/>
    <w:basedOn w:val="16"/>
    <w:next w:val="16"/>
    <w:link w:val="59"/>
    <w:semiHidden/>
    <w:unhideWhenUsed/>
    <w:uiPriority w:val="99"/>
    <w:pPr>
      <w:jc w:val="both"/>
    </w:pPr>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8"/>
    <w:unhideWhenUsed/>
    <w:uiPriority w:val="99"/>
    <w:pPr>
      <w:tabs>
        <w:tab w:val="center" w:pos="4680"/>
        <w:tab w:val="right" w:pos="9360"/>
      </w:tabs>
    </w:pPr>
  </w:style>
  <w:style w:type="paragraph" w:styleId="21">
    <w:name w:val="header"/>
    <w:basedOn w:val="1"/>
    <w:link w:val="39"/>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List 2"/>
    <w:basedOn w:val="23"/>
    <w:uiPriority w:val="0"/>
    <w:pPr>
      <w:ind w:left="851"/>
    </w:pPr>
  </w:style>
  <w:style w:type="paragraph" w:styleId="25">
    <w:name w:val="List 3"/>
    <w:basedOn w:val="24"/>
    <w:uiPriority w:val="0"/>
    <w:pPr>
      <w:ind w:left="1135"/>
    </w:p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Arial" w:hAnsi="Arial"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0"/>
    <w:uiPriority w:val="99"/>
    <w:rPr>
      <w:rFonts w:ascii="Times" w:hAnsi="Times" w:eastAsia="Batang"/>
      <w:szCs w:val="24"/>
      <w:lang w:val="en-GB" w:eastAsia="en-US"/>
    </w:rPr>
  </w:style>
  <w:style w:type="character" w:customStyle="1" w:styleId="39">
    <w:name w:val="Header Char"/>
    <w:link w:val="21"/>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8"/>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3"/>
    <w:qFormat/>
    <w:uiPriority w:val="0"/>
    <w:pPr>
      <w:spacing w:after="180"/>
      <w:ind w:left="568" w:hanging="284"/>
    </w:pPr>
    <w:rPr>
      <w:rFonts w:eastAsia="宋体"/>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24"/>
    <w:qFormat/>
    <w:uiPriority w:val="0"/>
    <w:pPr>
      <w:ind w:hanging="284"/>
    </w:pPr>
  </w:style>
  <w:style w:type="paragraph" w:customStyle="1" w:styleId="51">
    <w:name w:val="B3"/>
    <w:basedOn w:val="25"/>
    <w:qFormat/>
    <w:uiPriority w:val="0"/>
    <w:pPr>
      <w:ind w:hanging="284"/>
    </w:pPr>
  </w:style>
  <w:style w:type="paragraph" w:customStyle="1" w:styleId="5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uiPriority w:val="0"/>
    <w:pPr>
      <w:keepNext/>
      <w:keepLines/>
      <w:spacing w:after="0"/>
    </w:pPr>
    <w:rPr>
      <w:rFonts w:ascii="Arial" w:hAnsi="Arial"/>
      <w:sz w:val="18"/>
    </w:rPr>
  </w:style>
  <w:style w:type="paragraph" w:styleId="56">
    <w:name w:val="List Paragraph"/>
    <w:basedOn w:val="1"/>
    <w:qFormat/>
    <w:uiPriority w:val="34"/>
    <w:pPr>
      <w:tabs>
        <w:tab w:val="left" w:pos="1440"/>
      </w:tabs>
      <w:ind w:left="840" w:leftChars="400"/>
    </w:pPr>
    <w:rPr>
      <w:lang w:eastAsia="zh-CN"/>
    </w:rPr>
  </w:style>
  <w:style w:type="paragraph" w:customStyle="1" w:styleId="57">
    <w:name w:val="목록 단락1"/>
    <w:basedOn w:val="1"/>
    <w:qFormat/>
    <w:uiPriority w:val="34"/>
    <w:pPr>
      <w:spacing w:after="180" w:line="276" w:lineRule="auto"/>
      <w:ind w:left="800" w:leftChars="400"/>
    </w:pPr>
    <w:rPr>
      <w:rFonts w:eastAsia="Malgun Gothic"/>
    </w:rPr>
  </w:style>
  <w:style w:type="character" w:customStyle="1" w:styleId="58">
    <w:name w:val="Comment Text Char"/>
    <w:basedOn w:val="11"/>
    <w:link w:val="16"/>
    <w:semiHidden/>
    <w:uiPriority w:val="99"/>
    <w:rPr>
      <w:rFonts w:eastAsia="Batang"/>
      <w:lang w:val="en-GB" w:eastAsia="en-US"/>
    </w:rPr>
  </w:style>
  <w:style w:type="character" w:customStyle="1" w:styleId="59">
    <w:name w:val="Comment Subject Char"/>
    <w:basedOn w:val="58"/>
    <w:link w:val="17"/>
    <w:semiHidden/>
    <w:uiPriority w:val="99"/>
    <w:rPr>
      <w:rFonts w:eastAsia="Batang"/>
      <w:b/>
      <w:bCs/>
      <w:lang w:val="en-GB" w:eastAsia="en-US"/>
    </w:rPr>
  </w:style>
  <w:style w:type="paragraph" w:customStyle="1" w:styleId="60">
    <w:name w:val="Revision"/>
    <w:hidden/>
    <w:unhideWhenUsed/>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4141</Words>
  <Characters>23609</Characters>
  <Lines>196</Lines>
  <Paragraphs>55</Paragraphs>
  <TotalTime>1</TotalTime>
  <ScaleCrop>false</ScaleCrop>
  <LinksUpToDate>false</LinksUpToDate>
  <CharactersWithSpaces>27695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2024-08-10T10:00:00Z</dcterms:created>
  <dc:creator>김윤선/표준연구팀(SR)/Master/삼성전자</dc:creator>
  <cp:lastModifiedBy>Dan Wu</cp:lastModifiedBy>
  <dcterms:modified xsi:type="dcterms:W3CDTF">2024-10-04T21:50:23Z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1033-6.11.0.8885</vt:lpwstr>
  </property>
  <property fmtid="{D5CDD505-2E9C-101B-9397-08002B2CF9AE}" pid="4" name="ICV">
    <vt:lpwstr>34FF4FFD0EC42824E8B83D6683AB56FD_43</vt:lpwstr>
  </property>
</Properties>
</file>