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napToGrid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8bis</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w:t>
      </w:r>
      <w:r>
        <w:rPr>
          <w:rFonts w:hint="eastAsia" w:ascii="Times New Roman" w:hAnsi="Times New Roman" w:eastAsia="宋体" w:cstheme="minorBidi"/>
          <w:b/>
          <w:bCs/>
          <w:sz w:val="24"/>
          <w:szCs w:val="28"/>
          <w:lang w:val="en-US" w:eastAsia="zh-CN"/>
        </w:rPr>
        <w:t>8265</w:t>
      </w:r>
      <w:bookmarkStart w:id="12" w:name="_GoBack"/>
      <w:bookmarkEnd w:id="12"/>
    </w:p>
    <w:p>
      <w:pPr>
        <w:pStyle w:val="8"/>
        <w:pageBreakBefore w:val="0"/>
        <w:widowControl/>
        <w:tabs>
          <w:tab w:val="left" w:pos="1980"/>
        </w:tabs>
        <w:kinsoku/>
        <w:wordWrap/>
        <w:topLinePunct w:val="0"/>
        <w:bidi w:val="0"/>
        <w:snapToGrid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宋体"/>
          <w:b/>
          <w:bCs/>
          <w:sz w:val="24"/>
          <w:szCs w:val="28"/>
          <w:lang w:val="en-US" w:eastAsia="zh-CN"/>
        </w:rPr>
        <w:t>Hefei</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China</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14</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18</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October</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napToGrid w:val="0"/>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napToGrid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3</w:t>
      </w:r>
    </w:p>
    <w:p>
      <w:pPr>
        <w:pStyle w:val="7"/>
        <w:pageBreakBefore w:val="0"/>
        <w:widowControl/>
        <w:kinsoku/>
        <w:wordWrap/>
        <w:topLinePunct w:val="0"/>
        <w:bidi w:val="0"/>
        <w:snapToGrid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pageBreakBefore w:val="0"/>
        <w:widowControl/>
        <w:kinsoku/>
        <w:wordWrap/>
        <w:topLinePunct w:val="0"/>
        <w:bidi w:val="0"/>
        <w:snapToGrid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bookmarkStart w:id="2" w:name="OLE_LINK4"/>
      <w:r>
        <w:rPr>
          <w:rFonts w:hint="eastAsia" w:eastAsia="宋体" w:cs="Arial"/>
          <w:szCs w:val="24"/>
          <w:lang w:val="en-US" w:eastAsia="zh-CN"/>
        </w:rPr>
        <w:t>d</w:t>
      </w:r>
      <w:r>
        <w:rPr>
          <w:rFonts w:hint="eastAsia" w:cs="Arial"/>
          <w:szCs w:val="24"/>
        </w:rPr>
        <w:t>ownlink and uplink channel aspects</w:t>
      </w:r>
      <w:bookmarkEnd w:id="2"/>
      <w:r>
        <w:rPr>
          <w:rFonts w:hint="eastAsia" w:eastAsia="宋体" w:cs="Arial"/>
          <w:szCs w:val="24"/>
          <w:lang w:val="en-US" w:eastAsia="zh-CN"/>
        </w:rPr>
        <w:t xml:space="preserve"> for A-IoT</w:t>
      </w:r>
    </w:p>
    <w:p>
      <w:pPr>
        <w:pStyle w:val="7"/>
        <w:pageBreakBefore w:val="0"/>
        <w:widowControl/>
        <w:kinsoku/>
        <w:wordWrap/>
        <w:topLinePunct w:val="0"/>
        <w:bidi w:val="0"/>
        <w:snapToGrid w:val="0"/>
        <w:spacing w:after="0" w:line="240" w:lineRule="auto"/>
        <w:rPr>
          <w:rFonts w:cs="Arial"/>
          <w:szCs w:val="24"/>
        </w:rPr>
      </w:pPr>
      <w:r>
        <w:rPr>
          <w:rFonts w:cs="Arial"/>
          <w:szCs w:val="24"/>
        </w:rPr>
        <w:t xml:space="preserve">Document for: </w:t>
      </w:r>
      <w:r>
        <w:rPr>
          <w:rFonts w:cs="Arial"/>
          <w:szCs w:val="24"/>
        </w:rPr>
        <w:tab/>
      </w:r>
      <w:r>
        <w:rPr>
          <w:rFonts w:hint="eastAsia" w:cs="Arial"/>
          <w:szCs w:val="24"/>
        </w:rPr>
        <w:t>Discussion and Decision</w:t>
      </w:r>
    </w:p>
    <w:p>
      <w:pPr>
        <w:pStyle w:val="2"/>
        <w:pageBreakBefore w:val="0"/>
        <w:widowControl/>
        <w:kinsoku/>
        <w:wordWrap/>
        <w:topLinePunct w:val="0"/>
        <w:bidi w:val="0"/>
        <w:snapToGrid w:val="0"/>
        <w:spacing w:line="240" w:lineRule="auto"/>
        <w:rPr>
          <w:sz w:val="32"/>
          <w:szCs w:val="32"/>
        </w:rPr>
      </w:pPr>
      <w:r>
        <w:rPr>
          <w:sz w:val="32"/>
          <w:szCs w:val="32"/>
        </w:rPr>
        <w:t>1. Introduction</w:t>
      </w:r>
    </w:p>
    <w:p>
      <w:pPr>
        <w:pageBreakBefore w:val="0"/>
        <w:widowControl/>
        <w:kinsoku/>
        <w:wordWrap/>
        <w:topLinePunct w:val="0"/>
        <w:bidi w:val="0"/>
        <w:snapToGrid w:val="0"/>
        <w:spacing w:line="240" w:lineRule="auto"/>
        <w:jc w:val="both"/>
        <w:rPr>
          <w:rFonts w:hint="eastAsia" w:eastAsia="宋体" w:cs="Times New Roman"/>
          <w:sz w:val="22"/>
          <w:szCs w:val="22"/>
          <w:lang w:val="en-US" w:eastAsia="zh-CN"/>
        </w:rPr>
      </w:pPr>
      <w:bookmarkStart w:id="3" w:name="OLE_LINK1"/>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t>
      </w:r>
      <w:bookmarkStart w:id="4" w:name="OLE_LINK7"/>
      <w:r>
        <w:rPr>
          <w:rFonts w:hint="eastAsia" w:eastAsia="宋体" w:cs="Times New Roman"/>
          <w:sz w:val="22"/>
          <w:szCs w:val="22"/>
          <w:lang w:val="en-US" w:eastAsia="zh-CN"/>
        </w:rPr>
        <w:t xml:space="preserve">While some initial agreements have been reached regarding the downlink and uplink channel/signal aspectsand updated in TR 38.769 V1.0.0, there are still many details that require further discussion [2]. </w:t>
      </w:r>
      <w:bookmarkEnd w:id="4"/>
    </w:p>
    <w:p>
      <w:pPr>
        <w:pageBreakBefore w:val="0"/>
        <w:widowControl/>
        <w:kinsoku/>
        <w:wordWrap/>
        <w:topLinePunct w:val="0"/>
        <w:bidi w:val="0"/>
        <w:snapToGrid w:val="0"/>
        <w:spacing w:line="240" w:lineRule="auto"/>
        <w:jc w:val="both"/>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eastAsia="宋体" w:cs="Arial"/>
          <w:sz w:val="22"/>
          <w:szCs w:val="22"/>
          <w:lang w:val="en-US" w:eastAsia="zh-CN"/>
        </w:rPr>
        <w:t xml:space="preserve">downlink channel design about the periodic broadcast </w:t>
      </w:r>
      <w:r>
        <w:rPr>
          <w:rFonts w:eastAsia="宋体"/>
          <w:lang w:val="en-US" w:eastAsia="ja-JP"/>
        </w:rPr>
        <w:t>for Ambient IoT</w:t>
      </w:r>
      <w:r>
        <w:rPr>
          <w:rFonts w:hint="eastAsia" w:eastAsia="宋体" w:cs="Arial"/>
          <w:sz w:val="22"/>
          <w:szCs w:val="22"/>
          <w:lang w:val="en-US" w:eastAsia="zh-CN"/>
        </w:rPr>
        <w:t>.</w:t>
      </w:r>
    </w:p>
    <w:p>
      <w:pPr>
        <w:pageBreakBefore w:val="0"/>
        <w:widowControl/>
        <w:kinsoku/>
        <w:wordWrap/>
        <w:topLinePunct w:val="0"/>
        <w:bidi w:val="0"/>
        <w:snapToGrid w:val="0"/>
        <w:spacing w:line="240" w:lineRule="auto"/>
        <w:jc w:val="both"/>
        <w:rPr>
          <w:rFonts w:hint="default" w:eastAsia="宋体" w:cs="Arial"/>
          <w:sz w:val="22"/>
          <w:szCs w:val="22"/>
          <w:lang w:val="en-US" w:eastAsia="zh-CN"/>
        </w:rPr>
      </w:pPr>
    </w:p>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 xml:space="preserve">Discussion </w:t>
      </w:r>
    </w:p>
    <w:bookmarkEnd w:id="3"/>
    <w:p>
      <w:pPr>
        <w:rPr>
          <w:rFonts w:hint="eastAsia" w:eastAsia="宋体"/>
          <w:lang w:val="en-US" w:eastAsia="zh-CN"/>
        </w:rPr>
      </w:pPr>
      <w:bookmarkStart w:id="5" w:name="OLE_LINK2"/>
      <w:r>
        <w:rPr>
          <w:rFonts w:hint="eastAsia"/>
          <w:lang w:val="en-US" w:eastAsia="zh-CN"/>
        </w:rPr>
        <w:t>As discussed in RAN1#117, the following agreements related to the R2D and D2R control information were made</w:t>
      </w:r>
      <w:r>
        <w:rPr>
          <w:szCs w:val="2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bookmarkStart w:id="6" w:name="OLE_LINK10"/>
            <w:r>
              <w:rPr>
                <w:rFonts w:hint="eastAsia" w:eastAsia="等线"/>
                <w:bCs/>
                <w:i/>
                <w:lang w:val="en-US" w:eastAsia="zh-CN"/>
              </w:rPr>
              <w:t>RAN</w:t>
            </w:r>
            <w:r>
              <w:rPr>
                <w:rFonts w:eastAsia="等线"/>
                <w:bCs/>
                <w:i/>
                <w:lang w:val="en-US" w:eastAsia="zh-CN"/>
              </w:rPr>
              <w:t>1#11</w:t>
            </w:r>
            <w:r>
              <w:rPr>
                <w:rFonts w:hint="eastAsia" w:eastAsia="等线"/>
                <w:bCs/>
                <w:i/>
                <w:lang w:val="en-US" w:eastAsia="zh-CN"/>
              </w:rPr>
              <w:t>7</w:t>
            </w:r>
            <w:r>
              <w:rPr>
                <w:rFonts w:eastAsia="等线"/>
                <w:bCs/>
                <w:i/>
                <w:lang w:val="en-US" w:eastAsia="zh-CN"/>
              </w:rPr>
              <w:t xml:space="preserve"> agreement </w:t>
            </w:r>
          </w:p>
          <w:p>
            <w:pPr>
              <w:rPr>
                <w:szCs w:val="20"/>
                <w:lang w:eastAsia="zh-CN"/>
              </w:rPr>
            </w:pPr>
            <w:r>
              <w:rPr>
                <w:szCs w:val="20"/>
              </w:rPr>
              <w:t>For R2D, the only physical channel is PRDCH.</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PRDCH carries any higher-layer payload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 xml:space="preserve">PRDCH carries </w:t>
            </w:r>
            <w:r>
              <w:rPr>
                <w:rFonts w:hint="default" w:ascii="Times New Roman" w:hAnsi="Times New Roman" w:cs="Times New Roman"/>
                <w:color w:val="000000"/>
                <w:szCs w:val="20"/>
              </w:rPr>
              <w:t xml:space="preserve">L1 </w:t>
            </w:r>
            <w:r>
              <w:rPr>
                <w:rFonts w:hint="default" w:ascii="Times New Roman" w:hAnsi="Times New Roman" w:cs="Times New Roman"/>
                <w:szCs w:val="20"/>
              </w:rPr>
              <w:t>R2D control information (if defined)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FFS details of device behaviour(s) for receiving PRDCH</w:t>
            </w:r>
          </w:p>
          <w:p>
            <w:pPr>
              <w:rPr>
                <w:iCs/>
                <w:szCs w:val="20"/>
                <w:lang w:eastAsia="zh-CN"/>
              </w:rPr>
            </w:pPr>
            <w:r>
              <w:rPr>
                <w:szCs w:val="20"/>
              </w:rPr>
              <w:t>For D2R</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PDRCH carries any higher-layer payload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 xml:space="preserve">PDRCH carries </w:t>
            </w:r>
            <w:r>
              <w:rPr>
                <w:rFonts w:hint="default" w:ascii="Times New Roman" w:hAnsi="Times New Roman" w:cs="Times New Roman"/>
                <w:color w:val="000000"/>
                <w:szCs w:val="20"/>
              </w:rPr>
              <w:t xml:space="preserve">L1 </w:t>
            </w:r>
            <w:r>
              <w:rPr>
                <w:rFonts w:hint="default" w:ascii="Times New Roman" w:hAnsi="Times New Roman" w:cs="Times New Roman"/>
                <w:szCs w:val="20"/>
              </w:rPr>
              <w:t>D2R control information (if defined)</w:t>
            </w:r>
          </w:p>
          <w:p>
            <w:pPr>
              <w:pStyle w:val="9"/>
              <w:numPr>
                <w:ilvl w:val="0"/>
                <w:numId w:val="3"/>
              </w:numPr>
              <w:rPr>
                <w:bCs/>
                <w:lang w:val="en-US"/>
              </w:rPr>
            </w:pPr>
            <w:r>
              <w:rPr>
                <w:rFonts w:hint="default" w:ascii="Times New Roman" w:hAnsi="Times New Roman" w:cs="Times New Roman"/>
                <w:szCs w:val="20"/>
              </w:rPr>
              <w:t>Note: PDRCH carries the response agreed at RAN1#116</w:t>
            </w:r>
          </w:p>
        </w:tc>
      </w:tr>
      <w:bookmarkEnd w:id="6"/>
    </w:tbl>
    <w:p>
      <w:pPr>
        <w:rPr>
          <w:rFonts w:hint="eastAsia"/>
          <w:b/>
          <w:i/>
          <w:iCs/>
          <w:sz w:val="22"/>
          <w:szCs w:val="22"/>
          <w:lang w:val="en-US" w:eastAsia="zh-CN"/>
        </w:rPr>
      </w:pPr>
    </w:p>
    <w:p>
      <w:pPr>
        <w:rPr>
          <w:rFonts w:hint="default" w:eastAsia="宋体"/>
          <w:b/>
          <w:i/>
          <w:iCs/>
          <w:sz w:val="22"/>
          <w:szCs w:val="22"/>
          <w:lang w:val="en-US" w:eastAsia="zh-CN"/>
        </w:rPr>
      </w:pPr>
      <w:r>
        <w:rPr>
          <w:rFonts w:hint="eastAsia" w:eastAsia="宋体"/>
          <w:lang w:val="en-US" w:eastAsia="zh-CN"/>
        </w:rPr>
        <w:t>Under the asynchronous system architecture, t</w:t>
      </w:r>
      <w:r>
        <w:rPr>
          <w:lang w:eastAsia="ja-JP"/>
        </w:rPr>
        <w:t>he A</w:t>
      </w:r>
      <w:r>
        <w:rPr>
          <w:rFonts w:hint="eastAsia" w:eastAsia="宋体"/>
          <w:lang w:val="en-US" w:eastAsia="zh-CN"/>
        </w:rPr>
        <w:t xml:space="preserve">mbient </w:t>
      </w:r>
      <w:r>
        <w:rPr>
          <w:lang w:eastAsia="ja-JP"/>
        </w:rPr>
        <w:t>IoT device</w:t>
      </w:r>
      <w:r>
        <w:rPr>
          <w:rFonts w:hint="eastAsia" w:eastAsia="宋体"/>
          <w:lang w:val="en-US" w:eastAsia="zh-CN"/>
        </w:rPr>
        <w:t>s</w:t>
      </w:r>
      <w:r>
        <w:rPr>
          <w:lang w:eastAsia="ja-JP"/>
        </w:rPr>
        <w:t xml:space="preserve"> cannot </w:t>
      </w:r>
      <w:r>
        <w:rPr>
          <w:rFonts w:hint="eastAsia" w:eastAsia="宋体"/>
          <w:lang w:val="en-US" w:eastAsia="zh-CN"/>
        </w:rPr>
        <w:t>m</w:t>
      </w:r>
      <w:r>
        <w:rPr>
          <w:rFonts w:hint="eastAsia"/>
          <w:lang w:eastAsia="ja-JP"/>
        </w:rPr>
        <w:t>aintain</w:t>
      </w:r>
      <w:r>
        <w:rPr>
          <w:rFonts w:hint="eastAsia" w:eastAsia="宋体"/>
          <w:lang w:val="en-US" w:eastAsia="zh-CN"/>
        </w:rPr>
        <w:t xml:space="preserve"> the synchronization</w:t>
      </w:r>
      <w:r>
        <w:rPr>
          <w:lang w:eastAsia="ja-JP"/>
        </w:rPr>
        <w:t xml:space="preserve"> with the reader</w:t>
      </w:r>
      <w:r>
        <w:rPr>
          <w:rFonts w:hint="eastAsia" w:eastAsia="宋体"/>
          <w:lang w:val="en-US" w:eastAsia="zh-CN"/>
        </w:rPr>
        <w:t>s</w:t>
      </w:r>
      <w:r>
        <w:rPr>
          <w:lang w:eastAsia="ja-JP"/>
        </w:rPr>
        <w:t xml:space="preserve"> </w:t>
      </w:r>
      <w:r>
        <w:rPr>
          <w:rFonts w:hint="eastAsia" w:eastAsia="宋体"/>
          <w:lang w:val="en-US" w:eastAsia="zh-CN"/>
        </w:rPr>
        <w:t>all the time</w:t>
      </w:r>
      <w:r>
        <w:rPr>
          <w:lang w:eastAsia="ja-JP"/>
        </w:rPr>
        <w:t>.</w:t>
      </w:r>
      <w:r>
        <w:rPr>
          <w:rFonts w:hint="eastAsia" w:eastAsia="宋体"/>
          <w:lang w:val="en-US" w:eastAsia="zh-CN"/>
        </w:rPr>
        <w:t xml:space="preserve"> Furthermore, some different features like device capabilities and the device deployment can affect the charging cycle directly. Therefore, it is extremely difficult for each signal to be aligned in time. If a dynamic adjustment process is introduced, it will lead to a communication protocol that involves complicated scenarios and many subcases, which could hinder the progress of our WI. Therefore, in the initial version in R19, it is better to simplify the energy harvest process appropriately by keeping just the charging indication in the R2D channel and setting a fixed duration. For the D2R channel, the  only the essential feedback can be kept avoiding any </w:t>
      </w:r>
      <w:bookmarkStart w:id="7" w:name="OLE_LINK5"/>
      <w:r>
        <w:rPr>
          <w:rFonts w:hint="eastAsia" w:eastAsia="宋体"/>
          <w:lang w:val="en-US" w:eastAsia="zh-CN"/>
        </w:rPr>
        <w:t xml:space="preserve">dynamic </w:t>
      </w:r>
      <w:bookmarkEnd w:id="7"/>
      <w:r>
        <w:rPr>
          <w:rFonts w:hint="eastAsia" w:eastAsia="宋体"/>
          <w:lang w:val="en-US" w:eastAsia="zh-CN"/>
        </w:rPr>
        <w:t>adjustments. Simple indicators in R2D and D2R channel can be introduced to simplify the energy harvest without independent signaling process.</w:t>
      </w:r>
    </w:p>
    <w:p>
      <w:pPr>
        <w:rPr>
          <w:rFonts w:hint="default"/>
          <w:b/>
          <w:i/>
          <w:iCs/>
          <w:sz w:val="22"/>
          <w:szCs w:val="22"/>
          <w:lang w:val="en-US" w:eastAsia="zh-CN"/>
        </w:rPr>
      </w:pPr>
      <w:bookmarkStart w:id="8" w:name="OLE_LINK8"/>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It is suggested to introduce straightforward indicators in the R2D and D2R channels to streamline energy harvesting without dynamic process.</w:t>
      </w:r>
    </w:p>
    <w:bookmarkEnd w:id="8"/>
    <w:p>
      <w:pPr>
        <w:rPr>
          <w:rFonts w:hint="eastAsia"/>
          <w:b/>
          <w:i/>
          <w:iCs/>
          <w:sz w:val="22"/>
          <w:szCs w:val="22"/>
          <w:lang w:val="en-US" w:eastAsia="zh-CN"/>
        </w:rPr>
      </w:pPr>
    </w:p>
    <w:p>
      <w:pPr>
        <w:rPr>
          <w:rFonts w:hint="default"/>
          <w:b/>
          <w:i/>
          <w:iCs/>
          <w:sz w:val="22"/>
          <w:szCs w:val="22"/>
          <w:lang w:val="en-US" w:eastAsia="zh-CN"/>
        </w:rPr>
      </w:pPr>
      <w:r>
        <w:rPr>
          <w:rFonts w:hint="eastAsia"/>
          <w:lang w:val="en-US" w:eastAsia="zh-CN"/>
        </w:rPr>
        <w:t>As discussed in previous meetings, some prel</w:t>
      </w:r>
      <w:bookmarkStart w:id="9" w:name="OLE_LINK17"/>
      <w:r>
        <w:rPr>
          <w:rFonts w:hint="eastAsia"/>
          <w:lang w:val="en-US" w:eastAsia="zh-CN"/>
        </w:rPr>
        <w:t>iminary agree</w:t>
      </w:r>
      <w:bookmarkEnd w:id="9"/>
      <w:r>
        <w:rPr>
          <w:rFonts w:hint="eastAsia"/>
          <w:lang w:val="en-US" w:eastAsia="zh-CN"/>
        </w:rPr>
        <w:t>ments on preamble had been made</w:t>
      </w:r>
      <w:r>
        <w:rPr>
          <w:szCs w:val="20"/>
        </w:rPr>
        <w:t xml:space="preserve"> for study</w:t>
      </w:r>
      <w:r>
        <w:rPr>
          <w:rFonts w:hint="eastAsia" w:eastAsia="宋体"/>
          <w:szCs w:val="20"/>
          <w:lang w:val="en-US" w:eastAsia="zh-CN"/>
        </w:rPr>
        <w:t xml:space="preserve"> as the baseline</w:t>
      </w:r>
      <w:r>
        <w:rPr>
          <w:szCs w:val="2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p>
          <w:p>
            <w:pPr>
              <w:pStyle w:val="9"/>
              <w:ind w:left="0"/>
              <w:rPr>
                <w:rFonts w:hint="default" w:ascii="Times New Roman" w:hAnsi="Times New Roman" w:cs="Times New Roman"/>
                <w:sz w:val="22"/>
                <w:szCs w:val="22"/>
              </w:rPr>
            </w:pPr>
            <w:r>
              <w:rPr>
                <w:rFonts w:hint="default" w:ascii="Times New Roman" w:hAnsi="Times New Roman" w:cs="Times New Roman"/>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Start-indicator part provides the start of the R2D transmission</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FFS: Details of start-indicator part</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Clock-acquisition part provides at least the chip synchronization of the subsequent physical channel transmission</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Details of clock-acquisition part, e.g. structure, encoding, length, etc. </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Methods to determine chip duration of the subsequent physical channel transmission </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FFS: Other functionalities</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Note: the preamble is considered not to be part of a physical channel</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other part(s) of the preamble, if any </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FFS: whether the above clock acquisition is sufficient for all devices</w:t>
            </w:r>
          </w:p>
          <w:p>
            <w:pPr>
              <w:pStyle w:val="9"/>
              <w:numPr>
                <w:ilvl w:val="0"/>
                <w:numId w:val="0"/>
              </w:numPr>
              <w:rPr>
                <w:rFonts w:hint="default" w:ascii="Times New Roman" w:hAnsi="Times New Roman" w:cs="Times New Roman"/>
                <w:sz w:val="22"/>
                <w:szCs w:val="22"/>
              </w:rPr>
            </w:pPr>
            <w:r>
              <w:rPr>
                <w:rFonts w:hint="default" w:ascii="Times New Roman" w:hAnsi="Times New Roman" w:cs="Times New Roman"/>
                <w:sz w:val="22"/>
                <w:szCs w:val="22"/>
              </w:rPr>
              <w:t>FFS: how to make the preamble compact</w:t>
            </w:r>
          </w:p>
          <w:p>
            <w:pPr>
              <w:snapToGrid w:val="0"/>
              <w:rPr>
                <w:rFonts w:hint="eastAsia" w:eastAsia="等线"/>
                <w:bCs/>
                <w:i/>
                <w:lang w:val="en-US" w:eastAsia="zh-CN"/>
              </w:rPr>
            </w:pPr>
          </w:p>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w:t>
            </w:r>
            <w:r>
              <w:rPr>
                <w:rFonts w:hint="eastAsia" w:eastAsia="等线"/>
                <w:bCs/>
                <w:i/>
                <w:lang w:val="en-US" w:eastAsia="zh-CN"/>
              </w:rPr>
              <w:t>8</w:t>
            </w:r>
            <w:r>
              <w:rPr>
                <w:rFonts w:eastAsia="等线"/>
                <w:bCs/>
                <w:i/>
                <w:lang w:val="en-US" w:eastAsia="zh-CN"/>
              </w:rPr>
              <w:t xml:space="preserve"> agreement </w:t>
            </w:r>
          </w:p>
          <w:p>
            <w:pPr>
              <w:pStyle w:val="9"/>
              <w:numPr>
                <w:ilvl w:val="0"/>
                <w:numId w:val="0"/>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For the start-indicator part of the R2D time acquisition signal, ON/OFF pattern i.e. high/low voltage transmission is applied</w:t>
            </w:r>
          </w:p>
          <w:p>
            <w:pPr>
              <w:pStyle w:val="9"/>
              <w:numPr>
                <w:ilvl w:val="0"/>
                <w:numId w:val="4"/>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FFS: length/pattern of ON/OFF.</w:t>
            </w:r>
          </w:p>
          <w:p>
            <w:pPr>
              <w:pStyle w:val="9"/>
              <w:numPr>
                <w:ilvl w:val="0"/>
                <w:numId w:val="4"/>
              </w:numPr>
              <w:rPr>
                <w:rFonts w:hint="default" w:ascii="Times New Roman" w:hAnsi="Times New Roman" w:cs="Times New Roman"/>
                <w:sz w:val="22"/>
                <w:szCs w:val="22"/>
                <w:lang w:val="en-US"/>
              </w:rPr>
            </w:pPr>
            <w:r>
              <w:rPr>
                <w:rFonts w:hint="default" w:ascii="Times New Roman" w:hAnsi="Times New Roman" w:cs="Times New Roman"/>
                <w:sz w:val="22"/>
                <w:szCs w:val="22"/>
                <w:lang w:val="en-US"/>
              </w:rPr>
              <w:t>FFS: when T</w:t>
            </w:r>
            <w:r>
              <w:rPr>
                <w:rFonts w:hint="default" w:ascii="Times New Roman" w:hAnsi="Times New Roman" w:cs="Times New Roman"/>
                <w:sz w:val="22"/>
                <w:szCs w:val="22"/>
                <w:vertAlign w:val="subscript"/>
                <w:lang w:val="en-US"/>
              </w:rPr>
              <w:t>D2R_min</w:t>
            </w:r>
            <w:r>
              <w:rPr>
                <w:rFonts w:hint="default" w:ascii="Times New Roman" w:hAnsi="Times New Roman" w:cs="Times New Roman"/>
                <w:sz w:val="22"/>
                <w:szCs w:val="22"/>
                <w:lang w:val="en-US"/>
              </w:rPr>
              <w:t xml:space="preserve"> is applicable, whether/how the start-indicator part is included in T</w:t>
            </w:r>
            <w:r>
              <w:rPr>
                <w:rFonts w:hint="default" w:ascii="Times New Roman" w:hAnsi="Times New Roman" w:cs="Times New Roman"/>
                <w:sz w:val="22"/>
                <w:szCs w:val="22"/>
                <w:vertAlign w:val="subscript"/>
                <w:lang w:val="en-US"/>
              </w:rPr>
              <w:t>D2R_min</w:t>
            </w:r>
            <w:r>
              <w:rPr>
                <w:rFonts w:hint="default" w:ascii="Times New Roman" w:hAnsi="Times New Roman" w:cs="Times New Roman"/>
                <w:sz w:val="22"/>
                <w:szCs w:val="22"/>
                <w:lang w:val="en-US"/>
              </w:rPr>
              <w:t xml:space="preserve"> or not. To be discussed in 9.4.2.2</w:t>
            </w:r>
          </w:p>
          <w:p>
            <w:pPr>
              <w:pStyle w:val="9"/>
              <w:numPr>
                <w:ilvl w:val="0"/>
                <w:numId w:val="0"/>
              </w:numPr>
              <w:rPr>
                <w:rFonts w:hint="default" w:ascii="Times New Roman" w:hAnsi="Times New Roman" w:cs="Times New Roman"/>
                <w:sz w:val="22"/>
                <w:szCs w:val="22"/>
                <w:lang w:val="en-US"/>
              </w:rPr>
            </w:pPr>
          </w:p>
        </w:tc>
      </w:tr>
    </w:tbl>
    <w:p>
      <w:pPr>
        <w:rPr>
          <w:rFonts w:hint="default" w:eastAsia="宋体"/>
          <w:highlight w:val="yellow"/>
          <w:lang w:val="en-US" w:eastAsia="zh-CN"/>
        </w:rPr>
      </w:pPr>
      <w:r>
        <w:rPr>
          <w:rFonts w:hint="eastAsia"/>
          <w:lang w:val="en-US" w:eastAsia="zh-CN"/>
        </w:rPr>
        <w:t>For now, the preamble is the essential part in R2D transmission. However, with the increasing number of ambient IoT devices, relying solely on the start-indicator part and clock-acquisition parts of a preamble is not sufficient for efficient random access</w:t>
      </w:r>
      <w:r>
        <w:rPr>
          <w:rFonts w:hint="eastAsia" w:eastAsia="宋体" w:cs="Times New Roman"/>
          <w:sz w:val="22"/>
          <w:szCs w:val="22"/>
          <w:lang w:val="en-US" w:eastAsia="zh-CN"/>
        </w:rPr>
        <w:t>. It is inefficient to activate all devices simultaneously during random access, and it is not ideal to have the reader distinguish target devices instead of leaving them unresponsive, which would be a waste of spectrum resources.</w:t>
      </w:r>
      <w:r>
        <w:rPr>
          <w:rFonts w:hint="eastAsia" w:eastAsia="宋体" w:cs="Times New Roman"/>
          <w:sz w:val="22"/>
          <w:szCs w:val="22"/>
          <w:highlight w:val="none"/>
          <w:lang w:val="en-US" w:eastAsia="zh-CN"/>
        </w:rPr>
        <w:t xml:space="preserve"> Therefore, it is crucial to integrate the ON/OFF pattern with a device matching function in the start-indicated part on the PR2DCH to enhance the system operational efficiency.</w:t>
      </w:r>
    </w:p>
    <w:p>
      <w:pPr>
        <w:rPr>
          <w:rFonts w:hint="eastAsia"/>
          <w:b/>
          <w:i/>
          <w:iCs/>
          <w:sz w:val="22"/>
          <w:szCs w:val="22"/>
          <w:lang w:val="en-US" w:eastAsia="zh-CN"/>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an integrated ON/OFF pattern should be implemented in the preamble, while the devices matching function can be implemented in the start-indicated part on the PR2DCH.</w:t>
      </w:r>
    </w:p>
    <w:p>
      <w:pPr>
        <w:rPr>
          <w:rFonts w:hint="eastAsia"/>
          <w:b/>
          <w:i/>
          <w:iCs/>
          <w:sz w:val="22"/>
          <w:szCs w:val="22"/>
          <w:lang w:val="en-US" w:eastAsia="en-US"/>
        </w:rPr>
      </w:pPr>
    </w:p>
    <w:bookmarkEnd w:id="5"/>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Conclusion</w:t>
      </w:r>
    </w:p>
    <w:p>
      <w:pPr>
        <w:rPr>
          <w:b/>
          <w:i/>
          <w:iCs/>
          <w:sz w:val="20"/>
          <w:szCs w:val="20"/>
          <w:lang w:eastAsia="zh-CN"/>
        </w:rPr>
      </w:pPr>
      <w:bookmarkStart w:id="10" w:name="OLE_LINK6"/>
      <w:r>
        <w:rPr>
          <w:rFonts w:ascii="Times New Roman" w:hAnsi="Times New Roman" w:cs="Times New Roman"/>
        </w:rPr>
        <w:t xml:space="preserve">According to the discussion, following proposal </w:t>
      </w:r>
      <w:r>
        <w:rPr>
          <w:rFonts w:hint="eastAsia" w:eastAsia="宋体" w:cs="Times New Roman"/>
          <w:lang w:val="en-US" w:eastAsia="zh-CN"/>
        </w:rPr>
        <w:t>is</w:t>
      </w:r>
      <w:r>
        <w:rPr>
          <w:rFonts w:ascii="Times New Roman" w:hAnsi="Times New Roman" w:cs="Times New Roman"/>
        </w:rPr>
        <w:t xml:space="preserve"> provided:</w:t>
      </w:r>
    </w:p>
    <w:bookmarkEnd w:id="10"/>
    <w:p>
      <w:pPr>
        <w:rPr>
          <w:rFonts w:hint="default"/>
          <w:b/>
          <w:i/>
          <w:iCs/>
          <w:sz w:val="22"/>
          <w:szCs w:val="22"/>
          <w:lang w:val="en-US" w:eastAsia="zh-CN"/>
        </w:rPr>
      </w:pPr>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It is suggested to introduce straightforward indicators in the R2D and D2R channels to streamline energy harvesting without dynamic process.</w:t>
      </w:r>
    </w:p>
    <w:p>
      <w:pPr>
        <w:rPr>
          <w:rFonts w:hint="default"/>
          <w:b/>
          <w:i/>
          <w:iCs/>
          <w:sz w:val="22"/>
          <w:szCs w:val="22"/>
          <w:lang w:val="en-US" w:eastAsia="en-US"/>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an integrated ON/OFF pattern should be implemented in the preamble, while the devices matching function can be implemented in the start-indicated part on the PR2DCH.</w:t>
      </w:r>
    </w:p>
    <w:p>
      <w:pPr>
        <w:pageBreakBefore w:val="0"/>
        <w:widowControl/>
        <w:numPr>
          <w:ilvl w:val="0"/>
          <w:numId w:val="0"/>
        </w:numPr>
        <w:kinsoku/>
        <w:wordWrap/>
        <w:topLinePunct w:val="0"/>
        <w:bidi w:val="0"/>
        <w:snapToGrid w:val="0"/>
        <w:spacing w:line="240" w:lineRule="auto"/>
        <w:ind w:leftChars="0"/>
        <w:rPr>
          <w:b/>
          <w:i/>
          <w:iCs/>
          <w:sz w:val="22"/>
          <w:szCs w:val="22"/>
          <w:lang w:eastAsia="en-US"/>
        </w:rPr>
      </w:pPr>
    </w:p>
    <w:p>
      <w:pPr>
        <w:pStyle w:val="2"/>
        <w:pageBreakBefore w:val="0"/>
        <w:widowControl/>
        <w:numPr>
          <w:ilvl w:val="0"/>
          <w:numId w:val="0"/>
        </w:numPr>
        <w:kinsoku/>
        <w:wordWrap/>
        <w:topLinePunct w:val="0"/>
        <w:bidi w:val="0"/>
        <w:snapToGrid w:val="0"/>
        <w:spacing w:line="240" w:lineRule="auto"/>
        <w:rPr>
          <w:rFonts w:hint="eastAsia" w:eastAsia="宋体"/>
          <w:lang w:val="en-US" w:eastAsia="zh-CN"/>
        </w:rPr>
      </w:pPr>
      <w:r>
        <w:rPr>
          <w:rFonts w:hint="eastAsia" w:eastAsia="宋体"/>
          <w:lang w:val="en-US" w:eastAsia="zh-CN"/>
        </w:rPr>
        <w:t>Reference</w:t>
      </w:r>
    </w:p>
    <w:p>
      <w:pPr>
        <w:pStyle w:val="10"/>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1" w:name="_Ref158023825"/>
      <w:r>
        <w:rPr>
          <w:lang w:eastAsia="zh-CN"/>
        </w:rPr>
        <w:t xml:space="preserve">RP-234058, New SID: Study on solutions for Ambient IoT (Internet of Things) in NR, </w:t>
      </w:r>
      <w:bookmarkEnd w:id="11"/>
      <w:r>
        <w:rPr>
          <w:lang w:eastAsia="zh-CN"/>
        </w:rPr>
        <w:t>RAN#102</w:t>
      </w:r>
    </w:p>
    <w:p>
      <w:pPr>
        <w:pStyle w:val="10"/>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lang w:val="en-US" w:eastAsia="zh-CN"/>
        </w:rPr>
        <w:t xml:space="preserve">3GPP TR 38.769 V1.0.0, </w:t>
      </w:r>
      <w:r>
        <w:t>Study on solutions for ambient IoT (Internet of Things)</w:t>
      </w:r>
      <w:r>
        <w:rPr>
          <w:rFonts w:hint="eastAsia" w:eastAsia="宋体" w:cs="Times New Roman"/>
          <w:sz w:val="20"/>
          <w:szCs w:val="20"/>
          <w:lang w:val="en-US" w:eastAsia="zh-CN"/>
        </w:rPr>
        <w:t xml:space="preserve">, </w:t>
      </w:r>
      <w:r>
        <w:rPr>
          <w:rFonts w:hint="eastAsia"/>
          <w:lang w:val="en-US" w:eastAsia="zh-CN"/>
        </w:rPr>
        <w:t>2024</w:t>
      </w:r>
    </w:p>
    <w:p>
      <w:pPr>
        <w:pageBreakBefore w:val="0"/>
        <w:widowControl/>
        <w:numPr>
          <w:ilvl w:val="0"/>
          <w:numId w:val="0"/>
        </w:numPr>
        <w:kinsoku/>
        <w:wordWrap/>
        <w:topLinePunct w:val="0"/>
        <w:bidi w:val="0"/>
        <w:snapToGrid w:val="0"/>
        <w:spacing w:line="240" w:lineRule="auto"/>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singleLevel"/>
    <w:tmpl w:val="F0120D9C"/>
    <w:lvl w:ilvl="0" w:tentative="0">
      <w:start w:val="2"/>
      <w:numFmt w:val="decimal"/>
      <w:suff w:val="space"/>
      <w:lvlText w:val="%1."/>
      <w:lvlJc w:val="left"/>
    </w:lvl>
  </w:abstractNum>
  <w:abstractNum w:abstractNumId="1">
    <w:nsid w:val="1D591829"/>
    <w:multiLevelType w:val="multilevel"/>
    <w:tmpl w:val="1D591829"/>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0"/>
      <w:lvlText w:val="[%1]"/>
      <w:lvlJc w:val="left"/>
      <w:pPr>
        <w:tabs>
          <w:tab w:val="left" w:pos="360"/>
        </w:tabs>
        <w:ind w:left="360" w:hanging="360"/>
      </w:pPr>
    </w:lvl>
  </w:abstractNum>
  <w:abstractNum w:abstractNumId="3">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3865EF0"/>
    <w:rsid w:val="04CB49FF"/>
    <w:rsid w:val="04D106DC"/>
    <w:rsid w:val="04DA1C0C"/>
    <w:rsid w:val="05BA450A"/>
    <w:rsid w:val="067960A5"/>
    <w:rsid w:val="07BE4433"/>
    <w:rsid w:val="08310482"/>
    <w:rsid w:val="08C85402"/>
    <w:rsid w:val="09D04939"/>
    <w:rsid w:val="09FF65CE"/>
    <w:rsid w:val="0BC9245B"/>
    <w:rsid w:val="0CD268A5"/>
    <w:rsid w:val="0D6B1DE4"/>
    <w:rsid w:val="0D8708A5"/>
    <w:rsid w:val="0DDE3A6F"/>
    <w:rsid w:val="0EC8395B"/>
    <w:rsid w:val="10542981"/>
    <w:rsid w:val="114E1977"/>
    <w:rsid w:val="13367070"/>
    <w:rsid w:val="14B21CA1"/>
    <w:rsid w:val="15C47FA9"/>
    <w:rsid w:val="16DE196E"/>
    <w:rsid w:val="17276B5D"/>
    <w:rsid w:val="173D41F6"/>
    <w:rsid w:val="17490B5B"/>
    <w:rsid w:val="17E205EB"/>
    <w:rsid w:val="181E1C30"/>
    <w:rsid w:val="1894655D"/>
    <w:rsid w:val="19AB7E36"/>
    <w:rsid w:val="19EF0DB7"/>
    <w:rsid w:val="1AA02707"/>
    <w:rsid w:val="1AD753E3"/>
    <w:rsid w:val="1E8C732F"/>
    <w:rsid w:val="1F1C374C"/>
    <w:rsid w:val="1F241ED6"/>
    <w:rsid w:val="1F35118E"/>
    <w:rsid w:val="1F454086"/>
    <w:rsid w:val="1FA772E0"/>
    <w:rsid w:val="22031C90"/>
    <w:rsid w:val="235977A0"/>
    <w:rsid w:val="241052D9"/>
    <w:rsid w:val="25E40FDF"/>
    <w:rsid w:val="25FA746F"/>
    <w:rsid w:val="26334612"/>
    <w:rsid w:val="279207DC"/>
    <w:rsid w:val="2AC2674E"/>
    <w:rsid w:val="2E705C0F"/>
    <w:rsid w:val="2E8000A6"/>
    <w:rsid w:val="2F274BC8"/>
    <w:rsid w:val="2FE70229"/>
    <w:rsid w:val="304B7ED9"/>
    <w:rsid w:val="31EE5C92"/>
    <w:rsid w:val="32277FE1"/>
    <w:rsid w:val="325A52D0"/>
    <w:rsid w:val="337540F8"/>
    <w:rsid w:val="338473BA"/>
    <w:rsid w:val="34222736"/>
    <w:rsid w:val="347B24BD"/>
    <w:rsid w:val="35C30605"/>
    <w:rsid w:val="35CC1E10"/>
    <w:rsid w:val="36500A7F"/>
    <w:rsid w:val="36B17D79"/>
    <w:rsid w:val="380E6778"/>
    <w:rsid w:val="387C7566"/>
    <w:rsid w:val="395162B1"/>
    <w:rsid w:val="3AF521ED"/>
    <w:rsid w:val="3B5719A8"/>
    <w:rsid w:val="3BCE7CAB"/>
    <w:rsid w:val="3BE5774A"/>
    <w:rsid w:val="3BE84726"/>
    <w:rsid w:val="3C0C62E5"/>
    <w:rsid w:val="3C6A0C3D"/>
    <w:rsid w:val="3D1D3B52"/>
    <w:rsid w:val="3DBE0C16"/>
    <w:rsid w:val="3E2F4963"/>
    <w:rsid w:val="3FBE0BA9"/>
    <w:rsid w:val="3FF344B8"/>
    <w:rsid w:val="40227D08"/>
    <w:rsid w:val="40B430E1"/>
    <w:rsid w:val="422F15EB"/>
    <w:rsid w:val="4295608A"/>
    <w:rsid w:val="429C756D"/>
    <w:rsid w:val="42EC70DF"/>
    <w:rsid w:val="4340615A"/>
    <w:rsid w:val="43FE6BAD"/>
    <w:rsid w:val="462802D7"/>
    <w:rsid w:val="46DC4186"/>
    <w:rsid w:val="47FB6D1B"/>
    <w:rsid w:val="48A913A7"/>
    <w:rsid w:val="48CD6EEB"/>
    <w:rsid w:val="4AC57951"/>
    <w:rsid w:val="4B1A256B"/>
    <w:rsid w:val="4E86700B"/>
    <w:rsid w:val="4F0601D3"/>
    <w:rsid w:val="4FC053F7"/>
    <w:rsid w:val="51A16E18"/>
    <w:rsid w:val="523B477C"/>
    <w:rsid w:val="535C3FEA"/>
    <w:rsid w:val="540D3BF7"/>
    <w:rsid w:val="556021CB"/>
    <w:rsid w:val="556872DB"/>
    <w:rsid w:val="57EF6B3B"/>
    <w:rsid w:val="5941395D"/>
    <w:rsid w:val="5A006B3C"/>
    <w:rsid w:val="5A072A5C"/>
    <w:rsid w:val="5A5E7740"/>
    <w:rsid w:val="5D2F62E7"/>
    <w:rsid w:val="5D6909B3"/>
    <w:rsid w:val="5E9D4056"/>
    <w:rsid w:val="5FED634A"/>
    <w:rsid w:val="609454B4"/>
    <w:rsid w:val="617616D2"/>
    <w:rsid w:val="62FC1B91"/>
    <w:rsid w:val="64C90F1D"/>
    <w:rsid w:val="666263B1"/>
    <w:rsid w:val="673E395F"/>
    <w:rsid w:val="688C34FD"/>
    <w:rsid w:val="6A5963EB"/>
    <w:rsid w:val="6A8232D9"/>
    <w:rsid w:val="6AA6100D"/>
    <w:rsid w:val="6B3809BC"/>
    <w:rsid w:val="6B8319E3"/>
    <w:rsid w:val="6BBD5092"/>
    <w:rsid w:val="6D6A0FD2"/>
    <w:rsid w:val="707B59AC"/>
    <w:rsid w:val="71B36BDE"/>
    <w:rsid w:val="71B872E7"/>
    <w:rsid w:val="73A637E4"/>
    <w:rsid w:val="73D33D35"/>
    <w:rsid w:val="74AB5B95"/>
    <w:rsid w:val="779E21BC"/>
    <w:rsid w:val="792834DE"/>
    <w:rsid w:val="79601CA7"/>
    <w:rsid w:val="7994605C"/>
    <w:rsid w:val="7A9812B0"/>
    <w:rsid w:val="7C5E7786"/>
    <w:rsid w:val="7CA31C05"/>
    <w:rsid w:val="7CE77A93"/>
    <w:rsid w:val="7D964325"/>
    <w:rsid w:val="7E355ABE"/>
    <w:rsid w:val="7ED14910"/>
    <w:rsid w:val="7EEA3417"/>
    <w:rsid w:val="7F241656"/>
    <w:rsid w:val="7F72744D"/>
    <w:rsid w:val="7F9575DA"/>
    <w:rsid w:val="7FB76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styleId="9">
    <w:name w:val="List Paragraph"/>
    <w:basedOn w:val="1"/>
    <w:qFormat/>
    <w:uiPriority w:val="34"/>
    <w:pPr>
      <w:spacing w:after="0" w:line="240" w:lineRule="auto"/>
      <w:ind w:left="720"/>
    </w:pPr>
    <w:rPr>
      <w:rFonts w:ascii="Calibri" w:hAnsi="Calibri" w:eastAsia="Calibri"/>
      <w:sz w:val="24"/>
      <w:szCs w:val="24"/>
    </w:rPr>
  </w:style>
  <w:style w:type="paragraph" w:customStyle="1" w:styleId="10">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1">
    <w:name w:val="0 Main text"/>
    <w:basedOn w:val="1"/>
    <w:qFormat/>
    <w:uiPriority w:val="0"/>
    <w:pPr>
      <w:autoSpaceDE/>
      <w:autoSpaceDN/>
      <w:adjustRightInd/>
      <w:snapToGrid/>
      <w:spacing w:after="0"/>
    </w:pPr>
    <w:rPr>
      <w:rFonts w:cstheme="minorBidi"/>
      <w:sz w:val="2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2024-09-30T09:07:03Z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