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BD1EA">
      <w:pPr>
        <w:pStyle w:val="80"/>
        <w:jc w:val="both"/>
        <w:rPr>
          <w:rFonts w:hint="default" w:ascii="Times New Roman" w:hAnsi="Times New Roman" w:cs="Times New Roman" w:eastAsiaTheme="minorEastAsia"/>
          <w:b/>
          <w:bCs/>
          <w:sz w:val="22"/>
          <w:szCs w:val="22"/>
          <w:lang w:val="en-US" w:eastAsia="zh-CN"/>
        </w:rPr>
      </w:pPr>
      <w:r>
        <w:rPr>
          <w:rFonts w:hint="default" w:ascii="Times New Roman" w:hAnsi="Times New Roman" w:cs="Times New Roman"/>
          <w:b/>
          <w:bCs/>
          <w:sz w:val="22"/>
          <w:szCs w:val="22"/>
        </w:rPr>
        <w:t>3GPP TSG RAN WG1 #11</w:t>
      </w:r>
      <w:r>
        <w:rPr>
          <w:rFonts w:hint="default" w:ascii="Times New Roman" w:hAnsi="Times New Roman" w:cs="Times New Roman"/>
          <w:b/>
          <w:bCs/>
          <w:sz w:val="22"/>
          <w:szCs w:val="22"/>
          <w:lang w:eastAsia="zh-CN"/>
        </w:rPr>
        <w:t>8bis</w:t>
      </w:r>
      <w:r>
        <w:rPr>
          <w:rFonts w:hint="default" w:ascii="Times New Roman" w:hAnsi="Times New Roman" w:cs="Times New Roman"/>
          <w:b/>
          <w:bCs/>
          <w:sz w:val="22"/>
          <w:szCs w:val="22"/>
        </w:rPr>
        <w:t xml:space="preserve">                                                                                                R1-240</w:t>
      </w:r>
      <w:r>
        <w:rPr>
          <w:rFonts w:hint="default" w:ascii="Times New Roman" w:hAnsi="Times New Roman" w:cs="Times New Roman"/>
          <w:b/>
          <w:bCs/>
          <w:sz w:val="22"/>
          <w:szCs w:val="22"/>
          <w:lang w:val="en-US" w:eastAsia="zh-CN"/>
        </w:rPr>
        <w:t>8256</w:t>
      </w:r>
    </w:p>
    <w:p w14:paraId="08F2981F">
      <w:pPr>
        <w:tabs>
          <w:tab w:val="center" w:pos="4536"/>
          <w:tab w:val="right" w:pos="9072"/>
        </w:tabs>
        <w:rPr>
          <w:rFonts w:hint="default" w:ascii="Times New Roman" w:hAnsi="Times New Roman" w:eastAsia="MS Mincho" w:cs="Times New Roman"/>
          <w:b/>
          <w:bCs/>
          <w:sz w:val="22"/>
          <w:szCs w:val="22"/>
          <w:lang w:eastAsia="ja-JP"/>
        </w:rPr>
      </w:pPr>
      <w:bookmarkStart w:id="0" w:name="OLE_LINK34"/>
      <w:bookmarkStart w:id="1" w:name="OLE_LINK33"/>
      <w:r>
        <w:rPr>
          <w:rFonts w:hint="default" w:ascii="Times New Roman" w:hAnsi="Times New Roman" w:eastAsia="MS Mincho" w:cs="Times New Roman"/>
          <w:b/>
          <w:bCs/>
          <w:sz w:val="22"/>
          <w:szCs w:val="22"/>
          <w:lang w:eastAsia="ja-JP"/>
        </w:rPr>
        <w:t>Hefei, China, October 14</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18</w:t>
      </w:r>
      <w:r>
        <w:rPr>
          <w:rFonts w:hint="default" w:ascii="Times New Roman" w:hAnsi="Times New Roman" w:cs="Times New Roman"/>
          <w:b/>
          <w:bCs/>
          <w:sz w:val="22"/>
          <w:szCs w:val="22"/>
          <w:vertAlign w:val="superscript"/>
        </w:rPr>
        <w:t>th</w:t>
      </w:r>
      <w:r>
        <w:rPr>
          <w:rFonts w:hint="default" w:ascii="Times New Roman" w:hAnsi="Times New Roman" w:eastAsia="MS Mincho" w:cs="Times New Roman"/>
          <w:b/>
          <w:bCs/>
          <w:sz w:val="22"/>
          <w:szCs w:val="22"/>
          <w:lang w:eastAsia="ja-JP"/>
        </w:rPr>
        <w:t>, 2024</w:t>
      </w:r>
    </w:p>
    <w:p w14:paraId="1FF7F12B">
      <w:pPr>
        <w:tabs>
          <w:tab w:val="right" w:pos="9360"/>
        </w:tabs>
        <w:spacing w:after="0"/>
        <w:jc w:val="both"/>
        <w:rPr>
          <w:rFonts w:hint="default" w:ascii="Times New Roman" w:hAnsi="Times New Roman" w:eastAsia="MS Mincho" w:cs="Times New Roman"/>
          <w:b/>
          <w:sz w:val="22"/>
          <w:szCs w:val="22"/>
        </w:rPr>
      </w:pPr>
    </w:p>
    <w:p w14:paraId="23D9C947">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750B6AA7">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cs="Times New Roman"/>
          <w:sz w:val="22"/>
          <w:szCs w:val="22"/>
        </w:rPr>
        <w:t>Enabling TX/RX for XR during RRM measurements</w:t>
      </w:r>
    </w:p>
    <w:p w14:paraId="52077BE8">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Agenda item:      9.10.1</w:t>
      </w:r>
    </w:p>
    <w:p w14:paraId="04295B36">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419CD79F">
      <w:pPr>
        <w:pBdr>
          <w:bottom w:val="single" w:color="auto" w:sz="4" w:space="1"/>
        </w:pBdr>
        <w:tabs>
          <w:tab w:val="left" w:pos="2552"/>
        </w:tabs>
        <w:jc w:val="both"/>
        <w:rPr>
          <w:rFonts w:hint="default" w:ascii="Times New Roman" w:hAnsi="Times New Roman" w:cs="Times New Roman"/>
          <w:sz w:val="22"/>
          <w:szCs w:val="22"/>
        </w:rPr>
      </w:pPr>
    </w:p>
    <w:p w14:paraId="3908C0A9">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1FD3DB54">
      <w:pPr>
        <w:jc w:val="both"/>
        <w:rPr>
          <w:rFonts w:hint="default" w:ascii="Times New Roman" w:hAnsi="Times New Roman" w:cs="Times New Roman"/>
          <w:sz w:val="22"/>
          <w:szCs w:val="22"/>
        </w:rPr>
      </w:pPr>
      <w:r>
        <w:rPr>
          <w:rFonts w:hint="default" w:ascii="Times New Roman" w:hAnsi="Times New Roman" w:cs="Times New Roman"/>
          <w:sz w:val="22"/>
          <w:szCs w:val="22"/>
        </w:rPr>
        <w:t>In the RAN #102 meeting [1], a new WID for enabling Tx/Rx for XR during RRM measurement has been approved, and detailed objectives were shown in the following:</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0A09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1D91E761">
            <w:pPr>
              <w:pStyle w:val="186"/>
              <w:rPr>
                <w:rFonts w:hint="default" w:ascii="Times New Roman" w:hAnsi="Times New Roman" w:cs="Times New Roman"/>
                <w:sz w:val="22"/>
                <w:szCs w:val="22"/>
              </w:rPr>
            </w:pPr>
            <w:r>
              <w:rPr>
                <w:rFonts w:hint="default" w:ascii="Times New Roman" w:hAnsi="Times New Roman" w:cs="Times New Roman"/>
                <w:sz w:val="22"/>
                <w:szCs w:val="22"/>
              </w:rPr>
              <w:t>The Rel-19 XR ph3 objectives are as follows:</w:t>
            </w:r>
          </w:p>
          <w:p w14:paraId="0166411E">
            <w:pPr>
              <w:pStyle w:val="186"/>
              <w:numPr>
                <w:ilvl w:val="0"/>
                <w:numId w:val="17"/>
              </w:numPr>
              <w:rPr>
                <w:rFonts w:hint="default" w:ascii="Times New Roman" w:hAnsi="Times New Roman" w:cs="Times New Roman"/>
                <w:sz w:val="22"/>
                <w:szCs w:val="22"/>
              </w:rPr>
            </w:pPr>
            <w:r>
              <w:rPr>
                <w:rFonts w:hint="default" w:ascii="Times New Roman" w:hAnsi="Times New Roman" w:cs="Times New Roman"/>
                <w:sz w:val="22"/>
                <w:szCs w:val="22"/>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4ADCDD4F">
            <w:pPr>
              <w:pStyle w:val="186"/>
              <w:numPr>
                <w:ilvl w:val="1"/>
                <w:numId w:val="17"/>
              </w:numPr>
              <w:rPr>
                <w:rFonts w:hint="default" w:ascii="Times New Roman" w:hAnsi="Times New Roman" w:cs="Times New Roman"/>
                <w:sz w:val="22"/>
                <w:szCs w:val="22"/>
              </w:rPr>
            </w:pPr>
            <w:r>
              <w:rPr>
                <w:rFonts w:hint="default" w:ascii="Times New Roman" w:hAnsi="Times New Roman" w:cs="Times New Roman"/>
                <w:sz w:val="22"/>
                <w:szCs w:val="22"/>
              </w:rPr>
              <w:t>Note: Check in RAN#105 (check also other WG involvement if needed).</w:t>
            </w:r>
          </w:p>
          <w:p w14:paraId="16230F7F">
            <w:pPr>
              <w:pStyle w:val="186"/>
              <w:numPr>
                <w:ilvl w:val="0"/>
                <w:numId w:val="17"/>
              </w:numPr>
              <w:rPr>
                <w:rFonts w:hint="default" w:ascii="Times New Roman" w:hAnsi="Times New Roman" w:cs="Times New Roman"/>
                <w:sz w:val="22"/>
                <w:szCs w:val="22"/>
              </w:rPr>
            </w:pPr>
            <w:r>
              <w:rPr>
                <w:rFonts w:hint="default" w:ascii="Times New Roman" w:hAnsi="Times New Roman" w:cs="Times New Roman"/>
                <w:sz w:val="22"/>
                <w:szCs w:val="22"/>
              </w:rPr>
              <w:t>Specify enhancements to enable transmission/reception in gaps/restrictions that are caused by RRM measurements (from inter-frequency RRM measurement gaps, or intra-frequency measurements, or other scheduling restrictions etc). [RAN1, RAN2, RAN4]</w:t>
            </w:r>
          </w:p>
          <w:p w14:paraId="5A163A60">
            <w:pPr>
              <w:pStyle w:val="186"/>
              <w:numPr>
                <w:ilvl w:val="0"/>
                <w:numId w:val="18"/>
              </w:numPr>
              <w:rPr>
                <w:rFonts w:hint="default" w:ascii="Times New Roman" w:hAnsi="Times New Roman" w:cs="Times New Roman"/>
                <w:sz w:val="22"/>
                <w:szCs w:val="22"/>
              </w:rPr>
            </w:pPr>
            <w:r>
              <w:rPr>
                <w:rFonts w:hint="default" w:ascii="Times New Roman" w:hAnsi="Times New Roman" w:cs="Times New Roman"/>
                <w:sz w:val="22"/>
                <w:szCs w:val="22"/>
              </w:rPr>
              <w:t>Specify the corresponding measurement gap and scheduling restriction to enable the identified enhancements with RRM performance impact taken into consideration, work being triggered by LS. [RAN4]</w:t>
            </w:r>
          </w:p>
          <w:p w14:paraId="21CA5A68">
            <w:pPr>
              <w:pStyle w:val="83"/>
              <w:numPr>
                <w:ilvl w:val="0"/>
                <w:numId w:val="17"/>
              </w:numPr>
              <w:jc w:val="both"/>
              <w:rPr>
                <w:rFonts w:hint="default" w:ascii="Times New Roman" w:hAnsi="Times New Roman" w:cs="Times New Roman"/>
                <w:sz w:val="22"/>
                <w:szCs w:val="22"/>
              </w:rPr>
            </w:pPr>
            <w:r>
              <w:rPr>
                <w:rFonts w:hint="default" w:ascii="Times New Roman" w:hAnsi="Times New Roman" w:cs="Times New Roman"/>
                <w:sz w:val="22"/>
                <w:szCs w:val="22"/>
              </w:rPr>
              <w:t xml:space="preserve">Specify Enhancements for Scheduling, as follows: </w:t>
            </w:r>
          </w:p>
          <w:p w14:paraId="6AFAFFFA">
            <w:pPr>
              <w:pStyle w:val="83"/>
              <w:numPr>
                <w:ilvl w:val="1"/>
                <w:numId w:val="17"/>
              </w:numPr>
              <w:jc w:val="both"/>
              <w:rPr>
                <w:rFonts w:hint="default" w:ascii="Times New Roman" w:hAnsi="Times New Roman" w:cs="Times New Roman"/>
                <w:sz w:val="22"/>
                <w:szCs w:val="22"/>
              </w:rPr>
            </w:pPr>
            <w:r>
              <w:rPr>
                <w:rFonts w:hint="default" w:ascii="Times New Roman" w:hAnsi="Times New Roman" w:cs="Times New Roman"/>
                <w:sz w:val="22"/>
                <w:szCs w:val="22"/>
              </w:rPr>
              <w:t>For the UL, Study and if justified, Specify enhancements using delay/deadline information, for support of UL scheduling to enable high XR capacity while meeting delay requirements/avoiding too late PDUs. [RAN2].</w:t>
            </w:r>
          </w:p>
          <w:p w14:paraId="3A3AFC80">
            <w:pPr>
              <w:pStyle w:val="83"/>
              <w:numPr>
                <w:ilvl w:val="2"/>
                <w:numId w:val="17"/>
              </w:numPr>
              <w:jc w:val="both"/>
              <w:rPr>
                <w:rFonts w:hint="default" w:ascii="Times New Roman" w:hAnsi="Times New Roman" w:cs="Times New Roman"/>
                <w:sz w:val="22"/>
                <w:szCs w:val="22"/>
              </w:rPr>
            </w:pPr>
            <w:r>
              <w:rPr>
                <w:rFonts w:hint="default" w:ascii="Times New Roman" w:hAnsi="Times New Roman" w:cs="Times New Roman"/>
                <w:sz w:val="22"/>
                <w:szCs w:val="22"/>
              </w:rPr>
              <w:t>Note: LCP implementation complexity need to be taken into account when evaluating solutions.</w:t>
            </w:r>
          </w:p>
          <w:p w14:paraId="03F59CE3">
            <w:pPr>
              <w:pStyle w:val="83"/>
              <w:numPr>
                <w:ilvl w:val="2"/>
                <w:numId w:val="17"/>
              </w:numPr>
              <w:jc w:val="both"/>
              <w:rPr>
                <w:rFonts w:hint="default" w:ascii="Times New Roman" w:hAnsi="Times New Roman" w:cs="Times New Roman"/>
                <w:sz w:val="22"/>
                <w:szCs w:val="22"/>
              </w:rPr>
            </w:pPr>
            <w:r>
              <w:rPr>
                <w:rFonts w:hint="default" w:ascii="Times New Roman" w:hAnsi="Times New Roman" w:cs="Times New Roman"/>
                <w:sz w:val="22"/>
                <w:szCs w:val="22"/>
              </w:rPr>
              <w:t>Note: Check in RAN#105</w:t>
            </w:r>
          </w:p>
          <w:p w14:paraId="0090508A">
            <w:pPr>
              <w:pStyle w:val="83"/>
              <w:numPr>
                <w:ilvl w:val="0"/>
                <w:numId w:val="17"/>
              </w:numPr>
              <w:jc w:val="both"/>
              <w:rPr>
                <w:rFonts w:hint="default" w:ascii="Times New Roman" w:hAnsi="Times New Roman" w:cs="Times New Roman"/>
                <w:sz w:val="22"/>
                <w:szCs w:val="22"/>
              </w:rPr>
            </w:pPr>
            <w:r>
              <w:rPr>
                <w:rFonts w:hint="default" w:ascii="Times New Roman" w:hAnsi="Times New Roman" w:cs="Times New Roman"/>
                <w:sz w:val="22"/>
                <w:szCs w:val="22"/>
              </w:rPr>
              <w:t>Specify the following user plane enhancements [RAN2]</w:t>
            </w:r>
          </w:p>
          <w:p w14:paraId="3B6E67B8">
            <w:pPr>
              <w:pStyle w:val="83"/>
              <w:numPr>
                <w:ilvl w:val="1"/>
                <w:numId w:val="17"/>
              </w:numPr>
              <w:jc w:val="both"/>
              <w:rPr>
                <w:rFonts w:hint="default" w:ascii="Times New Roman" w:hAnsi="Times New Roman" w:cs="Times New Roman"/>
                <w:sz w:val="22"/>
                <w:szCs w:val="22"/>
              </w:rPr>
            </w:pPr>
            <w:r>
              <w:rPr>
                <w:rFonts w:hint="default" w:ascii="Times New Roman" w:hAnsi="Times New Roman" w:cs="Times New Roman"/>
                <w:sz w:val="22"/>
                <w:szCs w:val="22"/>
              </w:rPr>
              <w:t xml:space="preserve">RLC re-transmission related enhancements for operation of RLC Acknowledged Mode (AM) with small packet delay budget. </w:t>
            </w:r>
          </w:p>
          <w:p w14:paraId="158DD06B">
            <w:pPr>
              <w:pStyle w:val="83"/>
              <w:numPr>
                <w:ilvl w:val="1"/>
                <w:numId w:val="17"/>
              </w:numPr>
              <w:jc w:val="both"/>
              <w:rPr>
                <w:rFonts w:hint="default" w:ascii="Times New Roman" w:hAnsi="Times New Roman" w:cs="Times New Roman"/>
                <w:sz w:val="22"/>
                <w:szCs w:val="22"/>
              </w:rPr>
            </w:pPr>
            <w:r>
              <w:rPr>
                <w:rFonts w:hint="default" w:ascii="Times New Roman" w:hAnsi="Times New Roman" w:cs="Times New Roman"/>
                <w:sz w:val="22"/>
                <w:szCs w:val="22"/>
              </w:rPr>
              <w:t>If justified, define a mechanism for transmitter to inform the receiver of SN gap (or missing SNs) in PDCP.</w:t>
            </w:r>
          </w:p>
          <w:p w14:paraId="7C815E40">
            <w:pPr>
              <w:pStyle w:val="83"/>
              <w:numPr>
                <w:ilvl w:val="1"/>
                <w:numId w:val="19"/>
              </w:numPr>
              <w:jc w:val="both"/>
              <w:rPr>
                <w:rFonts w:hint="default" w:ascii="Times New Roman" w:hAnsi="Times New Roman" w:cs="Times New Roman"/>
                <w:sz w:val="22"/>
                <w:szCs w:val="22"/>
              </w:rPr>
            </w:pPr>
            <w:r>
              <w:rPr>
                <w:rFonts w:hint="default" w:ascii="Times New Roman" w:hAnsi="Times New Roman" w:cs="Times New Roman"/>
                <w:sz w:val="22"/>
                <w:szCs w:val="22"/>
              </w:rPr>
              <w:t>Specify Core requirements related to the above objectives as necessary [RAN4]</w:t>
            </w:r>
          </w:p>
        </w:tc>
      </w:tr>
    </w:tbl>
    <w:p w14:paraId="33DB0FB2">
      <w:pPr>
        <w:rPr>
          <w:rFonts w:hint="default" w:ascii="Times New Roman" w:hAnsi="Times New Roman" w:cs="Times New Roman"/>
          <w:bCs/>
          <w:sz w:val="22"/>
          <w:szCs w:val="22"/>
        </w:rPr>
      </w:pPr>
    </w:p>
    <w:p w14:paraId="75F601AB">
      <w:pPr>
        <w:rPr>
          <w:rFonts w:hint="default" w:ascii="Times New Roman" w:hAnsi="Times New Roman" w:cs="Times New Roman"/>
          <w:sz w:val="22"/>
          <w:szCs w:val="22"/>
        </w:rPr>
      </w:pPr>
      <w:r>
        <w:rPr>
          <w:rFonts w:hint="default" w:ascii="Times New Roman" w:hAnsi="Times New Roman" w:cs="Times New Roman"/>
          <w:bCs/>
          <w:sz w:val="22"/>
          <w:szCs w:val="22"/>
        </w:rPr>
        <w:t>In RAN1#11</w:t>
      </w:r>
      <w:r>
        <w:rPr>
          <w:rFonts w:hint="default" w:ascii="Times New Roman" w:hAnsi="Times New Roman" w:cs="Times New Roman"/>
          <w:bCs/>
          <w:sz w:val="22"/>
          <w:szCs w:val="22"/>
          <w:lang w:eastAsia="zh-CN"/>
        </w:rPr>
        <w:t>8[1]</w:t>
      </w:r>
      <w:r>
        <w:rPr>
          <w:rFonts w:hint="default" w:ascii="Times New Roman" w:hAnsi="Times New Roman" w:cs="Times New Roman"/>
          <w:bCs/>
          <w:sz w:val="22"/>
          <w:szCs w:val="22"/>
        </w:rPr>
        <w:t xml:space="preserve"> meeting, </w:t>
      </w:r>
      <w:r>
        <w:rPr>
          <w:rFonts w:hint="default" w:ascii="Times New Roman" w:hAnsi="Times New Roman" w:cs="Times New Roman"/>
          <w:sz w:val="22"/>
          <w:szCs w:val="22"/>
        </w:rPr>
        <w:t>enabling Tx/Rx for XR during RRM measurements has been discussed, and the following agreements were achieved.</w:t>
      </w:r>
    </w:p>
    <w:p w14:paraId="5E7BE7B7">
      <w:pPr>
        <w:rPr>
          <w:rFonts w:hint="default" w:ascii="Times New Roman" w:hAnsi="Times New Roman" w:cs="Times New Roman"/>
          <w:sz w:val="22"/>
          <w:szCs w:val="22"/>
        </w:rPr>
      </w:pPr>
      <w:r>
        <w:rPr>
          <w:rFonts w:hint="default" w:ascii="Times New Roman" w:hAnsi="Times New Roman" w:cs="Times New Roman"/>
          <w:sz w:val="22"/>
          <w:szCs w:val="22"/>
          <w:highlight w:val="green"/>
        </w:rPr>
        <w:t>Agreement</w:t>
      </w:r>
    </w:p>
    <w:p w14:paraId="52753F2E">
      <w:pPr>
        <w:rPr>
          <w:rFonts w:hint="default" w:ascii="Times New Roman" w:hAnsi="Times New Roman" w:cs="Times New Roman"/>
          <w:sz w:val="22"/>
          <w:szCs w:val="22"/>
        </w:rPr>
      </w:pPr>
      <w:r>
        <w:rPr>
          <w:rFonts w:hint="default" w:ascii="Times New Roman" w:hAnsi="Times New Roman" w:cs="Times New Roman"/>
          <w:sz w:val="22"/>
          <w:szCs w:val="22"/>
        </w:rPr>
        <w:t>For solutions based on triggering/enabling by network signaling to enable Tx/Rx in gaps/restrictions that are caused by RRM measurements select one among the following options:</w:t>
      </w:r>
    </w:p>
    <w:p w14:paraId="7705B088">
      <w:pPr>
        <w:rPr>
          <w:rFonts w:hint="default" w:ascii="Times New Roman" w:hAnsi="Times New Roman" w:cs="Times New Roman"/>
          <w:sz w:val="22"/>
          <w:szCs w:val="22"/>
        </w:rPr>
      </w:pPr>
      <w:r>
        <w:rPr>
          <w:rFonts w:hint="default" w:ascii="Times New Roman" w:hAnsi="Times New Roman" w:cs="Times New Roman"/>
          <w:b/>
          <w:bCs/>
          <w:sz w:val="22"/>
          <w:szCs w:val="22"/>
        </w:rPr>
        <w:t>Option 1: Support Alt. 1-1:</w:t>
      </w:r>
    </w:p>
    <w:p w14:paraId="30525608">
      <w:pPr>
        <w:numPr>
          <w:ilvl w:val="0"/>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 Alt. 1: Dynamic indication to enable Tx/Rx in particular gap(s)/restriction(s) that are caused by RRM measurements. </w:t>
      </w:r>
    </w:p>
    <w:p w14:paraId="61BB37DD">
      <w:pPr>
        <w:numPr>
          <w:ilvl w:val="1"/>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b/>
          <w:bCs/>
          <w:sz w:val="22"/>
          <w:szCs w:val="22"/>
          <w:lang w:eastAsia="zh-CN"/>
        </w:rPr>
        <w:t>Alt 1-1</w:t>
      </w:r>
      <w:r>
        <w:rPr>
          <w:rFonts w:hint="default" w:ascii="Times New Roman" w:hAnsi="Times New Roman" w:cs="Times New Roman"/>
          <w:sz w:val="22"/>
          <w:szCs w:val="22"/>
          <w:lang w:eastAsia="zh-CN"/>
        </w:rPr>
        <w:t>: Explicit indication by DCI to skip a particular gap(s)/restriction(s);</w:t>
      </w:r>
    </w:p>
    <w:p w14:paraId="665AF3A6">
      <w:pPr>
        <w:numPr>
          <w:ilvl w:val="2"/>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Indication is included as part of scheduling DCI:</w:t>
      </w:r>
    </w:p>
    <w:p w14:paraId="4A420364">
      <w:pPr>
        <w:numPr>
          <w:ilvl w:val="3"/>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FFS: Bit-field size is one bit;</w:t>
      </w:r>
    </w:p>
    <w:p w14:paraId="6188F63B">
      <w:pPr>
        <w:numPr>
          <w:ilvl w:val="3"/>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FFS: Bit-field size is &gt;1 bit;</w:t>
      </w:r>
    </w:p>
    <w:p w14:paraId="5E5B2CA5">
      <w:pPr>
        <w:numPr>
          <w:ilvl w:val="2"/>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Note: Minimum time offset(s) between the end of [the first] received dynamic indication and start of corresponding gap(s)/restriction(s) occasion that is going to be skipped shall be introduced.</w:t>
      </w:r>
    </w:p>
    <w:p w14:paraId="6ACC8F67">
      <w:pPr>
        <w:numPr>
          <w:ilvl w:val="1"/>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FFS: DCI format, DCI content, DCI bit-field size;</w:t>
      </w:r>
    </w:p>
    <w:p w14:paraId="44A65DFA">
      <w:pPr>
        <w:numPr>
          <w:ilvl w:val="1"/>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FFS: Whether indication is for one or more occasions;</w:t>
      </w:r>
    </w:p>
    <w:p w14:paraId="3D700787">
      <w:pPr>
        <w:numPr>
          <w:ilvl w:val="1"/>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FFS: How to consider time offset between the end of received dynamic indication and start of gap(s)/restriction(s) occasion that is going to be skipped.</w:t>
      </w:r>
    </w:p>
    <w:p w14:paraId="0DDD995E">
      <w:pPr>
        <w:rPr>
          <w:rFonts w:hint="default" w:ascii="Times New Roman" w:hAnsi="Times New Roman" w:cs="Times New Roman"/>
          <w:b/>
          <w:bCs/>
          <w:sz w:val="22"/>
          <w:szCs w:val="22"/>
        </w:rPr>
      </w:pPr>
      <w:r>
        <w:rPr>
          <w:rFonts w:hint="default" w:ascii="Times New Roman" w:hAnsi="Times New Roman" w:cs="Times New Roman"/>
          <w:b/>
          <w:bCs/>
          <w:sz w:val="22"/>
          <w:szCs w:val="22"/>
        </w:rPr>
        <w:t>Option 2: Support Alt. 3-1:</w:t>
      </w:r>
    </w:p>
    <w:p w14:paraId="09515E07">
      <w:pPr>
        <w:numPr>
          <w:ilvl w:val="0"/>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Alt. 3: Semi-static solution to enable TX/RX in gaps/restrictions that are caused by RRM measurements.</w:t>
      </w:r>
    </w:p>
    <w:p w14:paraId="1190F2D6">
      <w:pPr>
        <w:numPr>
          <w:ilvl w:val="1"/>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b/>
          <w:bCs/>
          <w:sz w:val="22"/>
          <w:szCs w:val="22"/>
          <w:lang w:eastAsia="zh-CN"/>
        </w:rPr>
        <w:t>Alt 3-1</w:t>
      </w:r>
      <w:r>
        <w:rPr>
          <w:rFonts w:hint="default" w:ascii="Times New Roman" w:hAnsi="Times New Roman" w:cs="Times New Roman"/>
          <w:sz w:val="22"/>
          <w:szCs w:val="22"/>
          <w:lang w:eastAsia="zh-CN"/>
        </w:rPr>
        <w:t>: Configure a pattern(s) via RRC to indicate occasions where to skip gaps/restrictions;</w:t>
      </w:r>
    </w:p>
    <w:p w14:paraId="00C0A961">
      <w:pPr>
        <w:numPr>
          <w:ilvl w:val="2"/>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FFS: Details of pattern:</w:t>
      </w:r>
    </w:p>
    <w:p w14:paraId="7A2E931A">
      <w:pPr>
        <w:numPr>
          <w:ilvl w:val="3"/>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FFS: Pattern is based on periodicity, offset and duration; </w:t>
      </w:r>
    </w:p>
    <w:p w14:paraId="67CE345F">
      <w:pPr>
        <w:numPr>
          <w:ilvl w:val="3"/>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FFS: Pattern is based on a bitmap;</w:t>
      </w:r>
    </w:p>
    <w:p w14:paraId="6CBC037D">
      <w:pPr>
        <w:numPr>
          <w:ilvl w:val="2"/>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FFS: whether a pattern is applied to all or subset of configured MG configurations/scheduling restrictions. </w:t>
      </w:r>
    </w:p>
    <w:p w14:paraId="03DED098">
      <w:pPr>
        <w:rPr>
          <w:rFonts w:hint="default" w:ascii="Times New Roman" w:hAnsi="Times New Roman" w:cs="Times New Roman"/>
          <w:sz w:val="22"/>
          <w:szCs w:val="22"/>
        </w:rPr>
      </w:pPr>
    </w:p>
    <w:p w14:paraId="15F50634">
      <w:pPr>
        <w:rPr>
          <w:rFonts w:hint="default" w:ascii="Times New Roman" w:hAnsi="Times New Roman" w:cs="Times New Roman"/>
          <w:sz w:val="22"/>
          <w:szCs w:val="22"/>
        </w:rPr>
      </w:pPr>
      <w:r>
        <w:rPr>
          <w:rFonts w:hint="default" w:ascii="Times New Roman" w:hAnsi="Times New Roman" w:cs="Times New Roman"/>
          <w:sz w:val="22"/>
          <w:szCs w:val="22"/>
          <w:highlight w:val="green"/>
        </w:rPr>
        <w:t>Agreement</w:t>
      </w:r>
    </w:p>
    <w:p w14:paraId="73FBA818">
      <w:pPr>
        <w:rPr>
          <w:rFonts w:hint="default" w:ascii="Times New Roman" w:hAnsi="Times New Roman" w:cs="Times New Roman"/>
          <w:sz w:val="22"/>
          <w:szCs w:val="22"/>
        </w:rPr>
      </w:pPr>
      <w:r>
        <w:rPr>
          <w:rFonts w:hint="default" w:ascii="Times New Roman" w:hAnsi="Times New Roman" w:cs="Times New Roman"/>
          <w:sz w:val="22"/>
          <w:szCs w:val="22"/>
        </w:rPr>
        <w:t>If Alt. 1 from RAN1#117 agreement is supported, minimum time offset(s) X between indication to skip and skipped measurement occasion is up to RAN4 to discuss and decide on particular value(s).</w:t>
      </w:r>
    </w:p>
    <w:p w14:paraId="44F57F72">
      <w:pPr>
        <w:rPr>
          <w:rFonts w:hint="default" w:ascii="Times New Roman" w:hAnsi="Times New Roman" w:cs="Times New Roman"/>
          <w:sz w:val="22"/>
          <w:szCs w:val="22"/>
          <w:lang w:eastAsia="zh-CN"/>
        </w:rPr>
      </w:pPr>
    </w:p>
    <w:p w14:paraId="1927212B">
      <w:pPr>
        <w:rPr>
          <w:rFonts w:hint="default" w:ascii="Times New Roman" w:hAnsi="Times New Roman" w:cs="Times New Roman"/>
          <w:sz w:val="22"/>
          <w:szCs w:val="22"/>
        </w:rPr>
      </w:pPr>
      <w:r>
        <w:rPr>
          <w:rFonts w:hint="default" w:ascii="Times New Roman" w:hAnsi="Times New Roman" w:cs="Times New Roman"/>
          <w:sz w:val="22"/>
          <w:szCs w:val="22"/>
          <w:highlight w:val="darkYellow"/>
        </w:rPr>
        <w:t>Working Assumption</w:t>
      </w:r>
    </w:p>
    <w:p w14:paraId="0D301F8D">
      <w:pPr>
        <w:rPr>
          <w:rFonts w:hint="default" w:ascii="Times New Roman" w:hAnsi="Times New Roman" w:cs="Times New Roman"/>
          <w:sz w:val="22"/>
          <w:szCs w:val="22"/>
        </w:rPr>
      </w:pPr>
      <w:r>
        <w:rPr>
          <w:rFonts w:hint="default" w:ascii="Times New Roman" w:hAnsi="Times New Roman" w:cs="Times New Roman"/>
          <w:sz w:val="22"/>
          <w:szCs w:val="22"/>
        </w:rPr>
        <w:t>For solutions based on triggering/enabling by network signaling to enable Tx/Rx in gaps/restrictions that are caused by RRM measurements select the following option:</w:t>
      </w:r>
    </w:p>
    <w:p w14:paraId="0A372F28">
      <w:pPr>
        <w:numPr>
          <w:ilvl w:val="0"/>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Alt. 1: Dynamic indication to enable Tx/Rx in particular gap/restriction that are caused by RRM measurements. </w:t>
      </w:r>
    </w:p>
    <w:p w14:paraId="0218B739">
      <w:pPr>
        <w:numPr>
          <w:ilvl w:val="1"/>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b/>
          <w:bCs/>
          <w:sz w:val="22"/>
          <w:szCs w:val="22"/>
          <w:lang w:eastAsia="zh-CN"/>
        </w:rPr>
        <w:t>Alt 1-1</w:t>
      </w:r>
      <w:r>
        <w:rPr>
          <w:rFonts w:hint="default" w:ascii="Times New Roman" w:hAnsi="Times New Roman" w:cs="Times New Roman"/>
          <w:sz w:val="22"/>
          <w:szCs w:val="22"/>
          <w:lang w:eastAsia="zh-CN"/>
        </w:rPr>
        <w:t>: Explicit indication by DCI to skip a particular gap/restriction;</w:t>
      </w:r>
    </w:p>
    <w:p w14:paraId="0939C733">
      <w:pPr>
        <w:numPr>
          <w:ilvl w:val="2"/>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Indication is included as part of scheduling DCI:</w:t>
      </w:r>
    </w:p>
    <w:p w14:paraId="089B9991">
      <w:pPr>
        <w:numPr>
          <w:ilvl w:val="3"/>
          <w:numId w:val="20"/>
        </w:numPr>
        <w:spacing w:after="0" w:line="240" w:lineRule="auto"/>
        <w:contextualSpacing/>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Bit-field size is one bit;</w:t>
      </w:r>
    </w:p>
    <w:p w14:paraId="545F1653">
      <w:pPr>
        <w:numPr>
          <w:ilvl w:val="4"/>
          <w:numId w:val="20"/>
        </w:numPr>
        <w:spacing w:after="0" w:line="240" w:lineRule="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3DDD714">
      <w:pPr>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Send an LS to RAN4 to inform them of the above working assumption and ask them if there is any issue with it.</w:t>
      </w:r>
    </w:p>
    <w:p w14:paraId="1090F023">
      <w:pPr>
        <w:rPr>
          <w:rFonts w:hint="default" w:ascii="Times New Roman" w:hAnsi="Times New Roman" w:cs="Times New Roman"/>
          <w:sz w:val="22"/>
          <w:szCs w:val="22"/>
        </w:rPr>
      </w:pPr>
      <w:r>
        <w:rPr>
          <w:rFonts w:hint="default" w:ascii="Times New Roman" w:hAnsi="Times New Roman" w:cs="Times New Roman"/>
          <w:sz w:val="22"/>
          <w:szCs w:val="22"/>
        </w:rPr>
        <w:t xml:space="preserve">In this contribution, we mainly provide our views on enabling Tx/Rx for XR during RRM measurements. </w:t>
      </w:r>
    </w:p>
    <w:p w14:paraId="2359285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cs="Times New Roman"/>
          <w:sz w:val="22"/>
          <w:szCs w:val="22"/>
        </w:rPr>
      </w:pPr>
      <w:r>
        <w:rPr>
          <w:rFonts w:hint="default" w:ascii="Times New Roman" w:hAnsi="Times New Roman" w:eastAsia="黑体" w:cs="Times New Roman"/>
          <w:b/>
          <w:bCs/>
          <w:color w:val="auto"/>
          <w:sz w:val="22"/>
          <w:szCs w:val="22"/>
        </w:rPr>
        <w:t>Discussion</w:t>
      </w:r>
      <w:bookmarkStart w:id="3" w:name="OLE_LINK4"/>
      <w:bookmarkStart w:id="4" w:name="OLE_LINK3"/>
    </w:p>
    <w:bookmarkEnd w:id="3"/>
    <w:bookmarkEnd w:id="4"/>
    <w:p w14:paraId="2E6D38DF">
      <w:pPr>
        <w:pStyle w:val="4"/>
        <w:rPr>
          <w:rFonts w:hint="default" w:ascii="Times New Roman" w:hAnsi="Times New Roman" w:cs="Times New Roman"/>
          <w:sz w:val="22"/>
          <w:szCs w:val="22"/>
        </w:rPr>
      </w:pPr>
      <w:r>
        <w:rPr>
          <w:rFonts w:hint="default" w:ascii="Times New Roman" w:hAnsi="Times New Roman" w:cs="Times New Roman"/>
          <w:sz w:val="22"/>
          <w:szCs w:val="22"/>
        </w:rPr>
        <w:t>Enabling Tx/Rx for XR during measurements</w:t>
      </w:r>
    </w:p>
    <w:p w14:paraId="2F2B7D62">
      <w:pPr>
        <w:jc w:val="both"/>
        <w:rPr>
          <w:rFonts w:hint="default" w:ascii="Times New Roman" w:hAnsi="Times New Roman" w:cs="Times New Roman"/>
          <w:sz w:val="22"/>
          <w:szCs w:val="22"/>
          <w:lang w:eastAsia="ko-KR"/>
        </w:rPr>
      </w:pPr>
      <w:r>
        <w:rPr>
          <w:rFonts w:hint="default" w:ascii="Times New Roman" w:hAnsi="Times New Roman" w:cs="Times New Roman"/>
          <w:sz w:val="22"/>
          <w:szCs w:val="22"/>
        </w:rPr>
        <w:t>In the current specification</w:t>
      </w:r>
      <w:r>
        <w:rPr>
          <w:rFonts w:hint="default" w:ascii="Times New Roman" w:hAnsi="Times New Roman" w:cs="Times New Roman"/>
          <w:sz w:val="22"/>
          <w:szCs w:val="22"/>
          <w:lang w:eastAsia="fi-FI"/>
        </w:rPr>
        <w:t xml:space="preserve">, measurement gaps are configured to allow UE to do inter-frequency neighbor cell measurement and the corresponding Radio frequency (RF) tuning for RRM purposes (e.g. mobility, CA set-up, etc.). </w:t>
      </w:r>
      <w:r>
        <w:rPr>
          <w:rFonts w:hint="default" w:ascii="Times New Roman" w:hAnsi="Times New Roman" w:cs="Times New Roman"/>
          <w:sz w:val="22"/>
          <w:szCs w:val="22"/>
          <w:lang w:eastAsia="ko-KR"/>
        </w:rPr>
        <w:t xml:space="preserve">During an activated measurement gap, the MAC entity shall, on the Serving Cell(s) in the corresponding frequency range of the measurement gap configured by </w:t>
      </w:r>
      <w:r>
        <w:rPr>
          <w:rFonts w:hint="default" w:ascii="Times New Roman" w:hAnsi="Times New Roman" w:cs="Times New Roman"/>
          <w:sz w:val="22"/>
          <w:szCs w:val="22"/>
        </w:rPr>
        <w:t xml:space="preserve">measGapConfig </w:t>
      </w:r>
      <w:r>
        <w:rPr>
          <w:rFonts w:hint="default" w:ascii="Times New Roman" w:hAnsi="Times New Roman" w:cs="Times New Roman"/>
          <w:sz w:val="22"/>
          <w:szCs w:val="22"/>
          <w:lang w:eastAsia="ko-KR"/>
        </w:rPr>
        <w:t>as specified in TS 38.331:</w:t>
      </w:r>
    </w:p>
    <w:p w14:paraId="3275DF2F">
      <w:pPr>
        <w:pStyle w:val="92"/>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1&gt;</w:t>
      </w:r>
      <w:r>
        <w:rPr>
          <w:rFonts w:hint="default" w:ascii="Times New Roman" w:hAnsi="Times New Roman" w:cs="Times New Roman"/>
          <w:sz w:val="22"/>
          <w:szCs w:val="22"/>
          <w:lang w:eastAsia="ko-KR"/>
        </w:rPr>
        <w:tab/>
      </w:r>
      <w:r>
        <w:rPr>
          <w:rFonts w:hint="default" w:ascii="Times New Roman" w:hAnsi="Times New Roman" w:cs="Times New Roman"/>
          <w:sz w:val="22"/>
          <w:szCs w:val="22"/>
          <w:lang w:eastAsia="ko-KR"/>
        </w:rPr>
        <w:t>not perform the transmission of Hybrid Automatic Repeat request (HARQ) feedback, Scheduling Require (SR), and Channel State Information (CSI);</w:t>
      </w:r>
    </w:p>
    <w:p w14:paraId="6EFFEBF5">
      <w:pPr>
        <w:pStyle w:val="92"/>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1&gt;</w:t>
      </w:r>
      <w:r>
        <w:rPr>
          <w:rFonts w:hint="default" w:ascii="Times New Roman" w:hAnsi="Times New Roman" w:cs="Times New Roman"/>
          <w:sz w:val="22"/>
          <w:szCs w:val="22"/>
          <w:lang w:eastAsia="ko-KR"/>
        </w:rPr>
        <w:tab/>
      </w:r>
      <w:r>
        <w:rPr>
          <w:rFonts w:hint="default" w:ascii="Times New Roman" w:hAnsi="Times New Roman" w:cs="Times New Roman"/>
          <w:sz w:val="22"/>
          <w:szCs w:val="22"/>
          <w:lang w:eastAsia="ko-KR"/>
        </w:rPr>
        <w:t>not report Sounding Reference Signal (SRS);</w:t>
      </w:r>
    </w:p>
    <w:p w14:paraId="6B0C06B2">
      <w:pPr>
        <w:pStyle w:val="92"/>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1&gt;</w:t>
      </w:r>
      <w:r>
        <w:rPr>
          <w:rFonts w:hint="default" w:ascii="Times New Roman" w:hAnsi="Times New Roman" w:cs="Times New Roman"/>
          <w:sz w:val="22"/>
          <w:szCs w:val="22"/>
          <w:lang w:eastAsia="ko-KR"/>
        </w:rPr>
        <w:tab/>
      </w:r>
      <w:r>
        <w:rPr>
          <w:rFonts w:hint="default" w:ascii="Times New Roman" w:hAnsi="Times New Roman" w:cs="Times New Roman"/>
          <w:sz w:val="22"/>
          <w:szCs w:val="22"/>
          <w:lang w:eastAsia="ko-KR"/>
        </w:rPr>
        <w:t>not transmit on UL-SCH except for Msg3 or the MSGA payload as specified in clause 5.4.2.2;</w:t>
      </w:r>
    </w:p>
    <w:p w14:paraId="4769BBB2">
      <w:pPr>
        <w:pStyle w:val="92"/>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1&gt;</w:t>
      </w:r>
      <w:r>
        <w:rPr>
          <w:rFonts w:hint="default" w:ascii="Times New Roman" w:hAnsi="Times New Roman" w:cs="Times New Roman"/>
          <w:sz w:val="22"/>
          <w:szCs w:val="22"/>
          <w:lang w:eastAsia="ko-KR"/>
        </w:rPr>
        <w:tab/>
      </w:r>
      <w:r>
        <w:rPr>
          <w:rFonts w:hint="default" w:ascii="Times New Roman" w:hAnsi="Times New Roman" w:cs="Times New Roman"/>
          <w:sz w:val="22"/>
          <w:szCs w:val="22"/>
          <w:lang w:eastAsia="ko-KR"/>
        </w:rPr>
        <w:t xml:space="preserve">if the ra-ResponseWindow or the ra-ContentionResolutionTimer or the </w:t>
      </w:r>
      <w:r>
        <w:rPr>
          <w:rFonts w:hint="default" w:ascii="Times New Roman" w:hAnsi="Times New Roman" w:cs="Times New Roman"/>
          <w:iCs/>
          <w:sz w:val="22"/>
          <w:szCs w:val="22"/>
          <w:lang w:eastAsia="ko-KR"/>
        </w:rPr>
        <w:t>msgB-ResponseWindow</w:t>
      </w:r>
      <w:r>
        <w:rPr>
          <w:rFonts w:hint="default" w:ascii="Times New Roman" w:hAnsi="Times New Roman" w:cs="Times New Roman"/>
          <w:sz w:val="22"/>
          <w:szCs w:val="22"/>
          <w:lang w:eastAsia="ko-KR"/>
        </w:rPr>
        <w:t xml:space="preserve"> is running:</w:t>
      </w:r>
    </w:p>
    <w:p w14:paraId="3E527E32">
      <w:pPr>
        <w:pStyle w:val="95"/>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2&gt;</w:t>
      </w:r>
      <w:r>
        <w:rPr>
          <w:rFonts w:hint="default" w:ascii="Times New Roman" w:hAnsi="Times New Roman" w:cs="Times New Roman"/>
          <w:sz w:val="22"/>
          <w:szCs w:val="22"/>
          <w:lang w:eastAsia="ko-KR"/>
        </w:rPr>
        <w:tab/>
      </w:r>
      <w:r>
        <w:rPr>
          <w:rFonts w:hint="default" w:ascii="Times New Roman" w:hAnsi="Times New Roman" w:cs="Times New Roman"/>
          <w:sz w:val="22"/>
          <w:szCs w:val="22"/>
          <w:lang w:eastAsia="ko-KR"/>
        </w:rPr>
        <w:t>monitor the Physical Downlink Control Channel (PDCCH) as specified in clauses 5.1.4 and 5.1.5.</w:t>
      </w:r>
    </w:p>
    <w:p w14:paraId="7DC01888">
      <w:pPr>
        <w:pStyle w:val="92"/>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1&gt;</w:t>
      </w:r>
      <w:r>
        <w:rPr>
          <w:rFonts w:hint="default" w:ascii="Times New Roman" w:hAnsi="Times New Roman" w:cs="Times New Roman"/>
          <w:sz w:val="22"/>
          <w:szCs w:val="22"/>
          <w:lang w:eastAsia="ko-KR"/>
        </w:rPr>
        <w:tab/>
      </w:r>
      <w:r>
        <w:rPr>
          <w:rFonts w:hint="default" w:ascii="Times New Roman" w:hAnsi="Times New Roman" w:cs="Times New Roman"/>
          <w:sz w:val="22"/>
          <w:szCs w:val="22"/>
          <w:lang w:eastAsia="ko-KR"/>
        </w:rPr>
        <w:t>else:</w:t>
      </w:r>
    </w:p>
    <w:p w14:paraId="4D7A077A">
      <w:pPr>
        <w:pStyle w:val="95"/>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2&gt;</w:t>
      </w:r>
      <w:r>
        <w:rPr>
          <w:rFonts w:hint="default" w:ascii="Times New Roman" w:hAnsi="Times New Roman" w:cs="Times New Roman"/>
          <w:sz w:val="22"/>
          <w:szCs w:val="22"/>
          <w:lang w:eastAsia="ko-KR"/>
        </w:rPr>
        <w:tab/>
      </w:r>
      <w:r>
        <w:rPr>
          <w:rFonts w:hint="default" w:ascii="Times New Roman" w:hAnsi="Times New Roman" w:cs="Times New Roman"/>
          <w:sz w:val="22"/>
          <w:szCs w:val="22"/>
          <w:lang w:eastAsia="ko-KR"/>
        </w:rPr>
        <w:t>not monitor the PDCCH;</w:t>
      </w:r>
    </w:p>
    <w:p w14:paraId="5D7DA6B7">
      <w:pPr>
        <w:rPr>
          <w:rFonts w:hint="default" w:ascii="Times New Roman" w:hAnsi="Times New Roman" w:cs="Times New Roman"/>
          <w:sz w:val="22"/>
          <w:szCs w:val="22"/>
          <w:lang w:eastAsia="ko-KR"/>
        </w:rPr>
      </w:pPr>
      <w:r>
        <w:rPr>
          <w:rFonts w:hint="default" w:ascii="Times New Roman" w:hAnsi="Times New Roman" w:cs="Times New Roman"/>
          <w:sz w:val="22"/>
          <w:szCs w:val="22"/>
          <w:lang w:eastAsia="ko-KR"/>
        </w:rPr>
        <w:t>2&gt; not receive on DL-SCH.</w:t>
      </w:r>
    </w:p>
    <w:p w14:paraId="38719AB0">
      <w:pPr>
        <w:jc w:val="both"/>
        <w:rPr>
          <w:rFonts w:hint="default" w:ascii="Times New Roman" w:hAnsi="Times New Roman" w:cs="Times New Roman"/>
          <w:sz w:val="22"/>
          <w:szCs w:val="22"/>
        </w:rPr>
      </w:pPr>
      <w:r>
        <w:rPr>
          <w:rFonts w:hint="default" w:ascii="Times New Roman" w:hAnsi="Times New Roman" w:cs="Times New Roman"/>
          <w:sz w:val="22"/>
          <w:szCs w:val="22"/>
          <w:lang w:eastAsia="fi-FI"/>
        </w:rPr>
        <w:t>In other words, during</w:t>
      </w:r>
      <w:r>
        <w:rPr>
          <w:rFonts w:hint="default" w:ascii="Times New Roman" w:hAnsi="Times New Roman" w:cs="Times New Roman"/>
          <w:sz w:val="22"/>
          <w:szCs w:val="22"/>
          <w:lang w:eastAsia="zh-CN"/>
        </w:rPr>
        <w:t xml:space="preserve"> a </w:t>
      </w:r>
      <w:r>
        <w:rPr>
          <w:rFonts w:hint="default" w:ascii="Times New Roman" w:hAnsi="Times New Roman" w:cs="Times New Roman"/>
          <w:sz w:val="22"/>
          <w:szCs w:val="22"/>
        </w:rPr>
        <w:t xml:space="preserve">measurement gap, a UE </w:t>
      </w:r>
      <w:r>
        <w:rPr>
          <w:rFonts w:hint="default" w:ascii="Times New Roman" w:hAnsi="Times New Roman" w:cs="Times New Roman"/>
          <w:sz w:val="22"/>
          <w:szCs w:val="22"/>
          <w:lang w:eastAsia="zh-CN"/>
        </w:rPr>
        <w:t xml:space="preserve">is restricted from transmitting or receiving any data except during a random access procedure. </w:t>
      </w:r>
      <w:r>
        <w:rPr>
          <w:rFonts w:hint="default" w:ascii="Times New Roman" w:hAnsi="Times New Roman" w:cs="Times New Roman"/>
          <w:sz w:val="22"/>
          <w:szCs w:val="22"/>
        </w:rPr>
        <w:t xml:space="preserve">As discussed above, XR services have low latency, jitter, and large packet size, when XR traffic arrives close to or during a measurement gap, after UE performs RRM measurement during the measurement gap, the remaining time of latency budget is not enough for the UE to transmit an XR traffic whole, as shown in figure 1. Thus, the performance of XR service will be decreased, to handle this, enabling Tx/Rx for XR during the measurement gap can be considered. </w:t>
      </w:r>
    </w:p>
    <w:p w14:paraId="79483477">
      <w:pPr>
        <w:jc w:val="center"/>
        <w:rPr>
          <w:rFonts w:hint="default" w:ascii="Times New Roman" w:hAnsi="Times New Roman" w:cs="Times New Roman"/>
          <w:sz w:val="22"/>
          <w:szCs w:val="22"/>
        </w:rPr>
      </w:pPr>
      <w:r>
        <w:rPr>
          <w:rFonts w:hint="default" w:ascii="Times New Roman" w:hAnsi="Times New Roman" w:cs="Times New Roman"/>
          <w:sz w:val="22"/>
          <w:szCs w:val="22"/>
        </w:rPr>
        <w:object>
          <v:shape id="_x0000_i1025" o:spt="75" type="#_x0000_t75" style="height:141.35pt;width:419.3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6211B3F6">
      <w:pPr>
        <w:jc w:val="center"/>
        <w:rPr>
          <w:rFonts w:hint="default" w:ascii="Times New Roman" w:hAnsi="Times New Roman" w:cs="Times New Roman"/>
          <w:sz w:val="22"/>
          <w:szCs w:val="22"/>
        </w:rPr>
      </w:pPr>
      <w:r>
        <w:rPr>
          <w:rFonts w:hint="default" w:ascii="Times New Roman" w:hAnsi="Times New Roman" w:cs="Times New Roman"/>
          <w:sz w:val="22"/>
          <w:szCs w:val="22"/>
        </w:rPr>
        <w:t>Figure 1. A packet with low latency arrival close to or during the measurement gap</w:t>
      </w:r>
    </w:p>
    <w:p w14:paraId="1F8FDE48">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To handle this, a direct way is to relax the scheduling restrictions caused by RRM measurements, </w:t>
      </w:r>
      <w:r>
        <w:rPr>
          <w:rFonts w:hint="default" w:ascii="Times New Roman" w:hAnsi="Times New Roman" w:eastAsia="Calibri" w:cs="Times New Roman"/>
          <w:sz w:val="22"/>
          <w:szCs w:val="22"/>
        </w:rPr>
        <w:t xml:space="preserve">a scheduling DCI is used with explicit signaling to indicate </w:t>
      </w:r>
      <w:r>
        <w:rPr>
          <w:rFonts w:hint="default" w:ascii="Times New Roman" w:hAnsi="Times New Roman" w:cs="Times New Roman"/>
          <w:sz w:val="22"/>
          <w:szCs w:val="22"/>
          <w:lang w:eastAsia="zh-CN"/>
        </w:rPr>
        <w:t>upcoming</w:t>
      </w:r>
      <w:r>
        <w:rPr>
          <w:rFonts w:hint="default" w:ascii="Times New Roman" w:hAnsi="Times New Roman" w:eastAsia="Calibri" w:cs="Times New Roman"/>
          <w:sz w:val="22"/>
          <w:szCs w:val="22"/>
        </w:rPr>
        <w:t xml:space="preserve"> gaps/restrictions</w:t>
      </w:r>
      <w:r>
        <w:rPr>
          <w:rFonts w:hint="default" w:ascii="Times New Roman" w:hAnsi="Times New Roman" w:cs="Times New Roman"/>
          <w:sz w:val="22"/>
          <w:szCs w:val="22"/>
          <w:lang w:eastAsia="zh-CN"/>
        </w:rPr>
        <w:t>. A 1-bit field in the scheduling DCI can be used to indicate whether the upcoming gap/restriction is skipped or not. Additionally, we believe that it is unnecessary to introduce a new DCI format, and instead, reusing the current UE-specific DCI format could be considered.</w:t>
      </w:r>
    </w:p>
    <w:p w14:paraId="2B80D4CE">
      <w:pPr>
        <w:rPr>
          <w:rFonts w:hint="default" w:ascii="Times New Roman" w:hAnsi="Times New Roman" w:cs="Times New Roman"/>
          <w:b/>
          <w:i/>
          <w:sz w:val="22"/>
          <w:szCs w:val="22"/>
        </w:rPr>
      </w:pPr>
      <w:r>
        <w:rPr>
          <w:rFonts w:hint="default" w:ascii="Times New Roman" w:hAnsi="Times New Roman" w:cs="Times New Roman"/>
          <w:b/>
          <w:i/>
          <w:sz w:val="22"/>
          <w:szCs w:val="22"/>
        </w:rPr>
        <w:t xml:space="preserve">Proposal 1. </w:t>
      </w:r>
      <w:r>
        <w:rPr>
          <w:rFonts w:hint="default" w:ascii="Times New Roman" w:hAnsi="Times New Roman" w:cs="Times New Roman"/>
          <w:b/>
          <w:i/>
          <w:sz w:val="22"/>
          <w:szCs w:val="22"/>
          <w:lang w:eastAsia="zh-CN"/>
        </w:rPr>
        <w:t xml:space="preserve">Confirming the working assumption, </w:t>
      </w:r>
      <w:r>
        <w:rPr>
          <w:rFonts w:hint="default" w:ascii="Times New Roman" w:hAnsi="Times New Roman" w:cs="Times New Roman"/>
          <w:b/>
          <w:i/>
          <w:sz w:val="22"/>
          <w:szCs w:val="22"/>
          <w:lang w:eastAsia="zh-CN"/>
        </w:rPr>
        <w:t>f</w:t>
      </w:r>
      <w:r>
        <w:rPr>
          <w:rFonts w:hint="default" w:ascii="Times New Roman" w:hAnsi="Times New Roman" w:cs="Times New Roman"/>
          <w:b/>
          <w:i/>
          <w:sz w:val="22"/>
          <w:szCs w:val="22"/>
        </w:rPr>
        <w:t>or solutions based on triggering/enabling by network signaling to enable Tx/Rx in gaps/restrictions that are caused by RRM measurements select the following option:</w:t>
      </w:r>
    </w:p>
    <w:p w14:paraId="0870A35A">
      <w:pPr>
        <w:numPr>
          <w:ilvl w:val="0"/>
          <w:numId w:val="20"/>
        </w:numPr>
        <w:spacing w:line="240" w:lineRule="auto"/>
        <w:contextualSpacing/>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 xml:space="preserve">Alt. 1: Dynamic indication to enable Tx/Rx in particular gap/restriction that are caused by RRM measurements. </w:t>
      </w:r>
    </w:p>
    <w:p w14:paraId="6437763B">
      <w:pPr>
        <w:numPr>
          <w:ilvl w:val="1"/>
          <w:numId w:val="20"/>
        </w:numPr>
        <w:spacing w:line="240" w:lineRule="auto"/>
        <w:contextualSpacing/>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Alt 1-1: Explicit indication by DCI to skip a particular gap/restriction;</w:t>
      </w:r>
    </w:p>
    <w:p w14:paraId="3EBF9AAA">
      <w:pPr>
        <w:numPr>
          <w:ilvl w:val="2"/>
          <w:numId w:val="20"/>
        </w:numPr>
        <w:spacing w:line="240" w:lineRule="auto"/>
        <w:contextualSpacing/>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Indication is included as part of scheduling DCI:</w:t>
      </w:r>
    </w:p>
    <w:p w14:paraId="579D2E71">
      <w:pPr>
        <w:numPr>
          <w:ilvl w:val="3"/>
          <w:numId w:val="20"/>
        </w:numPr>
        <w:spacing w:line="240" w:lineRule="auto"/>
        <w:contextualSpacing/>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Bit-field size is one bit;</w:t>
      </w:r>
    </w:p>
    <w:p w14:paraId="2777D354">
      <w:pPr>
        <w:numPr>
          <w:ilvl w:val="4"/>
          <w:numId w:val="20"/>
        </w:numPr>
        <w:spacing w:line="240" w:lineRule="auto"/>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FAB87C0">
      <w:pPr>
        <w:jc w:val="both"/>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 xml:space="preserve">Proposal 2: The current UE-specific DCI format (e.g. DCI format 0_x/1_x) can be used for </w:t>
      </w:r>
      <w:r>
        <w:rPr>
          <w:rFonts w:hint="default" w:ascii="Times New Roman" w:hAnsi="Times New Roman" w:cs="Times New Roman"/>
          <w:b/>
          <w:sz w:val="22"/>
          <w:szCs w:val="22"/>
          <w:lang w:eastAsia="zh-CN"/>
        </w:rPr>
        <w:t>dynamic indication to enable Tx/Rx within measurement gap(s)/restriction(s).</w:t>
      </w:r>
    </w:p>
    <w:p w14:paraId="4C7F9F34">
      <w:pPr>
        <w:jc w:val="both"/>
        <w:rPr>
          <w:rFonts w:hint="default" w:ascii="Times New Roman" w:hAnsi="Times New Roman" w:cs="Times New Roman"/>
          <w:color w:val="000000"/>
          <w:sz w:val="22"/>
          <w:szCs w:val="22"/>
          <w:lang w:eastAsia="zh-CN"/>
        </w:rPr>
      </w:pPr>
      <w:r>
        <w:rPr>
          <w:rFonts w:hint="default" w:ascii="Times New Roman" w:hAnsi="Times New Roman" w:cs="Times New Roman"/>
          <w:sz w:val="22"/>
          <w:szCs w:val="22"/>
          <w:lang w:eastAsia="zh-CN"/>
        </w:rPr>
        <w:t xml:space="preserve">In addition, </w:t>
      </w:r>
      <w:r>
        <w:rPr>
          <w:rFonts w:hint="default" w:ascii="Times New Roman" w:hAnsi="Times New Roman" w:cs="Times New Roman"/>
          <w:color w:val="000000"/>
          <w:sz w:val="22"/>
          <w:szCs w:val="22"/>
          <w:lang w:eastAsia="zh-CN"/>
        </w:rPr>
        <w:t>to reserve sufficient processing time for UE to skip an</w:t>
      </w:r>
      <w:r>
        <w:rPr>
          <w:rFonts w:hint="default" w:ascii="Times New Roman" w:hAnsi="Times New Roman" w:cs="Times New Roman"/>
          <w:color w:val="000000"/>
          <w:sz w:val="22"/>
          <w:szCs w:val="22"/>
        </w:rPr>
        <w:t xml:space="preserve"> occasion of measurement gap/restrictions</w:t>
      </w:r>
      <w:r>
        <w:rPr>
          <w:rFonts w:hint="default" w:ascii="Times New Roman" w:hAnsi="Times New Roman" w:cs="Times New Roman"/>
          <w:color w:val="000000"/>
          <w:sz w:val="22"/>
          <w:szCs w:val="22"/>
          <w:lang w:eastAsia="zh-CN"/>
        </w:rPr>
        <w:t xml:space="preserve">, a </w:t>
      </w:r>
      <w:r>
        <w:rPr>
          <w:rFonts w:hint="default" w:ascii="Times New Roman" w:hAnsi="Times New Roman" w:cs="Times New Roman"/>
          <w:sz w:val="22"/>
          <w:szCs w:val="22"/>
        </w:rPr>
        <w:t>time gap is introduced between the end of the skipping command and the start of the skipped measurement occasion.</w:t>
      </w:r>
      <w:r>
        <w:rPr>
          <w:rFonts w:hint="default" w:ascii="Times New Roman" w:hAnsi="Times New Roman" w:cs="Times New Roman"/>
          <w:color w:val="000000"/>
          <w:sz w:val="22"/>
          <w:szCs w:val="22"/>
          <w:lang w:eastAsia="zh-CN"/>
        </w:rPr>
        <w:t xml:space="preserve"> In the current specification, a processing timeline for PUSCH or PDSCH has been defined. In our view, reusing the current processing timeline for PDSCH or PUSCH is suitable. </w:t>
      </w:r>
    </w:p>
    <w:p w14:paraId="570B7883">
      <w:pPr>
        <w:jc w:val="both"/>
        <w:rPr>
          <w:rFonts w:hint="default" w:ascii="Times New Roman" w:hAnsi="Times New Roman" w:cs="Times New Roman"/>
          <w:b/>
          <w:i/>
          <w:color w:val="000000"/>
          <w:sz w:val="22"/>
          <w:szCs w:val="22"/>
          <w:lang w:eastAsia="zh-CN"/>
        </w:rPr>
      </w:pPr>
      <w:r>
        <w:rPr>
          <w:rFonts w:hint="default" w:ascii="Times New Roman" w:hAnsi="Times New Roman" w:cs="Times New Roman"/>
          <w:b/>
          <w:i/>
          <w:color w:val="000000"/>
          <w:sz w:val="22"/>
          <w:szCs w:val="22"/>
          <w:lang w:eastAsia="zh-CN"/>
        </w:rPr>
        <w:t xml:space="preserve">Proposal 3: Reusing the current processing timeline for PDSCH or PUSCH as the minimum time gap between the end of the skipping command and the start of the skipped measurement occasion.  </w:t>
      </w:r>
    </w:p>
    <w:p w14:paraId="185787C0">
      <w:pPr>
        <w:pStyle w:val="4"/>
        <w:rPr>
          <w:rFonts w:hint="default" w:ascii="Times New Roman" w:hAnsi="Times New Roman" w:cs="Times New Roman"/>
          <w:sz w:val="22"/>
          <w:szCs w:val="22"/>
        </w:rPr>
      </w:pPr>
      <w:r>
        <w:rPr>
          <w:rFonts w:hint="default" w:ascii="Times New Roman" w:hAnsi="Times New Roman" w:cs="Times New Roman"/>
          <w:sz w:val="22"/>
          <w:szCs w:val="22"/>
        </w:rPr>
        <w:t>UE assistance information for enabling Rx/Tx for XR during RRM measurement</w:t>
      </w:r>
    </w:p>
    <w:p w14:paraId="70FF8DE4">
      <w:pPr>
        <w:jc w:val="both"/>
        <w:rPr>
          <w:rFonts w:hint="default" w:ascii="Times New Roman" w:hAnsi="Times New Roman" w:cs="Times New Roman"/>
          <w:sz w:val="22"/>
          <w:szCs w:val="22"/>
          <w:lang w:eastAsia="zh-CN"/>
        </w:rPr>
      </w:pPr>
      <w:bookmarkStart w:id="5" w:name="OLE_LINK2"/>
      <w:r>
        <w:rPr>
          <w:rFonts w:hint="default" w:ascii="Times New Roman" w:hAnsi="Times New Roman" w:cs="Times New Roman"/>
          <w:sz w:val="22"/>
          <w:szCs w:val="22"/>
        </w:rPr>
        <w:t xml:space="preserve">In Rel-18, </w:t>
      </w:r>
      <w:r>
        <w:rPr>
          <w:rFonts w:hint="default" w:ascii="Times New Roman" w:hAnsi="Times New Roman" w:cs="Times New Roman"/>
          <w:sz w:val="22"/>
          <w:szCs w:val="22"/>
          <w:lang w:eastAsia="zh-CN"/>
        </w:rPr>
        <w:t xml:space="preserve">an enhanced configured grant (eCG) with multiple transmission occasions has been introduced to match the low latency and high data rate requirements of XR services, made possible to eliminate the need for a scheduling request (SR) and buffer status report (BSR) procedure. With eCG, multiple transmission occasions can be configured within a CG configuration, which can be used for transmitting multiple transport blocks (TB) simultaneously. </w:t>
      </w:r>
      <w:bookmarkEnd w:id="5"/>
      <w:r>
        <w:rPr>
          <w:rFonts w:hint="default" w:ascii="Times New Roman" w:hAnsi="Times New Roman" w:cs="Times New Roman"/>
          <w:sz w:val="22"/>
          <w:szCs w:val="22"/>
        </w:rPr>
        <w:t>Similarly, in Rel-19, to match the low latency and high data rate, Rx/Tx enabling within RRM has been studied, for DL traffic, gNB can know the actual traffic arrival time and the packet size, then based on gNB indication, trade-off between XR service capacity and RRM measure can be achieved. However, for UL service, gNB may not know the actual size and delay budget for a packet if UE does not report the BSR timely, for example, in some cases, due to resource limitations (e.g., frame structure), there is no opportunity for a UE to report BSR and PDB in time before a measurement restriction. In addition, when the CG configuration is used for XR services, and the CG configuration is located within an RRM measurement gap/SMTC, with this case, it’s very difficult for gNB to make any decision to determine whether performing data transmission/reception or measurement within measurement gap/SMTC, thus, UE assistance information to notify gNB whether Tx/Rx need to perform within RRM measurement gap/SMTC can be considered.</w:t>
      </w:r>
      <w:bookmarkStart w:id="6" w:name="_GoBack"/>
      <w:bookmarkEnd w:id="6"/>
    </w:p>
    <w:p w14:paraId="16F34610">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Proposal </w:t>
      </w:r>
      <w:r>
        <w:rPr>
          <w:rFonts w:hint="default" w:ascii="Times New Roman" w:hAnsi="Times New Roman" w:cs="Times New Roman"/>
          <w:b/>
          <w:i/>
          <w:sz w:val="22"/>
          <w:szCs w:val="22"/>
          <w:lang w:eastAsia="zh-CN"/>
        </w:rPr>
        <w:t>4</w:t>
      </w:r>
      <w:r>
        <w:rPr>
          <w:rFonts w:hint="default" w:ascii="Times New Roman" w:hAnsi="Times New Roman" w:cs="Times New Roman"/>
          <w:b/>
          <w:i/>
          <w:sz w:val="22"/>
          <w:szCs w:val="22"/>
        </w:rPr>
        <w:t>：UE assistance information/indication to notify gNB whether enabling Tx/Rx for XR during RRM measurements restriction can be considered.</w:t>
      </w:r>
    </w:p>
    <w:p w14:paraId="0DD38C63">
      <w:pPr>
        <w:pStyle w:val="4"/>
        <w:rPr>
          <w:rFonts w:hint="default" w:ascii="Times New Roman" w:hAnsi="Times New Roman" w:cs="Times New Roman"/>
          <w:sz w:val="22"/>
          <w:szCs w:val="22"/>
        </w:rPr>
      </w:pPr>
      <w:r>
        <w:rPr>
          <w:rFonts w:hint="default" w:ascii="Times New Roman" w:hAnsi="Times New Roman" w:cs="Times New Roman"/>
          <w:sz w:val="22"/>
          <w:szCs w:val="22"/>
        </w:rPr>
        <w:t>Interaction with DRX</w:t>
      </w:r>
    </w:p>
    <w:p w14:paraId="07BD6AC4">
      <w:pPr>
        <w:jc w:val="both"/>
        <w:rPr>
          <w:rFonts w:hint="default" w:ascii="Times New Roman" w:hAnsi="Times New Roman" w:cs="Times New Roman"/>
          <w:sz w:val="22"/>
          <w:szCs w:val="22"/>
        </w:rPr>
      </w:pPr>
      <w:r>
        <w:rPr>
          <w:rFonts w:hint="default" w:ascii="Times New Roman" w:hAnsi="Times New Roman" w:cs="Times New Roman"/>
          <w:sz w:val="22"/>
          <w:szCs w:val="22"/>
          <w:lang w:val="en-GB"/>
        </w:rPr>
        <w:t>W</w:t>
      </w:r>
      <w:r>
        <w:rPr>
          <w:rFonts w:hint="default" w:ascii="Times New Roman" w:hAnsi="Times New Roman" w:cs="Times New Roman"/>
          <w:sz w:val="22"/>
          <w:szCs w:val="22"/>
        </w:rPr>
        <w:t>hen c-DRX is configured to a UE for power saving</w:t>
      </w:r>
      <w:r>
        <w:rPr>
          <w:rFonts w:hint="default" w:ascii="Times New Roman" w:hAnsi="Times New Roman" w:cs="Times New Roman"/>
          <w:sz w:val="22"/>
          <w:szCs w:val="22"/>
          <w:lang w:val="en-GB" w:eastAsia="zh-CN"/>
        </w:rPr>
        <w:t>, during c-DRX with idle time, UE doesn’t wake up to monitor PDCCH(s), thus,</w:t>
      </w:r>
      <w:r>
        <w:rPr>
          <w:rFonts w:hint="default" w:ascii="Times New Roman" w:hAnsi="Times New Roman" w:cs="Times New Roman"/>
          <w:sz w:val="22"/>
          <w:szCs w:val="22"/>
        </w:rPr>
        <w:t xml:space="preserve"> within a DRX cycle idle time, how does gNB/UE to indicate data transmission/reception enabling within a measurement gap/SMTC. For the DL scenario, within DRX idle time, a signal to notify whether Rx/Tx can be performed within measurement gap/SMTC is needed. For the UL scenario, similar scenario in section 2.2, due to resource limitations (e.g., frame structure), there may be no opportunity for an UE to report BSR and PDB </w:t>
      </w:r>
      <w:r>
        <w:rPr>
          <w:rFonts w:hint="default" w:ascii="Times New Roman" w:hAnsi="Times New Roman" w:cs="Times New Roman"/>
          <w:sz w:val="22"/>
          <w:szCs w:val="22"/>
          <w:lang w:eastAsia="zh-CN"/>
        </w:rPr>
        <w:t xml:space="preserve">timely </w:t>
      </w:r>
      <w:r>
        <w:rPr>
          <w:rFonts w:hint="default" w:ascii="Times New Roman" w:hAnsi="Times New Roman" w:cs="Times New Roman"/>
          <w:sz w:val="22"/>
          <w:szCs w:val="22"/>
        </w:rPr>
        <w:t>before a measurement restriction. Thus, signaling within DRX idle time to notify gNB whether Rx/Tx can be performed within measurement gap/SMTC is needed.</w:t>
      </w:r>
    </w:p>
    <w:p w14:paraId="08B5888B">
      <w:pPr>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Proposal </w:t>
      </w:r>
      <w:r>
        <w:rPr>
          <w:rFonts w:hint="default" w:ascii="Times New Roman" w:hAnsi="Times New Roman" w:cs="Times New Roman"/>
          <w:b/>
          <w:i/>
          <w:sz w:val="22"/>
          <w:szCs w:val="22"/>
          <w:lang w:eastAsia="zh-CN"/>
        </w:rPr>
        <w:t>5</w:t>
      </w:r>
      <w:r>
        <w:rPr>
          <w:rFonts w:hint="default" w:ascii="Times New Roman" w:hAnsi="Times New Roman" w:cs="Times New Roman"/>
          <w:b/>
          <w:i/>
          <w:sz w:val="22"/>
          <w:szCs w:val="22"/>
        </w:rPr>
        <w:t>: Interaction between DRX and solutions to enable Tx/Rx during measurement restrictions can be studied.</w:t>
      </w:r>
    </w:p>
    <w:p w14:paraId="3743FDD6">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466DBD34">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 have been made:</w:t>
      </w:r>
    </w:p>
    <w:p w14:paraId="3AF316D5">
      <w:pPr>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Proposal 1. </w:t>
      </w:r>
      <w:r>
        <w:rPr>
          <w:rFonts w:hint="default" w:ascii="Times New Roman" w:hAnsi="Times New Roman" w:cs="Times New Roman"/>
          <w:b/>
          <w:i/>
          <w:sz w:val="22"/>
          <w:szCs w:val="22"/>
          <w:lang w:eastAsia="zh-CN"/>
        </w:rPr>
        <w:t xml:space="preserve">Confirming the working assumption, </w:t>
      </w:r>
      <w:r>
        <w:rPr>
          <w:rFonts w:hint="default" w:ascii="Times New Roman" w:hAnsi="Times New Roman" w:cs="Times New Roman"/>
          <w:b/>
          <w:i/>
          <w:sz w:val="22"/>
          <w:szCs w:val="22"/>
          <w:lang w:eastAsia="zh-CN"/>
        </w:rPr>
        <w:t>f</w:t>
      </w:r>
      <w:r>
        <w:rPr>
          <w:rFonts w:hint="default" w:ascii="Times New Roman" w:hAnsi="Times New Roman" w:cs="Times New Roman"/>
          <w:b/>
          <w:i/>
          <w:sz w:val="22"/>
          <w:szCs w:val="22"/>
        </w:rPr>
        <w:t>or solutions based on triggering/enabling by network signaling to enable Tx/Rx in gaps/restrictions that are caused by RRM measurements select the following option:</w:t>
      </w:r>
    </w:p>
    <w:p w14:paraId="1ABFB0A3">
      <w:pPr>
        <w:numPr>
          <w:ilvl w:val="0"/>
          <w:numId w:val="20"/>
        </w:numPr>
        <w:spacing w:line="240" w:lineRule="auto"/>
        <w:contextualSpacing/>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 xml:space="preserve">Alt. 1: Dynamic indication to enable Tx/Rx in particular gap/restriction that are caused by RRM measurements. </w:t>
      </w:r>
    </w:p>
    <w:p w14:paraId="46E82D17">
      <w:pPr>
        <w:numPr>
          <w:ilvl w:val="1"/>
          <w:numId w:val="20"/>
        </w:numPr>
        <w:spacing w:line="240" w:lineRule="auto"/>
        <w:contextualSpacing/>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Alt 1-1: Explicit indication by DCI to skip a particular gap/restriction;</w:t>
      </w:r>
    </w:p>
    <w:p w14:paraId="541696F5">
      <w:pPr>
        <w:numPr>
          <w:ilvl w:val="2"/>
          <w:numId w:val="20"/>
        </w:numPr>
        <w:spacing w:line="240" w:lineRule="auto"/>
        <w:contextualSpacing/>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Indication is included as part of scheduling DCI:</w:t>
      </w:r>
    </w:p>
    <w:p w14:paraId="01AA1969">
      <w:pPr>
        <w:numPr>
          <w:ilvl w:val="3"/>
          <w:numId w:val="20"/>
        </w:numPr>
        <w:spacing w:line="240" w:lineRule="auto"/>
        <w:contextualSpacing/>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Bit-field size is one bit;</w:t>
      </w:r>
    </w:p>
    <w:p w14:paraId="759D93E7">
      <w:pPr>
        <w:numPr>
          <w:ilvl w:val="4"/>
          <w:numId w:val="20"/>
        </w:numPr>
        <w:spacing w:line="240" w:lineRule="auto"/>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65C68F9">
      <w:pPr>
        <w:jc w:val="both"/>
        <w:rPr>
          <w:rFonts w:hint="default" w:ascii="Times New Roman" w:hAnsi="Times New Roman" w:cs="Times New Roman"/>
          <w:b/>
          <w:i/>
          <w:sz w:val="22"/>
          <w:szCs w:val="22"/>
          <w:lang w:eastAsia="zh-CN"/>
        </w:rPr>
      </w:pPr>
      <w:r>
        <w:rPr>
          <w:rFonts w:hint="default" w:ascii="Times New Roman" w:hAnsi="Times New Roman" w:cs="Times New Roman"/>
          <w:b/>
          <w:i/>
          <w:sz w:val="22"/>
          <w:szCs w:val="22"/>
          <w:lang w:eastAsia="zh-CN"/>
        </w:rPr>
        <w:t xml:space="preserve">Proposal 2: The current UE-specific DCI format (e.g. DCI format 0_x/1_x) can be used for </w:t>
      </w:r>
      <w:r>
        <w:rPr>
          <w:rFonts w:hint="default" w:ascii="Times New Roman" w:hAnsi="Times New Roman" w:cs="Times New Roman"/>
          <w:b/>
          <w:sz w:val="22"/>
          <w:szCs w:val="22"/>
          <w:lang w:eastAsia="zh-CN"/>
        </w:rPr>
        <w:t>dynamic indication to enable Tx/Rx within measurement gap(s)/restriction(s).</w:t>
      </w:r>
    </w:p>
    <w:p w14:paraId="11A33417">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color w:val="000000"/>
          <w:sz w:val="22"/>
          <w:szCs w:val="22"/>
          <w:lang w:eastAsia="zh-CN"/>
        </w:rPr>
        <w:t>Proposal 3: Re-use the current processing timeline for PDSCH or PUSCH as the minimum time gap between the end of the skipping command and the start of the skipped measurement occasion.</w:t>
      </w:r>
    </w:p>
    <w:p w14:paraId="78B0FACE">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Proposal </w:t>
      </w:r>
      <w:r>
        <w:rPr>
          <w:rFonts w:hint="default" w:ascii="Times New Roman" w:hAnsi="Times New Roman" w:cs="Times New Roman"/>
          <w:b/>
          <w:i/>
          <w:sz w:val="22"/>
          <w:szCs w:val="22"/>
          <w:lang w:eastAsia="zh-CN"/>
        </w:rPr>
        <w:t>4</w:t>
      </w:r>
      <w:r>
        <w:rPr>
          <w:rFonts w:hint="default" w:ascii="Times New Roman" w:hAnsi="Times New Roman" w:cs="Times New Roman"/>
          <w:b/>
          <w:i/>
          <w:sz w:val="22"/>
          <w:szCs w:val="22"/>
        </w:rPr>
        <w:t>：UE assistance information/indication to notify gNB whether enabling Tx/Rx for XR during RRM measurements restriction can be considered.</w:t>
      </w:r>
    </w:p>
    <w:p w14:paraId="3892AFFD">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Proposal </w:t>
      </w:r>
      <w:r>
        <w:rPr>
          <w:rFonts w:hint="default" w:ascii="Times New Roman" w:hAnsi="Times New Roman" w:cs="Times New Roman"/>
          <w:b/>
          <w:i/>
          <w:sz w:val="22"/>
          <w:szCs w:val="22"/>
          <w:lang w:eastAsia="zh-CN"/>
        </w:rPr>
        <w:t>5</w:t>
      </w:r>
      <w:r>
        <w:rPr>
          <w:rFonts w:hint="default" w:ascii="Times New Roman" w:hAnsi="Times New Roman" w:cs="Times New Roman"/>
          <w:b/>
          <w:i/>
          <w:sz w:val="22"/>
          <w:szCs w:val="22"/>
        </w:rPr>
        <w:t>: Interaction between DRX and solutions to enable Tx/Rx during measurement restrictions can be studied.</w:t>
      </w:r>
    </w:p>
    <w:p w14:paraId="6E766030">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w:t>
      </w:r>
      <w:r>
        <w:rPr>
          <w:rFonts w:hint="default" w:ascii="Times New Roman" w:hAnsi="Times New Roman" w:eastAsia="黑体" w:cs="Times New Roman"/>
          <w:b/>
          <w:bCs/>
          <w:color w:val="auto"/>
          <w:sz w:val="22"/>
          <w:szCs w:val="22"/>
          <w:lang w:eastAsia="zh-CN"/>
        </w:rPr>
        <w:t>.</w:t>
      </w:r>
      <w:r>
        <w:rPr>
          <w:rFonts w:hint="default" w:ascii="Times New Roman" w:hAnsi="Times New Roman" w:eastAsia="黑体" w:cs="Times New Roman"/>
          <w:b/>
          <w:bCs/>
          <w:color w:val="auto"/>
          <w:sz w:val="22"/>
          <w:szCs w:val="22"/>
        </w:rPr>
        <w:t xml:space="preserve"> References</w:t>
      </w:r>
    </w:p>
    <w:p w14:paraId="4E550520">
      <w:pPr>
        <w:spacing w:after="0" w:line="320" w:lineRule="exact"/>
        <w:jc w:val="both"/>
        <w:rPr>
          <w:rFonts w:hint="default" w:ascii="Times New Roman" w:hAnsi="Times New Roman" w:eastAsia="Batang" w:cs="Times New Roman"/>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eastAsia="宋体" w:cs="Times New Roman"/>
          <w:sz w:val="22"/>
          <w:szCs w:val="22"/>
          <w:lang w:eastAsia="zh-CN"/>
        </w:rPr>
        <w:t xml:space="preserve">RP-234057, </w:t>
      </w:r>
      <w:r>
        <w:rPr>
          <w:rFonts w:hint="default" w:ascii="Times New Roman" w:hAnsi="Times New Roman" w:eastAsia="Batang" w:cs="Times New Roman"/>
          <w:sz w:val="22"/>
          <w:szCs w:val="22"/>
          <w:lang w:eastAsia="zh-CN"/>
        </w:rPr>
        <w:t>XR (eXtended Reality) for NR Phase 3.</w:t>
      </w:r>
    </w:p>
    <w:p w14:paraId="2EB287D9">
      <w:pPr>
        <w:spacing w:after="0" w:line="320" w:lineRule="exact"/>
        <w:jc w:val="both"/>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 xml:space="preserve">[2] </w:t>
      </w:r>
      <w:r>
        <w:rPr>
          <w:rFonts w:hint="default" w:ascii="Times New Roman" w:hAnsi="Times New Roman" w:cs="Times New Roman"/>
          <w:sz w:val="22"/>
          <w:szCs w:val="22"/>
          <w:lang w:eastAsia="zh-CN"/>
        </w:rPr>
        <w:t>3GPP RAN1 #118 meeting, Chairman notes.</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187"/>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2">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3">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4">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5">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7">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8">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10">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1">
    <w:nsid w:val="07241657"/>
    <w:multiLevelType w:val="multilevel"/>
    <w:tmpl w:val="07241657"/>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2">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4">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8">
    <w:nsid w:val="670331E1"/>
    <w:multiLevelType w:val="multilevel"/>
    <w:tmpl w:val="670331E1"/>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3"/>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14"/>
  </w:num>
  <w:num w:numId="13">
    <w:abstractNumId w:val="17"/>
  </w:num>
  <w:num w:numId="14">
    <w:abstractNumId w:val="19"/>
  </w:num>
  <w:num w:numId="15">
    <w:abstractNumId w:val="12"/>
  </w:num>
  <w:num w:numId="16">
    <w:abstractNumId w:val="0"/>
  </w:num>
  <w:num w:numId="17">
    <w:abstractNumId w:val="15"/>
  </w:num>
  <w:num w:numId="18">
    <w:abstractNumId w:val="11"/>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30441"/>
    <w:rsid w:val="00031EFC"/>
    <w:rsid w:val="000320A6"/>
    <w:rsid w:val="00032102"/>
    <w:rsid w:val="000367B4"/>
    <w:rsid w:val="0004222E"/>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2F85"/>
    <w:rsid w:val="00117DEA"/>
    <w:rsid w:val="00122B69"/>
    <w:rsid w:val="00127AC4"/>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075B9"/>
    <w:rsid w:val="00215C2B"/>
    <w:rsid w:val="002178DC"/>
    <w:rsid w:val="0022013A"/>
    <w:rsid w:val="00221BF5"/>
    <w:rsid w:val="002230BA"/>
    <w:rsid w:val="00223293"/>
    <w:rsid w:val="00225344"/>
    <w:rsid w:val="00230C7F"/>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260B"/>
    <w:rsid w:val="00283625"/>
    <w:rsid w:val="00285850"/>
    <w:rsid w:val="002865FD"/>
    <w:rsid w:val="0028736E"/>
    <w:rsid w:val="00294CB8"/>
    <w:rsid w:val="002953EF"/>
    <w:rsid w:val="00295BA4"/>
    <w:rsid w:val="002A057C"/>
    <w:rsid w:val="002A468C"/>
    <w:rsid w:val="002B118E"/>
    <w:rsid w:val="002B4B0D"/>
    <w:rsid w:val="002B5B89"/>
    <w:rsid w:val="002C1788"/>
    <w:rsid w:val="002C23C2"/>
    <w:rsid w:val="002C3AC7"/>
    <w:rsid w:val="002C4687"/>
    <w:rsid w:val="002C6DF2"/>
    <w:rsid w:val="002D235E"/>
    <w:rsid w:val="002D283A"/>
    <w:rsid w:val="002D2C15"/>
    <w:rsid w:val="002D3AF5"/>
    <w:rsid w:val="002E0740"/>
    <w:rsid w:val="002E5381"/>
    <w:rsid w:val="002F26EA"/>
    <w:rsid w:val="002F3959"/>
    <w:rsid w:val="002F4B16"/>
    <w:rsid w:val="003003F6"/>
    <w:rsid w:val="003031FB"/>
    <w:rsid w:val="00303414"/>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E0B"/>
    <w:rsid w:val="0038733B"/>
    <w:rsid w:val="003905F1"/>
    <w:rsid w:val="003922E9"/>
    <w:rsid w:val="00397816"/>
    <w:rsid w:val="003A5967"/>
    <w:rsid w:val="003B46DC"/>
    <w:rsid w:val="003B522D"/>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3F7591"/>
    <w:rsid w:val="00401577"/>
    <w:rsid w:val="00401B37"/>
    <w:rsid w:val="00403DB9"/>
    <w:rsid w:val="004042AD"/>
    <w:rsid w:val="004047B3"/>
    <w:rsid w:val="00415752"/>
    <w:rsid w:val="00422CD5"/>
    <w:rsid w:val="004257A3"/>
    <w:rsid w:val="004310DC"/>
    <w:rsid w:val="004314B1"/>
    <w:rsid w:val="00431775"/>
    <w:rsid w:val="00431786"/>
    <w:rsid w:val="004347C7"/>
    <w:rsid w:val="004376A1"/>
    <w:rsid w:val="004377DA"/>
    <w:rsid w:val="00441CC8"/>
    <w:rsid w:val="0045140F"/>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14EC"/>
    <w:rsid w:val="00491A49"/>
    <w:rsid w:val="00494EE6"/>
    <w:rsid w:val="00495A88"/>
    <w:rsid w:val="00496530"/>
    <w:rsid w:val="0049674E"/>
    <w:rsid w:val="004A0B46"/>
    <w:rsid w:val="004A3B99"/>
    <w:rsid w:val="004A3B9E"/>
    <w:rsid w:val="004A3FB1"/>
    <w:rsid w:val="004B623E"/>
    <w:rsid w:val="004B6A9A"/>
    <w:rsid w:val="004B79F3"/>
    <w:rsid w:val="004C1B10"/>
    <w:rsid w:val="004C2245"/>
    <w:rsid w:val="004C2286"/>
    <w:rsid w:val="004C58F9"/>
    <w:rsid w:val="004D09E1"/>
    <w:rsid w:val="004D100F"/>
    <w:rsid w:val="004E2B29"/>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6297E"/>
    <w:rsid w:val="00566E89"/>
    <w:rsid w:val="0057751C"/>
    <w:rsid w:val="00580C11"/>
    <w:rsid w:val="00584D06"/>
    <w:rsid w:val="0058673B"/>
    <w:rsid w:val="005912D1"/>
    <w:rsid w:val="00595921"/>
    <w:rsid w:val="005A047C"/>
    <w:rsid w:val="005A12D9"/>
    <w:rsid w:val="005A273E"/>
    <w:rsid w:val="005A2911"/>
    <w:rsid w:val="005A321E"/>
    <w:rsid w:val="005A5D47"/>
    <w:rsid w:val="005B28B0"/>
    <w:rsid w:val="005B3FBC"/>
    <w:rsid w:val="005B413D"/>
    <w:rsid w:val="005B6395"/>
    <w:rsid w:val="005C04C4"/>
    <w:rsid w:val="005C60B7"/>
    <w:rsid w:val="005C655D"/>
    <w:rsid w:val="005C688B"/>
    <w:rsid w:val="005C78B7"/>
    <w:rsid w:val="005C7ABB"/>
    <w:rsid w:val="005C7BCB"/>
    <w:rsid w:val="005D658A"/>
    <w:rsid w:val="005D6DB0"/>
    <w:rsid w:val="005F0362"/>
    <w:rsid w:val="005F1BAC"/>
    <w:rsid w:val="005F3F53"/>
    <w:rsid w:val="005F4E75"/>
    <w:rsid w:val="00600E7B"/>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955F6"/>
    <w:rsid w:val="006970B6"/>
    <w:rsid w:val="006A3CE6"/>
    <w:rsid w:val="006A5862"/>
    <w:rsid w:val="006A7AA4"/>
    <w:rsid w:val="006B195F"/>
    <w:rsid w:val="006B3808"/>
    <w:rsid w:val="006B4A4A"/>
    <w:rsid w:val="006C163C"/>
    <w:rsid w:val="006C27BC"/>
    <w:rsid w:val="006C320E"/>
    <w:rsid w:val="006C3803"/>
    <w:rsid w:val="006C3DC5"/>
    <w:rsid w:val="006C5C1E"/>
    <w:rsid w:val="006C63F1"/>
    <w:rsid w:val="006D303A"/>
    <w:rsid w:val="006D33AF"/>
    <w:rsid w:val="006D7E67"/>
    <w:rsid w:val="006F28CD"/>
    <w:rsid w:val="006F38D0"/>
    <w:rsid w:val="006F5A97"/>
    <w:rsid w:val="00700919"/>
    <w:rsid w:val="00701A90"/>
    <w:rsid w:val="00704270"/>
    <w:rsid w:val="0070471C"/>
    <w:rsid w:val="007067A7"/>
    <w:rsid w:val="007072ED"/>
    <w:rsid w:val="0071184E"/>
    <w:rsid w:val="0071326E"/>
    <w:rsid w:val="00714BD2"/>
    <w:rsid w:val="007158A4"/>
    <w:rsid w:val="0072008B"/>
    <w:rsid w:val="007205DB"/>
    <w:rsid w:val="00730119"/>
    <w:rsid w:val="00733620"/>
    <w:rsid w:val="0073632C"/>
    <w:rsid w:val="00737E85"/>
    <w:rsid w:val="00740584"/>
    <w:rsid w:val="00745334"/>
    <w:rsid w:val="0074590E"/>
    <w:rsid w:val="00745E1C"/>
    <w:rsid w:val="00750BFB"/>
    <w:rsid w:val="0075342C"/>
    <w:rsid w:val="00753CA0"/>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091"/>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2D54"/>
    <w:rsid w:val="007E4BD2"/>
    <w:rsid w:val="007F705A"/>
    <w:rsid w:val="00802A3C"/>
    <w:rsid w:val="00803307"/>
    <w:rsid w:val="008060C5"/>
    <w:rsid w:val="0080629E"/>
    <w:rsid w:val="008071EC"/>
    <w:rsid w:val="00810832"/>
    <w:rsid w:val="00813438"/>
    <w:rsid w:val="00815760"/>
    <w:rsid w:val="0082344E"/>
    <w:rsid w:val="00830C27"/>
    <w:rsid w:val="008347D1"/>
    <w:rsid w:val="00843A4E"/>
    <w:rsid w:val="00843C92"/>
    <w:rsid w:val="008444BD"/>
    <w:rsid w:val="00845282"/>
    <w:rsid w:val="008461E6"/>
    <w:rsid w:val="00846FBA"/>
    <w:rsid w:val="00852833"/>
    <w:rsid w:val="00852DB9"/>
    <w:rsid w:val="00853476"/>
    <w:rsid w:val="00854930"/>
    <w:rsid w:val="008562B1"/>
    <w:rsid w:val="008645BE"/>
    <w:rsid w:val="008653F9"/>
    <w:rsid w:val="008656D2"/>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0F40"/>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528F7"/>
    <w:rsid w:val="009605D8"/>
    <w:rsid w:val="0096751E"/>
    <w:rsid w:val="00974B9C"/>
    <w:rsid w:val="00982101"/>
    <w:rsid w:val="009833F2"/>
    <w:rsid w:val="0098697C"/>
    <w:rsid w:val="009874D5"/>
    <w:rsid w:val="0099165C"/>
    <w:rsid w:val="009975FB"/>
    <w:rsid w:val="009B0039"/>
    <w:rsid w:val="009B08C9"/>
    <w:rsid w:val="009B2231"/>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572C1"/>
    <w:rsid w:val="00A60527"/>
    <w:rsid w:val="00A72116"/>
    <w:rsid w:val="00A828CA"/>
    <w:rsid w:val="00A84F72"/>
    <w:rsid w:val="00A859D9"/>
    <w:rsid w:val="00A86289"/>
    <w:rsid w:val="00A90F50"/>
    <w:rsid w:val="00A91DC7"/>
    <w:rsid w:val="00A94327"/>
    <w:rsid w:val="00A94330"/>
    <w:rsid w:val="00AA0736"/>
    <w:rsid w:val="00AA32C2"/>
    <w:rsid w:val="00AA4C7A"/>
    <w:rsid w:val="00AA513F"/>
    <w:rsid w:val="00AB02CB"/>
    <w:rsid w:val="00AB0F7D"/>
    <w:rsid w:val="00AB18E1"/>
    <w:rsid w:val="00AB3F2E"/>
    <w:rsid w:val="00AB4CC8"/>
    <w:rsid w:val="00AC3CE7"/>
    <w:rsid w:val="00AC5676"/>
    <w:rsid w:val="00AD48BD"/>
    <w:rsid w:val="00AD4CF0"/>
    <w:rsid w:val="00AD5435"/>
    <w:rsid w:val="00AD6E41"/>
    <w:rsid w:val="00AE1ED3"/>
    <w:rsid w:val="00AE1EE4"/>
    <w:rsid w:val="00AE7831"/>
    <w:rsid w:val="00AF281D"/>
    <w:rsid w:val="00AF484A"/>
    <w:rsid w:val="00AF78D7"/>
    <w:rsid w:val="00AF7958"/>
    <w:rsid w:val="00B01664"/>
    <w:rsid w:val="00B02958"/>
    <w:rsid w:val="00B05E41"/>
    <w:rsid w:val="00B15A4F"/>
    <w:rsid w:val="00B228CD"/>
    <w:rsid w:val="00B22F87"/>
    <w:rsid w:val="00B26801"/>
    <w:rsid w:val="00B36C88"/>
    <w:rsid w:val="00B415EA"/>
    <w:rsid w:val="00B429AF"/>
    <w:rsid w:val="00B46AB9"/>
    <w:rsid w:val="00B532B8"/>
    <w:rsid w:val="00B53497"/>
    <w:rsid w:val="00B609BD"/>
    <w:rsid w:val="00B64ABC"/>
    <w:rsid w:val="00B64E1A"/>
    <w:rsid w:val="00B6689A"/>
    <w:rsid w:val="00B66B08"/>
    <w:rsid w:val="00B701DC"/>
    <w:rsid w:val="00B71B83"/>
    <w:rsid w:val="00B73B2D"/>
    <w:rsid w:val="00B7424E"/>
    <w:rsid w:val="00B752C1"/>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0085"/>
    <w:rsid w:val="00BC0E41"/>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44D0"/>
    <w:rsid w:val="00C07332"/>
    <w:rsid w:val="00C074AC"/>
    <w:rsid w:val="00C1592B"/>
    <w:rsid w:val="00C16C4C"/>
    <w:rsid w:val="00C209CF"/>
    <w:rsid w:val="00C21AE6"/>
    <w:rsid w:val="00C24782"/>
    <w:rsid w:val="00C25072"/>
    <w:rsid w:val="00C30DD0"/>
    <w:rsid w:val="00C36AB4"/>
    <w:rsid w:val="00C40DDD"/>
    <w:rsid w:val="00C47C7B"/>
    <w:rsid w:val="00C508A6"/>
    <w:rsid w:val="00C51F82"/>
    <w:rsid w:val="00C52170"/>
    <w:rsid w:val="00C57A26"/>
    <w:rsid w:val="00C66455"/>
    <w:rsid w:val="00C66994"/>
    <w:rsid w:val="00C7023F"/>
    <w:rsid w:val="00C75371"/>
    <w:rsid w:val="00C75432"/>
    <w:rsid w:val="00C8041C"/>
    <w:rsid w:val="00C80B0D"/>
    <w:rsid w:val="00C80B7F"/>
    <w:rsid w:val="00C83AE1"/>
    <w:rsid w:val="00C86A16"/>
    <w:rsid w:val="00C87E4E"/>
    <w:rsid w:val="00C9338D"/>
    <w:rsid w:val="00C93604"/>
    <w:rsid w:val="00C9472C"/>
    <w:rsid w:val="00C96035"/>
    <w:rsid w:val="00C97B15"/>
    <w:rsid w:val="00CA1D95"/>
    <w:rsid w:val="00CA272E"/>
    <w:rsid w:val="00CA3FB4"/>
    <w:rsid w:val="00CA4E39"/>
    <w:rsid w:val="00CA66DB"/>
    <w:rsid w:val="00CB0357"/>
    <w:rsid w:val="00CB2750"/>
    <w:rsid w:val="00CC42CD"/>
    <w:rsid w:val="00CD1DEB"/>
    <w:rsid w:val="00CD25AE"/>
    <w:rsid w:val="00CD717B"/>
    <w:rsid w:val="00CE211F"/>
    <w:rsid w:val="00CE4485"/>
    <w:rsid w:val="00CE6BB7"/>
    <w:rsid w:val="00CF1ACC"/>
    <w:rsid w:val="00CF27F6"/>
    <w:rsid w:val="00D0135C"/>
    <w:rsid w:val="00D027D0"/>
    <w:rsid w:val="00D0426C"/>
    <w:rsid w:val="00D06353"/>
    <w:rsid w:val="00D065AE"/>
    <w:rsid w:val="00D12824"/>
    <w:rsid w:val="00D2037E"/>
    <w:rsid w:val="00D22509"/>
    <w:rsid w:val="00D23BED"/>
    <w:rsid w:val="00D2502C"/>
    <w:rsid w:val="00D26028"/>
    <w:rsid w:val="00D26ECE"/>
    <w:rsid w:val="00D307A7"/>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84C1D"/>
    <w:rsid w:val="00D9178C"/>
    <w:rsid w:val="00D918DD"/>
    <w:rsid w:val="00D93B26"/>
    <w:rsid w:val="00D94788"/>
    <w:rsid w:val="00D951C1"/>
    <w:rsid w:val="00D96D41"/>
    <w:rsid w:val="00DA05B9"/>
    <w:rsid w:val="00DA166F"/>
    <w:rsid w:val="00DA2FEB"/>
    <w:rsid w:val="00DA66E4"/>
    <w:rsid w:val="00DA6775"/>
    <w:rsid w:val="00DB103B"/>
    <w:rsid w:val="00DB5C04"/>
    <w:rsid w:val="00DC1587"/>
    <w:rsid w:val="00DC16AB"/>
    <w:rsid w:val="00DC18DB"/>
    <w:rsid w:val="00DC3014"/>
    <w:rsid w:val="00DC4715"/>
    <w:rsid w:val="00DC7DDE"/>
    <w:rsid w:val="00DD1E87"/>
    <w:rsid w:val="00DD64D1"/>
    <w:rsid w:val="00DE1ADC"/>
    <w:rsid w:val="00DE264B"/>
    <w:rsid w:val="00DE2D5F"/>
    <w:rsid w:val="00DE3FB1"/>
    <w:rsid w:val="00DE68F4"/>
    <w:rsid w:val="00DF14D4"/>
    <w:rsid w:val="00DF1938"/>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468"/>
    <w:rsid w:val="00E50A0B"/>
    <w:rsid w:val="00E51A05"/>
    <w:rsid w:val="00E53D1C"/>
    <w:rsid w:val="00E55A2D"/>
    <w:rsid w:val="00E56279"/>
    <w:rsid w:val="00E601D6"/>
    <w:rsid w:val="00E604B0"/>
    <w:rsid w:val="00E609D5"/>
    <w:rsid w:val="00E67B23"/>
    <w:rsid w:val="00E71BB3"/>
    <w:rsid w:val="00E7245A"/>
    <w:rsid w:val="00E7356B"/>
    <w:rsid w:val="00E76692"/>
    <w:rsid w:val="00E829CA"/>
    <w:rsid w:val="00E84A96"/>
    <w:rsid w:val="00E85B2D"/>
    <w:rsid w:val="00E93D54"/>
    <w:rsid w:val="00E97D02"/>
    <w:rsid w:val="00EB0F6B"/>
    <w:rsid w:val="00EB340C"/>
    <w:rsid w:val="00EB5B9B"/>
    <w:rsid w:val="00EC21E9"/>
    <w:rsid w:val="00EC4084"/>
    <w:rsid w:val="00EC7D3D"/>
    <w:rsid w:val="00ED0CFB"/>
    <w:rsid w:val="00ED0E5C"/>
    <w:rsid w:val="00ED14F7"/>
    <w:rsid w:val="00ED1D6F"/>
    <w:rsid w:val="00ED5B55"/>
    <w:rsid w:val="00ED672C"/>
    <w:rsid w:val="00EE79C7"/>
    <w:rsid w:val="00EF0D63"/>
    <w:rsid w:val="00EF64BC"/>
    <w:rsid w:val="00F01D0E"/>
    <w:rsid w:val="00F03487"/>
    <w:rsid w:val="00F06077"/>
    <w:rsid w:val="00F07111"/>
    <w:rsid w:val="00F10757"/>
    <w:rsid w:val="00F12067"/>
    <w:rsid w:val="00F13354"/>
    <w:rsid w:val="00F22CD5"/>
    <w:rsid w:val="00F25394"/>
    <w:rsid w:val="00F25576"/>
    <w:rsid w:val="00F26176"/>
    <w:rsid w:val="00F30DDA"/>
    <w:rsid w:val="00F34A32"/>
    <w:rsid w:val="00F34E19"/>
    <w:rsid w:val="00F45943"/>
    <w:rsid w:val="00F45A93"/>
    <w:rsid w:val="00F5257D"/>
    <w:rsid w:val="00F54E2A"/>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3E79"/>
    <w:rsid w:val="00FB5B16"/>
    <w:rsid w:val="00FB671A"/>
    <w:rsid w:val="00FB6F69"/>
    <w:rsid w:val="00FC3CC1"/>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71A9"/>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8A0291B"/>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3E7405F"/>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8A2F11"/>
    <w:rsid w:val="34B448A8"/>
    <w:rsid w:val="34BDA56C"/>
    <w:rsid w:val="34D17727"/>
    <w:rsid w:val="34F09F70"/>
    <w:rsid w:val="34F5B75A"/>
    <w:rsid w:val="3545C55B"/>
    <w:rsid w:val="3614A14D"/>
    <w:rsid w:val="365EABA5"/>
    <w:rsid w:val="369D61A0"/>
    <w:rsid w:val="37A5D59C"/>
    <w:rsid w:val="37B1ED64"/>
    <w:rsid w:val="37DA2B5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5A1966"/>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A82400"/>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AA22B5"/>
    <w:rsid w:val="57CF077F"/>
    <w:rsid w:val="57DA10A9"/>
    <w:rsid w:val="58C13791"/>
    <w:rsid w:val="58C9DF04"/>
    <w:rsid w:val="591AD592"/>
    <w:rsid w:val="5924BC01"/>
    <w:rsid w:val="5987A165"/>
    <w:rsid w:val="59D616F9"/>
    <w:rsid w:val="59DFD067"/>
    <w:rsid w:val="5A725F77"/>
    <w:rsid w:val="5ACE6B78"/>
    <w:rsid w:val="5AD0167F"/>
    <w:rsid w:val="5B14F106"/>
    <w:rsid w:val="5B4F07ED"/>
    <w:rsid w:val="5BA266D5"/>
    <w:rsid w:val="5BA36840"/>
    <w:rsid w:val="5BB85BE3"/>
    <w:rsid w:val="5C4F885B"/>
    <w:rsid w:val="5C90F1DD"/>
    <w:rsid w:val="5CA86789"/>
    <w:rsid w:val="5CE92976"/>
    <w:rsid w:val="5D8E4E18"/>
    <w:rsid w:val="5D97AFCC"/>
    <w:rsid w:val="5DD79F42"/>
    <w:rsid w:val="5E1AA210"/>
    <w:rsid w:val="5E4965AE"/>
    <w:rsid w:val="5EC21376"/>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160430"/>
    <w:rsid w:val="653C1EC7"/>
    <w:rsid w:val="65468A34"/>
    <w:rsid w:val="6582978A"/>
    <w:rsid w:val="6590579C"/>
    <w:rsid w:val="659C909C"/>
    <w:rsid w:val="65E3B5F2"/>
    <w:rsid w:val="662B16EE"/>
    <w:rsid w:val="662B7CE7"/>
    <w:rsid w:val="66396AB5"/>
    <w:rsid w:val="66B78CDF"/>
    <w:rsid w:val="66CD5922"/>
    <w:rsid w:val="66F48952"/>
    <w:rsid w:val="671A62EE"/>
    <w:rsid w:val="6751A727"/>
    <w:rsid w:val="6762C558"/>
    <w:rsid w:val="677CBA4F"/>
    <w:rsid w:val="67B8B9B5"/>
    <w:rsid w:val="67BF214C"/>
    <w:rsid w:val="67D08986"/>
    <w:rsid w:val="681AA8BA"/>
    <w:rsid w:val="68D0A54D"/>
    <w:rsid w:val="69962FCE"/>
    <w:rsid w:val="6A2B45C1"/>
    <w:rsid w:val="6A4D094E"/>
    <w:rsid w:val="6AAA9485"/>
    <w:rsid w:val="6B49A675"/>
    <w:rsid w:val="6BB848CA"/>
    <w:rsid w:val="6BF8E92E"/>
    <w:rsid w:val="6C260E18"/>
    <w:rsid w:val="6CD42832"/>
    <w:rsid w:val="6D31EF32"/>
    <w:rsid w:val="6D3BD39B"/>
    <w:rsid w:val="6D4ECDA7"/>
    <w:rsid w:val="6DB66BBB"/>
    <w:rsid w:val="6DB8DC69"/>
    <w:rsid w:val="6DBFE5E2"/>
    <w:rsid w:val="6E883A01"/>
    <w:rsid w:val="6ED24CBD"/>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autoRedefine/>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autoRedefine/>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autoRedefine/>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autoRedefine/>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autoRedefine/>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autoRedefine/>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autoRedefine/>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autoRedefine/>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autoRedefine/>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autoRedefine/>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autoRedefine/>
    <w:unhideWhenUsed/>
    <w:qFormat/>
    <w:uiPriority w:val="0"/>
  </w:style>
  <w:style w:type="paragraph" w:styleId="28">
    <w:name w:val="index 6"/>
    <w:basedOn w:val="1"/>
    <w:next w:val="1"/>
    <w:autoRedefine/>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autoRedefine/>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autoRedefine/>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autoRedefine/>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autoRedefine/>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autoRedefine/>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autoRedefine/>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autoRedefine/>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autoRedefine/>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autoRedefine/>
    <w:unhideWhenUsed/>
    <w:qFormat/>
    <w:uiPriority w:val="0"/>
    <w:pPr>
      <w:spacing w:after="0" w:line="240" w:lineRule="auto"/>
    </w:pPr>
    <w:rPr>
      <w:sz w:val="18"/>
      <w:szCs w:val="18"/>
    </w:rPr>
  </w:style>
  <w:style w:type="paragraph" w:styleId="48">
    <w:name w:val="footer"/>
    <w:basedOn w:val="1"/>
    <w:link w:val="99"/>
    <w:autoRedefine/>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autoRedefine/>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autoRedefine/>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autoRedefine/>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autoRedefine/>
    <w:semiHidden/>
    <w:unhideWhenUsed/>
    <w:qFormat/>
    <w:uiPriority w:val="99"/>
    <w:pPr>
      <w:ind w:left="200" w:hanging="200" w:hangingChars="200"/>
      <w:contextualSpacing/>
    </w:pPr>
  </w:style>
  <w:style w:type="paragraph" w:styleId="58">
    <w:name w:val="footnote text"/>
    <w:basedOn w:val="1"/>
    <w:link w:val="129"/>
    <w:autoRedefine/>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autoRedefine/>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autoRedefine/>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autoRedefine/>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autoRedefine/>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autoRedefine/>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autoRedefine/>
    <w:unhideWhenUsed/>
    <w:qFormat/>
    <w:uiPriority w:val="0"/>
    <w:rPr>
      <w:sz w:val="21"/>
      <w:szCs w:val="21"/>
    </w:rPr>
  </w:style>
  <w:style w:type="character" w:styleId="79">
    <w:name w:val="footnote reference"/>
    <w:autoRedefin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autoRedefine/>
    <w:qFormat/>
    <w:uiPriority w:val="0"/>
    <w:rPr>
      <w:rFonts w:ascii="Times New Roman" w:hAnsi="Times New Roman" w:eastAsia="MS Mincho" w:cs="Times New Roman"/>
      <w:sz w:val="20"/>
      <w:szCs w:val="20"/>
      <w:lang w:val="en-GB"/>
    </w:rPr>
  </w:style>
  <w:style w:type="character" w:customStyle="1" w:styleId="97">
    <w:name w:val="tgt"/>
    <w:basedOn w:val="71"/>
    <w:autoRedefine/>
    <w:qFormat/>
    <w:uiPriority w:val="0"/>
  </w:style>
  <w:style w:type="character" w:customStyle="1" w:styleId="98">
    <w:name w:val="批注框文本 字符"/>
    <w:basedOn w:val="71"/>
    <w:link w:val="47"/>
    <w:autoRedefine/>
    <w:qFormat/>
    <w:uiPriority w:val="0"/>
    <w:rPr>
      <w:sz w:val="18"/>
      <w:szCs w:val="18"/>
    </w:rPr>
  </w:style>
  <w:style w:type="character" w:customStyle="1" w:styleId="99">
    <w:name w:val="页脚 字符"/>
    <w:basedOn w:val="71"/>
    <w:link w:val="48"/>
    <w:autoRedefine/>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autoRedefine/>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autoRedefine/>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autoRedefine/>
    <w:qFormat/>
    <w:uiPriority w:val="0"/>
  </w:style>
  <w:style w:type="character" w:customStyle="1" w:styleId="104">
    <w:name w:val="批注主题 字符"/>
    <w:basedOn w:val="103"/>
    <w:link w:val="66"/>
    <w:autoRedefine/>
    <w:qFormat/>
    <w:uiPriority w:val="0"/>
    <w:rPr>
      <w:b/>
      <w:bCs/>
    </w:rPr>
  </w:style>
  <w:style w:type="table" w:customStyle="1" w:styleId="105">
    <w:name w:val="清单表 1 浅色1"/>
    <w:basedOn w:val="69"/>
    <w:qFormat/>
    <w:uiPriority w:val="46"/>
    <w:rPr>
      <w:rFonts w:ascii="Times New Roman" w:hAnsi="Times New Roman" w:eastAsia="宋体"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autoRedefine/>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autoRedefine/>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autoRedefine/>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autoRedefine/>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autoRedefine/>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autoRedefine/>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autoRedefine/>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autoRedefine/>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rPr>
      <w:rFonts w:ascii="Times New Roman" w:hAnsi="Times New Roman" w:eastAsia="宋体"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eastAsia="宋体"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Guidance"/>
    <w:basedOn w:val="1"/>
    <w:autoRedefine/>
    <w:qFormat/>
    <w:uiPriority w:val="0"/>
    <w:pPr>
      <w:overflowPunct w:val="0"/>
      <w:autoSpaceDE w:val="0"/>
      <w:autoSpaceDN w:val="0"/>
      <w:adjustRightInd w:val="0"/>
      <w:spacing w:after="180" w:line="240" w:lineRule="auto"/>
      <w:jc w:val="both"/>
    </w:pPr>
    <w:rPr>
      <w:rFonts w:ascii="Times New Roman" w:hAnsi="Times New Roman" w:eastAsia="Times New Roman" w:cs="Times New Roman"/>
      <w:color w:val="000000"/>
      <w:sz w:val="20"/>
      <w:szCs w:val="20"/>
      <w:lang w:val="en-GB" w:eastAsia="ja-JP"/>
    </w:rPr>
  </w:style>
  <w:style w:type="paragraph" w:customStyle="1" w:styleId="187">
    <w:name w:val="YJ-Observation"/>
    <w:basedOn w:val="1"/>
    <w:qFormat/>
    <w:uiPriority w:val="0"/>
    <w:pPr>
      <w:numPr>
        <w:ilvl w:val="0"/>
        <w:numId w:val="16"/>
      </w:numPr>
      <w:tabs>
        <w:tab w:val="left" w:pos="420"/>
      </w:tabs>
      <w:spacing w:beforeLines="50" w:afterLines="50"/>
    </w:pPr>
    <w:rPr>
      <w:rFonts w:ascii="Times New Roman" w:hAnsi="Times New Roman" w:cs="Times New Roman"/>
      <w:b/>
      <w:bCs/>
      <w:i/>
      <w:iCs/>
      <w:kern w:val="2"/>
      <w:sz w:val="20"/>
      <w:szCs w:val="20"/>
      <w:lang w:val="en-GB"/>
    </w:rPr>
  </w:style>
  <w:style w:type="table" w:customStyle="1" w:styleId="188">
    <w:name w:val="TableGrid50"/>
    <w:basedOn w:val="69"/>
    <w:qFormat/>
    <w:uiPriority w:val="59"/>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6</Pages>
  <Words>1924</Words>
  <Characters>10647</Characters>
  <Lines>196</Lines>
  <Paragraphs>113</Paragraphs>
  <TotalTime>2</TotalTime>
  <ScaleCrop>false</ScaleCrop>
  <LinksUpToDate>false</LinksUpToDate>
  <CharactersWithSpaces>12622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2024-10-04T01:22:42Z</dcterms:modified>
  <cp:revision>845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2052-12.1.0.18276</vt:lpwstr>
  </property>
  <property fmtid="{D5CDD505-2E9C-101B-9397-08002B2CF9AE}" pid="10" name="ICV">
    <vt:lpwstr>12ACB1FA1E1840B7BEE5D875945E3D5E_12</vt:lpwstr>
  </property>
  <property fmtid="{D5CDD505-2E9C-101B-9397-08002B2CF9AE}" pid="11" name="GrammarlyDocumentId">
    <vt:lpwstr>dd3339af985eb786f15258fd289b6a9804d8c0d9741e195b5c1c55d160e07797</vt:lpwstr>
  </property>
</Properties>
</file>