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w:t>
      </w:r>
      <w:r>
        <w:rPr>
          <w:rFonts w:hint="eastAsia" w:eastAsia="宋体"/>
          <w:b/>
          <w:sz w:val="22"/>
          <w:szCs w:val="22"/>
          <w:lang w:eastAsia="zh-CN"/>
        </w:rPr>
        <w:t>8bis</w:t>
      </w:r>
      <w:r>
        <w:rPr>
          <w:rFonts w:eastAsia="宋体"/>
          <w:b/>
          <w:sz w:val="22"/>
          <w:szCs w:val="22"/>
          <w:lang w:eastAsia="zh-CN"/>
        </w:rPr>
        <w:tab/>
      </w:r>
      <w:r>
        <w:rPr>
          <w:rFonts w:eastAsia="宋体"/>
          <w:b/>
          <w:sz w:val="22"/>
          <w:szCs w:val="22"/>
          <w:lang w:eastAsia="zh-CN"/>
        </w:rPr>
        <w:tab/>
      </w:r>
      <w:r>
        <w:rPr>
          <w:rFonts w:eastAsia="宋体"/>
          <w:b/>
          <w:sz w:val="22"/>
          <w:szCs w:val="22"/>
          <w:lang w:eastAsia="zh-CN"/>
        </w:rPr>
        <w:t>R1-2408140</w:t>
      </w:r>
    </w:p>
    <w:p>
      <w:pPr>
        <w:tabs>
          <w:tab w:val="center" w:pos="4536"/>
          <w:tab w:val="right" w:pos="9072"/>
        </w:tabs>
        <w:rPr>
          <w:rFonts w:eastAsia="宋体"/>
          <w:b/>
          <w:sz w:val="22"/>
          <w:szCs w:val="22"/>
          <w:lang w:eastAsia="zh-CN"/>
        </w:rPr>
      </w:pPr>
      <w:r>
        <w:rPr>
          <w:rFonts w:eastAsia="宋体"/>
          <w:b/>
          <w:sz w:val="22"/>
          <w:szCs w:val="22"/>
          <w:lang w:eastAsia="zh-CN"/>
        </w:rPr>
        <w:t>Hefei, China, October 14</w:t>
      </w:r>
      <w:r>
        <w:rPr>
          <w:rFonts w:eastAsia="宋体"/>
          <w:b/>
          <w:sz w:val="22"/>
          <w:szCs w:val="22"/>
          <w:vertAlign w:val="superscript"/>
          <w:lang w:eastAsia="zh-CN"/>
        </w:rPr>
        <w:t>th</w:t>
      </w:r>
      <w:r>
        <w:rPr>
          <w:rFonts w:eastAsia="宋体"/>
          <w:b/>
          <w:sz w:val="22"/>
          <w:szCs w:val="22"/>
          <w:lang w:eastAsia="zh-CN"/>
        </w:rPr>
        <w:t xml:space="preserve"> - 18</w:t>
      </w:r>
      <w:r>
        <w:rPr>
          <w:rFonts w:eastAsia="宋体"/>
          <w:b/>
          <w:sz w:val="22"/>
          <w:szCs w:val="22"/>
          <w:vertAlign w:val="superscript"/>
          <w:lang w:eastAsia="zh-CN"/>
        </w:rPr>
        <w:t>th</w:t>
      </w:r>
      <w:r>
        <w:rPr>
          <w:rFonts w:eastAsia="宋体"/>
          <w:b/>
          <w:sz w:val="22"/>
          <w:szCs w:val="22"/>
          <w:lang w:eastAsia="zh-CN"/>
        </w:rPr>
        <w:t xml:space="preserve">, 2024 </w:t>
      </w:r>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w:t>
      </w:r>
      <w:r>
        <w:rPr>
          <w:rFonts w:hint="eastAsia" w:ascii="Times New Roman" w:hAnsi="Times New Roman" w:eastAsia="宋体"/>
          <w:sz w:val="22"/>
          <w:szCs w:val="22"/>
          <w:lang w:eastAsia="zh-CN"/>
        </w:rPr>
        <w:t xml:space="preserve">RAN2 LS about the common TA issue in regenerative scenario </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5</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pPr>
      <w:r>
        <w:rPr>
          <w:lang w:eastAsia="zh-CN"/>
        </w:rPr>
        <w:t xml:space="preserve">In </w:t>
      </w:r>
      <w:r>
        <w:rPr>
          <w:rFonts w:hint="eastAsia"/>
          <w:lang w:eastAsia="zh-CN"/>
        </w:rPr>
        <w:t xml:space="preserve">last meeting, RAN2 sends an LS to RAN1and RAN4 asking questions about common TA negative value for regenerative payload [1].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outlineLvl w:val="0"/>
              <w:rPr>
                <w:b/>
              </w:rPr>
            </w:pPr>
            <w:r>
              <w:rPr>
                <w:b/>
              </w:rPr>
              <w:t>1. Overall Description:</w:t>
            </w:r>
          </w:p>
          <w:p>
            <w:pPr>
              <w:rPr>
                <w:bCs/>
                <w:lang w:eastAsia="zh-CN"/>
              </w:rPr>
            </w:pPr>
            <w:r>
              <w:rPr>
                <w:lang w:eastAsia="zh-CN"/>
              </w:rPr>
              <w:t xml:space="preserve">In RAN2#127 meeting, the setting of common TA and Kmac for regenerative payload with full gNB on board was discussed, and a question related to the value setting was </w:t>
            </w:r>
            <w:r>
              <w:t>raised</w:t>
            </w:r>
            <w:r>
              <w:rPr>
                <w:lang w:eastAsia="zh-CN"/>
              </w:rPr>
              <w:t>.</w:t>
            </w:r>
          </w:p>
          <w:p>
            <w:pPr>
              <w:jc w:val="both"/>
              <w:rPr>
                <w:bCs/>
              </w:rPr>
            </w:pPr>
            <w:r>
              <w:t xml:space="preserve">Related to this, </w:t>
            </w:r>
            <w:r>
              <w:rPr>
                <w:lang w:eastAsia="zh-CN"/>
              </w:rPr>
              <w:t>RAN2 kindly asks RAN1 and RAN4:</w:t>
            </w:r>
          </w:p>
          <w:p>
            <w:pPr>
              <w:rPr>
                <w:rFonts w:eastAsia="等线"/>
                <w:lang w:eastAsia="zh-CN"/>
              </w:rPr>
            </w:pPr>
            <w:r>
              <w:rPr>
                <w:rFonts w:eastAsia="等线"/>
                <w:b/>
                <w:bCs/>
                <w:lang w:eastAsia="ja-JP"/>
              </w:rPr>
              <w:t>Question:</w:t>
            </w:r>
            <w:r>
              <w:rPr>
                <w:rFonts w:eastAsia="等线"/>
                <w:b/>
                <w:bCs/>
                <w:lang w:eastAsia="zh-CN"/>
              </w:rPr>
              <w:t xml:space="preserve"> </w:t>
            </w:r>
            <w:r>
              <w:rPr>
                <w:rFonts w:eastAsia="等线"/>
                <w:lang w:eastAsia="zh-CN"/>
              </w:rPr>
              <w:t xml:space="preserve"> Whether in a regenerative payload scenario it would be a problem to stick to 0 as the minimum possible value for TA-Common or whether we should e.g. introduce negative values for ta-Common. </w:t>
            </w:r>
          </w:p>
          <w:p>
            <w:pPr>
              <w:rPr>
                <w:rFonts w:eastAsia="等线"/>
                <w:lang w:eastAsia="zh-CN"/>
              </w:rPr>
            </w:pPr>
            <w:r>
              <w:rPr>
                <w:rFonts w:eastAsia="等线"/>
                <w:lang w:eastAsia="zh-CN"/>
              </w:rPr>
              <w:t>Additionally,  RAN2 understands in any case legacy UEs would have to rely on existing signaling and then for legacy UEs, minimum value of Common TA is equal to 0.</w:t>
            </w:r>
          </w:p>
          <w:p>
            <w:pPr>
              <w:rPr>
                <w:rFonts w:eastAsia="等线"/>
                <w:lang w:eastAsia="zh-CN"/>
              </w:rPr>
            </w:pPr>
          </w:p>
        </w:tc>
      </w:tr>
    </w:tbl>
    <w:p>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 xml:space="preserve">we provide our views on the raised questions. </w:t>
      </w:r>
    </w:p>
    <w:p>
      <w:pPr>
        <w:pStyle w:val="3"/>
        <w:spacing w:line="252" w:lineRule="auto"/>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pPr>
        <w:pStyle w:val="3"/>
        <w:rPr>
          <w:rFonts w:eastAsia="宋体"/>
          <w:lang w:eastAsia="zh-CN"/>
        </w:rPr>
      </w:pPr>
      <w:r>
        <w:rPr>
          <w:rFonts w:hint="eastAsia" w:eastAsia="宋体"/>
          <w:lang w:eastAsia="zh-CN"/>
        </w:rPr>
        <w:t xml:space="preserve">We acknowledge that during the R17 NTN discussions in the uplink synchronization topic, RAN1 agrees that both transparent payload and regeneration payload were supported from RAN1 point of view. For supporting regenerative payload, it was understood in RAN1 that the common TA value is set to 0. Moreover, this 0 value is emphasized in the RAN1 agreement in RAN1#104bis meeting.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szCs w:val="20"/>
              </w:rPr>
            </w:pPr>
            <w:r>
              <w:rPr>
                <w:szCs w:val="20"/>
                <w:highlight w:val="green"/>
              </w:rPr>
              <w:t>Agreement:</w:t>
            </w:r>
          </w:p>
          <w:p>
            <w:pPr>
              <w:rPr>
                <w:color w:val="000000"/>
                <w:szCs w:val="20"/>
              </w:rPr>
            </w:pPr>
            <w:r>
              <w:rPr>
                <w:color w:val="000000"/>
                <w:szCs w:val="20"/>
              </w:rPr>
              <w:t>The Timing Advance applied by an NR NTN UE in</w:t>
            </w:r>
            <w:r>
              <w:rPr>
                <w:rStyle w:val="40"/>
                <w:color w:val="000000"/>
                <w:szCs w:val="20"/>
              </w:rPr>
              <w:t> </w:t>
            </w:r>
            <w:r>
              <w:rPr>
                <w:color w:val="000000"/>
                <w:szCs w:val="20"/>
              </w:rPr>
              <w:t>RRC_IDLE/INACTIVE and RRC_CONNECTED</w:t>
            </w:r>
            <w:r>
              <w:rPr>
                <w:rStyle w:val="40"/>
                <w:color w:val="000000"/>
                <w:szCs w:val="20"/>
              </w:rPr>
              <w:t> </w:t>
            </w:r>
            <w:r>
              <w:rPr>
                <w:color w:val="000000"/>
                <w:szCs w:val="20"/>
              </w:rPr>
              <w:t>is given by:</w:t>
            </w:r>
          </w:p>
          <w:p>
            <w:pPr>
              <w:jc w:val="center"/>
              <w:rPr>
                <w:color w:val="000000"/>
                <w:szCs w:val="20"/>
              </w:rPr>
            </w:pPr>
            <m:oMathPara>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T</m:t>
                    </m:r>
                    <m:ctrlPr>
                      <w:rPr>
                        <w:rFonts w:ascii="Cambria Math" w:hAnsi="Cambria Math" w:eastAsia="Calibri"/>
                        <w:b/>
                        <w:bCs/>
                        <w:szCs w:val="20"/>
                        <w:lang w:eastAsia="ko-KR"/>
                      </w:rPr>
                    </m:ctrlPr>
                  </m:e>
                  <m:sub>
                    <m:r>
                      <m:rPr>
                        <m:sty m:val="b"/>
                      </m:rPr>
                      <w:rPr>
                        <w:rFonts w:ascii="Cambria Math" w:hAnsi="Cambria Math" w:eastAsia="Calibri"/>
                        <w:szCs w:val="20"/>
                        <w:lang w:eastAsia="ko-KR"/>
                      </w:rPr>
                      <m:t>TA</m:t>
                    </m:r>
                    <m:ctrlPr>
                      <w:rPr>
                        <w:rFonts w:ascii="Cambria Math" w:hAnsi="Cambria Math" w:eastAsia="Calibri"/>
                        <w:b/>
                        <w:bCs/>
                        <w:szCs w:val="20"/>
                        <w:lang w:eastAsia="ko-KR"/>
                      </w:rPr>
                    </m:ctrlPr>
                  </m:sub>
                </m:sSub>
                <m:r>
                  <m:rPr>
                    <m:sty m:val="b"/>
                  </m:rPr>
                  <w:rPr>
                    <w:rFonts w:ascii="Cambria Math" w:hAnsi="Cambria Math" w:eastAsia="Calibri"/>
                    <w:szCs w:val="20"/>
                    <w:lang w:eastAsia="ko-KR"/>
                  </w:rPr>
                  <m:t>=</m:t>
                </m:r>
                <m:d>
                  <m:dPr>
                    <m:ctrlPr>
                      <w:rPr>
                        <w:rFonts w:ascii="Cambria Math" w:hAnsi="Cambria Math" w:eastAsia="Calibri"/>
                        <w:b/>
                        <w:bCs/>
                        <w:szCs w:val="20"/>
                        <w:lang w:eastAsia="ko-KR"/>
                      </w:rPr>
                    </m:ctrlPr>
                  </m:dPr>
                  <m:e>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m:t>
                        </m:r>
                        <m:ctrlPr>
                          <w:rPr>
                            <w:rFonts w:ascii="Cambria Math" w:hAnsi="Cambria Math" w:eastAsia="Calibri"/>
                            <w:b/>
                            <w:bCs/>
                            <w:szCs w:val="20"/>
                            <w:lang w:eastAsia="ko-KR"/>
                          </w:rPr>
                        </m:ctrlPr>
                      </m:sub>
                    </m:sSub>
                    <m:r>
                      <m:rPr>
                        <m:sty m:val="b"/>
                      </m:rPr>
                      <w:rPr>
                        <w:rFonts w:ascii="Cambria Math" w:hAnsi="Cambria Math" w:eastAsia="Calibri"/>
                        <w:szCs w:val="20"/>
                        <w:lang w:eastAsia="ko-KR"/>
                      </w:rPr>
                      <m:t>+</m:t>
                    </m:r>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TA,UE-specific</m:t>
                        </m:r>
                        <m:ctrlPr>
                          <w:rPr>
                            <w:rFonts w:ascii="Cambria Math" w:hAnsi="Cambria Math" w:eastAsia="Calibri"/>
                            <w:b/>
                            <w:bCs/>
                            <w:szCs w:val="20"/>
                            <w:lang w:eastAsia="ko-KR"/>
                          </w:rPr>
                        </m:ctrlPr>
                      </m:sub>
                    </m:sSub>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TA,common</m:t>
                        </m:r>
                        <m:ctrlPr>
                          <w:rPr>
                            <w:rFonts w:ascii="Cambria Math" w:hAnsi="Cambria Math" w:eastAsia="Calibri"/>
                            <w:b/>
                            <w:bCs/>
                            <w:szCs w:val="20"/>
                            <w:lang w:eastAsia="ko-KR"/>
                          </w:rPr>
                        </m:ctrlPr>
                      </m:sub>
                    </m:sSub>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TA,offset</m:t>
                        </m:r>
                        <m:ctrlPr>
                          <w:rPr>
                            <w:rFonts w:ascii="Cambria Math" w:hAnsi="Cambria Math" w:eastAsia="Calibri"/>
                            <w:b/>
                            <w:bCs/>
                            <w:szCs w:val="20"/>
                            <w:lang w:eastAsia="ko-KR"/>
                          </w:rPr>
                        </m:ctrlPr>
                      </m:sub>
                    </m:sSub>
                    <m:ctrlPr>
                      <w:rPr>
                        <w:rFonts w:ascii="Cambria Math" w:hAnsi="Cambria Math" w:eastAsia="Calibri"/>
                        <w:b/>
                        <w:bCs/>
                        <w:szCs w:val="20"/>
                        <w:lang w:eastAsia="ko-KR"/>
                      </w:rPr>
                    </m:ctrlPr>
                  </m:e>
                </m:d>
                <m:r>
                  <m:rPr>
                    <m:sty m:val="b"/>
                  </m:rPr>
                  <w:rPr>
                    <w:rFonts w:ascii="Cambria Math" w:hAnsi="Cambria Math" w:eastAsia="Calibri"/>
                    <w:szCs w:val="20"/>
                    <w:lang w:eastAsia="ko-KR"/>
                  </w:rPr>
                  <m:t>×</m:t>
                </m:r>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T</m:t>
                    </m:r>
                    <m:ctrlPr>
                      <w:rPr>
                        <w:rFonts w:ascii="Cambria Math" w:hAnsi="Cambria Math" w:eastAsia="Calibri"/>
                        <w:b/>
                        <w:bCs/>
                        <w:szCs w:val="20"/>
                        <w:lang w:eastAsia="ko-KR"/>
                      </w:rPr>
                    </m:ctrlPr>
                  </m:e>
                  <m:sub>
                    <m:r>
                      <m:rPr>
                        <m:sty m:val="b"/>
                      </m:rPr>
                      <w:rPr>
                        <w:rFonts w:ascii="Cambria Math" w:hAnsi="Cambria Math" w:eastAsia="Calibri"/>
                        <w:szCs w:val="20"/>
                        <w:lang w:eastAsia="ko-KR"/>
                      </w:rPr>
                      <m:t>c</m:t>
                    </m:r>
                    <m:ctrlPr>
                      <w:rPr>
                        <w:rFonts w:ascii="Cambria Math" w:hAnsi="Cambria Math" w:eastAsia="Calibri"/>
                        <w:b/>
                        <w:bCs/>
                        <w:szCs w:val="20"/>
                        <w:lang w:eastAsia="ko-KR"/>
                      </w:rPr>
                    </m:ctrlPr>
                  </m:sub>
                </m:sSub>
              </m:oMath>
            </m:oMathPara>
          </w:p>
          <w:p>
            <w:pPr>
              <w:rPr>
                <w:color w:val="000000"/>
                <w:szCs w:val="20"/>
                <w:lang w:val="fr-FR"/>
              </w:rPr>
            </w:pPr>
            <w:r>
              <w:rPr>
                <w:color w:val="000000"/>
                <w:szCs w:val="20"/>
              </w:rPr>
              <w:t>Where:</w:t>
            </w:r>
          </w:p>
          <w:p>
            <w:pPr>
              <w:numPr>
                <w:ilvl w:val="0"/>
                <w:numId w:val="7"/>
              </w:numPr>
              <w:rPr>
                <w:color w:val="000000"/>
                <w:szCs w:val="20"/>
              </w:rPr>
            </w:pP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m:t>
                  </m:r>
                  <m:ctrlPr>
                    <w:rPr>
                      <w:rFonts w:ascii="Cambria Math" w:hAnsi="Cambria Math" w:eastAsia="Calibri"/>
                      <w:b/>
                      <w:bCs/>
                      <w:szCs w:val="20"/>
                      <w:lang w:eastAsia="ko-KR"/>
                    </w:rPr>
                  </m:ctrlPr>
                </m:sub>
              </m:sSub>
            </m:oMath>
            <w:r>
              <w:rPr>
                <w:rStyle w:val="40"/>
                <w:color w:val="000000"/>
                <w:szCs w:val="20"/>
              </w:rPr>
              <w:t> </w:t>
            </w:r>
            <w:r>
              <w:rPr>
                <w:rFonts w:eastAsia="宋体"/>
                <w:i/>
                <w:iCs/>
                <w:color w:val="000000"/>
                <w:szCs w:val="20"/>
              </w:rPr>
              <w:t> </w:t>
            </w:r>
            <w:r>
              <w:rPr>
                <w:color w:val="000000"/>
                <w:szCs w:val="20"/>
              </w:rPr>
              <w:t xml:space="preserve">is defined as 0 for PRACH and updated based on TA Command field in msg2/msgB and MAC CE TA command. </w:t>
            </w:r>
          </w:p>
          <w:p>
            <w:pPr>
              <w:numPr>
                <w:ilvl w:val="1"/>
                <w:numId w:val="7"/>
              </w:numPr>
              <w:rPr>
                <w:szCs w:val="20"/>
              </w:rPr>
            </w:pPr>
            <w:r>
              <w:rPr>
                <w:szCs w:val="20"/>
              </w:rPr>
              <w:t>FFS: details of</w:t>
            </w:r>
            <w:r>
              <w:rPr>
                <w:rStyle w:val="40"/>
                <w:szCs w:val="20"/>
              </w:rPr>
              <w:t> </w:t>
            </w:r>
            <w:r>
              <w:rPr>
                <w:szCs w:val="20"/>
              </w:rPr>
              <w:t>N</w:t>
            </w:r>
            <w:r>
              <w:rPr>
                <w:szCs w:val="20"/>
                <w:vertAlign w:val="subscript"/>
              </w:rPr>
              <w:t>TA</w:t>
            </w:r>
            <w:r>
              <w:rPr>
                <w:rStyle w:val="40"/>
                <w:szCs w:val="20"/>
              </w:rPr>
              <w:t> </w:t>
            </w:r>
            <w:r>
              <w:rPr>
                <w:szCs w:val="20"/>
              </w:rPr>
              <w:t>update/accumulation.</w:t>
            </w:r>
          </w:p>
          <w:p>
            <w:pPr>
              <w:numPr>
                <w:ilvl w:val="0"/>
                <w:numId w:val="7"/>
              </w:numPr>
              <w:rPr>
                <w:szCs w:val="20"/>
              </w:rPr>
            </w:pP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TA,UE-specific</m:t>
                  </m:r>
                  <m:ctrlPr>
                    <w:rPr>
                      <w:rFonts w:ascii="Cambria Math" w:hAnsi="Cambria Math" w:eastAsia="Calibri"/>
                      <w:b/>
                      <w:bCs/>
                      <w:szCs w:val="20"/>
                      <w:lang w:eastAsia="ko-KR"/>
                    </w:rPr>
                  </m:ctrlPr>
                </m:sub>
              </m:sSub>
            </m:oMath>
            <w:r>
              <w:rPr>
                <w:szCs w:val="20"/>
              </w:rPr>
              <w:t>  is UE self-estimated TA to pre-compensate for the service link delay.</w:t>
            </w:r>
          </w:p>
          <w:p>
            <w:pPr>
              <w:numPr>
                <w:ilvl w:val="0"/>
                <w:numId w:val="7"/>
              </w:numPr>
              <w:rPr>
                <w:szCs w:val="20"/>
              </w:rPr>
            </w:pP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TA,common</m:t>
                  </m:r>
                  <m:ctrlPr>
                    <w:rPr>
                      <w:rFonts w:ascii="Cambria Math" w:hAnsi="Cambria Math" w:eastAsia="Calibri"/>
                      <w:b/>
                      <w:bCs/>
                      <w:szCs w:val="20"/>
                      <w:lang w:eastAsia="ko-KR"/>
                    </w:rPr>
                  </m:ctrlPr>
                </m:sub>
              </m:sSub>
            </m:oMath>
            <w:r>
              <w:rPr>
                <w:rStyle w:val="40"/>
                <w:szCs w:val="20"/>
              </w:rPr>
              <w:t> </w:t>
            </w:r>
            <w:r>
              <w:rPr>
                <w:szCs w:val="20"/>
              </w:rPr>
              <w:t>is network-controlled common TA, and may</w:t>
            </w:r>
            <w:r>
              <w:rPr>
                <w:rStyle w:val="40"/>
                <w:szCs w:val="20"/>
              </w:rPr>
              <w:t> </w:t>
            </w:r>
            <w:r>
              <w:rPr>
                <w:szCs w:val="20"/>
              </w:rPr>
              <w:t>include any timing offset considered necessary by the network.</w:t>
            </w:r>
          </w:p>
          <w:p>
            <w:pPr>
              <w:numPr>
                <w:ilvl w:val="0"/>
                <w:numId w:val="7"/>
              </w:numPr>
              <w:rPr>
                <w:szCs w:val="20"/>
              </w:rPr>
            </w:pPr>
            <m:oMath>
              <m:sSub>
                <m:sSubPr>
                  <m:ctrlPr>
                    <w:rPr>
                      <w:rFonts w:ascii="Cambria Math" w:hAnsi="Cambria Math" w:eastAsia="Calibri"/>
                      <w:b/>
                      <w:bCs/>
                      <w:szCs w:val="20"/>
                      <w:highlight w:val="yellow"/>
                      <w:lang w:eastAsia="ko-KR"/>
                    </w:rPr>
                  </m:ctrlPr>
                </m:sSubPr>
                <m:e>
                  <m:r>
                    <m:rPr>
                      <m:sty m:val="b"/>
                    </m:rPr>
                    <w:rPr>
                      <w:rFonts w:ascii="Cambria Math" w:hAnsi="Cambria Math" w:eastAsia="Calibri"/>
                      <w:szCs w:val="20"/>
                      <w:highlight w:val="yellow"/>
                      <w:lang w:eastAsia="ko-KR"/>
                    </w:rPr>
                    <m:t>N</m:t>
                  </m:r>
                  <m:ctrlPr>
                    <w:rPr>
                      <w:rFonts w:ascii="Cambria Math" w:hAnsi="Cambria Math" w:eastAsia="Calibri"/>
                      <w:b/>
                      <w:bCs/>
                      <w:szCs w:val="20"/>
                      <w:highlight w:val="yellow"/>
                      <w:lang w:eastAsia="ko-KR"/>
                    </w:rPr>
                  </m:ctrlPr>
                </m:e>
                <m:sub>
                  <m:r>
                    <m:rPr>
                      <m:sty m:val="b"/>
                    </m:rPr>
                    <w:rPr>
                      <w:rFonts w:ascii="Cambria Math" w:hAnsi="Cambria Math" w:eastAsia="Calibri"/>
                      <w:szCs w:val="20"/>
                      <w:highlight w:val="yellow"/>
                      <w:lang w:eastAsia="ko-KR"/>
                    </w:rPr>
                    <m:t>TA,common</m:t>
                  </m:r>
                  <m:ctrlPr>
                    <w:rPr>
                      <w:rFonts w:ascii="Cambria Math" w:hAnsi="Cambria Math" w:eastAsia="Calibri"/>
                      <w:b/>
                      <w:bCs/>
                      <w:szCs w:val="20"/>
                      <w:highlight w:val="yellow"/>
                      <w:lang w:eastAsia="ko-KR"/>
                    </w:rPr>
                  </m:ctrlPr>
                </m:sub>
              </m:sSub>
            </m:oMath>
            <w:r>
              <w:rPr>
                <w:rStyle w:val="40"/>
                <w:szCs w:val="20"/>
                <w:highlight w:val="yellow"/>
              </w:rPr>
              <w:t> </w:t>
            </w:r>
            <w:r>
              <w:rPr>
                <w:szCs w:val="20"/>
                <w:highlight w:val="yellow"/>
              </w:rPr>
              <w:t xml:space="preserve">with value of 0 is supported. </w:t>
            </w:r>
          </w:p>
          <w:p>
            <w:pPr>
              <w:numPr>
                <w:ilvl w:val="1"/>
                <w:numId w:val="7"/>
              </w:numPr>
              <w:rPr>
                <w:szCs w:val="20"/>
              </w:rPr>
            </w:pPr>
            <w:r>
              <w:rPr>
                <w:szCs w:val="20"/>
              </w:rPr>
              <w:t>FFS:  details of signaling including granularity. </w:t>
            </w:r>
            <w:r>
              <w:rPr>
                <w:rStyle w:val="40"/>
                <w:szCs w:val="20"/>
              </w:rPr>
              <w:t> </w:t>
            </w:r>
            <w:r>
              <w:rPr>
                <w:rFonts w:eastAsia="Gulim"/>
                <w:dstrike/>
                <w:szCs w:val="20"/>
              </w:rPr>
              <w:t xml:space="preserve"> </w:t>
            </w:r>
          </w:p>
          <w:p>
            <w:pPr>
              <w:numPr>
                <w:ilvl w:val="0"/>
                <w:numId w:val="7"/>
              </w:numPr>
              <w:rPr>
                <w:rStyle w:val="40"/>
                <w:color w:val="000000"/>
                <w:szCs w:val="20"/>
              </w:rPr>
            </w:pP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TA,offset</m:t>
                  </m:r>
                  <m:ctrlPr>
                    <w:rPr>
                      <w:rFonts w:ascii="Cambria Math" w:hAnsi="Cambria Math" w:eastAsia="Calibri"/>
                      <w:b/>
                      <w:bCs/>
                      <w:szCs w:val="20"/>
                      <w:lang w:eastAsia="ko-KR"/>
                    </w:rPr>
                  </m:ctrlPr>
                </m:sub>
              </m:sSub>
            </m:oMath>
            <w:r>
              <w:rPr>
                <w:rStyle w:val="40"/>
                <w:color w:val="000000"/>
                <w:szCs w:val="20"/>
              </w:rPr>
              <w:t> is a</w:t>
            </w:r>
            <w:r>
              <w:rPr>
                <w:color w:val="000000"/>
                <w:szCs w:val="20"/>
              </w:rPr>
              <w:t xml:space="preserve"> fixed offset used to calculate the timing advance.</w:t>
            </w:r>
            <w:r>
              <w:rPr>
                <w:rStyle w:val="40"/>
                <w:color w:val="000000"/>
                <w:szCs w:val="20"/>
              </w:rPr>
              <w:t> </w:t>
            </w:r>
          </w:p>
          <w:p>
            <w:pPr>
              <w:ind w:left="720"/>
              <w:rPr>
                <w:color w:val="000000"/>
                <w:szCs w:val="20"/>
              </w:rPr>
            </w:pPr>
          </w:p>
          <w:p>
            <w:pPr>
              <w:wordWrap w:val="0"/>
              <w:rPr>
                <w:rFonts w:eastAsia="Calibri"/>
                <w:color w:val="000000"/>
                <w:szCs w:val="20"/>
              </w:rPr>
            </w:pPr>
            <w:r>
              <w:rPr>
                <w:color w:val="000000"/>
                <w:szCs w:val="20"/>
              </w:rPr>
              <w:t>Note-1: Definition of</w:t>
            </w:r>
            <w:r>
              <w:rPr>
                <w:rStyle w:val="40"/>
                <w:color w:val="000000"/>
                <w:szCs w:val="20"/>
              </w:rPr>
              <w:t> </w:t>
            </w: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m:t>
                  </m:r>
                  <m:ctrlPr>
                    <w:rPr>
                      <w:rFonts w:ascii="Cambria Math" w:hAnsi="Cambria Math" w:eastAsia="Calibri"/>
                      <w:b/>
                      <w:bCs/>
                      <w:szCs w:val="20"/>
                      <w:lang w:eastAsia="ko-KR"/>
                    </w:rPr>
                  </m:ctrlPr>
                </m:sub>
              </m:sSub>
            </m:oMath>
            <w:r>
              <w:rPr>
                <w:rStyle w:val="40"/>
                <w:color w:val="000000"/>
                <w:szCs w:val="20"/>
              </w:rPr>
              <w:t> </w:t>
            </w:r>
            <w:r>
              <w:rPr>
                <w:color w:val="000000"/>
                <w:szCs w:val="20"/>
              </w:rPr>
              <w:t>is different from that in</w:t>
            </w:r>
            <w:r>
              <w:rPr>
                <w:rStyle w:val="40"/>
                <w:color w:val="000000"/>
                <w:szCs w:val="20"/>
              </w:rPr>
              <w:t> </w:t>
            </w:r>
            <w:r>
              <w:rPr>
                <w:color w:val="000000"/>
                <w:szCs w:val="20"/>
              </w:rPr>
              <w:t>RAN1#103-e agreement.</w:t>
            </w:r>
            <w:r>
              <w:rPr>
                <w:rStyle w:val="40"/>
                <w:color w:val="000000"/>
                <w:szCs w:val="20"/>
              </w:rPr>
              <w:t> </w:t>
            </w:r>
          </w:p>
          <w:p>
            <w:pPr>
              <w:rPr>
                <w:color w:val="000000"/>
                <w:szCs w:val="20"/>
              </w:rPr>
            </w:pPr>
            <w:r>
              <w:rPr>
                <w:color w:val="000000"/>
                <w:szCs w:val="20"/>
              </w:rPr>
              <w:t>Note-2: UE might not assume that the RTT between UE and gNB is equal to the calculated TA for Msg1/Msg A.</w:t>
            </w:r>
          </w:p>
          <w:p>
            <w:pPr>
              <w:pStyle w:val="3"/>
              <w:rPr>
                <w:rFonts w:eastAsia="宋体"/>
                <w:lang w:eastAsia="zh-CN"/>
              </w:rPr>
            </w:pPr>
            <w:r>
              <w:rPr>
                <w:color w:val="000000"/>
                <w:szCs w:val="20"/>
              </w:rPr>
              <w:t>Note-3:</w:t>
            </w:r>
            <w:r>
              <w:rPr>
                <w:rStyle w:val="40"/>
                <w:color w:val="000000"/>
                <w:szCs w:val="20"/>
              </w:rPr>
              <w:t> </w:t>
            </w:r>
            <m:oMath>
              <m:sSub>
                <m:sSubPr>
                  <m:ctrlPr>
                    <w:rPr>
                      <w:rFonts w:ascii="Cambria Math" w:hAnsi="Cambria Math" w:eastAsia="Calibri"/>
                      <w:b/>
                      <w:bCs/>
                      <w:szCs w:val="20"/>
                      <w:lang w:eastAsia="ko-KR"/>
                    </w:rPr>
                  </m:ctrlPr>
                </m:sSubPr>
                <m:e>
                  <m:r>
                    <m:rPr>
                      <m:sty m:val="b"/>
                    </m:rPr>
                    <w:rPr>
                      <w:rFonts w:ascii="Cambria Math" w:hAnsi="Cambria Math" w:eastAsia="Calibri"/>
                      <w:szCs w:val="20"/>
                      <w:lang w:eastAsia="ko-KR"/>
                    </w:rPr>
                    <m:t>N</m:t>
                  </m:r>
                  <m:ctrlPr>
                    <w:rPr>
                      <w:rFonts w:ascii="Cambria Math" w:hAnsi="Cambria Math" w:eastAsia="Calibri"/>
                      <w:b/>
                      <w:bCs/>
                      <w:szCs w:val="20"/>
                      <w:lang w:eastAsia="ko-KR"/>
                    </w:rPr>
                  </m:ctrlPr>
                </m:e>
                <m:sub>
                  <m:r>
                    <m:rPr>
                      <m:sty m:val="b"/>
                    </m:rPr>
                    <w:rPr>
                      <w:rFonts w:ascii="Cambria Math" w:hAnsi="Cambria Math" w:eastAsia="Calibri"/>
                      <w:szCs w:val="20"/>
                      <w:lang w:eastAsia="ko-KR"/>
                    </w:rPr>
                    <m:t>TA,common</m:t>
                  </m:r>
                  <m:ctrlPr>
                    <w:rPr>
                      <w:rFonts w:ascii="Cambria Math" w:hAnsi="Cambria Math" w:eastAsia="Calibri"/>
                      <w:b/>
                      <w:bCs/>
                      <w:szCs w:val="20"/>
                      <w:lang w:eastAsia="ko-KR"/>
                    </w:rPr>
                  </m:ctrlPr>
                </m:sub>
              </m:sSub>
            </m:oMath>
            <w:r>
              <w:rPr>
                <w:rStyle w:val="40"/>
                <w:color w:val="000000"/>
                <w:szCs w:val="20"/>
              </w:rPr>
              <w:t> </w:t>
            </w:r>
            <w:r>
              <w:rPr>
                <w:color w:val="000000"/>
                <w:szCs w:val="20"/>
              </w:rPr>
              <w:t>is the common timing offset</w:t>
            </w:r>
            <w:r>
              <w:rPr>
                <w:rStyle w:val="40"/>
                <w:color w:val="000000"/>
                <w:szCs w:val="20"/>
              </w:rPr>
              <w:t> </w:t>
            </w:r>
            <w:r>
              <w:rPr>
                <w:szCs w:val="20"/>
              </w:rPr>
              <w:t>X</w:t>
            </w:r>
            <w:r>
              <w:rPr>
                <w:rStyle w:val="40"/>
                <w:szCs w:val="20"/>
              </w:rPr>
              <w:t> </w:t>
            </w:r>
            <w:r>
              <w:rPr>
                <w:color w:val="000000"/>
                <w:szCs w:val="20"/>
              </w:rPr>
              <w:t>as agreed in RAN1 #103-e.</w:t>
            </w:r>
          </w:p>
        </w:tc>
      </w:tr>
    </w:tbl>
    <w:p>
      <w:pPr>
        <w:pStyle w:val="3"/>
        <w:rPr>
          <w:rFonts w:eastAsia="宋体"/>
          <w:lang w:eastAsia="zh-CN"/>
        </w:rPr>
      </w:pPr>
    </w:p>
    <w:p>
      <w:pPr>
        <w:pStyle w:val="3"/>
        <w:rPr>
          <w:rFonts w:eastAsia="宋体"/>
          <w:lang w:eastAsia="zh-CN"/>
        </w:rPr>
      </w:pPr>
      <w:r>
        <w:rPr>
          <w:rFonts w:hint="eastAsia" w:eastAsia="宋体"/>
          <w:lang w:eastAsia="zh-CN"/>
        </w:rPr>
        <w:t xml:space="preserve">Since then there was no further issues spotted with respect to this 0 value common TA. </w:t>
      </w:r>
    </w:p>
    <w:p>
      <w:pPr>
        <w:pStyle w:val="3"/>
        <w:rPr>
          <w:rFonts w:eastAsia="宋体"/>
          <w:b/>
          <w:bCs/>
          <w:lang w:eastAsia="zh-CN"/>
        </w:rPr>
      </w:pPr>
      <w:r>
        <w:rPr>
          <w:rFonts w:hint="eastAsia" w:eastAsia="宋体"/>
          <w:b/>
          <w:bCs/>
          <w:lang w:eastAsia="zh-CN"/>
        </w:rPr>
        <w:t xml:space="preserve">Observation 1: Setting common TA value to 0 for regenerative payload is not a new topic in R19. In R17 NTN, supporting value 0 for common TA was discussed and supported, since then there was no further issue spotted in RAN1. </w:t>
      </w:r>
    </w:p>
    <w:p>
      <w:pPr>
        <w:pStyle w:val="3"/>
        <w:rPr>
          <w:rFonts w:eastAsia="宋体"/>
          <w:lang w:eastAsia="zh-CN"/>
        </w:rPr>
      </w:pPr>
    </w:p>
    <w:p>
      <w:pPr>
        <w:pStyle w:val="3"/>
        <w:rPr>
          <w:rFonts w:eastAsia="宋体"/>
          <w:lang w:eastAsia="zh-CN"/>
        </w:rPr>
      </w:pPr>
      <w:r>
        <w:rPr>
          <w:rFonts w:hint="eastAsia" w:eastAsia="宋体"/>
          <w:lang w:eastAsia="zh-CN"/>
        </w:rPr>
        <w:t>In RAN2</w:t>
      </w:r>
      <w:r>
        <w:rPr>
          <w:rFonts w:eastAsia="宋体"/>
          <w:lang w:eastAsia="zh-CN"/>
        </w:rPr>
        <w:t>’</w:t>
      </w:r>
      <w:r>
        <w:rPr>
          <w:rFonts w:hint="eastAsia" w:eastAsia="宋体"/>
          <w:lang w:eastAsia="zh-CN"/>
        </w:rPr>
        <w:t xml:space="preserve">s LS, RAN2 asks RAN1 and RAN4 whether it is possible to use value 0 for common TA or a new negative value is needed. From our understanding, the value 0 is fine to use and there is no need to introduce a new negative value. On one side, on the UL synchronization handling, it would be desired to ensure a same UE behavior between legacy and R19 UE. On the other side, introducing a new negative value indeed implies that the legacy UE and the R19 UE will see a different position of the UL synchronization reference point, which is not desirable as this reference point should be a cell specific parameter. Moreover, from the network side, where the network operates this reference point is becoming problematic. If the network operates at the reference point seen by R19 UE, then it will </w:t>
      </w:r>
      <w:r>
        <w:rPr>
          <w:rFonts w:eastAsia="宋体"/>
          <w:lang w:eastAsia="zh-CN"/>
        </w:rPr>
        <w:t>d</w:t>
      </w:r>
      <w:r>
        <w:rPr>
          <w:rFonts w:hint="eastAsia" w:eastAsia="宋体"/>
          <w:lang w:eastAsia="zh-CN"/>
        </w:rPr>
        <w:t>e</w:t>
      </w:r>
      <w:r>
        <w:rPr>
          <w:rFonts w:eastAsia="宋体"/>
          <w:lang w:eastAsia="zh-CN"/>
        </w:rPr>
        <w:t>grade</w:t>
      </w:r>
      <w:r>
        <w:rPr>
          <w:rFonts w:hint="eastAsia" w:eastAsia="宋体"/>
          <w:lang w:eastAsia="zh-CN"/>
        </w:rPr>
        <w:t xml:space="preserve"> the uplink performance for the legacy UE.  </w:t>
      </w:r>
    </w:p>
    <w:p>
      <w:pPr>
        <w:pStyle w:val="3"/>
        <w:rPr>
          <w:rFonts w:eastAsia="宋体"/>
          <w:b/>
          <w:bCs/>
          <w:lang w:eastAsia="zh-CN"/>
        </w:rPr>
      </w:pPr>
      <w:r>
        <w:rPr>
          <w:rFonts w:hint="eastAsia" w:eastAsia="宋体"/>
          <w:b/>
          <w:bCs/>
          <w:lang w:eastAsia="zh-CN"/>
        </w:rPr>
        <w:t>Observation 2: By introducing new negative</w:t>
      </w:r>
      <w:r>
        <w:rPr>
          <w:rFonts w:eastAsia="宋体"/>
          <w:b/>
          <w:bCs/>
          <w:lang w:eastAsia="zh-CN"/>
        </w:rPr>
        <w:t xml:space="preserve">  values</w:t>
      </w:r>
      <w:r>
        <w:rPr>
          <w:rFonts w:hint="eastAsia" w:eastAsia="宋体"/>
          <w:b/>
          <w:bCs/>
          <w:lang w:eastAsia="zh-CN"/>
        </w:rPr>
        <w:t xml:space="preserve"> </w:t>
      </w:r>
      <w:r>
        <w:rPr>
          <w:rFonts w:eastAsia="宋体"/>
          <w:b/>
          <w:bCs/>
          <w:lang w:eastAsia="zh-CN"/>
        </w:rPr>
        <w:t>for common TA</w:t>
      </w:r>
      <w:r>
        <w:rPr>
          <w:rFonts w:hint="eastAsia" w:eastAsia="宋体"/>
          <w:b/>
          <w:bCs/>
          <w:lang w:eastAsia="zh-CN"/>
        </w:rPr>
        <w:t xml:space="preserve">, it implies that the legacy UE and the R19 UE will see a different position of the UL synchronization reference point. </w:t>
      </w:r>
    </w:p>
    <w:p>
      <w:pPr>
        <w:pStyle w:val="3"/>
        <w:rPr>
          <w:rFonts w:eastAsia="宋体"/>
          <w:b/>
          <w:bCs/>
          <w:lang w:eastAsia="zh-CN"/>
        </w:rPr>
      </w:pPr>
      <w:r>
        <w:rPr>
          <w:rFonts w:hint="eastAsia" w:eastAsia="宋体"/>
          <w:b/>
          <w:bCs/>
          <w:lang w:eastAsia="zh-CN"/>
        </w:rPr>
        <w:t xml:space="preserve">Observation 3: If the network operates at the reference point seen by R19 UE, then it will </w:t>
      </w:r>
      <w:r>
        <w:rPr>
          <w:rFonts w:eastAsia="宋体"/>
          <w:b/>
          <w:bCs/>
          <w:lang w:eastAsia="zh-CN"/>
        </w:rPr>
        <w:t>d</w:t>
      </w:r>
      <w:r>
        <w:rPr>
          <w:rFonts w:hint="eastAsia" w:eastAsia="宋体"/>
          <w:b/>
          <w:bCs/>
          <w:lang w:eastAsia="zh-CN"/>
        </w:rPr>
        <w:t>e</w:t>
      </w:r>
      <w:r>
        <w:rPr>
          <w:rFonts w:eastAsia="宋体"/>
          <w:b/>
          <w:bCs/>
          <w:lang w:eastAsia="zh-CN"/>
        </w:rPr>
        <w:t>grade</w:t>
      </w:r>
      <w:r>
        <w:rPr>
          <w:rFonts w:hint="eastAsia" w:eastAsia="宋体"/>
          <w:lang w:eastAsia="zh-CN"/>
        </w:rPr>
        <w:t xml:space="preserve"> </w:t>
      </w:r>
      <w:r>
        <w:rPr>
          <w:rFonts w:hint="eastAsia" w:eastAsia="宋体"/>
          <w:b/>
          <w:bCs/>
          <w:lang w:eastAsia="zh-CN"/>
        </w:rPr>
        <w:t>the uplink performance for the legacy UE.</w:t>
      </w:r>
    </w:p>
    <w:p>
      <w:pPr>
        <w:pStyle w:val="3"/>
        <w:rPr>
          <w:rFonts w:eastAsia="宋体"/>
          <w:lang w:eastAsia="zh-CN"/>
        </w:rPr>
      </w:pPr>
      <w:r>
        <w:rPr>
          <w:rFonts w:hint="eastAsia" w:eastAsia="宋体"/>
          <w:lang w:eastAsia="zh-CN"/>
        </w:rPr>
        <w:t xml:space="preserve">The core concern from RAN2 may be due to the situation when the common TA value is set to 0, with the UL synchronization uncertainty/accuracy error, the derived service link TA error may deviate in the range of [-Te,+Te], where Te is the required maximum timing error defined in </w:t>
      </w:r>
      <w:r>
        <w:t>Table 7.1C.2-1</w:t>
      </w:r>
      <w:r>
        <w:rPr>
          <w:rFonts w:hint="eastAsia" w:eastAsia="宋体"/>
          <w:lang w:eastAsia="zh-CN"/>
        </w:rPr>
        <w:t xml:space="preserve"> of  TS38.133.  Note that Te is smaller than the length of the CP for PUSCH transmission, or greatly shorter than the CP of PRACH transmission. If the accuracy error falls in [0,Te], there may not be performance degradation</w:t>
      </w:r>
      <w:r>
        <w:rPr>
          <w:rFonts w:eastAsia="宋体"/>
          <w:lang w:eastAsia="zh-CN"/>
        </w:rPr>
        <w:t>.</w:t>
      </w:r>
      <w:r>
        <w:rPr>
          <w:rFonts w:hint="eastAsia" w:eastAsia="宋体"/>
          <w:lang w:eastAsia="zh-CN"/>
        </w:rPr>
        <w:t xml:space="preserve"> But if the accuracy error falls in [-Te,0), RAN2 perhaps thinks that there is an issue for the performance degradation. As the matter of fact, in our view point, this degradation could be practically avoided by gNB implementation. As depicted in Fig. 1, where we have drawn upper and lower two extreme cases corresponding to the accuracy error fall</w:t>
      </w:r>
      <w:r>
        <w:rPr>
          <w:rFonts w:hint="eastAsia" w:eastAsia="宋体"/>
          <w:lang w:val="en-US" w:eastAsia="zh-CN"/>
        </w:rPr>
        <w:t>ing</w:t>
      </w:r>
      <w:r>
        <w:rPr>
          <w:rFonts w:hint="eastAsia" w:eastAsia="宋体"/>
          <w:lang w:eastAsia="zh-CN"/>
        </w:rPr>
        <w:t xml:space="preserve"> </w:t>
      </w:r>
      <w:r>
        <w:rPr>
          <w:rFonts w:hint="eastAsia" w:eastAsia="宋体"/>
          <w:lang w:val="en-US" w:eastAsia="zh-CN"/>
        </w:rPr>
        <w:t>at</w:t>
      </w:r>
      <w:r>
        <w:rPr>
          <w:rFonts w:hint="eastAsia" w:eastAsia="宋体"/>
          <w:lang w:eastAsia="zh-CN"/>
        </w:rPr>
        <w:t xml:space="preserve"> +Te and -Te, respectively. </w:t>
      </w:r>
      <w:r>
        <w:rPr>
          <w:rFonts w:hint="eastAsia" w:eastAsia="宋体"/>
          <w:lang w:val="en-US" w:eastAsia="zh-CN"/>
        </w:rPr>
        <w:t>When it comes to gNB implementation, o</w:t>
      </w:r>
      <w:r>
        <w:rPr>
          <w:rFonts w:hint="eastAsia" w:eastAsia="宋体"/>
          <w:lang w:eastAsia="zh-CN"/>
        </w:rPr>
        <w:t>ne practical solution is that the gNB can select a FFT window starting from Te after the OFDM symbol boundary for the concerned PRACH reception (also applicable to PUSCH reception as well). With this implementation method, any random accuracy error within [-Te,+Te] won</w:t>
      </w:r>
      <w:r>
        <w:rPr>
          <w:rFonts w:eastAsia="宋体"/>
          <w:lang w:eastAsia="zh-CN"/>
        </w:rPr>
        <w:t>’</w:t>
      </w:r>
      <w:r>
        <w:rPr>
          <w:rFonts w:hint="eastAsia" w:eastAsia="宋体"/>
          <w:lang w:eastAsia="zh-CN"/>
        </w:rPr>
        <w:t>t suffer from the degradatio</w:t>
      </w:r>
      <w:bookmarkStart w:id="0" w:name="_GoBack"/>
      <w:bookmarkEnd w:id="0"/>
      <w:r>
        <w:rPr>
          <w:rFonts w:hint="eastAsia" w:eastAsia="宋体"/>
          <w:lang w:eastAsia="zh-CN"/>
        </w:rPr>
        <w:t xml:space="preserve">n, as long as the Te is smaller than CP length.  On the contrary, if we introduce negative common TA value only for R19 UE, it will make the gNB difficult to adjust </w:t>
      </w:r>
      <w:r>
        <w:rPr>
          <w:rFonts w:hint="eastAsia" w:eastAsia="宋体"/>
          <w:lang w:val="en-US" w:eastAsia="zh-CN"/>
        </w:rPr>
        <w:t>an appropriate</w:t>
      </w:r>
      <w:r>
        <w:rPr>
          <w:rFonts w:hint="eastAsia" w:eastAsia="宋体"/>
          <w:lang w:eastAsia="zh-CN"/>
        </w:rPr>
        <w:t xml:space="preserve"> FFT window location, leading to a performance degradation for legacy UE.</w:t>
      </w:r>
    </w:p>
    <w:p>
      <w:pPr>
        <w:pStyle w:val="3"/>
        <w:jc w:val="center"/>
      </w:pPr>
      <w:r>
        <w:drawing>
          <wp:inline distT="0" distB="0" distL="114300" distR="114300">
            <wp:extent cx="3736975" cy="1934210"/>
            <wp:effectExtent l="0" t="0" r="1587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3736975" cy="1934210"/>
                    </a:xfrm>
                    <a:prstGeom prst="rect">
                      <a:avLst/>
                    </a:prstGeom>
                    <a:noFill/>
                    <a:ln w="9525">
                      <a:noFill/>
                    </a:ln>
                  </pic:spPr>
                </pic:pic>
              </a:graphicData>
            </a:graphic>
          </wp:inline>
        </w:drawing>
      </w:r>
    </w:p>
    <w:p>
      <w:pPr>
        <w:pStyle w:val="3"/>
        <w:jc w:val="center"/>
        <w:rPr>
          <w:rFonts w:eastAsia="宋体"/>
          <w:lang w:eastAsia="zh-CN"/>
        </w:rPr>
      </w:pPr>
      <w:r>
        <w:rPr>
          <w:rFonts w:hint="eastAsia" w:eastAsia="宋体"/>
          <w:lang w:eastAsia="zh-CN"/>
        </w:rPr>
        <w:t>Fig. 1: FFT reception window adjustment considering TA accuracy error in range of [-Te,+Te]</w:t>
      </w:r>
    </w:p>
    <w:p>
      <w:pPr>
        <w:pStyle w:val="3"/>
        <w:rPr>
          <w:rFonts w:eastAsia="宋体"/>
          <w:b/>
          <w:bCs/>
          <w:lang w:eastAsia="zh-CN"/>
        </w:rPr>
      </w:pPr>
      <w:r>
        <w:rPr>
          <w:rFonts w:hint="eastAsia" w:eastAsia="宋体"/>
          <w:b/>
          <w:bCs/>
          <w:lang w:eastAsia="zh-CN"/>
        </w:rPr>
        <w:t xml:space="preserve">Observation 4: For TA accuracy error falls in [-Te,+Te] with Te smaller than CP length, gNB implementation can avoid any performance degradation. </w:t>
      </w:r>
    </w:p>
    <w:p>
      <w:pPr>
        <w:pStyle w:val="3"/>
        <w:rPr>
          <w:rFonts w:eastAsia="宋体"/>
          <w:b/>
          <w:bCs/>
          <w:lang w:eastAsia="zh-CN"/>
        </w:rPr>
      </w:pPr>
      <w:r>
        <w:rPr>
          <w:rFonts w:hint="eastAsia" w:eastAsia="宋体"/>
          <w:b/>
          <w:bCs/>
          <w:lang w:eastAsia="zh-CN"/>
        </w:rPr>
        <w:t>Observation 5: If only introducing negative common TA value for R19 UE, it makes gNB difficult to adjust an appropriate FFT window for UL reception, resulting in performance degradation for legacy UE.</w:t>
      </w:r>
    </w:p>
    <w:p>
      <w:pPr>
        <w:pStyle w:val="3"/>
        <w:rPr>
          <w:rFonts w:eastAsia="宋体"/>
          <w:lang w:eastAsia="zh-CN"/>
        </w:rPr>
      </w:pPr>
      <w:r>
        <w:rPr>
          <w:rFonts w:hint="eastAsia" w:eastAsia="宋体"/>
          <w:lang w:eastAsia="zh-CN"/>
        </w:rPr>
        <w:t>After the above-mentioned analysis, we cannot see any issue with indicating common TA to be zero for regenerative payload, and we do see problem by introducing a new negative value for R19 UE.</w:t>
      </w:r>
    </w:p>
    <w:p>
      <w:pPr>
        <w:pStyle w:val="3"/>
        <w:rPr>
          <w:rFonts w:eastAsia="宋体"/>
          <w:b/>
          <w:bCs/>
          <w:lang w:eastAsia="zh-CN"/>
        </w:rPr>
      </w:pPr>
      <w:r>
        <w:rPr>
          <w:rFonts w:hint="eastAsia" w:eastAsia="宋体"/>
          <w:b/>
          <w:bCs/>
          <w:lang w:eastAsia="zh-CN"/>
        </w:rPr>
        <w:t xml:space="preserve">Proposal: RAN1 replies RAN1that no issue with setting common TA to zero for regenerative payload. It does not make sense to introduce negative value for common TA in R19. </w:t>
      </w:r>
    </w:p>
    <w:p>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rPr>
          <w:rFonts w:eastAsia="宋体"/>
          <w:lang w:eastAsia="zh-CN"/>
        </w:rPr>
      </w:pPr>
      <w:r>
        <w:rPr>
          <w:rFonts w:hint="eastAsia" w:eastAsia="宋体"/>
          <w:lang w:eastAsia="zh-CN"/>
        </w:rPr>
        <w:t>In this document, we provide our analysis on the LS received from RAN2, and we drawn some observations and suggest a way forward as follows:</w:t>
      </w:r>
    </w:p>
    <w:p>
      <w:pPr>
        <w:pStyle w:val="3"/>
        <w:rPr>
          <w:rFonts w:eastAsia="宋体"/>
          <w:b/>
          <w:bCs/>
          <w:lang w:eastAsia="zh-CN"/>
        </w:rPr>
      </w:pPr>
      <w:r>
        <w:rPr>
          <w:rFonts w:hint="eastAsia" w:eastAsia="宋体"/>
          <w:b/>
          <w:bCs/>
          <w:lang w:eastAsia="zh-CN"/>
        </w:rPr>
        <w:t xml:space="preserve">Observation 1: Setting common TA value to 0 for regenerative payload is not a new topic in R19. In R17 NTN, supporting value 0 for common TA was discussed and supported, since then there was no further issue spotted in RAN1. </w:t>
      </w:r>
    </w:p>
    <w:p>
      <w:pPr>
        <w:pStyle w:val="3"/>
        <w:rPr>
          <w:rFonts w:eastAsia="宋体"/>
          <w:b/>
          <w:bCs/>
          <w:lang w:eastAsia="zh-CN"/>
        </w:rPr>
      </w:pPr>
      <w:r>
        <w:rPr>
          <w:rFonts w:hint="eastAsia" w:eastAsia="宋体"/>
          <w:b/>
          <w:bCs/>
          <w:lang w:eastAsia="zh-CN"/>
        </w:rPr>
        <w:t xml:space="preserve">Observation 2: By introducing a new negative </w:t>
      </w:r>
      <w:r>
        <w:rPr>
          <w:rFonts w:eastAsia="宋体"/>
          <w:b/>
          <w:bCs/>
          <w:lang w:eastAsia="zh-CN"/>
        </w:rPr>
        <w:t>values</w:t>
      </w:r>
      <w:r>
        <w:rPr>
          <w:rFonts w:hint="eastAsia" w:eastAsia="宋体"/>
          <w:b/>
          <w:bCs/>
          <w:lang w:eastAsia="zh-CN"/>
        </w:rPr>
        <w:t xml:space="preserve"> </w:t>
      </w:r>
      <w:r>
        <w:rPr>
          <w:rFonts w:eastAsia="宋体"/>
          <w:b/>
          <w:bCs/>
          <w:lang w:eastAsia="zh-CN"/>
        </w:rPr>
        <w:t>for common TA</w:t>
      </w:r>
      <w:r>
        <w:rPr>
          <w:rFonts w:hint="eastAsia" w:eastAsia="宋体"/>
          <w:b/>
          <w:bCs/>
          <w:lang w:eastAsia="zh-CN"/>
        </w:rPr>
        <w:t xml:space="preserve">, it implies that the legacy UE and the R19 UE will see a different position of the UL synchronization reference point. </w:t>
      </w:r>
    </w:p>
    <w:p>
      <w:pPr>
        <w:pStyle w:val="3"/>
        <w:rPr>
          <w:rFonts w:eastAsia="宋体"/>
          <w:lang w:eastAsia="zh-CN"/>
        </w:rPr>
      </w:pPr>
      <w:r>
        <w:rPr>
          <w:rFonts w:hint="eastAsia" w:eastAsia="宋体"/>
          <w:b/>
          <w:bCs/>
          <w:lang w:eastAsia="zh-CN"/>
        </w:rPr>
        <w:t>Observation 3: If the network operates at the reference point seen by R19 UE, then it will degradate the uplink performance for the legacy UE.</w:t>
      </w:r>
    </w:p>
    <w:p>
      <w:pPr>
        <w:pStyle w:val="3"/>
        <w:rPr>
          <w:rFonts w:eastAsia="宋体"/>
          <w:b/>
          <w:bCs/>
          <w:lang w:eastAsia="zh-CN"/>
        </w:rPr>
      </w:pPr>
      <w:r>
        <w:rPr>
          <w:rFonts w:hint="eastAsia" w:eastAsia="宋体"/>
          <w:b/>
          <w:bCs/>
          <w:lang w:eastAsia="zh-CN"/>
        </w:rPr>
        <w:t xml:space="preserve">Observation 4: For TA accuracy error falls in [-Te,+Te] with Te smaller than CP length, gNB implementation can avoid any performance degradation. </w:t>
      </w:r>
    </w:p>
    <w:p>
      <w:pPr>
        <w:pStyle w:val="3"/>
        <w:rPr>
          <w:rFonts w:eastAsia="宋体"/>
          <w:b/>
          <w:bCs/>
          <w:lang w:eastAsia="zh-CN"/>
        </w:rPr>
      </w:pPr>
      <w:r>
        <w:rPr>
          <w:rFonts w:hint="eastAsia" w:eastAsia="宋体"/>
          <w:b/>
          <w:bCs/>
          <w:lang w:eastAsia="zh-CN"/>
        </w:rPr>
        <w:t>Observation 5: If only introducing negative common TA value for R19 UE, it makes gNB difficult to adjust an appropriate FFT window for UL reception, resulting in performance degradation for legacy UE.</w:t>
      </w:r>
    </w:p>
    <w:p>
      <w:pPr>
        <w:pStyle w:val="3"/>
        <w:rPr>
          <w:rFonts w:eastAsia="宋体"/>
          <w:b/>
          <w:bCs/>
          <w:lang w:eastAsia="zh-CN"/>
        </w:rPr>
      </w:pPr>
      <w:r>
        <w:rPr>
          <w:rFonts w:hint="eastAsia" w:eastAsia="宋体"/>
          <w:b/>
          <w:bCs/>
          <w:lang w:eastAsia="zh-CN"/>
        </w:rPr>
        <w:t xml:space="preserve">Proposal: RAN1 replies RAN1that no issue with setting common TA to zero for regenerative payload. It does not make sense to introduce negative value for common TA in R19. </w:t>
      </w:r>
    </w:p>
    <w:p>
      <w:pPr>
        <w:pStyle w:val="3"/>
        <w:spacing w:line="252" w:lineRule="auto"/>
        <w:rPr>
          <w:rFont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等线"/>
          <w:szCs w:val="20"/>
          <w:lang w:val="en-GB" w:eastAsia="zh-CN"/>
        </w:rPr>
      </w:pPr>
      <w:r>
        <w:rPr>
          <w:rFonts w:eastAsia="等线"/>
          <w:szCs w:val="20"/>
          <w:lang w:eastAsia="zh-CN"/>
        </w:rPr>
        <w:t xml:space="preserve">[1]     </w:t>
      </w:r>
      <w:r>
        <w:rPr>
          <w:rFonts w:hint="eastAsia" w:eastAsia="等线"/>
          <w:szCs w:val="20"/>
          <w:lang w:eastAsia="zh-CN"/>
        </w:rPr>
        <w:t>R2-2407623</w:t>
      </w:r>
      <w:r>
        <w:rPr>
          <w:rFonts w:eastAsia="等线"/>
          <w:szCs w:val="20"/>
          <w:lang w:eastAsia="zh-CN"/>
        </w:rPr>
        <w:t>, “</w:t>
      </w:r>
      <w:r>
        <w:rPr>
          <w:rFonts w:hint="eastAsia" w:eastAsia="等线"/>
          <w:szCs w:val="20"/>
          <w:lang w:eastAsia="zh-CN"/>
        </w:rPr>
        <w:t xml:space="preserve">LS on common TA in a regenerative payload scenario </w:t>
      </w:r>
      <w:r>
        <w:rPr>
          <w:rFonts w:eastAsia="等线"/>
          <w:szCs w:val="20"/>
          <w:lang w:eastAsia="zh-CN"/>
        </w:rPr>
        <w:t xml:space="preserve">”, </w:t>
      </w:r>
      <w:r>
        <w:rPr>
          <w:rFonts w:hint="eastAsia" w:eastAsia="等线"/>
          <w:szCs w:val="20"/>
          <w:lang w:eastAsia="zh-CN"/>
        </w:rPr>
        <w:t>CMCC</w:t>
      </w:r>
      <w:r>
        <w:rPr>
          <w:rFonts w:eastAsia="等线"/>
          <w:szCs w:val="20"/>
          <w:lang w:eastAsia="zh-CN"/>
        </w:rPr>
        <w:t>, 3GPP RAN</w:t>
      </w:r>
      <w:r>
        <w:rPr>
          <w:rFonts w:hint="eastAsia" w:eastAsia="等线"/>
          <w:szCs w:val="20"/>
          <w:lang w:eastAsia="zh-CN"/>
        </w:rPr>
        <w:t>2</w:t>
      </w:r>
      <w:r>
        <w:rPr>
          <w:rFonts w:eastAsia="等线"/>
          <w:szCs w:val="20"/>
          <w:lang w:eastAsia="zh-CN"/>
        </w:rPr>
        <w:t>#</w:t>
      </w:r>
      <w:r>
        <w:rPr>
          <w:rFonts w:hint="eastAsia" w:eastAsia="等线"/>
          <w:szCs w:val="20"/>
          <w:lang w:eastAsia="zh-CN"/>
        </w:rPr>
        <w:t>127</w:t>
      </w:r>
      <w:r>
        <w:rPr>
          <w:rFonts w:eastAsia="等线"/>
          <w:szCs w:val="20"/>
          <w:lang w:eastAsia="zh-CN"/>
        </w:rPr>
        <w:t>.</w:t>
      </w:r>
    </w:p>
    <w:p>
      <w:pPr>
        <w:pStyle w:val="3"/>
        <w:spacing w:after="0"/>
        <w:rPr>
          <w:rFonts w:eastAsiaTheme="minorEastAsia"/>
          <w:lang w:val="en-GB" w:eastAsia="zh-CN"/>
        </w:rPr>
      </w:pP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Segoe Print"/>
    <w:panose1 w:val="02020609040205080304"/>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B6FB0"/>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4CE9"/>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B7A87"/>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A0C"/>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18D650F"/>
    <w:rsid w:val="042757CB"/>
    <w:rsid w:val="05357FCE"/>
    <w:rsid w:val="05E819D8"/>
    <w:rsid w:val="06E07B90"/>
    <w:rsid w:val="07BB5A10"/>
    <w:rsid w:val="07CF6FEF"/>
    <w:rsid w:val="088A7EA5"/>
    <w:rsid w:val="09937EF1"/>
    <w:rsid w:val="0A3E2517"/>
    <w:rsid w:val="0A963E6E"/>
    <w:rsid w:val="0BF65554"/>
    <w:rsid w:val="0E616B78"/>
    <w:rsid w:val="102146A5"/>
    <w:rsid w:val="103E29B6"/>
    <w:rsid w:val="10D10930"/>
    <w:rsid w:val="11811958"/>
    <w:rsid w:val="11900FB5"/>
    <w:rsid w:val="13092908"/>
    <w:rsid w:val="134277FC"/>
    <w:rsid w:val="14DF4A51"/>
    <w:rsid w:val="1516491B"/>
    <w:rsid w:val="178428AC"/>
    <w:rsid w:val="1A4D2A2B"/>
    <w:rsid w:val="1B5C5C40"/>
    <w:rsid w:val="1C147F89"/>
    <w:rsid w:val="1C5B00EB"/>
    <w:rsid w:val="1F827C5E"/>
    <w:rsid w:val="238856B8"/>
    <w:rsid w:val="244C6298"/>
    <w:rsid w:val="25491C61"/>
    <w:rsid w:val="26D9013E"/>
    <w:rsid w:val="2792442F"/>
    <w:rsid w:val="28E841F0"/>
    <w:rsid w:val="29D1326C"/>
    <w:rsid w:val="29F12227"/>
    <w:rsid w:val="2A791E64"/>
    <w:rsid w:val="2AAA37C4"/>
    <w:rsid w:val="2C0049D0"/>
    <w:rsid w:val="2C1E20DA"/>
    <w:rsid w:val="2D7E32CD"/>
    <w:rsid w:val="2EDB2C65"/>
    <w:rsid w:val="2F237C74"/>
    <w:rsid w:val="308C2D0B"/>
    <w:rsid w:val="31161346"/>
    <w:rsid w:val="32930CAF"/>
    <w:rsid w:val="33105229"/>
    <w:rsid w:val="338E5F25"/>
    <w:rsid w:val="33BC6E92"/>
    <w:rsid w:val="35BB6741"/>
    <w:rsid w:val="376F641E"/>
    <w:rsid w:val="38267AD7"/>
    <w:rsid w:val="38AA5AC1"/>
    <w:rsid w:val="39D766E6"/>
    <w:rsid w:val="3A52115A"/>
    <w:rsid w:val="3A941FAB"/>
    <w:rsid w:val="3B4660C0"/>
    <w:rsid w:val="3E2C0E54"/>
    <w:rsid w:val="3EB06E26"/>
    <w:rsid w:val="3EB61BBD"/>
    <w:rsid w:val="3ECD12A4"/>
    <w:rsid w:val="43330398"/>
    <w:rsid w:val="442D6CF2"/>
    <w:rsid w:val="45195469"/>
    <w:rsid w:val="453045BA"/>
    <w:rsid w:val="46E2562B"/>
    <w:rsid w:val="472711D7"/>
    <w:rsid w:val="492C443D"/>
    <w:rsid w:val="495C361A"/>
    <w:rsid w:val="495F7A78"/>
    <w:rsid w:val="49E65EF6"/>
    <w:rsid w:val="4A02505E"/>
    <w:rsid w:val="4A3476A1"/>
    <w:rsid w:val="4A52101A"/>
    <w:rsid w:val="4ADF579F"/>
    <w:rsid w:val="4B6A5417"/>
    <w:rsid w:val="4BEE1B37"/>
    <w:rsid w:val="4C7012D0"/>
    <w:rsid w:val="4CEB0A3C"/>
    <w:rsid w:val="4E1051C9"/>
    <w:rsid w:val="4E481B7F"/>
    <w:rsid w:val="5064776F"/>
    <w:rsid w:val="51FF5E0B"/>
    <w:rsid w:val="526731E7"/>
    <w:rsid w:val="52C827EC"/>
    <w:rsid w:val="536947D4"/>
    <w:rsid w:val="551B27E6"/>
    <w:rsid w:val="55A8394F"/>
    <w:rsid w:val="5A735C77"/>
    <w:rsid w:val="5C0A73BB"/>
    <w:rsid w:val="5C3A26DF"/>
    <w:rsid w:val="5CBD2DC2"/>
    <w:rsid w:val="62D7067B"/>
    <w:rsid w:val="64177C29"/>
    <w:rsid w:val="664769BF"/>
    <w:rsid w:val="66C92255"/>
    <w:rsid w:val="69BF68B5"/>
    <w:rsid w:val="6C2A6F04"/>
    <w:rsid w:val="6E621AF0"/>
    <w:rsid w:val="6FC252BB"/>
    <w:rsid w:val="70874EAC"/>
    <w:rsid w:val="70A174BD"/>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_Style 1"/>
    <w:basedOn w:val="1"/>
    <w:qFormat/>
    <w:uiPriority w:val="34"/>
    <w:pPr>
      <w:ind w:left="840" w:leftChars="400"/>
    </w:pPr>
  </w:style>
  <w:style w:type="paragraph" w:customStyle="1" w:styleId="98">
    <w:name w:val="列表段落3"/>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6D844F-8277-47DD-9E95-2128B49E82B7}">
  <ds:schemaRefs/>
</ds:datastoreItem>
</file>

<file path=customXml/itemProps3.xml><?xml version="1.0" encoding="utf-8"?>
<ds:datastoreItem xmlns:ds="http://schemas.openxmlformats.org/officeDocument/2006/customXml" ds:itemID="{B5E5DB49-3037-4BAE-9A72-E672700B4C09}">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3</Pages>
  <Words>1134</Words>
  <Characters>6470</Characters>
  <Lines>53</Lines>
  <Paragraphs>15</Paragraphs>
  <TotalTime>0</TotalTime>
  <ScaleCrop>false</ScaleCrop>
  <LinksUpToDate>false</LinksUpToDate>
  <CharactersWithSpaces>7589</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2024-10-01T13:29:00Z</dcterms:created>
  <dc:creator>80155464</dc:creator>
  <cp:lastModifiedBy>林浩</cp:lastModifiedBy>
  <dcterms:modified xsi:type="dcterms:W3CDTF">2024-10-01T19:44:23Z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441927609EED4A84AC6F41762E1BD716_13</vt:lpwstr>
  </property>
</Properties>
</file>