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w:t>
      </w:r>
      <w:r>
        <w:rPr>
          <w:rFonts w:hint="default" w:ascii="Times New Roman" w:hAnsi="Times New Roman" w:eastAsia="宋体" w:cs="Times New Roman"/>
          <w:b/>
          <w:sz w:val="22"/>
          <w:szCs w:val="22"/>
          <w:lang w:val="en-US" w:eastAsia="zh-CN"/>
        </w:rPr>
        <w:t>8</w:t>
      </w:r>
      <w:r>
        <w:rPr>
          <w:rFonts w:hint="eastAsia" w:ascii="Times New Roman" w:hAnsi="Times New Roman" w:eastAsia="宋体" w:cs="Times New Roman"/>
          <w:b/>
          <w:sz w:val="22"/>
          <w:szCs w:val="22"/>
          <w:lang w:val="en-US" w:eastAsia="zh-CN"/>
        </w:rPr>
        <w:t>bis</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highlight w:val="none"/>
          <w:lang w:eastAsia="zh-CN"/>
        </w:rPr>
        <w:t>R1-2408134</w:t>
      </w:r>
    </w:p>
    <w:p>
      <w:pPr>
        <w:tabs>
          <w:tab w:val="center" w:pos="4536"/>
          <w:tab w:val="right" w:pos="9072"/>
        </w:tabs>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Hefei, China, October 14</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- 18</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2024 </w:t>
      </w:r>
    </w:p>
    <w:p>
      <w:pPr>
        <w:pStyle w:val="15"/>
        <w:rPr>
          <w:rFonts w:hint="default" w:ascii="Times New Roman" w:hAnsi="Times New Roman" w:eastAsia="宋体" w:cs="Times New Roman"/>
          <w:b/>
          <w:sz w:val="22"/>
          <w:szCs w:val="22"/>
          <w:lang w:eastAsia="zh-CN"/>
        </w:rPr>
      </w:pP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 xml:space="preserve">Discussion on </w:t>
      </w:r>
      <w:bookmarkStart w:id="0" w:name="_Hlk159079655"/>
      <w:r>
        <w:rPr>
          <w:rFonts w:hint="default" w:ascii="Times New Roman" w:hAnsi="Times New Roman" w:cs="Times New Roman"/>
          <w:sz w:val="22"/>
          <w:szCs w:val="22"/>
        </w:rPr>
        <w:t>adap</w:t>
      </w:r>
      <w:r>
        <w:rPr>
          <w:rFonts w:hint="default" w:ascii="Times New Roman" w:hAnsi="Times New Roman" w:cs="Times New Roman" w:eastAsiaTheme="minorEastAsia"/>
          <w:sz w:val="22"/>
          <w:szCs w:val="22"/>
          <w:lang w:eastAsia="zh-CN"/>
        </w:rPr>
        <w:t>t</w:t>
      </w:r>
      <w:r>
        <w:rPr>
          <w:rFonts w:hint="default" w:ascii="Times New Roman" w:hAnsi="Times New Roman" w:cs="Times New Roman"/>
          <w:sz w:val="22"/>
          <w:szCs w:val="22"/>
        </w:rPr>
        <w:t>ation of common signal/channel transmission</w:t>
      </w:r>
      <w:bookmarkEnd w:id="0"/>
    </w:p>
    <w:p>
      <w:pPr>
        <w:pStyle w:val="15"/>
        <w:tabs>
          <w:tab w:val="left" w:pos="1800"/>
        </w:tabs>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9.5.3</w:t>
      </w:r>
    </w:p>
    <w:p>
      <w:pPr>
        <w:pStyle w:val="15"/>
        <w:tabs>
          <w:tab w:val="left" w:pos="1800"/>
        </w:tabs>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rPr>
          <w:rFonts w:hint="default" w:ascii="Times New Roman" w:hAnsi="Times New Roman" w:cs="Times New Roman"/>
          <w:sz w:val="22"/>
          <w:szCs w:val="22"/>
        </w:rPr>
      </w:pPr>
    </w:p>
    <w:p>
      <w:pPr>
        <w:pStyle w:val="2"/>
        <w:rPr>
          <w:rFonts w:hint="default" w:ascii="Times New Roman" w:hAnsi="Times New Roman" w:cs="Times New Roman"/>
        </w:rPr>
      </w:pPr>
      <w:r>
        <w:rPr>
          <w:rFonts w:hint="default" w:ascii="Times New Roman" w:hAnsi="Times New Roman" w:cs="Times New Roman"/>
        </w:rPr>
        <w:t>Introduction</w:t>
      </w:r>
    </w:p>
    <w:p>
      <w:pPr>
        <w:pStyle w:val="4"/>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 meeting #102, the new WID regarding e</w:t>
      </w:r>
      <w:r>
        <w:rPr>
          <w:rFonts w:hint="default" w:ascii="Times New Roman" w:hAnsi="Times New Roman" w:eastAsia="宋体" w:cs="Times New Roman"/>
          <w:color w:val="000000"/>
          <w:szCs w:val="20"/>
          <w:lang w:eastAsia="zh-CN"/>
        </w:rPr>
        <w:t>nhancements of network energy savings for NR</w:t>
      </w:r>
      <w:r>
        <w:rPr>
          <w:rFonts w:hint="default" w:ascii="Times New Roman" w:hAnsi="Times New Roman" w:eastAsia="等线" w:cs="Times New Roman"/>
          <w:szCs w:val="20"/>
          <w:lang w:eastAsia="zh-CN"/>
        </w:rPr>
        <w:t xml:space="preserve"> [1] was approved. </w:t>
      </w:r>
      <w:r>
        <w:rPr>
          <w:rFonts w:hint="default" w:ascii="Times New Roman" w:hAnsi="Times New Roman" w:eastAsia="宋体" w:cs="Times New Roman"/>
          <w:bCs/>
          <w:szCs w:val="20"/>
          <w:lang w:val="en-GB" w:eastAsia="en-GB"/>
        </w:rPr>
        <w:t>One objective of the work item is the following</w:t>
      </w:r>
      <w:r>
        <w:rPr>
          <w:rFonts w:hint="default" w:ascii="Times New Roman" w:hAnsi="Times New Roman" w:eastAsia="宋体" w:cs="Times New Roman"/>
          <w:bCs/>
          <w:szCs w:val="20"/>
          <w:lang w:val="en-GB" w:eastAsia="zh-CN"/>
        </w:rPr>
        <w:t>.</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numPr>
                <w:ilvl w:val="0"/>
                <w:numId w:val="7"/>
              </w:numPr>
              <w:overflowPunct w:val="0"/>
              <w:autoSpaceDE w:val="0"/>
              <w:autoSpaceDN w:val="0"/>
              <w:adjustRightInd w:val="0"/>
              <w:spacing w:after="180"/>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Specify a</w:t>
            </w:r>
            <w:r>
              <w:rPr>
                <w:rFonts w:hint="default" w:ascii="Times New Roman" w:hAnsi="Times New Roman" w:eastAsia="宋体" w:cs="Times New Roman"/>
                <w:i/>
                <w:iCs/>
                <w:szCs w:val="20"/>
                <w:lang w:val="en-GB" w:eastAsia="en-GB"/>
              </w:rPr>
              <w:t xml:space="preserve">daptation of common signal/channel transmissions. </w:t>
            </w:r>
            <w:r>
              <w:rPr>
                <w:rFonts w:hint="default" w:ascii="Times New Roman" w:hAnsi="Times New Roman" w:eastAsia="宋体" w:cs="Times New Roman"/>
                <w:i/>
                <w:iCs/>
                <w:szCs w:val="20"/>
                <w:lang w:val="en-GB" w:eastAsia="zh-CN"/>
              </w:rPr>
              <w:t>[RAN1/2/3/4]</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bCs/>
                <w:i/>
                <w:iCs/>
                <w:szCs w:val="20"/>
                <w:lang w:eastAsia="zh-CN"/>
              </w:rPr>
            </w:pPr>
            <w:r>
              <w:rPr>
                <w:rFonts w:hint="default" w:ascii="Times New Roman" w:hAnsi="Times New Roman" w:eastAsia="宋体" w:cs="Times New Roman"/>
                <w:bCs/>
                <w:i/>
                <w:iCs/>
                <w:szCs w:val="20"/>
                <w:lang w:eastAsia="zh-CN"/>
              </w:rPr>
              <w:t xml:space="preserve">Adaptation of SSB in time domain, e.g. adapting periodicity </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Adaptation of PRACH in time domain</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Study adaptation of PRACH in spatial domain, e.g.</w:t>
            </w:r>
            <w:bookmarkStart w:id="1" w:name="_Hlk159208959"/>
            <w:r>
              <w:rPr>
                <w:rFonts w:hint="default" w:ascii="Times New Roman" w:hAnsi="Times New Roman" w:eastAsia="宋体" w:cs="Times New Roman"/>
                <w:i/>
                <w:iCs/>
                <w:szCs w:val="20"/>
                <w:lang w:val="en-GB" w:eastAsia="en-GB"/>
              </w:rPr>
              <w:t xml:space="preserve"> </w:t>
            </w:r>
            <w:bookmarkStart w:id="2" w:name="_Hlk159208535"/>
            <w:r>
              <w:rPr>
                <w:rFonts w:hint="default" w:ascii="Times New Roman" w:hAnsi="Times New Roman" w:eastAsia="宋体" w:cs="Times New Roman"/>
                <w:i/>
                <w:iCs/>
                <w:szCs w:val="20"/>
                <w:lang w:val="en-GB" w:eastAsia="en-GB"/>
              </w:rPr>
              <w:t>non-uniform PRACH resources per SSB</w:t>
            </w:r>
            <w:bookmarkEnd w:id="1"/>
            <w:bookmarkEnd w:id="2"/>
            <w:r>
              <w:rPr>
                <w:rFonts w:hint="default" w:ascii="Times New Roman" w:hAnsi="Times New Roman" w:eastAsia="宋体" w:cs="Times New Roman"/>
                <w:i/>
                <w:iCs/>
                <w:szCs w:val="20"/>
                <w:lang w:val="en-GB" w:eastAsia="en-GB"/>
              </w:rPr>
              <w:t>, and specify if found beneficial</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en-GB"/>
              </w:rPr>
              <w:t>This study is to be done in 2Q’2024 only</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Adaptation of paging </w:t>
            </w:r>
            <w:bookmarkStart w:id="3" w:name="_Hlk159082137"/>
            <w:r>
              <w:rPr>
                <w:rFonts w:hint="default" w:ascii="Times New Roman" w:hAnsi="Times New Roman" w:eastAsia="宋体" w:cs="Times New Roman"/>
                <w:i/>
                <w:iCs/>
                <w:szCs w:val="20"/>
                <w:lang w:val="en-GB" w:eastAsia="zh-CN"/>
              </w:rPr>
              <w:t xml:space="preserve">occasions </w:t>
            </w:r>
            <w:bookmarkEnd w:id="3"/>
            <w:r>
              <w:rPr>
                <w:rFonts w:hint="default" w:ascii="Times New Roman" w:hAnsi="Times New Roman" w:eastAsia="宋体" w:cs="Times New Roman"/>
                <w:i/>
                <w:iCs/>
                <w:szCs w:val="20"/>
                <w:lang w:val="en-GB" w:eastAsia="zh-CN"/>
              </w:rPr>
              <w:t>including confining the paging occasions in the time domain</w:t>
            </w:r>
          </w:p>
          <w:p>
            <w:pPr>
              <w:numPr>
                <w:ilvl w:val="2"/>
                <w:numId w:val="7"/>
              </w:numPr>
              <w:overflowPunct w:val="0"/>
              <w:autoSpaceDE w:val="0"/>
              <w:autoSpaceDN w:val="0"/>
              <w:adjustRightInd w:val="0"/>
              <w:spacing w:before="120" w:beforeLines="50" w:after="120" w:afterLines="50"/>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Note: there shall be no paging latency increase</w:t>
            </w:r>
          </w:p>
          <w:p>
            <w:pPr>
              <w:numPr>
                <w:ilvl w:val="1"/>
                <w:numId w:val="7"/>
              </w:numPr>
              <w:overflowPunct w:val="0"/>
              <w:autoSpaceDE w:val="0"/>
              <w:autoSpaceDN w:val="0"/>
              <w:adjustRightInd w:val="0"/>
              <w:spacing w:before="120" w:beforeLines="50" w:after="120" w:afterLines="50"/>
              <w:ind w:left="1049" w:hanging="329"/>
              <w:jc w:val="both"/>
              <w:textAlignment w:val="baseline"/>
              <w:rPr>
                <w:rFonts w:hint="default" w:ascii="Times New Roman" w:hAnsi="Times New Roman" w:eastAsia="宋体" w:cs="Times New Roman"/>
                <w:i/>
                <w:iCs/>
                <w:szCs w:val="20"/>
                <w:lang w:val="en-GB" w:eastAsia="zh-CN"/>
              </w:rPr>
            </w:pPr>
            <w:r>
              <w:rPr>
                <w:rFonts w:hint="default" w:ascii="Times New Roman" w:hAnsi="Times New Roman" w:eastAsia="宋体" w:cs="Times New Roman"/>
                <w:i/>
                <w:iCs/>
                <w:szCs w:val="20"/>
                <w:lang w:val="en-GB" w:eastAsia="zh-CN"/>
              </w:rPr>
              <w:t xml:space="preserve">Note: there shall be no negative impact to legacy UEs, unless significant benefits are shown </w:t>
            </w:r>
          </w:p>
        </w:tc>
      </w:tr>
    </w:tbl>
    <w:p>
      <w:pPr>
        <w:pStyle w:val="4"/>
        <w:rPr>
          <w:rFonts w:hint="default" w:ascii="Times New Roman" w:hAnsi="Times New Roman" w:eastAsia="宋体" w:cs="Times New Roman"/>
          <w:bCs/>
          <w:szCs w:val="20"/>
          <w:lang w:val="en-GB" w:eastAsia="en-GB"/>
        </w:rPr>
      </w:pPr>
    </w:p>
    <w:p>
      <w:pPr>
        <w:pStyle w:val="4"/>
        <w:rPr>
          <w:rFonts w:hint="default" w:ascii="Times New Roman" w:hAnsi="Times New Roman" w:eastAsia="宋体" w:cs="Times New Roman"/>
          <w:bCs/>
          <w:szCs w:val="20"/>
          <w:lang w:val="en-US" w:eastAsia="zh-CN"/>
        </w:rPr>
      </w:pPr>
      <w:r>
        <w:rPr>
          <w:rFonts w:hint="default" w:ascii="Times New Roman" w:hAnsi="Times New Roman" w:eastAsia="宋体" w:cs="Times New Roman"/>
          <w:bCs/>
          <w:szCs w:val="20"/>
          <w:lang w:val="en-US" w:eastAsia="zh-CN"/>
        </w:rPr>
        <w:t xml:space="preserve">In RAN meeting #104, the WID scope was revised by removing the objective of spatial adaptation for PRACH. But nevertheless, there is an open question that the SSB subset mapping to RO can be either considered as spatial adaptation or time domain adaptation. Thus, it is not clear if SSB subset mapping is within the scope of the revised WID. According to RAN1 chairman recommendation, this clarification is to be made in RAN1#118 meeting. </w:t>
      </w:r>
    </w:p>
    <w:p>
      <w:pPr>
        <w:pStyle w:val="4"/>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等线" w:cs="Times New Roman"/>
          <w:szCs w:val="20"/>
          <w:lang w:eastAsia="zh-CN"/>
        </w:rPr>
        <w:t xml:space="preserve">. </w:t>
      </w:r>
    </w:p>
    <w:p>
      <w:pPr>
        <w:pStyle w:val="2"/>
        <w:rPr>
          <w:rFonts w:hint="default" w:ascii="Times New Roman" w:hAnsi="Times New Roman" w:cs="Times New Roman"/>
        </w:rPr>
      </w:pPr>
      <w:r>
        <w:rPr>
          <w:rFonts w:hint="default" w:ascii="Times New Roman" w:hAnsi="Times New Roman" w:eastAsia="宋体" w:cs="Times New Roman"/>
          <w:lang w:eastAsia="zh-CN"/>
        </w:rPr>
        <w:t>Discussion</w:t>
      </w:r>
    </w:p>
    <w:p>
      <w:pPr>
        <w:pStyle w:val="4"/>
        <w:rPr>
          <w:rFonts w:hint="default" w:ascii="Times New Roman" w:hAnsi="Times New Roman" w:eastAsia="等线" w:cs="Times New Roman"/>
          <w:szCs w:val="20"/>
          <w:lang w:val="en-US" w:eastAsia="zh-CN"/>
        </w:rPr>
      </w:pPr>
      <w:r>
        <w:rPr>
          <w:rFonts w:hint="default" w:ascii="Times New Roman" w:hAnsi="Times New Roman" w:eastAsia="宋体" w:cs="Times New Roman"/>
          <w:szCs w:val="28"/>
          <w:lang w:val="en-US" w:eastAsia="zh-CN"/>
        </w:rPr>
        <w:t xml:space="preserve">In last RAN1 meeting, RAN1 has conducted extensive discussions and made some guidance to the further study scope. In this section, we continue to provide our view to further consolidate the working scope and also give our suggestions/proposals for RAN1 group to consider. </w:t>
      </w:r>
    </w:p>
    <w:p>
      <w:pPr>
        <w:pStyle w:val="4"/>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default" w:ascii="Times New Roman" w:hAnsi="Times New Roman" w:cs="Times New Roman" w:eastAsiaTheme="minorEastAsia"/>
          <w:b/>
          <w:bCs/>
          <w:sz w:val="21"/>
          <w:szCs w:val="21"/>
          <w:lang w:val="en-US" w:eastAsia="zh-CN"/>
        </w:rPr>
        <w:t>2</w:t>
      </w:r>
      <w:r>
        <w:rPr>
          <w:rFonts w:hint="default" w:ascii="Times New Roman" w:hAnsi="Times New Roman" w:cs="Times New Roman" w:eastAsiaTheme="minorEastAsia"/>
          <w:b/>
          <w:bCs/>
          <w:sz w:val="21"/>
          <w:szCs w:val="21"/>
          <w:lang w:val="en-GB" w:eastAsia="zh-CN"/>
        </w:rPr>
        <w:t xml:space="preserve"> Adaptation of PRACH </w:t>
      </w:r>
      <w:r>
        <w:rPr>
          <w:rFonts w:hint="default" w:ascii="Times New Roman" w:hAnsi="Times New Roman" w:cs="Times New Roman" w:eastAsiaTheme="minorEastAsia"/>
          <w:b/>
          <w:bCs/>
          <w:sz w:val="21"/>
          <w:szCs w:val="21"/>
          <w:lang w:val="en-US" w:eastAsia="zh-CN"/>
        </w:rPr>
        <w:t>in time domain</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highlight w:val="green"/>
                <w:lang w:val="en-US" w:eastAsia="zh-CN"/>
              </w:rPr>
              <w:t>Agreement</w:t>
            </w:r>
          </w:p>
          <w:p>
            <w:pPr>
              <w:rPr>
                <w:rFonts w:hint="default" w:ascii="Times New Roman" w:hAnsi="Times New Roman" w:cs="Times New Roman"/>
                <w:sz w:val="18"/>
                <w:szCs w:val="18"/>
              </w:rPr>
            </w:pPr>
            <w:r>
              <w:rPr>
                <w:rFonts w:hint="default" w:ascii="Times New Roman" w:hAnsi="Times New Roman" w:cs="Times New Roman"/>
                <w:sz w:val="18"/>
                <w:szCs w:val="18"/>
              </w:rPr>
              <w:t xml:space="preserve">For adaptation of PRACH in time-domain, the additional PRACH resources are configured based on at least: </w:t>
            </w:r>
          </w:p>
          <w:p>
            <w:pPr>
              <w:pStyle w:val="94"/>
              <w:numPr>
                <w:ilvl w:val="0"/>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a PRACH configuration index </w:t>
            </w:r>
          </w:p>
          <w:p>
            <w:pPr>
              <w:pStyle w:val="94"/>
              <w:numPr>
                <w:ilvl w:val="0"/>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FFS: whether the PRACH configuration index is same and/or different from the PRACH configuration index for the legacy PRACH resources </w:t>
            </w:r>
          </w:p>
          <w:p>
            <w:pPr>
              <w:rPr>
                <w:rFonts w:hint="default" w:ascii="Times New Roman" w:hAnsi="Times New Roman" w:cs="Times New Roman"/>
                <w:sz w:val="18"/>
                <w:szCs w:val="18"/>
              </w:rPr>
            </w:pPr>
            <w:r>
              <w:rPr>
                <w:rFonts w:hint="default" w:ascii="Times New Roman" w:hAnsi="Times New Roman" w:cs="Times New Roman"/>
                <w:sz w:val="18"/>
                <w:szCs w:val="18"/>
              </w:rPr>
              <w:t>Study further the following</w:t>
            </w:r>
          </w:p>
          <w:p>
            <w:pPr>
              <w:pStyle w:val="94"/>
              <w:numPr>
                <w:ilvl w:val="0"/>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When the PRACH configuration index for the additional PRACH resources is same as the PRACH configuration index for the legacy resource, </w:t>
            </w:r>
          </w:p>
          <w:p>
            <w:pPr>
              <w:pStyle w:val="94"/>
              <w:numPr>
                <w:ilvl w:val="1"/>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Additional parameter(s) for determining the additional PRACH resources e.g.</w:t>
            </w:r>
          </w:p>
          <w:p>
            <w:pPr>
              <w:pStyle w:val="94"/>
              <w:numPr>
                <w:ilvl w:val="2"/>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Scaled/adjusted PRACH configuration period </w:t>
            </w:r>
          </w:p>
          <w:p>
            <w:pPr>
              <w:pStyle w:val="94"/>
              <w:numPr>
                <w:ilvl w:val="2"/>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Additional timing offset</w:t>
            </w:r>
          </w:p>
          <w:p>
            <w:pPr>
              <w:pStyle w:val="94"/>
              <w:numPr>
                <w:ilvl w:val="2"/>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Adjusting the parameters (e.g., (x, y) value and slot number) of the PRACH configuration </w:t>
            </w:r>
          </w:p>
          <w:p>
            <w:pPr>
              <w:pStyle w:val="94"/>
              <w:numPr>
                <w:ilvl w:val="2"/>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Muting/masking ROs</w:t>
            </w:r>
          </w:p>
          <w:p>
            <w:pPr>
              <w:pStyle w:val="94"/>
              <w:numPr>
                <w:ilvl w:val="0"/>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When the PRACH configuration index for the additional PRACH resources is different from the PRACH configuration index for the legacy resource</w:t>
            </w:r>
          </w:p>
          <w:p>
            <w:pPr>
              <w:pStyle w:val="94"/>
              <w:numPr>
                <w:ilvl w:val="1"/>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 xml:space="preserve">Additional mechanisms (if any) for determining the additional PRACH resources e.g. </w:t>
            </w:r>
          </w:p>
          <w:p>
            <w:pPr>
              <w:pStyle w:val="94"/>
              <w:numPr>
                <w:ilvl w:val="2"/>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Muting/masking ROs (e.g. for the case when the PRACH configuration index for the additional PRACH resources contains legacy resources)</w:t>
            </w:r>
          </w:p>
          <w:p>
            <w:pPr>
              <w:pStyle w:val="94"/>
              <w:numPr>
                <w:ilvl w:val="0"/>
                <w:numId w:val="8"/>
              </w:numPr>
              <w:overflowPunct/>
              <w:autoSpaceDE/>
              <w:autoSpaceDN/>
              <w:adjustRightInd/>
              <w:spacing w:after="0"/>
              <w:jc w:val="left"/>
              <w:textAlignment w:val="auto"/>
              <w:rPr>
                <w:rFonts w:hint="default" w:ascii="Times New Roman" w:hAnsi="Times New Roman" w:eastAsia="바탕" w:cs="Times New Roman"/>
                <w:sz w:val="18"/>
                <w:szCs w:val="18"/>
              </w:rPr>
            </w:pPr>
            <w:r>
              <w:rPr>
                <w:rFonts w:hint="default" w:ascii="Times New Roman" w:hAnsi="Times New Roman" w:eastAsia="바탕" w:cs="Times New Roman"/>
                <w:sz w:val="18"/>
                <w:szCs w:val="18"/>
              </w:rPr>
              <w:t>Additional parameters to facilitate condensed/cluster RACH resources in time-domain (including whether needed)</w:t>
            </w:r>
          </w:p>
          <w:p>
            <w:pPr>
              <w:pStyle w:val="4"/>
              <w:outlineLvl w:val="1"/>
              <w:rPr>
                <w:rFonts w:hint="default" w:ascii="Times New Roman" w:hAnsi="Times New Roman" w:cs="Times New Roman" w:eastAsiaTheme="minorEastAsia"/>
                <w:b/>
                <w:bCs/>
                <w:sz w:val="21"/>
                <w:szCs w:val="21"/>
                <w:vertAlign w:val="baseline"/>
                <w:lang w:val="en-US" w:eastAsia="zh-CN"/>
              </w:rPr>
            </w:pPr>
          </w:p>
          <w:p>
            <w:pPr>
              <w:rPr>
                <w:rFonts w:hint="default" w:ascii="Times New Roman" w:hAnsi="Times New Roman" w:cs="Times New Roman"/>
                <w:b/>
                <w:bCs/>
                <w:sz w:val="18"/>
                <w:szCs w:val="18"/>
                <w:highlight w:val="green"/>
                <w:lang w:eastAsia="zh-CN"/>
              </w:rPr>
            </w:pPr>
            <w:r>
              <w:rPr>
                <w:rFonts w:hint="default" w:ascii="Times New Roman" w:hAnsi="Times New Roman" w:cs="Times New Roman"/>
                <w:b/>
                <w:bCs/>
                <w:sz w:val="18"/>
                <w:szCs w:val="18"/>
                <w:highlight w:val="green"/>
                <w:lang w:eastAsia="zh-CN"/>
              </w:rPr>
              <w:t>Agreement</w:t>
            </w:r>
          </w:p>
          <w:p>
            <w:pPr>
              <w:pStyle w:val="4"/>
              <w:spacing w:after="0"/>
              <w:jc w:val="left"/>
              <w:rPr>
                <w:rFonts w:hint="default" w:ascii="Times New Roman" w:hAnsi="Times New Roman" w:cs="Times New Roman"/>
                <w:sz w:val="18"/>
                <w:szCs w:val="18"/>
                <w:lang w:eastAsia="en-US"/>
              </w:rPr>
            </w:pPr>
            <w:r>
              <w:rPr>
                <w:rFonts w:hint="default" w:ascii="Times New Roman" w:hAnsi="Times New Roman" w:cs="Times New Roman"/>
                <w:sz w:val="18"/>
                <w:szCs w:val="18"/>
                <w:lang w:eastAsia="en-US"/>
              </w:rPr>
              <w:t>For adaptation of PRACH in time-domain, select at least one from the following alternatives for configuration of the additional PRACH resources</w:t>
            </w:r>
          </w:p>
          <w:p>
            <w:pPr>
              <w:numPr>
                <w:ilvl w:val="0"/>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 xml:space="preserve">Alt 1: The PRACH configuration index for the additional PRACH resources is same as the PRACH configuration index for the legacy resources and </w:t>
            </w:r>
          </w:p>
          <w:p>
            <w:pPr>
              <w:numPr>
                <w:ilvl w:val="1"/>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Discuss further additional mechanism(s) for determining the additional PRACH resources, e.g.</w:t>
            </w:r>
          </w:p>
          <w:p>
            <w:pPr>
              <w:numPr>
                <w:ilvl w:val="2"/>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 xml:space="preserve">Opt 1-1: Scaled/adjusted PRACH configuration period </w:t>
            </w:r>
          </w:p>
          <w:p>
            <w:pPr>
              <w:numPr>
                <w:ilvl w:val="2"/>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Opt 1-2: Adjusting the parameters (e.g., (x, y) value and slot number) of the PRACH configuration</w:t>
            </w:r>
          </w:p>
          <w:p>
            <w:pPr>
              <w:numPr>
                <w:ilvl w:val="2"/>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Opt 1-3: Muting/masking ROs</w:t>
            </w:r>
          </w:p>
          <w:p>
            <w:pPr>
              <w:numPr>
                <w:ilvl w:val="2"/>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Opt 1-4: additional timing offset(s)</w:t>
            </w:r>
          </w:p>
          <w:p>
            <w:pPr>
              <w:numPr>
                <w:ilvl w:val="0"/>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 xml:space="preserve">Alt 2: The PRACH configuration index for the additional PRACH resources is different from the PRACH configuration index for the legacy resources, </w:t>
            </w:r>
          </w:p>
          <w:p>
            <w:pPr>
              <w:numPr>
                <w:ilvl w:val="1"/>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Discuss further additional mechanism(s) for determining the additional PRACH resources, e.g.</w:t>
            </w:r>
          </w:p>
          <w:p>
            <w:pPr>
              <w:numPr>
                <w:ilvl w:val="2"/>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Opt 2-1: Muting/masking ROs (e.g. for the case when the PRACH configuration index for the additional PRACH resources contains legacy resources)</w:t>
            </w:r>
          </w:p>
          <w:p>
            <w:pPr>
              <w:numPr>
                <w:ilvl w:val="2"/>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Opt 2-2: Additional timing offset(s)</w:t>
            </w:r>
          </w:p>
          <w:p>
            <w:pPr>
              <w:numPr>
                <w:ilvl w:val="0"/>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FFS: Additional parameters to facilitate condensed/cluster RACH resources in time-domain (including whether needed)</w:t>
            </w:r>
          </w:p>
          <w:p>
            <w:pPr>
              <w:numPr>
                <w:ilvl w:val="0"/>
                <w:numId w:val="8"/>
              </w:numPr>
              <w:contextualSpacing/>
              <w:rPr>
                <w:rFonts w:hint="default" w:ascii="Times New Roman" w:hAnsi="Times New Roman" w:cs="Times New Roman"/>
                <w:sz w:val="18"/>
                <w:szCs w:val="18"/>
                <w:lang w:val="en-US"/>
              </w:rPr>
            </w:pPr>
            <w:r>
              <w:rPr>
                <w:rFonts w:hint="default" w:ascii="Times New Roman" w:hAnsi="Times New Roman" w:cs="Times New Roman"/>
                <w:sz w:val="18"/>
                <w:szCs w:val="18"/>
                <w:lang w:val="en-US"/>
              </w:rPr>
              <w:t>FFS: Additional frequency domain parameter(s) (e.g., freq. starting offset)</w:t>
            </w:r>
          </w:p>
          <w:p>
            <w:pPr>
              <w:pStyle w:val="4"/>
              <w:outlineLvl w:val="1"/>
              <w:rPr>
                <w:rFonts w:hint="default" w:ascii="Times New Roman" w:hAnsi="Times New Roman" w:cs="Times New Roman" w:eastAsiaTheme="minorEastAsia"/>
                <w:b/>
                <w:bCs/>
                <w:sz w:val="21"/>
                <w:szCs w:val="21"/>
                <w:vertAlign w:val="baseline"/>
                <w:lang w:val="en-US" w:eastAsia="zh-CN"/>
              </w:rPr>
            </w:pPr>
          </w:p>
        </w:tc>
      </w:tr>
    </w:tbl>
    <w:p>
      <w:pPr>
        <w:pStyle w:val="4"/>
        <w:outlineLvl w:val="1"/>
        <w:rPr>
          <w:rFonts w:hint="default" w:ascii="Times New Roman" w:hAnsi="Times New Roman" w:cs="Times New Roman" w:eastAsiaTheme="minorEastAsia"/>
          <w:b/>
          <w:bCs/>
          <w:sz w:val="21"/>
          <w:szCs w:val="21"/>
          <w:lang w:val="en-US" w:eastAsia="zh-CN"/>
        </w:rPr>
      </w:pPr>
    </w:p>
    <w:tbl>
      <w:tblPr>
        <w:tblStyle w:val="20"/>
        <w:tblW w:w="102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027"/>
        <w:gridCol w:w="813"/>
        <w:gridCol w:w="726"/>
        <w:gridCol w:w="2345"/>
        <w:gridCol w:w="897"/>
        <w:gridCol w:w="1027"/>
        <w:gridCol w:w="1097"/>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vMerge w:val="restart"/>
            <w:shd w:val="clear" w:color="auto" w:fill="auto"/>
          </w:tcPr>
          <w:p>
            <w:pPr>
              <w:pStyle w:val="36"/>
              <w:rPr>
                <w:rFonts w:hint="default" w:ascii="Times New Roman" w:hAnsi="Times New Roman" w:eastAsia="Batang" w:cs="Times New Roman"/>
              </w:rPr>
            </w:pPr>
            <w:r>
              <w:rPr>
                <w:rFonts w:hint="default" w:ascii="Times New Roman" w:hAnsi="Times New Roman" w:eastAsia="Batang" w:cs="Times New Roman"/>
              </w:rPr>
              <w:t>PRACH</w:t>
            </w:r>
            <w:r>
              <w:rPr>
                <w:rFonts w:hint="default" w:ascii="Times New Roman" w:hAnsi="Times New Roman" w:eastAsia="Batang" w:cs="Times New Roman"/>
              </w:rPr>
              <w:br w:type="textWrapping"/>
            </w:r>
            <w:r>
              <w:rPr>
                <w:rFonts w:hint="default" w:ascii="Times New Roman" w:hAnsi="Times New Roman" w:eastAsia="Batang" w:cs="Times New Roman"/>
              </w:rPr>
              <w:t xml:space="preserve">Configuration </w:t>
            </w:r>
            <w:r>
              <w:rPr>
                <w:rFonts w:hint="default" w:ascii="Times New Roman" w:hAnsi="Times New Roman" w:eastAsia="Batang" w:cs="Times New Roman"/>
              </w:rPr>
              <w:br w:type="textWrapping"/>
            </w:r>
            <w:r>
              <w:rPr>
                <w:rFonts w:hint="default" w:ascii="Times New Roman" w:hAnsi="Times New Roman" w:eastAsia="Batang" w:cs="Times New Roman"/>
              </w:rPr>
              <w:t>Index</w:t>
            </w:r>
          </w:p>
        </w:tc>
        <w:tc>
          <w:tcPr>
            <w:tcW w:w="1027" w:type="dxa"/>
            <w:vMerge w:val="restart"/>
            <w:shd w:val="clear" w:color="auto" w:fill="auto"/>
          </w:tcPr>
          <w:p>
            <w:pPr>
              <w:pStyle w:val="36"/>
              <w:rPr>
                <w:rFonts w:hint="default" w:ascii="Times New Roman" w:hAnsi="Times New Roman" w:eastAsia="Batang" w:cs="Times New Roman"/>
              </w:rPr>
            </w:pPr>
            <w:r>
              <w:rPr>
                <w:rFonts w:hint="default" w:ascii="Times New Roman" w:hAnsi="Times New Roman" w:eastAsia="Batang" w:cs="Times New Roman"/>
              </w:rPr>
              <w:t>Preamble format</w:t>
            </w:r>
          </w:p>
        </w:tc>
        <w:tc>
          <w:tcPr>
            <w:tcW w:w="1539" w:type="dxa"/>
            <w:gridSpan w:val="2"/>
            <w:tcBorders>
              <w:bottom w:val="nil"/>
            </w:tcBorders>
            <w:shd w:val="clear" w:color="auto" w:fill="auto"/>
          </w:tcPr>
          <w:p>
            <w:pPr>
              <w:pStyle w:val="36"/>
              <w:rPr>
                <w:rFonts w:hint="default" w:ascii="Times New Roman" w:hAnsi="Times New Roman" w:eastAsia="Batang" w:cs="Times New Roman"/>
              </w:rPr>
            </w:pPr>
            <w:r>
              <w:rPr>
                <w:rFonts w:hint="default" w:ascii="Times New Roman" w:hAnsi="Times New Roman" w:eastAsia="Batang" w:cs="Times New Roman"/>
              </w:rPr>
              <w:drawing>
                <wp:inline distT="0" distB="0" distL="114300" distR="114300">
                  <wp:extent cx="829310" cy="191135"/>
                  <wp:effectExtent l="0" t="0" r="889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5"/>
                          <a:stretch>
                            <a:fillRect/>
                          </a:stretch>
                        </pic:blipFill>
                        <pic:spPr>
                          <a:xfrm>
                            <a:off x="0" y="0"/>
                            <a:ext cx="829310" cy="191135"/>
                          </a:xfrm>
                          <a:prstGeom prst="rect">
                            <a:avLst/>
                          </a:prstGeom>
                          <a:noFill/>
                          <a:ln>
                            <a:noFill/>
                          </a:ln>
                        </pic:spPr>
                      </pic:pic>
                    </a:graphicData>
                  </a:graphic>
                </wp:inline>
              </w:drawing>
            </w:r>
          </w:p>
        </w:tc>
        <w:tc>
          <w:tcPr>
            <w:tcW w:w="2345" w:type="dxa"/>
            <w:vMerge w:val="restart"/>
            <w:shd w:val="clear" w:color="auto" w:fill="auto"/>
          </w:tcPr>
          <w:p>
            <w:pPr>
              <w:pStyle w:val="36"/>
              <w:rPr>
                <w:rFonts w:hint="default" w:ascii="Times New Roman" w:hAnsi="Times New Roman" w:eastAsia="Batang" w:cs="Times New Roman"/>
              </w:rPr>
            </w:pPr>
            <w:r>
              <w:rPr>
                <w:rFonts w:hint="default" w:ascii="Times New Roman" w:hAnsi="Times New Roman" w:eastAsia="Batang" w:cs="Times New Roman"/>
              </w:rPr>
              <w:t>Subframe number</w:t>
            </w:r>
          </w:p>
        </w:tc>
        <w:tc>
          <w:tcPr>
            <w:tcW w:w="897" w:type="dxa"/>
            <w:vMerge w:val="restart"/>
            <w:shd w:val="clear" w:color="auto" w:fill="auto"/>
          </w:tcPr>
          <w:p>
            <w:pPr>
              <w:pStyle w:val="36"/>
              <w:rPr>
                <w:rFonts w:hint="default" w:ascii="Times New Roman" w:hAnsi="Times New Roman" w:eastAsia="Batang" w:cs="Times New Roman"/>
              </w:rPr>
            </w:pPr>
            <w:r>
              <w:rPr>
                <w:rFonts w:hint="default" w:ascii="Times New Roman" w:hAnsi="Times New Roman" w:eastAsia="Batang" w:cs="Times New Roman"/>
              </w:rPr>
              <w:t>Starting symbol</w:t>
            </w:r>
          </w:p>
        </w:tc>
        <w:tc>
          <w:tcPr>
            <w:tcW w:w="1027" w:type="dxa"/>
            <w:vMerge w:val="restart"/>
          </w:tcPr>
          <w:p>
            <w:pPr>
              <w:pStyle w:val="36"/>
              <w:rPr>
                <w:rFonts w:hint="default" w:ascii="Times New Roman" w:hAnsi="Times New Roman" w:eastAsia="Batang" w:cs="Times New Roman"/>
              </w:rPr>
            </w:pPr>
            <w:r>
              <w:rPr>
                <w:rFonts w:hint="default" w:ascii="Times New Roman" w:hAnsi="Times New Roman" w:eastAsia="Batang" w:cs="Times New Roman"/>
              </w:rPr>
              <w:t>Number of PRACH slots within a subframe</w:t>
            </w:r>
          </w:p>
        </w:tc>
        <w:tc>
          <w:tcPr>
            <w:tcW w:w="1097" w:type="dxa"/>
            <w:vMerge w:val="restart"/>
          </w:tcPr>
          <w:p>
            <w:pPr>
              <w:pStyle w:val="36"/>
              <w:rPr>
                <w:rFonts w:hint="default" w:ascii="Times New Roman" w:hAnsi="Times New Roman" w:eastAsia="Batang" w:cs="Times New Roman"/>
              </w:rPr>
            </w:pPr>
            <w:r>
              <w:rPr>
                <w:rFonts w:hint="default" w:ascii="Times New Roman" w:hAnsi="Times New Roman" w:eastAsia="Batang" w:cs="Times New Roman"/>
              </w:rPr>
              <w:drawing>
                <wp:inline distT="0" distB="0" distL="114300" distR="114300">
                  <wp:extent cx="414655" cy="21272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6"/>
                          <a:stretch>
                            <a:fillRect/>
                          </a:stretch>
                        </pic:blipFill>
                        <pic:spPr>
                          <a:xfrm>
                            <a:off x="0" y="0"/>
                            <a:ext cx="414655" cy="212725"/>
                          </a:xfrm>
                          <a:prstGeom prst="rect">
                            <a:avLst/>
                          </a:prstGeom>
                          <a:noFill/>
                          <a:ln>
                            <a:noFill/>
                          </a:ln>
                        </pic:spPr>
                      </pic:pic>
                    </a:graphicData>
                  </a:graphic>
                </wp:inline>
              </w:drawing>
            </w:r>
            <w:r>
              <w:rPr>
                <w:rFonts w:hint="default" w:ascii="Times New Roman" w:hAnsi="Times New Roman" w:eastAsia="Batang" w:cs="Times New Roman"/>
              </w:rPr>
              <w:t>, number of time-domain PRACH occasions within a PRACH slot</w:t>
            </w:r>
          </w:p>
        </w:tc>
        <w:tc>
          <w:tcPr>
            <w:tcW w:w="936" w:type="dxa"/>
            <w:vMerge w:val="restart"/>
          </w:tcPr>
          <w:p>
            <w:pPr>
              <w:pStyle w:val="36"/>
              <w:rPr>
                <w:rFonts w:hint="default" w:ascii="Times New Roman" w:hAnsi="Times New Roman" w:eastAsia="Batang" w:cs="Times New Roman"/>
              </w:rPr>
            </w:pPr>
            <w:r>
              <w:rPr>
                <w:rFonts w:hint="default" w:ascii="Times New Roman" w:hAnsi="Times New Roman" w:eastAsia="Batang" w:cs="Times New Roman"/>
              </w:rPr>
              <w:drawing>
                <wp:inline distT="0" distB="0" distL="114300" distR="114300">
                  <wp:extent cx="266065" cy="212725"/>
                  <wp:effectExtent l="0" t="0" r="0" b="63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pic:cNvPicPr>
                        </pic:nvPicPr>
                        <pic:blipFill>
                          <a:blip r:embed="rId7"/>
                          <a:stretch>
                            <a:fillRect/>
                          </a:stretch>
                        </pic:blipFill>
                        <pic:spPr>
                          <a:xfrm>
                            <a:off x="0" y="0"/>
                            <a:ext cx="266065" cy="212725"/>
                          </a:xfrm>
                          <a:prstGeom prst="rect">
                            <a:avLst/>
                          </a:prstGeom>
                          <a:noFill/>
                          <a:ln>
                            <a:noFill/>
                          </a:ln>
                        </pic:spPr>
                      </pic:pic>
                    </a:graphicData>
                  </a:graphic>
                </wp:inline>
              </w:drawing>
            </w:r>
            <w:r>
              <w:rPr>
                <w:rFonts w:hint="default" w:ascii="Times New Roman" w:hAnsi="Times New Roman" w:eastAsia="Batang" w:cs="Times New Roman"/>
              </w:rPr>
              <w:t>,</w:t>
            </w:r>
            <w:r>
              <w:rPr>
                <w:rFonts w:hint="default" w:ascii="Times New Roman" w:hAnsi="Times New Roman" w:eastAsia="Batang" w:cs="Times New Roman"/>
              </w:rPr>
              <w:br w:type="textWrapping"/>
            </w:r>
            <w:r>
              <w:rPr>
                <w:rFonts w:hint="default" w:ascii="Times New Roman" w:hAnsi="Times New Roman" w:eastAsia="Batang" w:cs="Times New Roman"/>
              </w:rPr>
              <w:t>PRACH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vMerge w:val="continue"/>
            <w:shd w:val="clear" w:color="auto" w:fill="auto"/>
            <w:vAlign w:val="center"/>
          </w:tcPr>
          <w:p>
            <w:pPr>
              <w:pStyle w:val="36"/>
              <w:rPr>
                <w:rFonts w:hint="default" w:ascii="Times New Roman" w:hAnsi="Times New Roman" w:eastAsia="Batang" w:cs="Times New Roman"/>
              </w:rPr>
            </w:pPr>
          </w:p>
        </w:tc>
        <w:tc>
          <w:tcPr>
            <w:tcW w:w="1027" w:type="dxa"/>
            <w:vMerge w:val="continue"/>
            <w:shd w:val="clear" w:color="auto" w:fill="auto"/>
            <w:vAlign w:val="center"/>
          </w:tcPr>
          <w:p>
            <w:pPr>
              <w:pStyle w:val="36"/>
              <w:rPr>
                <w:rFonts w:hint="default" w:ascii="Times New Roman" w:hAnsi="Times New Roman" w:eastAsia="Batang" w:cs="Times New Roman"/>
              </w:rPr>
            </w:pPr>
          </w:p>
        </w:tc>
        <w:tc>
          <w:tcPr>
            <w:tcW w:w="813" w:type="dxa"/>
            <w:tcBorders>
              <w:top w:val="nil"/>
            </w:tcBorders>
            <w:shd w:val="clear" w:color="auto" w:fill="auto"/>
            <w:vAlign w:val="center"/>
          </w:tcPr>
          <w:p>
            <w:pPr>
              <w:pStyle w:val="36"/>
              <w:rPr>
                <w:rFonts w:hint="default" w:ascii="Times New Roman" w:hAnsi="Times New Roman" w:eastAsia="Batang" w:cs="Times New Roman"/>
              </w:rPr>
            </w:pPr>
            <w:r>
              <w:rPr>
                <w:rFonts w:hint="default" w:ascii="Times New Roman" w:hAnsi="Times New Roman" w:eastAsia="Batang" w:cs="Times New Roman"/>
                <w:position w:val="-6"/>
              </w:rPr>
              <w:drawing>
                <wp:inline distT="0" distB="0" distL="114300" distR="114300">
                  <wp:extent cx="116840" cy="127635"/>
                  <wp:effectExtent l="0" t="0" r="0" b="1143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pic:cNvPicPr>
                            <a:picLocks noChangeAspect="1"/>
                          </pic:cNvPicPr>
                        </pic:nvPicPr>
                        <pic:blipFill>
                          <a:blip r:embed="rId8"/>
                          <a:stretch>
                            <a:fillRect/>
                          </a:stretch>
                        </pic:blipFill>
                        <pic:spPr>
                          <a:xfrm>
                            <a:off x="0" y="0"/>
                            <a:ext cx="116840" cy="127635"/>
                          </a:xfrm>
                          <a:prstGeom prst="rect">
                            <a:avLst/>
                          </a:prstGeom>
                          <a:noFill/>
                          <a:ln>
                            <a:noFill/>
                          </a:ln>
                        </pic:spPr>
                      </pic:pic>
                    </a:graphicData>
                  </a:graphic>
                </wp:inline>
              </w:drawing>
            </w:r>
          </w:p>
        </w:tc>
        <w:tc>
          <w:tcPr>
            <w:tcW w:w="726" w:type="dxa"/>
            <w:tcBorders>
              <w:top w:val="nil"/>
            </w:tcBorders>
            <w:shd w:val="clear" w:color="auto" w:fill="auto"/>
            <w:vAlign w:val="center"/>
          </w:tcPr>
          <w:p>
            <w:pPr>
              <w:pStyle w:val="36"/>
              <w:rPr>
                <w:rFonts w:hint="default" w:ascii="Times New Roman" w:hAnsi="Times New Roman" w:eastAsia="Batang" w:cs="Times New Roman"/>
              </w:rPr>
            </w:pPr>
            <w:r>
              <w:rPr>
                <w:rFonts w:hint="default" w:ascii="Times New Roman" w:hAnsi="Times New Roman" w:eastAsia="Batang" w:cs="Times New Roman"/>
                <w:position w:val="-10"/>
              </w:rPr>
              <w:drawing>
                <wp:inline distT="0" distB="0" distL="114300" distR="114300">
                  <wp:extent cx="127635" cy="148590"/>
                  <wp:effectExtent l="0" t="0" r="0" b="254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pic:cNvPicPr>
                        </pic:nvPicPr>
                        <pic:blipFill>
                          <a:blip r:embed="rId9"/>
                          <a:stretch>
                            <a:fillRect/>
                          </a:stretch>
                        </pic:blipFill>
                        <pic:spPr>
                          <a:xfrm>
                            <a:off x="0" y="0"/>
                            <a:ext cx="127635" cy="148590"/>
                          </a:xfrm>
                          <a:prstGeom prst="rect">
                            <a:avLst/>
                          </a:prstGeom>
                          <a:noFill/>
                          <a:ln>
                            <a:noFill/>
                          </a:ln>
                        </pic:spPr>
                      </pic:pic>
                    </a:graphicData>
                  </a:graphic>
                </wp:inline>
              </w:drawing>
            </w:r>
          </w:p>
        </w:tc>
        <w:tc>
          <w:tcPr>
            <w:tcW w:w="2345" w:type="dxa"/>
            <w:vMerge w:val="continue"/>
            <w:shd w:val="clear" w:color="auto" w:fill="auto"/>
          </w:tcPr>
          <w:p>
            <w:pPr>
              <w:pStyle w:val="36"/>
              <w:rPr>
                <w:rFonts w:hint="default" w:ascii="Times New Roman" w:hAnsi="Times New Roman" w:eastAsia="Batang" w:cs="Times New Roman"/>
              </w:rPr>
            </w:pPr>
          </w:p>
        </w:tc>
        <w:tc>
          <w:tcPr>
            <w:tcW w:w="897" w:type="dxa"/>
            <w:vMerge w:val="continue"/>
            <w:shd w:val="clear" w:color="auto" w:fill="auto"/>
          </w:tcPr>
          <w:p>
            <w:pPr>
              <w:pStyle w:val="36"/>
              <w:rPr>
                <w:rFonts w:hint="default" w:ascii="Times New Roman" w:hAnsi="Times New Roman" w:eastAsia="Batang" w:cs="Times New Roman"/>
              </w:rPr>
            </w:pPr>
          </w:p>
        </w:tc>
        <w:tc>
          <w:tcPr>
            <w:tcW w:w="1027" w:type="dxa"/>
            <w:vMerge w:val="continue"/>
          </w:tcPr>
          <w:p>
            <w:pPr>
              <w:pStyle w:val="36"/>
              <w:rPr>
                <w:rFonts w:hint="default" w:ascii="Times New Roman" w:hAnsi="Times New Roman" w:eastAsia="Batang" w:cs="Times New Roman"/>
              </w:rPr>
            </w:pPr>
          </w:p>
        </w:tc>
        <w:tc>
          <w:tcPr>
            <w:tcW w:w="1097" w:type="dxa"/>
            <w:vMerge w:val="continue"/>
          </w:tcPr>
          <w:p>
            <w:pPr>
              <w:pStyle w:val="36"/>
              <w:rPr>
                <w:rFonts w:hint="default" w:ascii="Times New Roman" w:hAnsi="Times New Roman" w:eastAsia="Batang" w:cs="Times New Roman"/>
              </w:rPr>
            </w:pPr>
          </w:p>
        </w:tc>
        <w:tc>
          <w:tcPr>
            <w:tcW w:w="936" w:type="dxa"/>
            <w:vMerge w:val="continue"/>
          </w:tcPr>
          <w:p>
            <w:pPr>
              <w:pStyle w:val="36"/>
              <w:rPr>
                <w:rFonts w:hint="default" w:ascii="Times New Roman" w:hAnsi="Times New Roman" w:eastAsia="Batang"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16</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16</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4</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2</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16</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7</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3</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16</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9</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4</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8</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5</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8</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4</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6</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8</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7</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7</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8</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9</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8</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4</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9</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4</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4</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10</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4</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7</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11</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4</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cs="Times New Roman"/>
              </w:rPr>
              <w:t>9</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12</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2</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13</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2</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4</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14</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2</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7</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15</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2</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9</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16</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17</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4</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18</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7</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19</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1,6</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20</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2,7</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21</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3,8</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22</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1,4,7</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23</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2,5,8</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24</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3, 6, 9</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25</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0,2,4,6,8</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26</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1,3,5,7,9</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96" w:type="dxa"/>
            <w:shd w:val="clear" w:color="auto" w:fill="auto"/>
          </w:tcPr>
          <w:p>
            <w:pPr>
              <w:pStyle w:val="37"/>
              <w:rPr>
                <w:rFonts w:hint="default" w:ascii="Times New Roman" w:hAnsi="Times New Roman" w:eastAsia="Batang" w:cs="Times New Roman"/>
              </w:rPr>
            </w:pPr>
            <w:r>
              <w:rPr>
                <w:rFonts w:hint="default" w:ascii="Times New Roman" w:hAnsi="Times New Roman" w:eastAsia="Batang" w:cs="Times New Roman"/>
              </w:rPr>
              <w:t>27</w:t>
            </w:r>
          </w:p>
        </w:tc>
        <w:tc>
          <w:tcPr>
            <w:tcW w:w="102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813"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1</w:t>
            </w:r>
          </w:p>
        </w:tc>
        <w:tc>
          <w:tcPr>
            <w:tcW w:w="726"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2345"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0,1,2,3,4,5,6,7,8,9</w:t>
            </w:r>
          </w:p>
        </w:tc>
        <w:tc>
          <w:tcPr>
            <w:tcW w:w="897" w:type="dxa"/>
            <w:shd w:val="clear" w:color="auto" w:fill="auto"/>
            <w:vAlign w:val="center"/>
          </w:tcPr>
          <w:p>
            <w:pPr>
              <w:pStyle w:val="37"/>
              <w:rPr>
                <w:rFonts w:hint="default" w:ascii="Times New Roman" w:hAnsi="Times New Roman" w:eastAsia="Batang" w:cs="Times New Roman"/>
              </w:rPr>
            </w:pPr>
            <w:r>
              <w:rPr>
                <w:rFonts w:hint="default" w:ascii="Times New Roman" w:hAnsi="Times New Roman" w:eastAsia="Batang" w:cs="Times New Roman"/>
              </w:rPr>
              <w:t>0</w:t>
            </w:r>
          </w:p>
        </w:tc>
        <w:tc>
          <w:tcPr>
            <w:tcW w:w="102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1097" w:type="dxa"/>
            <w:vAlign w:val="center"/>
          </w:tcPr>
          <w:p>
            <w:pPr>
              <w:pStyle w:val="37"/>
              <w:rPr>
                <w:rFonts w:hint="default" w:ascii="Times New Roman" w:hAnsi="Times New Roman" w:eastAsia="Batang" w:cs="Times New Roman"/>
              </w:rPr>
            </w:pPr>
            <w:r>
              <w:rPr>
                <w:rFonts w:hint="default" w:ascii="Times New Roman" w:hAnsi="Times New Roman" w:eastAsia="Batang" w:cs="Times New Roman"/>
              </w:rPr>
              <w:t>-</w:t>
            </w:r>
          </w:p>
        </w:tc>
        <w:tc>
          <w:tcPr>
            <w:tcW w:w="936" w:type="dxa"/>
          </w:tcPr>
          <w:p>
            <w:pPr>
              <w:pStyle w:val="37"/>
              <w:rPr>
                <w:rFonts w:hint="default" w:ascii="Times New Roman" w:hAnsi="Times New Roman" w:eastAsia="Batang" w:cs="Times New Roman"/>
              </w:rPr>
            </w:pPr>
            <w:r>
              <w:rPr>
                <w:rFonts w:hint="default" w:ascii="Times New Roman" w:hAnsi="Times New Roman" w:eastAsia="Batang" w:cs="Times New Roman"/>
              </w:rPr>
              <w:t>0</w:t>
            </w:r>
          </w:p>
        </w:tc>
      </w:tr>
    </w:tbl>
    <w:p>
      <w:pPr>
        <w:pStyle w:val="4"/>
        <w:rPr>
          <w:rFonts w:hint="default" w:ascii="Times New Roman" w:hAnsi="Times New Roman" w:eastAsia="等线" w:cs="Times New Roman"/>
          <w:szCs w:val="20"/>
          <w:lang w:val="en-US" w:eastAsia="zh-CN"/>
        </w:rPr>
      </w:pP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In last meeting, RAN1 has agreed to further study different configuration methods for the additional PRACH configuration. One study point is whether there is a need to consider the enhancement when the network configures a same PRACH configuration index for the additional PRACH as the legacy PRACH configuration. In our view, this is a corner case. The PRACH configuration table contains 256 choices. It is not clear why network can have benefit taking the same PRACH configuration index. Taking format 0 as example, the network can have 28 configuration choices. Moreover, for time domain PRACH adaptation, it is reasonably considered that the configuration for legacy PRACH resources is initiated to be a small overhead and the additional PRACH resources are to intended to be large overhead. This is because if the network has already configured high overhead legacy PRACH resource, there seems no motivation to further add additional PRACH resources, nor would NES gain be justified. But when we look at the low overhead PRACH configuration, e.g. index 0~18, if the legacy PRACH configuration index  is set to 0, and the additional PRACH configuration is also index 0, according to the discussions in last meeting, the x and y parameters are to be changed. But it is equivalent to selecting a different PRACH configuration index 4, 8, 12, 16. In this case, the potential specification impact is not necessary. </w:t>
      </w:r>
    </w:p>
    <w:p>
      <w:pPr>
        <w:pStyle w:val="4"/>
        <w:rPr>
          <w:rFonts w:hint="default" w:ascii="Times New Roman" w:hAnsi="Times New Roman" w:eastAsia="等线" w:cs="Times New Roman"/>
          <w:b w:val="0"/>
          <w:bCs w:val="0"/>
          <w:szCs w:val="20"/>
          <w:lang w:val="en-US" w:eastAsia="zh-CN"/>
        </w:rPr>
      </w:pPr>
      <w:r>
        <w:rPr>
          <w:rFonts w:hint="default" w:ascii="Times New Roman" w:hAnsi="Times New Roman" w:eastAsia="等线" w:cs="Times New Roman"/>
          <w:b/>
          <w:bCs/>
          <w:szCs w:val="20"/>
          <w:lang w:val="en-US" w:eastAsia="zh-CN"/>
        </w:rPr>
        <w:t xml:space="preserve">Proposal 1: RAN1 further considers </w:t>
      </w:r>
      <w:r>
        <w:rPr>
          <w:rFonts w:hint="default" w:ascii="Times New Roman" w:hAnsi="Times New Roman" w:cs="Times New Roman"/>
          <w:b/>
          <w:bCs/>
          <w:sz w:val="18"/>
          <w:szCs w:val="18"/>
          <w:lang w:val="en-US"/>
        </w:rPr>
        <w:t>Alt 2: The PRACH configuration index for the additional PRACH resources is different from the PRACH configuration index for the legacy resources</w:t>
      </w:r>
      <w:r>
        <w:rPr>
          <w:rFonts w:hint="default" w:ascii="Times New Roman" w:hAnsi="Times New Roman" w:eastAsia="等线" w:cs="Times New Roman"/>
          <w:b/>
          <w:bCs/>
          <w:szCs w:val="20"/>
          <w:lang w:val="en-US" w:eastAsia="zh-CN"/>
        </w:rPr>
        <w:t xml:space="preserve">. </w:t>
      </w:r>
    </w:p>
    <w:p>
      <w:pPr>
        <w:pStyle w:val="4"/>
        <w:rPr>
          <w:rFonts w:hint="default" w:ascii="Times New Roman" w:hAnsi="Times New Roman" w:eastAsia="等线" w:cs="Times New Roman"/>
          <w:szCs w:val="20"/>
          <w:lang w:val="en-US" w:eastAsia="zh-CN"/>
        </w:rPr>
      </w:pP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18"/>
                <w:szCs w:val="18"/>
                <w:highlight w:val="green"/>
                <w:lang w:eastAsia="zh-CN"/>
              </w:rPr>
            </w:pPr>
            <w:r>
              <w:rPr>
                <w:rFonts w:hint="default" w:ascii="Times New Roman" w:hAnsi="Times New Roman" w:cs="Times New Roman"/>
                <w:b/>
                <w:bCs/>
                <w:sz w:val="18"/>
                <w:szCs w:val="18"/>
                <w:highlight w:val="green"/>
                <w:lang w:eastAsia="zh-CN"/>
              </w:rPr>
              <w:t>Agreement</w:t>
            </w:r>
          </w:p>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 xml:space="preserve">For DCI-based adaptation for additional PRACH resources, </w:t>
            </w:r>
          </w:p>
          <w:p>
            <w:pPr>
              <w:pStyle w:val="30"/>
              <w:numPr>
                <w:ilvl w:val="0"/>
                <w:numId w:val="9"/>
              </w:numPr>
              <w:overflowPunct w:val="0"/>
              <w:autoSpaceDE w:val="0"/>
              <w:autoSpaceDN w:val="0"/>
              <w:adjustRightInd w:val="0"/>
              <w:spacing w:after="120"/>
              <w:ind w:leftChars="0"/>
              <w:contextualSpacing/>
              <w:jc w:val="both"/>
              <w:textAlignment w:val="baseline"/>
              <w:rPr>
                <w:rFonts w:hint="default" w:ascii="Times New Roman" w:hAnsi="Times New Roman" w:cs="Times New Roman"/>
                <w:sz w:val="18"/>
                <w:szCs w:val="18"/>
              </w:rPr>
            </w:pPr>
            <w:r>
              <w:rPr>
                <w:rFonts w:hint="default" w:ascii="Times New Roman" w:hAnsi="Times New Roman" w:cs="Times New Roman"/>
                <w:sz w:val="18"/>
                <w:szCs w:val="18"/>
              </w:rPr>
              <w:t xml:space="preserve">Select from the following DCI format(s) to carry the adaptation indication. </w:t>
            </w:r>
          </w:p>
          <w:p>
            <w:pPr>
              <w:pStyle w:val="30"/>
              <w:numPr>
                <w:ilvl w:val="1"/>
                <w:numId w:val="9"/>
              </w:numPr>
              <w:overflowPunct w:val="0"/>
              <w:autoSpaceDE w:val="0"/>
              <w:autoSpaceDN w:val="0"/>
              <w:adjustRightInd w:val="0"/>
              <w:spacing w:after="120"/>
              <w:ind w:leftChars="0"/>
              <w:contextualSpacing/>
              <w:jc w:val="both"/>
              <w:textAlignment w:val="baseline"/>
              <w:rPr>
                <w:rFonts w:hint="default" w:ascii="Times New Roman" w:hAnsi="Times New Roman" w:cs="Times New Roman"/>
                <w:sz w:val="18"/>
                <w:szCs w:val="18"/>
              </w:rPr>
            </w:pPr>
            <w:r>
              <w:rPr>
                <w:rFonts w:hint="default" w:ascii="Times New Roman" w:hAnsi="Times New Roman" w:cs="Times New Roman"/>
                <w:sz w:val="18"/>
                <w:szCs w:val="18"/>
              </w:rPr>
              <w:t>DCI format 1_0</w:t>
            </w:r>
          </w:p>
          <w:p>
            <w:pPr>
              <w:pStyle w:val="30"/>
              <w:numPr>
                <w:ilvl w:val="1"/>
                <w:numId w:val="9"/>
              </w:numPr>
              <w:overflowPunct w:val="0"/>
              <w:autoSpaceDE w:val="0"/>
              <w:autoSpaceDN w:val="0"/>
              <w:adjustRightInd w:val="0"/>
              <w:spacing w:after="120"/>
              <w:ind w:leftChars="0"/>
              <w:contextualSpacing/>
              <w:jc w:val="both"/>
              <w:textAlignment w:val="baseline"/>
              <w:rPr>
                <w:rFonts w:hint="default" w:ascii="Times New Roman" w:hAnsi="Times New Roman" w:cs="Times New Roman"/>
                <w:sz w:val="18"/>
                <w:szCs w:val="18"/>
              </w:rPr>
            </w:pPr>
            <w:r>
              <w:rPr>
                <w:rFonts w:hint="default" w:ascii="Times New Roman" w:hAnsi="Times New Roman" w:cs="Times New Roman"/>
                <w:sz w:val="18"/>
                <w:szCs w:val="18"/>
              </w:rPr>
              <w:t>DCI format 2_7</w:t>
            </w:r>
          </w:p>
          <w:p>
            <w:pPr>
              <w:pStyle w:val="30"/>
              <w:numPr>
                <w:ilvl w:val="1"/>
                <w:numId w:val="9"/>
              </w:numPr>
              <w:overflowPunct w:val="0"/>
              <w:autoSpaceDE w:val="0"/>
              <w:autoSpaceDN w:val="0"/>
              <w:adjustRightInd w:val="0"/>
              <w:spacing w:after="120"/>
              <w:ind w:leftChars="0"/>
              <w:contextualSpacing/>
              <w:jc w:val="both"/>
              <w:textAlignment w:val="baseline"/>
              <w:rPr>
                <w:rFonts w:hint="default" w:ascii="Times New Roman" w:hAnsi="Times New Roman" w:cs="Times New Roman"/>
                <w:strike/>
                <w:sz w:val="18"/>
                <w:szCs w:val="18"/>
              </w:rPr>
            </w:pPr>
            <w:r>
              <w:rPr>
                <w:rFonts w:hint="default" w:ascii="Times New Roman" w:hAnsi="Times New Roman" w:cs="Times New Roman"/>
                <w:sz w:val="18"/>
                <w:szCs w:val="18"/>
              </w:rPr>
              <w:t>DCI format 2_9</w:t>
            </w:r>
          </w:p>
          <w:p>
            <w:pPr>
              <w:pStyle w:val="30"/>
              <w:numPr>
                <w:ilvl w:val="0"/>
                <w:numId w:val="9"/>
              </w:numPr>
              <w:overflowPunct w:val="0"/>
              <w:autoSpaceDE w:val="0"/>
              <w:autoSpaceDN w:val="0"/>
              <w:adjustRightInd w:val="0"/>
              <w:spacing w:after="120"/>
              <w:ind w:leftChars="0"/>
              <w:contextualSpacing/>
              <w:jc w:val="both"/>
              <w:textAlignment w:val="baseline"/>
              <w:rPr>
                <w:rFonts w:hint="default" w:ascii="Times New Roman" w:hAnsi="Times New Roman" w:eastAsia="等线" w:cs="Times New Roman"/>
                <w:szCs w:val="20"/>
                <w:vertAlign w:val="baseline"/>
                <w:lang w:val="en-US" w:eastAsia="zh-CN"/>
              </w:rPr>
            </w:pPr>
            <w:r>
              <w:rPr>
                <w:rFonts w:hint="default" w:ascii="Times New Roman" w:hAnsi="Times New Roman" w:cs="Times New Roman"/>
                <w:sz w:val="18"/>
                <w:szCs w:val="18"/>
              </w:rPr>
              <w:t>FFS: existing (P-RNTI, SI-RNTI, CellDTRX-RNTI, PEI-RNTI, C-RNTI) or new RNTI used for detecting the DCI format</w:t>
            </w:r>
          </w:p>
        </w:tc>
      </w:tr>
    </w:tbl>
    <w:p>
      <w:pPr>
        <w:pStyle w:val="4"/>
        <w:rPr>
          <w:rFonts w:hint="default" w:ascii="Times New Roman" w:hAnsi="Times New Roman" w:eastAsia="等线" w:cs="Times New Roman"/>
          <w:szCs w:val="20"/>
          <w:lang w:val="en-US" w:eastAsia="zh-CN"/>
        </w:rPr>
      </w:pP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Another study aspect discussed in last meeting was the adaptation solution. For DCI-based adaptation, RAN1 nails down to DCI format 1_0/2_7/2_9. A more straightforward way is to use DCI format 2_7 for PRACH adaptation for idle UE with PEI-RNTI, and use DCI format 2_9 for connected UE with CellDTRX-RNTI. </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b/>
          <w:bCs/>
          <w:szCs w:val="20"/>
          <w:lang w:val="en-US" w:eastAsia="zh-CN"/>
        </w:rPr>
        <w:t>Proposal 2:  For DCI-based PRACH adaptation, use DCI format 2_7 for PRACH adaptation for idle UE with PEI-RNTI, and use DCI format 2_9 for connected UE with CellDTRX-RNTI.</w:t>
      </w:r>
      <w:r>
        <w:rPr>
          <w:rFonts w:hint="default" w:ascii="Times New Roman" w:hAnsi="Times New Roman" w:eastAsia="等线" w:cs="Times New Roman"/>
          <w:szCs w:val="20"/>
          <w:lang w:val="en-US" w:eastAsia="zh-CN"/>
        </w:rPr>
        <w:t xml:space="preserve"> </w:t>
      </w:r>
    </w:p>
    <w:p>
      <w:pPr>
        <w:pStyle w:val="4"/>
        <w:rPr>
          <w:rFonts w:hint="default" w:ascii="Times New Roman" w:hAnsi="Times New Roman" w:eastAsia="等线" w:cs="Times New Roman"/>
          <w:szCs w:val="20"/>
          <w:lang w:val="en-US" w:eastAsia="zh-CN"/>
        </w:rPr>
      </w:pP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18"/>
                <w:szCs w:val="18"/>
                <w:lang w:eastAsia="zh-CN"/>
              </w:rPr>
            </w:pPr>
            <w:r>
              <w:rPr>
                <w:rFonts w:hint="default" w:ascii="Times New Roman" w:hAnsi="Times New Roman" w:cs="Times New Roman"/>
                <w:b/>
                <w:bCs/>
                <w:sz w:val="18"/>
                <w:szCs w:val="18"/>
                <w:highlight w:val="green"/>
                <w:lang w:eastAsia="zh-CN"/>
              </w:rPr>
              <w:t>Agreement</w:t>
            </w:r>
          </w:p>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For DCI-based adaptation for additional PRACH resources, select only from the following alternatives</w:t>
            </w:r>
          </w:p>
          <w:p>
            <w:pPr>
              <w:numPr>
                <w:ilvl w:val="0"/>
                <w:numId w:val="10"/>
              </w:numPr>
              <w:rPr>
                <w:rFonts w:hint="default" w:ascii="Times New Roman" w:hAnsi="Times New Roman" w:cs="Times New Roman"/>
                <w:sz w:val="18"/>
                <w:szCs w:val="18"/>
              </w:rPr>
            </w:pPr>
            <w:r>
              <w:rPr>
                <w:rFonts w:hint="default" w:ascii="Times New Roman" w:hAnsi="Times New Roman" w:cs="Times New Roman"/>
                <w:sz w:val="18"/>
                <w:szCs w:val="18"/>
              </w:rPr>
              <w:t>Alt 1: (PRACH resource configuration level) DCI-based adaptation to indicate whether the additional PRACH resources provided by semi-static signalling are available or not</w:t>
            </w:r>
          </w:p>
          <w:p>
            <w:pPr>
              <w:numPr>
                <w:ilvl w:val="1"/>
                <w:numId w:val="10"/>
              </w:numPr>
              <w:rPr>
                <w:rFonts w:hint="default" w:ascii="Times New Roman" w:hAnsi="Times New Roman" w:cs="Times New Roman"/>
                <w:sz w:val="18"/>
                <w:szCs w:val="18"/>
              </w:rPr>
            </w:pPr>
            <w:r>
              <w:rPr>
                <w:rFonts w:hint="default" w:ascii="Times New Roman" w:hAnsi="Times New Roman" w:cs="Times New Roman"/>
                <w:sz w:val="18"/>
                <w:szCs w:val="18"/>
              </w:rPr>
              <w:t>FFS: details</w:t>
            </w:r>
          </w:p>
          <w:p>
            <w:pPr>
              <w:numPr>
                <w:ilvl w:val="0"/>
                <w:numId w:val="10"/>
              </w:numPr>
              <w:rPr>
                <w:rFonts w:hint="default" w:ascii="Times New Roman" w:hAnsi="Times New Roman" w:cs="Times New Roman"/>
                <w:sz w:val="18"/>
                <w:szCs w:val="18"/>
              </w:rPr>
            </w:pPr>
            <w:r>
              <w:rPr>
                <w:rFonts w:hint="default" w:ascii="Times New Roman" w:hAnsi="Times New Roman" w:cs="Times New Roman"/>
                <w:sz w:val="18"/>
                <w:szCs w:val="18"/>
              </w:rPr>
              <w:t>Alt 2: (subset of PRACH resource level) DCI-based adaptation to indicate whether a subset of the additional PRACH resources provided by semi-static signalling are available or not</w:t>
            </w:r>
          </w:p>
          <w:p>
            <w:pPr>
              <w:numPr>
                <w:ilvl w:val="1"/>
                <w:numId w:val="10"/>
              </w:numPr>
              <w:rPr>
                <w:rFonts w:hint="default" w:ascii="Times New Roman" w:hAnsi="Times New Roman" w:cs="Times New Roman"/>
                <w:sz w:val="18"/>
                <w:szCs w:val="18"/>
                <w:lang w:val="en-US"/>
              </w:rPr>
            </w:pPr>
            <w:r>
              <w:rPr>
                <w:rFonts w:hint="default" w:ascii="Times New Roman" w:hAnsi="Times New Roman" w:cs="Times New Roman"/>
                <w:sz w:val="18"/>
                <w:szCs w:val="18"/>
              </w:rPr>
              <w:t xml:space="preserve">FFS: whether the subset of the additional PRACH resources is in </w:t>
            </w:r>
          </w:p>
          <w:p>
            <w:pPr>
              <w:numPr>
                <w:ilvl w:val="2"/>
                <w:numId w:val="10"/>
              </w:numPr>
              <w:rPr>
                <w:rFonts w:hint="default" w:ascii="Times New Roman" w:hAnsi="Times New Roman" w:cs="Times New Roman"/>
                <w:sz w:val="18"/>
                <w:szCs w:val="18"/>
                <w:lang w:val="en-US"/>
              </w:rPr>
            </w:pPr>
            <w:r>
              <w:rPr>
                <w:rFonts w:hint="default" w:ascii="Times New Roman" w:hAnsi="Times New Roman" w:cs="Times New Roman"/>
                <w:sz w:val="18"/>
                <w:szCs w:val="18"/>
              </w:rPr>
              <w:t>Alt 2-1: RO level per SSB</w:t>
            </w:r>
          </w:p>
          <w:p>
            <w:pPr>
              <w:numPr>
                <w:ilvl w:val="2"/>
                <w:numId w:val="10"/>
              </w:numPr>
              <w:rPr>
                <w:rFonts w:hint="default" w:ascii="Times New Roman" w:hAnsi="Times New Roman" w:cs="Times New Roman"/>
                <w:sz w:val="18"/>
                <w:szCs w:val="18"/>
                <w:lang w:val="en-US"/>
              </w:rPr>
            </w:pPr>
            <w:r>
              <w:rPr>
                <w:rFonts w:hint="default" w:ascii="Times New Roman" w:hAnsi="Times New Roman" w:cs="Times New Roman"/>
                <w:sz w:val="18"/>
                <w:szCs w:val="18"/>
              </w:rPr>
              <w:t>Alt 2-2: SSB-to-RO mapping cycle level</w:t>
            </w:r>
          </w:p>
          <w:p>
            <w:pPr>
              <w:numPr>
                <w:ilvl w:val="2"/>
                <w:numId w:val="10"/>
              </w:numPr>
              <w:rPr>
                <w:rFonts w:hint="default" w:ascii="Times New Roman" w:hAnsi="Times New Roman" w:cs="Times New Roman"/>
                <w:sz w:val="18"/>
                <w:szCs w:val="18"/>
                <w:lang w:val="en-US"/>
              </w:rPr>
            </w:pPr>
            <w:r>
              <w:rPr>
                <w:rFonts w:hint="default" w:ascii="Times New Roman" w:hAnsi="Times New Roman" w:cs="Times New Roman"/>
                <w:sz w:val="18"/>
                <w:szCs w:val="18"/>
              </w:rPr>
              <w:t>Alt 2-3: PRACH association period level</w:t>
            </w:r>
          </w:p>
          <w:p>
            <w:pPr>
              <w:numPr>
                <w:ilvl w:val="2"/>
                <w:numId w:val="10"/>
              </w:numPr>
              <w:rPr>
                <w:rFonts w:hint="default" w:ascii="Times New Roman" w:hAnsi="Times New Roman" w:cs="Times New Roman"/>
                <w:sz w:val="18"/>
                <w:szCs w:val="18"/>
                <w:lang w:val="en-US"/>
              </w:rPr>
            </w:pPr>
            <w:r>
              <w:rPr>
                <w:rFonts w:hint="default" w:ascii="Times New Roman" w:hAnsi="Times New Roman" w:cs="Times New Roman"/>
                <w:sz w:val="18"/>
                <w:szCs w:val="18"/>
              </w:rPr>
              <w:t>Alt 2-4: PRACH association pattern period level </w:t>
            </w:r>
          </w:p>
          <w:p>
            <w:pPr>
              <w:numPr>
                <w:ilvl w:val="2"/>
                <w:numId w:val="10"/>
              </w:numPr>
              <w:rPr>
                <w:rFonts w:hint="default" w:ascii="Times New Roman" w:hAnsi="Times New Roman" w:cs="Times New Roman"/>
                <w:sz w:val="18"/>
                <w:szCs w:val="18"/>
                <w:lang w:val="en-US"/>
              </w:rPr>
            </w:pPr>
            <w:r>
              <w:rPr>
                <w:rFonts w:hint="default" w:ascii="Times New Roman" w:hAnsi="Times New Roman" w:cs="Times New Roman"/>
                <w:sz w:val="18"/>
                <w:szCs w:val="18"/>
              </w:rPr>
              <w:t>Alt 2-5: SFN level</w:t>
            </w:r>
          </w:p>
          <w:p>
            <w:pPr>
              <w:numPr>
                <w:ilvl w:val="0"/>
                <w:numId w:val="10"/>
              </w:numPr>
              <w:rPr>
                <w:rFonts w:hint="default" w:ascii="Times New Roman" w:hAnsi="Times New Roman" w:cs="Times New Roman"/>
                <w:sz w:val="18"/>
                <w:szCs w:val="18"/>
              </w:rPr>
            </w:pPr>
            <w:r>
              <w:rPr>
                <w:rFonts w:hint="default" w:ascii="Times New Roman" w:hAnsi="Times New Roman" w:cs="Times New Roman"/>
                <w:sz w:val="18"/>
                <w:szCs w:val="18"/>
                <w:lang w:eastAsia="ko-KR"/>
              </w:rPr>
              <w:t xml:space="preserve">Alt 3: </w:t>
            </w:r>
            <w:r>
              <w:rPr>
                <w:rFonts w:hint="default" w:ascii="Times New Roman" w:hAnsi="Times New Roman" w:cs="Times New Roman"/>
                <w:sz w:val="18"/>
                <w:szCs w:val="18"/>
              </w:rPr>
              <w:t>DCI-based Enhanced/new Cell DRX to indicate whether the enhanced/new Cell DRX is activated or deactivated.</w:t>
            </w:r>
          </w:p>
          <w:p>
            <w:pPr>
              <w:numPr>
                <w:ilvl w:val="1"/>
                <w:numId w:val="10"/>
              </w:numPr>
              <w:rPr>
                <w:rFonts w:hint="default" w:ascii="Times New Roman" w:hAnsi="Times New Roman" w:cs="Times New Roman"/>
                <w:sz w:val="18"/>
                <w:szCs w:val="18"/>
              </w:rPr>
            </w:pPr>
            <w:r>
              <w:rPr>
                <w:rFonts w:hint="default" w:ascii="Times New Roman" w:hAnsi="Times New Roman" w:cs="Times New Roman"/>
                <w:sz w:val="18"/>
                <w:szCs w:val="18"/>
              </w:rPr>
              <w:t>If activated, the additional configured PRACH provided by semi-static signalling within non-active period are not available.</w:t>
            </w:r>
          </w:p>
          <w:p>
            <w:pPr>
              <w:numPr>
                <w:ilvl w:val="1"/>
                <w:numId w:val="10"/>
              </w:numPr>
              <w:rPr>
                <w:rFonts w:hint="default" w:ascii="Times New Roman" w:hAnsi="Times New Roman" w:cs="Times New Roman"/>
                <w:sz w:val="18"/>
                <w:szCs w:val="18"/>
              </w:rPr>
            </w:pPr>
            <w:r>
              <w:rPr>
                <w:rFonts w:hint="default" w:ascii="Times New Roman" w:hAnsi="Times New Roman" w:cs="Times New Roman"/>
                <w:sz w:val="18"/>
                <w:szCs w:val="18"/>
              </w:rPr>
              <w:t>FFS: whether Alt 1 and/or Alt 2 can be applied to the active period</w:t>
            </w:r>
          </w:p>
          <w:p>
            <w:pPr>
              <w:numPr>
                <w:ilvl w:val="1"/>
                <w:numId w:val="10"/>
              </w:numPr>
              <w:rPr>
                <w:rFonts w:hint="default" w:ascii="Times New Roman" w:hAnsi="Times New Roman" w:eastAsia="等线" w:cs="Times New Roman"/>
                <w:szCs w:val="20"/>
                <w:vertAlign w:val="baseline"/>
                <w:lang w:val="en-US" w:eastAsia="zh-CN"/>
              </w:rPr>
            </w:pPr>
            <w:r>
              <w:rPr>
                <w:rFonts w:hint="default" w:ascii="Times New Roman" w:hAnsi="Times New Roman" w:cs="Times New Roman"/>
                <w:sz w:val="18"/>
                <w:szCs w:val="18"/>
              </w:rPr>
              <w:t>FFS: details</w:t>
            </w:r>
          </w:p>
        </w:tc>
      </w:tr>
    </w:tbl>
    <w:p>
      <w:pPr>
        <w:pStyle w:val="4"/>
        <w:rPr>
          <w:rFonts w:hint="default" w:ascii="Times New Roman" w:hAnsi="Times New Roman" w:eastAsia="等线" w:cs="Times New Roman"/>
          <w:szCs w:val="20"/>
          <w:lang w:val="en-US" w:eastAsia="zh-CN"/>
        </w:rPr>
      </w:pP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Moreover, for details of DCI-based adaptation, three alternatives are on the table. Alt 1 is the simplest adaptation, the DCI controls to handle activating/deactivating the additional PRACH resources. Thus, Alt 1 should be the baseline. </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Under Alt 2, there are further options are suggested. To our understanding, Alt 2-1 only applicable to one SSB mapping to multiple RO case. Thus, the applicability of this alternative is very limited. Alt 2-2 can be used in wider range, i.e., applicable to any mapping patterns. For Alt 2-3 and Alt 2-4, they are quite similar. The drawback is that the muting granularity is very large, which limits the flexibility of the adaptation. For Alt 2-5, if the granularity is down to 1 SFN, then we wonder indication payload in DCI is quite high.  </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For Alt 3, the enhanced cell DRX is considered, the principle is more straightforward, i.e., the additional PRACH resources are muted within cell DRX non-active period. Although it is very simple, it has less flexibility than Alt 1 and Alt 2. This is because the muting/activation is controlled by the cell DRX pattern instead of the DCI. Since the cell DRX pattern is RRC configured, the muting/activation flexibility is restricted.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1: Alt 1 is the simplest adaptation, the DCI controls to handle activating/deactivating the additional PRACH resources. Thus, Alt 1 should be the baseline.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2: Alt 2-1 only applicable to one SSB mapping to multiple RO case. Thus, the applicability of this alternative is very limited. Alt 2-2 can be used in wider range, i.e., applicable to any mapping patterns. For Alt 2-3 and Alt 2-4, they are quite similar. The drawback is that the muting granularity is very large, which limits the flexibility of the adaptation. For Alt 2-5, if the granularity is down to 1 SFN, then we wonder indication payload in DCI is quite high.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3: For Alt 3, the enhanced cell DRX is considered, the principle is more straightforward, i.e., the additional PRACH resources are muted within cell DRX non-active period. Although it is very simple, it has less flexibility than Alt 1 and Alt 2. This is because the muting/activation is controlled by the cell DRX pattern instead of the DCI. Since the cell DRX pattern is RRC configured, the muting/activation flexibility is restricted.</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Proposal 3: Adopt Alt 1 as the baseline solution. Further consider Alt 2-2.</w:t>
      </w:r>
    </w:p>
    <w:p>
      <w:pPr>
        <w:pStyle w:val="3"/>
        <w:rPr>
          <w:rFonts w:hint="default" w:ascii="Times New Roman" w:hAnsi="Times New Roman" w:cs="Times New Roman"/>
          <w:lang w:val="en-GB" w:eastAsia="zh-CN"/>
        </w:rPr>
      </w:pPr>
      <w:r>
        <w:rPr>
          <w:rFonts w:hint="default" w:ascii="Times New Roman" w:hAnsi="Times New Roman" w:cs="Times New Roman"/>
          <w:lang w:val="en-GB" w:eastAsia="zh-CN"/>
        </w:rPr>
        <w:t>Adaptation of SSB in time domain</w:t>
      </w:r>
    </w:p>
    <w:tbl>
      <w:tblPr>
        <w:tblStyle w:val="21"/>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88" w:type="dxa"/>
          </w:tcPr>
          <w:p>
            <w:pPr>
              <w:rPr>
                <w:rFonts w:hint="default" w:ascii="Times New Roman" w:hAnsi="Times New Roman" w:cs="Times New Roman"/>
                <w:b/>
                <w:bCs/>
                <w:sz w:val="18"/>
                <w:szCs w:val="18"/>
                <w:lang w:eastAsia="zh-CN"/>
              </w:rPr>
            </w:pPr>
            <w:r>
              <w:rPr>
                <w:rFonts w:hint="default" w:ascii="Times New Roman" w:hAnsi="Times New Roman" w:cs="Times New Roman"/>
                <w:b/>
                <w:bCs/>
                <w:sz w:val="18"/>
                <w:szCs w:val="18"/>
                <w:highlight w:val="green"/>
                <w:lang w:eastAsia="zh-CN"/>
              </w:rPr>
              <w:t>Agreement</w:t>
            </w:r>
          </w:p>
          <w:p>
            <w:pPr>
              <w:rPr>
                <w:rFonts w:hint="default" w:ascii="Times New Roman" w:hAnsi="Times New Roman" w:cs="Times New Roman"/>
                <w:sz w:val="18"/>
                <w:szCs w:val="18"/>
              </w:rPr>
            </w:pPr>
            <w:r>
              <w:rPr>
                <w:rFonts w:hint="default" w:ascii="Times New Roman" w:hAnsi="Times New Roman" w:cs="Times New Roman"/>
                <w:sz w:val="18"/>
                <w:szCs w:val="18"/>
              </w:rPr>
              <w:t>For Cell DTX extension to SSBs not on sync-raster for connected mode UEs, select from following options</w:t>
            </w:r>
          </w:p>
          <w:p>
            <w:pPr>
              <w:pStyle w:val="30"/>
              <w:numPr>
                <w:ilvl w:val="0"/>
                <w:numId w:val="10"/>
              </w:numPr>
              <w:ind w:leftChars="0"/>
              <w:contextualSpacing/>
              <w:rPr>
                <w:rFonts w:hint="default" w:ascii="Times New Roman" w:hAnsi="Times New Roman" w:cs="Times New Roman"/>
                <w:sz w:val="18"/>
                <w:szCs w:val="18"/>
              </w:rPr>
            </w:pPr>
            <w:r>
              <w:rPr>
                <w:rFonts w:hint="default" w:ascii="Times New Roman" w:hAnsi="Times New Roman" w:cs="Times New Roman"/>
                <w:sz w:val="18"/>
                <w:szCs w:val="18"/>
              </w:rPr>
              <w:t xml:space="preserve">Option 1: One SSB burst periodicity is configured for the UE and UEs assumes SSB transmissions are not present during Cell DTX non-active period </w:t>
            </w:r>
          </w:p>
          <w:p>
            <w:pPr>
              <w:pStyle w:val="30"/>
              <w:numPr>
                <w:ilvl w:val="0"/>
                <w:numId w:val="10"/>
              </w:numPr>
              <w:ind w:leftChars="0"/>
              <w:contextualSpacing/>
              <w:rPr>
                <w:rFonts w:hint="default" w:ascii="Times New Roman" w:hAnsi="Times New Roman" w:cs="Times New Roman"/>
                <w:sz w:val="18"/>
                <w:szCs w:val="18"/>
              </w:rPr>
            </w:pPr>
            <w:r>
              <w:rPr>
                <w:rFonts w:hint="default" w:ascii="Times New Roman" w:hAnsi="Times New Roman" w:cs="Times New Roman"/>
                <w:sz w:val="18"/>
                <w:szCs w:val="18"/>
              </w:rPr>
              <w:t xml:space="preserve">Option 2: UE assumes SSB transmission with different periodicities during Cell DTX non-active period and during Cell DTX active period </w:t>
            </w:r>
          </w:p>
          <w:p>
            <w:pPr>
              <w:pStyle w:val="30"/>
              <w:numPr>
                <w:ilvl w:val="0"/>
                <w:numId w:val="10"/>
              </w:numPr>
              <w:ind w:leftChars="0"/>
              <w:contextualSpacing/>
              <w:rPr>
                <w:rFonts w:hint="default" w:ascii="Times New Roman" w:hAnsi="Times New Roman" w:cs="Times New Roman"/>
                <w:sz w:val="18"/>
                <w:szCs w:val="18"/>
              </w:rPr>
            </w:pPr>
            <w:r>
              <w:rPr>
                <w:rFonts w:hint="default" w:ascii="Times New Roman" w:hAnsi="Times New Roman" w:cs="Times New Roman"/>
                <w:sz w:val="18"/>
                <w:szCs w:val="18"/>
              </w:rPr>
              <w:t>Option 3: Cell DTX does not impact UE assumption on SSB transmissions (i.e. legacy behavior) – no spec impact</w:t>
            </w:r>
          </w:p>
          <w:p>
            <w:pPr>
              <w:pStyle w:val="4"/>
              <w:numPr>
                <w:ilvl w:val="0"/>
                <w:numId w:val="0"/>
              </w:numPr>
              <w:suppressAutoHyphens/>
              <w:spacing w:after="0"/>
              <w:ind w:left="360" w:leftChars="0"/>
              <w:rPr>
                <w:rFonts w:hint="default" w:ascii="Times New Roman" w:hAnsi="Times New Roman" w:eastAsia="等线" w:cs="Times New Roman"/>
                <w:szCs w:val="20"/>
                <w:vertAlign w:val="baseline"/>
                <w:lang w:eastAsia="zh-CN"/>
              </w:rPr>
            </w:pPr>
          </w:p>
        </w:tc>
      </w:tr>
    </w:tbl>
    <w:p>
      <w:pPr>
        <w:pStyle w:val="4"/>
        <w:rPr>
          <w:rFonts w:hint="default" w:ascii="Times New Roman" w:hAnsi="Times New Roman" w:eastAsia="等线" w:cs="Times New Roman"/>
          <w:szCs w:val="20"/>
          <w:lang w:eastAsia="zh-CN"/>
        </w:rPr>
      </w:pP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The SSB period adaptation is a very basic adaptation dimension, which controls the density of the SSB. The considered scenario is a heterogeneous layout and the cell is a PCell that also provides the coverage level to legacy UE. Option 1 and Option 2 are in the same flavor. In fact, Option 1 is a subset of Option 2. Thus, RAN1 should focus on the option 2. For option 3, we cannot understand why this option is in the list of the options. This option does not seem to have any spec impact and why we call it Cell DTX extension? </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b/>
          <w:bCs/>
          <w:szCs w:val="20"/>
          <w:lang w:val="en-US" w:eastAsia="zh-CN"/>
        </w:rPr>
        <w:t xml:space="preserve">Proposal 4: RAN1 should select option 2. </w:t>
      </w:r>
    </w:p>
    <w:p>
      <w:pPr>
        <w:pStyle w:val="4"/>
        <w:rPr>
          <w:rFonts w:hint="default" w:ascii="Times New Roman" w:hAnsi="Times New Roman" w:eastAsia="等线" w:cs="Times New Roman"/>
          <w:szCs w:val="20"/>
          <w:lang w:eastAsia="zh-CN"/>
        </w:rPr>
      </w:pPr>
    </w:p>
    <w:p>
      <w:pPr>
        <w:pStyle w:val="2"/>
        <w:rPr>
          <w:rFonts w:hint="default" w:ascii="Times New Roman" w:hAnsi="Times New Roman" w:cs="Times New Roman"/>
        </w:rPr>
      </w:pPr>
      <w:r>
        <w:rPr>
          <w:rFonts w:hint="default" w:ascii="Times New Roman" w:hAnsi="Times New Roman" w:cs="Times New Roman"/>
        </w:rPr>
        <w:t>Conclusion</w:t>
      </w:r>
    </w:p>
    <w:p>
      <w:pPr>
        <w:pStyle w:val="4"/>
        <w:spacing w:before="120" w:beforeLines="50"/>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our views on </w:t>
      </w:r>
      <w:r>
        <w:rPr>
          <w:rFonts w:hint="default" w:ascii="Times New Roman" w:hAnsi="Times New Roman" w:eastAsia="宋体" w:cs="Times New Roman"/>
          <w:bCs/>
          <w:szCs w:val="20"/>
          <w:lang w:val="en-GB" w:eastAsia="en-GB"/>
        </w:rPr>
        <w:t>adaptation of common signal/channel transmission</w:t>
      </w:r>
      <w:r>
        <w:rPr>
          <w:rFonts w:hint="default" w:ascii="Times New Roman" w:hAnsi="Times New Roman" w:eastAsia="等线" w:cs="Times New Roman"/>
          <w:szCs w:val="20"/>
          <w:lang w:eastAsia="zh-CN"/>
        </w:rPr>
        <w:t xml:space="preserve"> for </w:t>
      </w:r>
      <w:r>
        <w:rPr>
          <w:rFonts w:hint="default" w:ascii="Times New Roman" w:hAnsi="Times New Roman" w:eastAsia="宋体" w:cs="Times New Roman"/>
          <w:bCs/>
          <w:szCs w:val="20"/>
          <w:lang w:val="en-GB" w:eastAsia="en-GB"/>
        </w:rPr>
        <w:t>Rel-19 NES</w:t>
      </w:r>
      <w:r>
        <w:rPr>
          <w:rFonts w:hint="default" w:ascii="Times New Roman" w:hAnsi="Times New Roman" w:eastAsia="宋体" w:cs="Times New Roman"/>
          <w:iCs/>
          <w:szCs w:val="20"/>
          <w:lang w:eastAsia="zh-CN"/>
        </w:rPr>
        <w:t xml:space="preserve">. The following proposals </w:t>
      </w:r>
      <w:r>
        <w:rPr>
          <w:rFonts w:hint="default" w:ascii="Times New Roman" w:hAnsi="Times New Roman" w:eastAsia="等线" w:cs="Times New Roman"/>
          <w:szCs w:val="20"/>
          <w:lang w:eastAsia="zh-CN"/>
        </w:rPr>
        <w:t>are provided.</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1: Alt 1 is the simplest adaptation, the DCI controls to handle activating/deactivating the additional PRACH resources. Thus, Alt 1 should be the baseline.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 xml:space="preserve">Observation 2: Alt 2-1 only applicable to one SSB mapping to multiple RO case. Thus, the applicability of this alternative is very limited. Alt 2-2 can be used in wider range, i.e., applicable to any mapping patterns. For Alt 2-3 and Alt 2-4, they are quite similar. The drawback is that the muting granularity is very large, which limits the flexibility of the adaptation. For Alt 2-5, if the granularity is down to 1 SFN, then we wonder indication payload in DCI is quite high.  </w:t>
      </w:r>
    </w:p>
    <w:p>
      <w:pPr>
        <w:pStyle w:val="4"/>
        <w:rPr>
          <w:rFonts w:hint="default" w:ascii="Times New Roman" w:hAnsi="Times New Roman" w:eastAsia="等线" w:cs="Times New Roman"/>
          <w:b/>
          <w:bCs/>
          <w:szCs w:val="20"/>
          <w:lang w:val="en-US" w:eastAsia="zh-CN"/>
        </w:rPr>
      </w:pPr>
      <w:r>
        <w:rPr>
          <w:rFonts w:hint="default" w:ascii="Times New Roman" w:hAnsi="Times New Roman" w:eastAsia="等线" w:cs="Times New Roman"/>
          <w:b/>
          <w:bCs/>
          <w:szCs w:val="20"/>
          <w:lang w:val="en-US" w:eastAsia="zh-CN"/>
        </w:rPr>
        <w:t>Observation 3: For Alt 3, the enhanced cell DRX is considered, the principle is more straightforward, i.e., the additional PRACH resources are muted within cell DRX non-active period. Although it is very simple, it has less flexibility than Alt 1 and Alt 2. This is because the muting/activation is controlled by the cell DRX pattern instead of the DCI. Since the cell DRX pattern is RRC configured, the muting/activation flexibility is restricted.</w:t>
      </w:r>
    </w:p>
    <w:p>
      <w:pPr>
        <w:pStyle w:val="4"/>
        <w:rPr>
          <w:rFonts w:hint="default" w:ascii="Times New Roman" w:hAnsi="Times New Roman" w:eastAsia="等线" w:cs="Times New Roman"/>
          <w:b/>
          <w:bCs/>
          <w:szCs w:val="20"/>
          <w:lang w:val="en-US" w:eastAsia="zh-CN"/>
        </w:rPr>
      </w:pPr>
    </w:p>
    <w:p>
      <w:pPr>
        <w:pStyle w:val="4"/>
        <w:rPr>
          <w:rFonts w:hint="default" w:ascii="Times New Roman" w:hAnsi="Times New Roman" w:eastAsia="等线" w:cs="Times New Roman"/>
          <w:b/>
          <w:bCs/>
          <w:szCs w:val="20"/>
          <w:lang w:val="en-US" w:eastAsia="zh-CN"/>
        </w:rPr>
      </w:pPr>
    </w:p>
    <w:p>
      <w:pPr>
        <w:pStyle w:val="4"/>
        <w:rPr>
          <w:rFonts w:hint="default" w:ascii="Times New Roman" w:hAnsi="Times New Roman" w:eastAsia="等线" w:cs="Times New Roman"/>
          <w:b w:val="0"/>
          <w:bCs w:val="0"/>
          <w:szCs w:val="20"/>
          <w:lang w:val="en-US" w:eastAsia="zh-CN"/>
        </w:rPr>
      </w:pPr>
      <w:r>
        <w:rPr>
          <w:rFonts w:hint="default" w:ascii="Times New Roman" w:hAnsi="Times New Roman" w:eastAsia="等线" w:cs="Times New Roman"/>
          <w:b/>
          <w:bCs/>
          <w:szCs w:val="20"/>
          <w:lang w:val="en-US" w:eastAsia="zh-CN"/>
        </w:rPr>
        <w:t xml:space="preserve">Proposal 1: RAN1 further considers </w:t>
      </w:r>
      <w:r>
        <w:rPr>
          <w:rFonts w:hint="default" w:ascii="Times New Roman" w:hAnsi="Times New Roman" w:cs="Times New Roman"/>
          <w:b/>
          <w:bCs/>
          <w:sz w:val="18"/>
          <w:szCs w:val="18"/>
          <w:lang w:val="en-US"/>
        </w:rPr>
        <w:t>Alt 2: The PRACH configuration index for the additional PRACH resources is different from the PRACH configuration index for the legacy resources</w:t>
      </w:r>
      <w:r>
        <w:rPr>
          <w:rFonts w:hint="default" w:ascii="Times New Roman" w:hAnsi="Times New Roman" w:eastAsia="等线" w:cs="Times New Roman"/>
          <w:b/>
          <w:bCs/>
          <w:szCs w:val="20"/>
          <w:lang w:val="en-US" w:eastAsia="zh-CN"/>
        </w:rPr>
        <w:t xml:space="preserve">. </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b/>
          <w:bCs/>
          <w:szCs w:val="20"/>
          <w:lang w:val="en-US" w:eastAsia="zh-CN"/>
        </w:rPr>
        <w:t>Proposal 2:  For DCI-based PRACH adaptation, use DCI format 2_7 for PRACH adaptation for idle UE with PEI-RNTI, and use DCI format 2_9 for connected UE with CellDTRX-RNTI.</w:t>
      </w:r>
      <w:r>
        <w:rPr>
          <w:rFonts w:hint="default" w:ascii="Times New Roman" w:hAnsi="Times New Roman" w:eastAsia="等线" w:cs="Times New Roman"/>
          <w:szCs w:val="20"/>
          <w:lang w:val="en-US" w:eastAsia="zh-CN"/>
        </w:rPr>
        <w:t xml:space="preserve"> </w:t>
      </w:r>
    </w:p>
    <w:p>
      <w:pPr>
        <w:pStyle w:val="4"/>
        <w:numPr>
          <w:ilvl w:val="0"/>
          <w:numId w:val="0"/>
        </w:numPr>
        <w:ind w:leftChars="0"/>
        <w:rPr>
          <w:rFonts w:hint="default" w:ascii="Times New Roman" w:hAnsi="Times New Roman" w:cs="Times New Roman" w:eastAsiaTheme="minorEastAsia"/>
          <w:szCs w:val="20"/>
          <w:lang w:val="en-US" w:eastAsia="zh-CN"/>
        </w:rPr>
      </w:pPr>
      <w:r>
        <w:rPr>
          <w:rFonts w:hint="default" w:ascii="Times New Roman" w:hAnsi="Times New Roman" w:eastAsia="等线" w:cs="Times New Roman"/>
          <w:b/>
          <w:bCs/>
          <w:szCs w:val="20"/>
          <w:lang w:val="en-US" w:eastAsia="zh-CN"/>
        </w:rPr>
        <w:t>Proposal 3: Adopt Alt 1 as the baseline solution. Further consider Alt 2-2.</w:t>
      </w:r>
    </w:p>
    <w:p>
      <w:pPr>
        <w:pStyle w:val="4"/>
        <w:rPr>
          <w:rFonts w:hint="default" w:ascii="Times New Roman" w:hAnsi="Times New Roman" w:eastAsia="等线" w:cs="Times New Roman"/>
          <w:szCs w:val="20"/>
          <w:lang w:val="en-US" w:eastAsia="zh-CN"/>
        </w:rPr>
      </w:pPr>
      <w:r>
        <w:rPr>
          <w:rFonts w:hint="default" w:ascii="Times New Roman" w:hAnsi="Times New Roman" w:eastAsia="等线" w:cs="Times New Roman"/>
          <w:b/>
          <w:bCs/>
          <w:szCs w:val="20"/>
          <w:lang w:val="en-US" w:eastAsia="zh-CN"/>
        </w:rPr>
        <w:t xml:space="preserve">Proposal 4: RAN1 should select option 2. </w:t>
      </w:r>
    </w:p>
    <w:p>
      <w:pPr>
        <w:pStyle w:val="4"/>
        <w:rPr>
          <w:rFonts w:hint="default" w:ascii="Times New Roman" w:hAnsi="Times New Roman" w:cs="Times New Roman" w:eastAsiaTheme="minorEastAsia"/>
          <w:b/>
          <w:bCs/>
          <w:lang w:eastAsia="zh-CN"/>
        </w:rPr>
      </w:pPr>
    </w:p>
    <w:p>
      <w:pPr>
        <w:pStyle w:val="2"/>
        <w:rPr>
          <w:rFonts w:hint="default" w:ascii="Times New Roman" w:hAnsi="Times New Roman" w:cs="Times New Roman"/>
        </w:rPr>
      </w:pPr>
      <w:r>
        <w:rPr>
          <w:rFonts w:hint="default" w:ascii="Times New Roman" w:hAnsi="Times New Roman" w:cs="Times New Roman"/>
        </w:rPr>
        <w:t>Reference</w:t>
      </w:r>
    </w:p>
    <w:p>
      <w:pPr>
        <w:pStyle w:val="4"/>
        <w:spacing w:before="120" w:beforeLines="50"/>
        <w:rPr>
          <w:rFonts w:hint="default" w:ascii="Times New Roman" w:hAnsi="Times New Roman" w:eastAsia="宋体" w:cs="Times New Roman"/>
          <w:lang w:eastAsia="zh-CN"/>
        </w:rPr>
      </w:pPr>
      <w:r>
        <w:rPr>
          <w:rFonts w:hint="eastAsia" w:eastAsia="等线"/>
          <w:szCs w:val="20"/>
          <w:lang w:val="en-US" w:eastAsia="zh-CN"/>
        </w:rPr>
        <w:t>[1] RP-242354, “Revised WID:</w:t>
      </w:r>
      <w:r>
        <w:rPr>
          <w:rFonts w:eastAsia="等线"/>
          <w:szCs w:val="20"/>
          <w:lang w:eastAsia="zh-CN"/>
        </w:rPr>
        <w:t xml:space="preserve"> Enhancements of network energy savings for NR”, </w:t>
      </w:r>
      <w:r>
        <w:rPr>
          <w:rFonts w:hint="eastAsia" w:eastAsia="等线"/>
          <w:szCs w:val="20"/>
          <w:lang w:eastAsia="zh-CN"/>
        </w:rPr>
        <w:t>Ericsson</w:t>
      </w:r>
      <w:r>
        <w:rPr>
          <w:rFonts w:eastAsia="等线"/>
          <w:szCs w:val="20"/>
          <w:lang w:eastAsia="zh-CN"/>
        </w:rPr>
        <w:t>, 3GPP RAN#</w:t>
      </w:r>
      <w:r>
        <w:rPr>
          <w:rFonts w:hint="eastAsia" w:eastAsia="等线"/>
          <w:szCs w:val="20"/>
          <w:lang w:eastAsia="zh-CN"/>
        </w:rPr>
        <w:t>10</w:t>
      </w:r>
      <w:r>
        <w:rPr>
          <w:rFonts w:hint="eastAsia" w:eastAsia="等线"/>
          <w:szCs w:val="20"/>
          <w:lang w:val="en-US" w:eastAsia="zh-CN"/>
        </w:rPr>
        <w:t>5</w:t>
      </w:r>
      <w:bookmarkStart w:id="4" w:name="_GoBack"/>
      <w:bookmarkEnd w:id="4"/>
      <w:r>
        <w:rPr>
          <w:rFonts w:eastAsia="等线"/>
          <w:szCs w:val="20"/>
          <w:lang w:eastAsia="zh-CN"/>
        </w:rPr>
        <w:t>.</w:t>
      </w: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ulim">
    <w:altName w:val="Malgun Gothic"/>
    <w:panose1 w:val="020B0600000101010101"/>
    <w:charset w:val="81"/>
    <w:family w:val="swiss"/>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ptos">
    <w:altName w:val="Calibri"/>
    <w:panose1 w:val="00000000000000000000"/>
    <w:charset w:val="00"/>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Qualcomm Office">
    <w:altName w:val="Segoe Print"/>
    <w:panose1 w:val="020B0604020202020204"/>
    <w:charset w:val="00"/>
    <w:family w:val="swiss"/>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2985D84"/>
    <w:multiLevelType w:val="multilevel"/>
    <w:tmpl w:val="2298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10E6A16"/>
    <w:multiLevelType w:val="multilevel"/>
    <w:tmpl w:val="410E6A1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E95393A"/>
    <w:multiLevelType w:val="multilevel"/>
    <w:tmpl w:val="5E9539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E30194"/>
    <w:multiLevelType w:val="multilevel"/>
    <w:tmpl w:val="77E30194"/>
    <w:lvl w:ilvl="0" w:tentative="0">
      <w:start w:val="3"/>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9"/>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7"/>
  </w:num>
  <w:num w:numId="4">
    <w:abstractNumId w:val="3"/>
  </w:num>
  <w:num w:numId="5">
    <w:abstractNumId w:val="1"/>
  </w:num>
  <w:num w:numId="6">
    <w:abstractNumId w:val="4"/>
  </w:num>
  <w:num w:numId="7">
    <w:abstractNumId w:val="8"/>
  </w:num>
  <w:num w:numId="8">
    <w:abstractNumId w:val="6"/>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C5D"/>
    <w:rsid w:val="00002DCC"/>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7E2"/>
    <w:rsid w:val="0002481B"/>
    <w:rsid w:val="000249A4"/>
    <w:rsid w:val="000251AF"/>
    <w:rsid w:val="00025675"/>
    <w:rsid w:val="00025E53"/>
    <w:rsid w:val="00025F10"/>
    <w:rsid w:val="00026651"/>
    <w:rsid w:val="00026DCD"/>
    <w:rsid w:val="00026E34"/>
    <w:rsid w:val="0002743B"/>
    <w:rsid w:val="0003036B"/>
    <w:rsid w:val="00032B75"/>
    <w:rsid w:val="00032B7A"/>
    <w:rsid w:val="00034BE6"/>
    <w:rsid w:val="00034D64"/>
    <w:rsid w:val="0003579A"/>
    <w:rsid w:val="00035840"/>
    <w:rsid w:val="0003585C"/>
    <w:rsid w:val="00036E0F"/>
    <w:rsid w:val="00037FD3"/>
    <w:rsid w:val="000400B7"/>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936"/>
    <w:rsid w:val="00057018"/>
    <w:rsid w:val="0005724B"/>
    <w:rsid w:val="00060FCC"/>
    <w:rsid w:val="00061DC7"/>
    <w:rsid w:val="000620A1"/>
    <w:rsid w:val="00063012"/>
    <w:rsid w:val="00064A2B"/>
    <w:rsid w:val="000659BA"/>
    <w:rsid w:val="000659BE"/>
    <w:rsid w:val="00066040"/>
    <w:rsid w:val="00066188"/>
    <w:rsid w:val="00066A6C"/>
    <w:rsid w:val="00066CC7"/>
    <w:rsid w:val="00070940"/>
    <w:rsid w:val="0007312D"/>
    <w:rsid w:val="000735DA"/>
    <w:rsid w:val="0007362D"/>
    <w:rsid w:val="00073B62"/>
    <w:rsid w:val="00073B64"/>
    <w:rsid w:val="000741FB"/>
    <w:rsid w:val="00074FF2"/>
    <w:rsid w:val="0007544B"/>
    <w:rsid w:val="00075973"/>
    <w:rsid w:val="00076063"/>
    <w:rsid w:val="000773D6"/>
    <w:rsid w:val="000829B6"/>
    <w:rsid w:val="00083D8A"/>
    <w:rsid w:val="0008401F"/>
    <w:rsid w:val="0008457F"/>
    <w:rsid w:val="000850E7"/>
    <w:rsid w:val="0008539E"/>
    <w:rsid w:val="000865B1"/>
    <w:rsid w:val="00086808"/>
    <w:rsid w:val="00086DA8"/>
    <w:rsid w:val="00086F4C"/>
    <w:rsid w:val="000871A0"/>
    <w:rsid w:val="00087DDE"/>
    <w:rsid w:val="000901C1"/>
    <w:rsid w:val="0009037F"/>
    <w:rsid w:val="00090F1F"/>
    <w:rsid w:val="00091D81"/>
    <w:rsid w:val="00092514"/>
    <w:rsid w:val="0009473C"/>
    <w:rsid w:val="00097AEC"/>
    <w:rsid w:val="00097E68"/>
    <w:rsid w:val="000A11A8"/>
    <w:rsid w:val="000A159C"/>
    <w:rsid w:val="000A218D"/>
    <w:rsid w:val="000A2BEF"/>
    <w:rsid w:val="000A3D73"/>
    <w:rsid w:val="000A46AA"/>
    <w:rsid w:val="000A5153"/>
    <w:rsid w:val="000A566D"/>
    <w:rsid w:val="000B009D"/>
    <w:rsid w:val="000B0466"/>
    <w:rsid w:val="000B0890"/>
    <w:rsid w:val="000B0DCC"/>
    <w:rsid w:val="000B1623"/>
    <w:rsid w:val="000B18AE"/>
    <w:rsid w:val="000B32DE"/>
    <w:rsid w:val="000B56B3"/>
    <w:rsid w:val="000B6837"/>
    <w:rsid w:val="000C05AE"/>
    <w:rsid w:val="000C0FB6"/>
    <w:rsid w:val="000C1603"/>
    <w:rsid w:val="000C283F"/>
    <w:rsid w:val="000C2D7E"/>
    <w:rsid w:val="000C4326"/>
    <w:rsid w:val="000C584C"/>
    <w:rsid w:val="000C5A25"/>
    <w:rsid w:val="000D1226"/>
    <w:rsid w:val="000D162F"/>
    <w:rsid w:val="000D1864"/>
    <w:rsid w:val="000D217D"/>
    <w:rsid w:val="000D7CAD"/>
    <w:rsid w:val="000E012F"/>
    <w:rsid w:val="000E0A50"/>
    <w:rsid w:val="000E0C43"/>
    <w:rsid w:val="000E13C5"/>
    <w:rsid w:val="000E1F91"/>
    <w:rsid w:val="000E3E20"/>
    <w:rsid w:val="000E53E6"/>
    <w:rsid w:val="000E548B"/>
    <w:rsid w:val="000E5850"/>
    <w:rsid w:val="000E5CFD"/>
    <w:rsid w:val="000E67A2"/>
    <w:rsid w:val="000E7EA0"/>
    <w:rsid w:val="000F056C"/>
    <w:rsid w:val="000F0656"/>
    <w:rsid w:val="000F22FB"/>
    <w:rsid w:val="000F287A"/>
    <w:rsid w:val="000F43D1"/>
    <w:rsid w:val="000F4507"/>
    <w:rsid w:val="000F45AD"/>
    <w:rsid w:val="000F45DC"/>
    <w:rsid w:val="000F4893"/>
    <w:rsid w:val="000F4CFC"/>
    <w:rsid w:val="000F4D84"/>
    <w:rsid w:val="000F7254"/>
    <w:rsid w:val="000F7E84"/>
    <w:rsid w:val="00101CFD"/>
    <w:rsid w:val="001020EC"/>
    <w:rsid w:val="0010289E"/>
    <w:rsid w:val="001028BB"/>
    <w:rsid w:val="001038F5"/>
    <w:rsid w:val="00104A5E"/>
    <w:rsid w:val="001060AD"/>
    <w:rsid w:val="00106637"/>
    <w:rsid w:val="001073B6"/>
    <w:rsid w:val="00110372"/>
    <w:rsid w:val="0011043F"/>
    <w:rsid w:val="001108D7"/>
    <w:rsid w:val="0011261A"/>
    <w:rsid w:val="001141D4"/>
    <w:rsid w:val="00114BFB"/>
    <w:rsid w:val="00114D33"/>
    <w:rsid w:val="00114F37"/>
    <w:rsid w:val="00115575"/>
    <w:rsid w:val="00117F57"/>
    <w:rsid w:val="00120A54"/>
    <w:rsid w:val="00121154"/>
    <w:rsid w:val="00122329"/>
    <w:rsid w:val="00122CDB"/>
    <w:rsid w:val="00123A21"/>
    <w:rsid w:val="0012404F"/>
    <w:rsid w:val="001267D4"/>
    <w:rsid w:val="00126F60"/>
    <w:rsid w:val="0012764B"/>
    <w:rsid w:val="001309BC"/>
    <w:rsid w:val="00130D9A"/>
    <w:rsid w:val="00133722"/>
    <w:rsid w:val="0013618E"/>
    <w:rsid w:val="00137BCF"/>
    <w:rsid w:val="00137D81"/>
    <w:rsid w:val="00137E9B"/>
    <w:rsid w:val="00140CB9"/>
    <w:rsid w:val="00141108"/>
    <w:rsid w:val="00141BDD"/>
    <w:rsid w:val="0014344A"/>
    <w:rsid w:val="0014392B"/>
    <w:rsid w:val="00143CE9"/>
    <w:rsid w:val="0014564A"/>
    <w:rsid w:val="00145655"/>
    <w:rsid w:val="0014617D"/>
    <w:rsid w:val="00146767"/>
    <w:rsid w:val="00146E80"/>
    <w:rsid w:val="00147C1F"/>
    <w:rsid w:val="00147D23"/>
    <w:rsid w:val="00150A86"/>
    <w:rsid w:val="001510EB"/>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C32"/>
    <w:rsid w:val="001A21C8"/>
    <w:rsid w:val="001A3A4B"/>
    <w:rsid w:val="001A4E36"/>
    <w:rsid w:val="001A524D"/>
    <w:rsid w:val="001A5463"/>
    <w:rsid w:val="001A56FC"/>
    <w:rsid w:val="001A5B0D"/>
    <w:rsid w:val="001A65C8"/>
    <w:rsid w:val="001A7956"/>
    <w:rsid w:val="001B12BE"/>
    <w:rsid w:val="001B234C"/>
    <w:rsid w:val="001B2CDA"/>
    <w:rsid w:val="001B2CE2"/>
    <w:rsid w:val="001B3760"/>
    <w:rsid w:val="001B38B5"/>
    <w:rsid w:val="001B48C7"/>
    <w:rsid w:val="001B4C51"/>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324A"/>
    <w:rsid w:val="001D350B"/>
    <w:rsid w:val="001D448E"/>
    <w:rsid w:val="001D5282"/>
    <w:rsid w:val="001D5302"/>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73AB"/>
    <w:rsid w:val="0020073A"/>
    <w:rsid w:val="0020140C"/>
    <w:rsid w:val="00201FD7"/>
    <w:rsid w:val="00202388"/>
    <w:rsid w:val="00202537"/>
    <w:rsid w:val="00203A86"/>
    <w:rsid w:val="00203DF5"/>
    <w:rsid w:val="002050D7"/>
    <w:rsid w:val="00205462"/>
    <w:rsid w:val="0020577B"/>
    <w:rsid w:val="00205B20"/>
    <w:rsid w:val="00205BAD"/>
    <w:rsid w:val="002061EB"/>
    <w:rsid w:val="00207FC6"/>
    <w:rsid w:val="0021000B"/>
    <w:rsid w:val="00210A7F"/>
    <w:rsid w:val="002117A5"/>
    <w:rsid w:val="00211D38"/>
    <w:rsid w:val="00213D20"/>
    <w:rsid w:val="0021416F"/>
    <w:rsid w:val="00217DC7"/>
    <w:rsid w:val="00220A76"/>
    <w:rsid w:val="00221316"/>
    <w:rsid w:val="00221C32"/>
    <w:rsid w:val="00222807"/>
    <w:rsid w:val="00222CDB"/>
    <w:rsid w:val="00223B41"/>
    <w:rsid w:val="00223CEA"/>
    <w:rsid w:val="002248B2"/>
    <w:rsid w:val="00225B6B"/>
    <w:rsid w:val="00227285"/>
    <w:rsid w:val="002276E3"/>
    <w:rsid w:val="00227846"/>
    <w:rsid w:val="002309B4"/>
    <w:rsid w:val="00230BDC"/>
    <w:rsid w:val="0023111D"/>
    <w:rsid w:val="00231AFD"/>
    <w:rsid w:val="00232490"/>
    <w:rsid w:val="00232674"/>
    <w:rsid w:val="00233A7D"/>
    <w:rsid w:val="0023758F"/>
    <w:rsid w:val="00241E92"/>
    <w:rsid w:val="00242BD7"/>
    <w:rsid w:val="00242E70"/>
    <w:rsid w:val="0024337C"/>
    <w:rsid w:val="0024370E"/>
    <w:rsid w:val="00243A6E"/>
    <w:rsid w:val="00244E55"/>
    <w:rsid w:val="002452A0"/>
    <w:rsid w:val="00245C4C"/>
    <w:rsid w:val="00246534"/>
    <w:rsid w:val="0024659E"/>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B86"/>
    <w:rsid w:val="00293792"/>
    <w:rsid w:val="00293ACD"/>
    <w:rsid w:val="00294608"/>
    <w:rsid w:val="002954FB"/>
    <w:rsid w:val="00295720"/>
    <w:rsid w:val="00296A16"/>
    <w:rsid w:val="00297252"/>
    <w:rsid w:val="002A2429"/>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D1DCB"/>
    <w:rsid w:val="002D24DD"/>
    <w:rsid w:val="002D29D6"/>
    <w:rsid w:val="002D3E21"/>
    <w:rsid w:val="002D465B"/>
    <w:rsid w:val="002D4CA4"/>
    <w:rsid w:val="002D5FC6"/>
    <w:rsid w:val="002D6CA5"/>
    <w:rsid w:val="002D74E5"/>
    <w:rsid w:val="002E025F"/>
    <w:rsid w:val="002E0E61"/>
    <w:rsid w:val="002E200E"/>
    <w:rsid w:val="002E2933"/>
    <w:rsid w:val="002E2D0F"/>
    <w:rsid w:val="002E305B"/>
    <w:rsid w:val="002E50A8"/>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BF3"/>
    <w:rsid w:val="002F7ACD"/>
    <w:rsid w:val="002F7E70"/>
    <w:rsid w:val="003002D6"/>
    <w:rsid w:val="00302F28"/>
    <w:rsid w:val="00303516"/>
    <w:rsid w:val="00303688"/>
    <w:rsid w:val="00303833"/>
    <w:rsid w:val="00304BD5"/>
    <w:rsid w:val="003053C2"/>
    <w:rsid w:val="003058DF"/>
    <w:rsid w:val="003059E0"/>
    <w:rsid w:val="00305B03"/>
    <w:rsid w:val="00306025"/>
    <w:rsid w:val="0030723B"/>
    <w:rsid w:val="003077B6"/>
    <w:rsid w:val="003078F2"/>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78A"/>
    <w:rsid w:val="00340905"/>
    <w:rsid w:val="00340CD9"/>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03B"/>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6FAE"/>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3927"/>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9F2"/>
    <w:rsid w:val="003B0262"/>
    <w:rsid w:val="003B0662"/>
    <w:rsid w:val="003B067A"/>
    <w:rsid w:val="003B09F2"/>
    <w:rsid w:val="003B1082"/>
    <w:rsid w:val="003B46AD"/>
    <w:rsid w:val="003B4D6A"/>
    <w:rsid w:val="003B5210"/>
    <w:rsid w:val="003B6473"/>
    <w:rsid w:val="003B77A6"/>
    <w:rsid w:val="003B7B1F"/>
    <w:rsid w:val="003C0706"/>
    <w:rsid w:val="003C156C"/>
    <w:rsid w:val="003C194F"/>
    <w:rsid w:val="003C1FAD"/>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2F1"/>
    <w:rsid w:val="003D3F27"/>
    <w:rsid w:val="003D4228"/>
    <w:rsid w:val="003D47B0"/>
    <w:rsid w:val="003D4DB8"/>
    <w:rsid w:val="003D55F2"/>
    <w:rsid w:val="003E053E"/>
    <w:rsid w:val="003E0916"/>
    <w:rsid w:val="003E095B"/>
    <w:rsid w:val="003E2640"/>
    <w:rsid w:val="003E298F"/>
    <w:rsid w:val="003E4DB4"/>
    <w:rsid w:val="003E57D9"/>
    <w:rsid w:val="003E5B8A"/>
    <w:rsid w:val="003E7A0E"/>
    <w:rsid w:val="003F054D"/>
    <w:rsid w:val="003F15B5"/>
    <w:rsid w:val="003F2A4F"/>
    <w:rsid w:val="003F32AB"/>
    <w:rsid w:val="003F54A6"/>
    <w:rsid w:val="003F5DD0"/>
    <w:rsid w:val="003F6698"/>
    <w:rsid w:val="00400DD2"/>
    <w:rsid w:val="00401196"/>
    <w:rsid w:val="00401830"/>
    <w:rsid w:val="00401A8E"/>
    <w:rsid w:val="004029BC"/>
    <w:rsid w:val="00402B0E"/>
    <w:rsid w:val="00402C54"/>
    <w:rsid w:val="00403C65"/>
    <w:rsid w:val="00403E3C"/>
    <w:rsid w:val="00403FBE"/>
    <w:rsid w:val="00404A9D"/>
    <w:rsid w:val="00404C1A"/>
    <w:rsid w:val="004052EB"/>
    <w:rsid w:val="004053A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3DDD"/>
    <w:rsid w:val="00463FAF"/>
    <w:rsid w:val="004661EE"/>
    <w:rsid w:val="004665AA"/>
    <w:rsid w:val="004715A4"/>
    <w:rsid w:val="00472165"/>
    <w:rsid w:val="0047237A"/>
    <w:rsid w:val="00472419"/>
    <w:rsid w:val="0047299E"/>
    <w:rsid w:val="00472AB0"/>
    <w:rsid w:val="00472CB6"/>
    <w:rsid w:val="0047489A"/>
    <w:rsid w:val="00475237"/>
    <w:rsid w:val="00476E6A"/>
    <w:rsid w:val="00477849"/>
    <w:rsid w:val="004801D4"/>
    <w:rsid w:val="004804F5"/>
    <w:rsid w:val="004809E1"/>
    <w:rsid w:val="00481B3E"/>
    <w:rsid w:val="0048281B"/>
    <w:rsid w:val="00484463"/>
    <w:rsid w:val="00484838"/>
    <w:rsid w:val="00484B58"/>
    <w:rsid w:val="004850BB"/>
    <w:rsid w:val="00485B9D"/>
    <w:rsid w:val="00485C02"/>
    <w:rsid w:val="00485E5B"/>
    <w:rsid w:val="00485F40"/>
    <w:rsid w:val="004873EA"/>
    <w:rsid w:val="004904FB"/>
    <w:rsid w:val="0049123A"/>
    <w:rsid w:val="00493429"/>
    <w:rsid w:val="004946D2"/>
    <w:rsid w:val="00494EFA"/>
    <w:rsid w:val="004956EE"/>
    <w:rsid w:val="00495D0E"/>
    <w:rsid w:val="004968ED"/>
    <w:rsid w:val="004A2A08"/>
    <w:rsid w:val="004A397F"/>
    <w:rsid w:val="004A468B"/>
    <w:rsid w:val="004A4CAE"/>
    <w:rsid w:val="004A569C"/>
    <w:rsid w:val="004A6EB2"/>
    <w:rsid w:val="004A75B8"/>
    <w:rsid w:val="004A7614"/>
    <w:rsid w:val="004A7B80"/>
    <w:rsid w:val="004A7F61"/>
    <w:rsid w:val="004B2BC2"/>
    <w:rsid w:val="004B2C74"/>
    <w:rsid w:val="004B465F"/>
    <w:rsid w:val="004B6650"/>
    <w:rsid w:val="004B7AD8"/>
    <w:rsid w:val="004C1366"/>
    <w:rsid w:val="004C1AC4"/>
    <w:rsid w:val="004C2819"/>
    <w:rsid w:val="004C2A82"/>
    <w:rsid w:val="004C344E"/>
    <w:rsid w:val="004C3DB0"/>
    <w:rsid w:val="004C6ABC"/>
    <w:rsid w:val="004C745C"/>
    <w:rsid w:val="004D16C0"/>
    <w:rsid w:val="004D187B"/>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F0B21"/>
    <w:rsid w:val="004F1AF6"/>
    <w:rsid w:val="004F26DE"/>
    <w:rsid w:val="004F35F4"/>
    <w:rsid w:val="004F36F1"/>
    <w:rsid w:val="004F370D"/>
    <w:rsid w:val="004F3DFA"/>
    <w:rsid w:val="004F49B8"/>
    <w:rsid w:val="004F60EE"/>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30393"/>
    <w:rsid w:val="00530A8F"/>
    <w:rsid w:val="005314CF"/>
    <w:rsid w:val="00531AB2"/>
    <w:rsid w:val="00536255"/>
    <w:rsid w:val="005370D7"/>
    <w:rsid w:val="005375F9"/>
    <w:rsid w:val="0053772A"/>
    <w:rsid w:val="00540891"/>
    <w:rsid w:val="00540EB6"/>
    <w:rsid w:val="00542FE3"/>
    <w:rsid w:val="00543C0E"/>
    <w:rsid w:val="00544418"/>
    <w:rsid w:val="00545015"/>
    <w:rsid w:val="00545ED9"/>
    <w:rsid w:val="005463EB"/>
    <w:rsid w:val="00546520"/>
    <w:rsid w:val="00546727"/>
    <w:rsid w:val="00546F78"/>
    <w:rsid w:val="0054731B"/>
    <w:rsid w:val="005473F2"/>
    <w:rsid w:val="0055083B"/>
    <w:rsid w:val="005509E8"/>
    <w:rsid w:val="00551464"/>
    <w:rsid w:val="005517F1"/>
    <w:rsid w:val="005525D4"/>
    <w:rsid w:val="00553270"/>
    <w:rsid w:val="00553BCB"/>
    <w:rsid w:val="00554E3F"/>
    <w:rsid w:val="00554F61"/>
    <w:rsid w:val="00555815"/>
    <w:rsid w:val="00555EF9"/>
    <w:rsid w:val="00560027"/>
    <w:rsid w:val="00560210"/>
    <w:rsid w:val="00561447"/>
    <w:rsid w:val="005618A4"/>
    <w:rsid w:val="0056366B"/>
    <w:rsid w:val="00563694"/>
    <w:rsid w:val="00563737"/>
    <w:rsid w:val="005637E8"/>
    <w:rsid w:val="005643E8"/>
    <w:rsid w:val="00564A9C"/>
    <w:rsid w:val="00565EF3"/>
    <w:rsid w:val="00566568"/>
    <w:rsid w:val="00566ABE"/>
    <w:rsid w:val="00566BEF"/>
    <w:rsid w:val="00567A4F"/>
    <w:rsid w:val="00567A7D"/>
    <w:rsid w:val="00571A23"/>
    <w:rsid w:val="00572E79"/>
    <w:rsid w:val="00573924"/>
    <w:rsid w:val="00573D8A"/>
    <w:rsid w:val="00574E30"/>
    <w:rsid w:val="005761C5"/>
    <w:rsid w:val="0057726B"/>
    <w:rsid w:val="005804B5"/>
    <w:rsid w:val="005816C4"/>
    <w:rsid w:val="00581A3A"/>
    <w:rsid w:val="00586A7B"/>
    <w:rsid w:val="00590F75"/>
    <w:rsid w:val="005912DF"/>
    <w:rsid w:val="00592DF2"/>
    <w:rsid w:val="00593108"/>
    <w:rsid w:val="00593589"/>
    <w:rsid w:val="005943CC"/>
    <w:rsid w:val="005955AE"/>
    <w:rsid w:val="00595CF2"/>
    <w:rsid w:val="00595DD6"/>
    <w:rsid w:val="00596358"/>
    <w:rsid w:val="005963F9"/>
    <w:rsid w:val="00596C1B"/>
    <w:rsid w:val="0059792D"/>
    <w:rsid w:val="005A0464"/>
    <w:rsid w:val="005A109D"/>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B29"/>
    <w:rsid w:val="00606BA0"/>
    <w:rsid w:val="00607F29"/>
    <w:rsid w:val="00610076"/>
    <w:rsid w:val="006106DC"/>
    <w:rsid w:val="00611CDF"/>
    <w:rsid w:val="0061200A"/>
    <w:rsid w:val="006123A5"/>
    <w:rsid w:val="006130AA"/>
    <w:rsid w:val="00613BBD"/>
    <w:rsid w:val="00613D79"/>
    <w:rsid w:val="00614C12"/>
    <w:rsid w:val="0061588E"/>
    <w:rsid w:val="00615C64"/>
    <w:rsid w:val="00616C30"/>
    <w:rsid w:val="00616D03"/>
    <w:rsid w:val="00617443"/>
    <w:rsid w:val="006208DC"/>
    <w:rsid w:val="00620F04"/>
    <w:rsid w:val="006223D7"/>
    <w:rsid w:val="006236DE"/>
    <w:rsid w:val="00626AEE"/>
    <w:rsid w:val="00627664"/>
    <w:rsid w:val="00627BA5"/>
    <w:rsid w:val="00630834"/>
    <w:rsid w:val="00630925"/>
    <w:rsid w:val="00630E17"/>
    <w:rsid w:val="00631861"/>
    <w:rsid w:val="006329F2"/>
    <w:rsid w:val="00632EC1"/>
    <w:rsid w:val="00633171"/>
    <w:rsid w:val="00633322"/>
    <w:rsid w:val="00633A3C"/>
    <w:rsid w:val="006343EE"/>
    <w:rsid w:val="00634802"/>
    <w:rsid w:val="00634C2C"/>
    <w:rsid w:val="006350FD"/>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B5A"/>
    <w:rsid w:val="00656D56"/>
    <w:rsid w:val="006575E3"/>
    <w:rsid w:val="0066003B"/>
    <w:rsid w:val="0066122B"/>
    <w:rsid w:val="00661429"/>
    <w:rsid w:val="006614C5"/>
    <w:rsid w:val="00661F69"/>
    <w:rsid w:val="0066300E"/>
    <w:rsid w:val="00665CF6"/>
    <w:rsid w:val="006667BB"/>
    <w:rsid w:val="00666B5D"/>
    <w:rsid w:val="006672D2"/>
    <w:rsid w:val="0066740B"/>
    <w:rsid w:val="00671083"/>
    <w:rsid w:val="006726A6"/>
    <w:rsid w:val="00672C86"/>
    <w:rsid w:val="00673FE6"/>
    <w:rsid w:val="00673FF6"/>
    <w:rsid w:val="00675899"/>
    <w:rsid w:val="0067780D"/>
    <w:rsid w:val="006819C7"/>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3104"/>
    <w:rsid w:val="006A340B"/>
    <w:rsid w:val="006A3C04"/>
    <w:rsid w:val="006A40E9"/>
    <w:rsid w:val="006A47FC"/>
    <w:rsid w:val="006A6725"/>
    <w:rsid w:val="006A68E9"/>
    <w:rsid w:val="006A73D5"/>
    <w:rsid w:val="006A796E"/>
    <w:rsid w:val="006B11B9"/>
    <w:rsid w:val="006B1A91"/>
    <w:rsid w:val="006B2E80"/>
    <w:rsid w:val="006B41BF"/>
    <w:rsid w:val="006B4D79"/>
    <w:rsid w:val="006C14C3"/>
    <w:rsid w:val="006C1A00"/>
    <w:rsid w:val="006C1B80"/>
    <w:rsid w:val="006C2398"/>
    <w:rsid w:val="006C2B2E"/>
    <w:rsid w:val="006C355A"/>
    <w:rsid w:val="006C65F7"/>
    <w:rsid w:val="006D0D9B"/>
    <w:rsid w:val="006D1B3C"/>
    <w:rsid w:val="006D1D44"/>
    <w:rsid w:val="006D67BC"/>
    <w:rsid w:val="006D6C9A"/>
    <w:rsid w:val="006D735C"/>
    <w:rsid w:val="006D78D3"/>
    <w:rsid w:val="006E0A9E"/>
    <w:rsid w:val="006E1953"/>
    <w:rsid w:val="006E3896"/>
    <w:rsid w:val="006E5B15"/>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3C7"/>
    <w:rsid w:val="007237EF"/>
    <w:rsid w:val="00723897"/>
    <w:rsid w:val="00724879"/>
    <w:rsid w:val="00724CB3"/>
    <w:rsid w:val="00724D60"/>
    <w:rsid w:val="0072575A"/>
    <w:rsid w:val="00725E9C"/>
    <w:rsid w:val="007264D8"/>
    <w:rsid w:val="0072733E"/>
    <w:rsid w:val="00727F8E"/>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47BE"/>
    <w:rsid w:val="00747476"/>
    <w:rsid w:val="007474BD"/>
    <w:rsid w:val="00747837"/>
    <w:rsid w:val="007500D8"/>
    <w:rsid w:val="00750610"/>
    <w:rsid w:val="00750B65"/>
    <w:rsid w:val="00750F18"/>
    <w:rsid w:val="007511C2"/>
    <w:rsid w:val="007511E3"/>
    <w:rsid w:val="007521C2"/>
    <w:rsid w:val="00752D46"/>
    <w:rsid w:val="007537DB"/>
    <w:rsid w:val="00753A37"/>
    <w:rsid w:val="0075429C"/>
    <w:rsid w:val="007561F7"/>
    <w:rsid w:val="007563FD"/>
    <w:rsid w:val="0075689A"/>
    <w:rsid w:val="007604C9"/>
    <w:rsid w:val="00760F15"/>
    <w:rsid w:val="00762F53"/>
    <w:rsid w:val="00763CDC"/>
    <w:rsid w:val="007641E2"/>
    <w:rsid w:val="007647D2"/>
    <w:rsid w:val="007652F7"/>
    <w:rsid w:val="00765442"/>
    <w:rsid w:val="00765D0D"/>
    <w:rsid w:val="007674D4"/>
    <w:rsid w:val="00767B22"/>
    <w:rsid w:val="007708F0"/>
    <w:rsid w:val="0077149B"/>
    <w:rsid w:val="00772532"/>
    <w:rsid w:val="007732B1"/>
    <w:rsid w:val="00774C6B"/>
    <w:rsid w:val="00774D67"/>
    <w:rsid w:val="00775919"/>
    <w:rsid w:val="00775AB2"/>
    <w:rsid w:val="0078019F"/>
    <w:rsid w:val="00781017"/>
    <w:rsid w:val="00781A7B"/>
    <w:rsid w:val="007833B8"/>
    <w:rsid w:val="0078351A"/>
    <w:rsid w:val="00784C69"/>
    <w:rsid w:val="00784F26"/>
    <w:rsid w:val="007852F0"/>
    <w:rsid w:val="00785370"/>
    <w:rsid w:val="00785656"/>
    <w:rsid w:val="00785923"/>
    <w:rsid w:val="00786A99"/>
    <w:rsid w:val="007873EC"/>
    <w:rsid w:val="00790952"/>
    <w:rsid w:val="00791195"/>
    <w:rsid w:val="007917DF"/>
    <w:rsid w:val="00791DCD"/>
    <w:rsid w:val="0079213B"/>
    <w:rsid w:val="007927F5"/>
    <w:rsid w:val="00793A48"/>
    <w:rsid w:val="00793D29"/>
    <w:rsid w:val="00795B6A"/>
    <w:rsid w:val="00797C0B"/>
    <w:rsid w:val="007A05B0"/>
    <w:rsid w:val="007A0875"/>
    <w:rsid w:val="007A0B23"/>
    <w:rsid w:val="007A1BE1"/>
    <w:rsid w:val="007A214C"/>
    <w:rsid w:val="007A2152"/>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C0CBE"/>
    <w:rsid w:val="007C1F2D"/>
    <w:rsid w:val="007C207D"/>
    <w:rsid w:val="007C2259"/>
    <w:rsid w:val="007C34D4"/>
    <w:rsid w:val="007C49F2"/>
    <w:rsid w:val="007C5566"/>
    <w:rsid w:val="007C7425"/>
    <w:rsid w:val="007D03DC"/>
    <w:rsid w:val="007D25EF"/>
    <w:rsid w:val="007D288D"/>
    <w:rsid w:val="007D29EB"/>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6F4B"/>
    <w:rsid w:val="007E7024"/>
    <w:rsid w:val="007E7BB4"/>
    <w:rsid w:val="007F0952"/>
    <w:rsid w:val="007F097F"/>
    <w:rsid w:val="007F1D02"/>
    <w:rsid w:val="007F1F3A"/>
    <w:rsid w:val="007F223B"/>
    <w:rsid w:val="007F2BA6"/>
    <w:rsid w:val="007F2BA8"/>
    <w:rsid w:val="007F39AC"/>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39BD"/>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4301"/>
    <w:rsid w:val="008343A4"/>
    <w:rsid w:val="00835325"/>
    <w:rsid w:val="00836029"/>
    <w:rsid w:val="008369B5"/>
    <w:rsid w:val="00836BA0"/>
    <w:rsid w:val="00836E5B"/>
    <w:rsid w:val="00837108"/>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524E"/>
    <w:rsid w:val="0085571D"/>
    <w:rsid w:val="00856542"/>
    <w:rsid w:val="008578B5"/>
    <w:rsid w:val="00860803"/>
    <w:rsid w:val="00860FA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B02"/>
    <w:rsid w:val="00876E3C"/>
    <w:rsid w:val="008774EC"/>
    <w:rsid w:val="00877B6F"/>
    <w:rsid w:val="00877F24"/>
    <w:rsid w:val="00880679"/>
    <w:rsid w:val="00884CE0"/>
    <w:rsid w:val="008855F5"/>
    <w:rsid w:val="0088573D"/>
    <w:rsid w:val="008859EE"/>
    <w:rsid w:val="00885DF1"/>
    <w:rsid w:val="00887219"/>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0C8"/>
    <w:rsid w:val="008A41A6"/>
    <w:rsid w:val="008A53F7"/>
    <w:rsid w:val="008A5450"/>
    <w:rsid w:val="008A5480"/>
    <w:rsid w:val="008A7730"/>
    <w:rsid w:val="008A79CA"/>
    <w:rsid w:val="008B1718"/>
    <w:rsid w:val="008B1E59"/>
    <w:rsid w:val="008B38AC"/>
    <w:rsid w:val="008B46CE"/>
    <w:rsid w:val="008B5057"/>
    <w:rsid w:val="008B613E"/>
    <w:rsid w:val="008B6359"/>
    <w:rsid w:val="008B6AFD"/>
    <w:rsid w:val="008B713A"/>
    <w:rsid w:val="008B769D"/>
    <w:rsid w:val="008B79E0"/>
    <w:rsid w:val="008C0C2B"/>
    <w:rsid w:val="008C174A"/>
    <w:rsid w:val="008C301F"/>
    <w:rsid w:val="008C49A2"/>
    <w:rsid w:val="008C560B"/>
    <w:rsid w:val="008C5924"/>
    <w:rsid w:val="008C6190"/>
    <w:rsid w:val="008C61C0"/>
    <w:rsid w:val="008C7017"/>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D54"/>
    <w:rsid w:val="008E5905"/>
    <w:rsid w:val="008E6310"/>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DC0"/>
    <w:rsid w:val="00900E1D"/>
    <w:rsid w:val="00901F2B"/>
    <w:rsid w:val="0090309D"/>
    <w:rsid w:val="0090361D"/>
    <w:rsid w:val="00905238"/>
    <w:rsid w:val="00905579"/>
    <w:rsid w:val="00905674"/>
    <w:rsid w:val="00905B10"/>
    <w:rsid w:val="0090643A"/>
    <w:rsid w:val="0090663C"/>
    <w:rsid w:val="00907C59"/>
    <w:rsid w:val="00910E5D"/>
    <w:rsid w:val="0091171F"/>
    <w:rsid w:val="0091330D"/>
    <w:rsid w:val="0091347A"/>
    <w:rsid w:val="00914EC8"/>
    <w:rsid w:val="00915878"/>
    <w:rsid w:val="009179EE"/>
    <w:rsid w:val="0092114D"/>
    <w:rsid w:val="0092140C"/>
    <w:rsid w:val="00922A7A"/>
    <w:rsid w:val="00923450"/>
    <w:rsid w:val="00925C76"/>
    <w:rsid w:val="00926A5A"/>
    <w:rsid w:val="00926B4A"/>
    <w:rsid w:val="00927BE1"/>
    <w:rsid w:val="00930915"/>
    <w:rsid w:val="009309F2"/>
    <w:rsid w:val="00931F41"/>
    <w:rsid w:val="00932276"/>
    <w:rsid w:val="00932993"/>
    <w:rsid w:val="00934B13"/>
    <w:rsid w:val="0093524A"/>
    <w:rsid w:val="00935AD2"/>
    <w:rsid w:val="00936544"/>
    <w:rsid w:val="00936FB0"/>
    <w:rsid w:val="009402FB"/>
    <w:rsid w:val="00940A18"/>
    <w:rsid w:val="00941516"/>
    <w:rsid w:val="00942788"/>
    <w:rsid w:val="009436A9"/>
    <w:rsid w:val="00944796"/>
    <w:rsid w:val="00944850"/>
    <w:rsid w:val="00946C56"/>
    <w:rsid w:val="00947487"/>
    <w:rsid w:val="00951182"/>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77B2"/>
    <w:rsid w:val="00967EAD"/>
    <w:rsid w:val="0097489A"/>
    <w:rsid w:val="009748DC"/>
    <w:rsid w:val="0097587D"/>
    <w:rsid w:val="00976A4F"/>
    <w:rsid w:val="00976AEC"/>
    <w:rsid w:val="009772E4"/>
    <w:rsid w:val="00977E6E"/>
    <w:rsid w:val="00980254"/>
    <w:rsid w:val="00980446"/>
    <w:rsid w:val="00981595"/>
    <w:rsid w:val="0098280E"/>
    <w:rsid w:val="009836AA"/>
    <w:rsid w:val="00983C20"/>
    <w:rsid w:val="009845F3"/>
    <w:rsid w:val="00984CEB"/>
    <w:rsid w:val="009862FA"/>
    <w:rsid w:val="00990667"/>
    <w:rsid w:val="00990AEC"/>
    <w:rsid w:val="00990C84"/>
    <w:rsid w:val="00991A5C"/>
    <w:rsid w:val="00991DE4"/>
    <w:rsid w:val="00993F5B"/>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03A5"/>
    <w:rsid w:val="009B5365"/>
    <w:rsid w:val="009B5B0B"/>
    <w:rsid w:val="009B5F7A"/>
    <w:rsid w:val="009B68D9"/>
    <w:rsid w:val="009B69FD"/>
    <w:rsid w:val="009C0631"/>
    <w:rsid w:val="009C1258"/>
    <w:rsid w:val="009C1FA5"/>
    <w:rsid w:val="009C4099"/>
    <w:rsid w:val="009C4478"/>
    <w:rsid w:val="009C4617"/>
    <w:rsid w:val="009C6458"/>
    <w:rsid w:val="009C6CF7"/>
    <w:rsid w:val="009D22C5"/>
    <w:rsid w:val="009D3F48"/>
    <w:rsid w:val="009D3FFC"/>
    <w:rsid w:val="009D4BD6"/>
    <w:rsid w:val="009D66E3"/>
    <w:rsid w:val="009D7F78"/>
    <w:rsid w:val="009E0C13"/>
    <w:rsid w:val="009E12E9"/>
    <w:rsid w:val="009E1EE8"/>
    <w:rsid w:val="009E26B1"/>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13E8"/>
    <w:rsid w:val="00A02576"/>
    <w:rsid w:val="00A03A1E"/>
    <w:rsid w:val="00A03E63"/>
    <w:rsid w:val="00A06AF0"/>
    <w:rsid w:val="00A06E6B"/>
    <w:rsid w:val="00A11D3C"/>
    <w:rsid w:val="00A128EA"/>
    <w:rsid w:val="00A12C6D"/>
    <w:rsid w:val="00A12D1B"/>
    <w:rsid w:val="00A1331D"/>
    <w:rsid w:val="00A14C45"/>
    <w:rsid w:val="00A152C0"/>
    <w:rsid w:val="00A15349"/>
    <w:rsid w:val="00A16B4B"/>
    <w:rsid w:val="00A16F7E"/>
    <w:rsid w:val="00A171E1"/>
    <w:rsid w:val="00A17BAF"/>
    <w:rsid w:val="00A17FB0"/>
    <w:rsid w:val="00A21388"/>
    <w:rsid w:val="00A21C46"/>
    <w:rsid w:val="00A22798"/>
    <w:rsid w:val="00A22FD8"/>
    <w:rsid w:val="00A23445"/>
    <w:rsid w:val="00A239F5"/>
    <w:rsid w:val="00A23BA3"/>
    <w:rsid w:val="00A244E6"/>
    <w:rsid w:val="00A24E0B"/>
    <w:rsid w:val="00A26739"/>
    <w:rsid w:val="00A26B28"/>
    <w:rsid w:val="00A30854"/>
    <w:rsid w:val="00A30DBD"/>
    <w:rsid w:val="00A30E24"/>
    <w:rsid w:val="00A31697"/>
    <w:rsid w:val="00A3283B"/>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03AD"/>
    <w:rsid w:val="00A52A9E"/>
    <w:rsid w:val="00A52E0F"/>
    <w:rsid w:val="00A52E37"/>
    <w:rsid w:val="00A53C06"/>
    <w:rsid w:val="00A53C07"/>
    <w:rsid w:val="00A53D2F"/>
    <w:rsid w:val="00A6049B"/>
    <w:rsid w:val="00A60C8D"/>
    <w:rsid w:val="00A61262"/>
    <w:rsid w:val="00A61B0B"/>
    <w:rsid w:val="00A61D7E"/>
    <w:rsid w:val="00A63304"/>
    <w:rsid w:val="00A638A1"/>
    <w:rsid w:val="00A63FAD"/>
    <w:rsid w:val="00A6469B"/>
    <w:rsid w:val="00A64B30"/>
    <w:rsid w:val="00A6525C"/>
    <w:rsid w:val="00A662F6"/>
    <w:rsid w:val="00A67411"/>
    <w:rsid w:val="00A6755F"/>
    <w:rsid w:val="00A67583"/>
    <w:rsid w:val="00A7078F"/>
    <w:rsid w:val="00A70913"/>
    <w:rsid w:val="00A70955"/>
    <w:rsid w:val="00A70E7C"/>
    <w:rsid w:val="00A71724"/>
    <w:rsid w:val="00A71F19"/>
    <w:rsid w:val="00A73222"/>
    <w:rsid w:val="00A74CE2"/>
    <w:rsid w:val="00A74FEF"/>
    <w:rsid w:val="00A75E36"/>
    <w:rsid w:val="00A80152"/>
    <w:rsid w:val="00A808DC"/>
    <w:rsid w:val="00A81918"/>
    <w:rsid w:val="00A8206B"/>
    <w:rsid w:val="00A850D4"/>
    <w:rsid w:val="00A8548B"/>
    <w:rsid w:val="00A86C99"/>
    <w:rsid w:val="00A90CCC"/>
    <w:rsid w:val="00A90E11"/>
    <w:rsid w:val="00A91389"/>
    <w:rsid w:val="00A9321E"/>
    <w:rsid w:val="00A93D6A"/>
    <w:rsid w:val="00A96282"/>
    <w:rsid w:val="00A97888"/>
    <w:rsid w:val="00AA0B6B"/>
    <w:rsid w:val="00AA0BFB"/>
    <w:rsid w:val="00AA0F67"/>
    <w:rsid w:val="00AA10AD"/>
    <w:rsid w:val="00AA1648"/>
    <w:rsid w:val="00AA2A5A"/>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918"/>
    <w:rsid w:val="00AC4C44"/>
    <w:rsid w:val="00AC53EE"/>
    <w:rsid w:val="00AC5CE3"/>
    <w:rsid w:val="00AC5E81"/>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60A5"/>
    <w:rsid w:val="00AF6E0B"/>
    <w:rsid w:val="00AF7499"/>
    <w:rsid w:val="00B00B36"/>
    <w:rsid w:val="00B00F80"/>
    <w:rsid w:val="00B01B18"/>
    <w:rsid w:val="00B0250D"/>
    <w:rsid w:val="00B030DF"/>
    <w:rsid w:val="00B03524"/>
    <w:rsid w:val="00B0463E"/>
    <w:rsid w:val="00B04C0C"/>
    <w:rsid w:val="00B05B92"/>
    <w:rsid w:val="00B05DC2"/>
    <w:rsid w:val="00B05E10"/>
    <w:rsid w:val="00B064AD"/>
    <w:rsid w:val="00B07708"/>
    <w:rsid w:val="00B10C30"/>
    <w:rsid w:val="00B11069"/>
    <w:rsid w:val="00B11402"/>
    <w:rsid w:val="00B11809"/>
    <w:rsid w:val="00B11B2F"/>
    <w:rsid w:val="00B12536"/>
    <w:rsid w:val="00B126DD"/>
    <w:rsid w:val="00B14282"/>
    <w:rsid w:val="00B14D4C"/>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7965"/>
    <w:rsid w:val="00B50789"/>
    <w:rsid w:val="00B517F0"/>
    <w:rsid w:val="00B526F4"/>
    <w:rsid w:val="00B5404E"/>
    <w:rsid w:val="00B540B2"/>
    <w:rsid w:val="00B5481B"/>
    <w:rsid w:val="00B54CC8"/>
    <w:rsid w:val="00B56825"/>
    <w:rsid w:val="00B56FEF"/>
    <w:rsid w:val="00B5733C"/>
    <w:rsid w:val="00B57883"/>
    <w:rsid w:val="00B6099B"/>
    <w:rsid w:val="00B60EDD"/>
    <w:rsid w:val="00B61E2D"/>
    <w:rsid w:val="00B61EF9"/>
    <w:rsid w:val="00B61FA8"/>
    <w:rsid w:val="00B62C3E"/>
    <w:rsid w:val="00B6336C"/>
    <w:rsid w:val="00B66923"/>
    <w:rsid w:val="00B708AE"/>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39B2"/>
    <w:rsid w:val="00B969F7"/>
    <w:rsid w:val="00B9720A"/>
    <w:rsid w:val="00BA218E"/>
    <w:rsid w:val="00BA2905"/>
    <w:rsid w:val="00BA29A0"/>
    <w:rsid w:val="00BA44A3"/>
    <w:rsid w:val="00BA49AE"/>
    <w:rsid w:val="00BA4CA7"/>
    <w:rsid w:val="00BA568B"/>
    <w:rsid w:val="00BA643C"/>
    <w:rsid w:val="00BA7B0C"/>
    <w:rsid w:val="00BB0B3F"/>
    <w:rsid w:val="00BB11FE"/>
    <w:rsid w:val="00BB1993"/>
    <w:rsid w:val="00BB1F2D"/>
    <w:rsid w:val="00BB392C"/>
    <w:rsid w:val="00BB3976"/>
    <w:rsid w:val="00BB3F8C"/>
    <w:rsid w:val="00BB4007"/>
    <w:rsid w:val="00BB4BB0"/>
    <w:rsid w:val="00BC0538"/>
    <w:rsid w:val="00BC228C"/>
    <w:rsid w:val="00BC2B16"/>
    <w:rsid w:val="00BC59AF"/>
    <w:rsid w:val="00BC5A30"/>
    <w:rsid w:val="00BC6004"/>
    <w:rsid w:val="00BC6180"/>
    <w:rsid w:val="00BD00A8"/>
    <w:rsid w:val="00BD1131"/>
    <w:rsid w:val="00BD1890"/>
    <w:rsid w:val="00BD1C0D"/>
    <w:rsid w:val="00BD1DBC"/>
    <w:rsid w:val="00BD1ED5"/>
    <w:rsid w:val="00BD258F"/>
    <w:rsid w:val="00BD319A"/>
    <w:rsid w:val="00BD398A"/>
    <w:rsid w:val="00BD3C1C"/>
    <w:rsid w:val="00BD3DA5"/>
    <w:rsid w:val="00BD5961"/>
    <w:rsid w:val="00BD5C41"/>
    <w:rsid w:val="00BD5F24"/>
    <w:rsid w:val="00BD662C"/>
    <w:rsid w:val="00BD70AC"/>
    <w:rsid w:val="00BD7E3B"/>
    <w:rsid w:val="00BE018E"/>
    <w:rsid w:val="00BE0F8C"/>
    <w:rsid w:val="00BE19AE"/>
    <w:rsid w:val="00BE230B"/>
    <w:rsid w:val="00BE24EF"/>
    <w:rsid w:val="00BE2918"/>
    <w:rsid w:val="00BE39CE"/>
    <w:rsid w:val="00BE3F98"/>
    <w:rsid w:val="00BE70E9"/>
    <w:rsid w:val="00BE7213"/>
    <w:rsid w:val="00BF00EB"/>
    <w:rsid w:val="00BF0452"/>
    <w:rsid w:val="00BF0539"/>
    <w:rsid w:val="00BF0863"/>
    <w:rsid w:val="00BF1854"/>
    <w:rsid w:val="00BF1D86"/>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25B4"/>
    <w:rsid w:val="00C135B5"/>
    <w:rsid w:val="00C14124"/>
    <w:rsid w:val="00C150E3"/>
    <w:rsid w:val="00C15873"/>
    <w:rsid w:val="00C15B28"/>
    <w:rsid w:val="00C168C6"/>
    <w:rsid w:val="00C16EC9"/>
    <w:rsid w:val="00C1713B"/>
    <w:rsid w:val="00C173BB"/>
    <w:rsid w:val="00C22540"/>
    <w:rsid w:val="00C24A02"/>
    <w:rsid w:val="00C24AF6"/>
    <w:rsid w:val="00C2614D"/>
    <w:rsid w:val="00C26852"/>
    <w:rsid w:val="00C26BE7"/>
    <w:rsid w:val="00C273E3"/>
    <w:rsid w:val="00C30E37"/>
    <w:rsid w:val="00C3179F"/>
    <w:rsid w:val="00C32ADB"/>
    <w:rsid w:val="00C32C8A"/>
    <w:rsid w:val="00C33321"/>
    <w:rsid w:val="00C33FAE"/>
    <w:rsid w:val="00C34380"/>
    <w:rsid w:val="00C34671"/>
    <w:rsid w:val="00C351AC"/>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C8E"/>
    <w:rsid w:val="00C570F6"/>
    <w:rsid w:val="00C57674"/>
    <w:rsid w:val="00C57E76"/>
    <w:rsid w:val="00C60EB2"/>
    <w:rsid w:val="00C61610"/>
    <w:rsid w:val="00C61A23"/>
    <w:rsid w:val="00C62577"/>
    <w:rsid w:val="00C6375C"/>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5BAC"/>
    <w:rsid w:val="00C75C41"/>
    <w:rsid w:val="00C77479"/>
    <w:rsid w:val="00C826CF"/>
    <w:rsid w:val="00C82A51"/>
    <w:rsid w:val="00C845CF"/>
    <w:rsid w:val="00C84EE1"/>
    <w:rsid w:val="00C85A57"/>
    <w:rsid w:val="00C85B2D"/>
    <w:rsid w:val="00C87231"/>
    <w:rsid w:val="00C901B6"/>
    <w:rsid w:val="00C918B3"/>
    <w:rsid w:val="00C91CCC"/>
    <w:rsid w:val="00C927F4"/>
    <w:rsid w:val="00C92A63"/>
    <w:rsid w:val="00C93094"/>
    <w:rsid w:val="00C931E8"/>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70CC"/>
    <w:rsid w:val="00CB078D"/>
    <w:rsid w:val="00CB169E"/>
    <w:rsid w:val="00CB1C73"/>
    <w:rsid w:val="00CB2DD3"/>
    <w:rsid w:val="00CB2F6C"/>
    <w:rsid w:val="00CB338F"/>
    <w:rsid w:val="00CB433E"/>
    <w:rsid w:val="00CB44EF"/>
    <w:rsid w:val="00CB4BB5"/>
    <w:rsid w:val="00CB578E"/>
    <w:rsid w:val="00CB638B"/>
    <w:rsid w:val="00CC0A63"/>
    <w:rsid w:val="00CC1D16"/>
    <w:rsid w:val="00CC2752"/>
    <w:rsid w:val="00CC2AC0"/>
    <w:rsid w:val="00CC3A8D"/>
    <w:rsid w:val="00CC3CDD"/>
    <w:rsid w:val="00CC48C5"/>
    <w:rsid w:val="00CC64DF"/>
    <w:rsid w:val="00CC7D0A"/>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FB7"/>
    <w:rsid w:val="00CF5FC3"/>
    <w:rsid w:val="00CF6EAB"/>
    <w:rsid w:val="00CF7F27"/>
    <w:rsid w:val="00D00928"/>
    <w:rsid w:val="00D00E2F"/>
    <w:rsid w:val="00D01D7A"/>
    <w:rsid w:val="00D0246D"/>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740D"/>
    <w:rsid w:val="00D179DB"/>
    <w:rsid w:val="00D17C44"/>
    <w:rsid w:val="00D2070E"/>
    <w:rsid w:val="00D22A11"/>
    <w:rsid w:val="00D23A9A"/>
    <w:rsid w:val="00D24A65"/>
    <w:rsid w:val="00D24EAB"/>
    <w:rsid w:val="00D25AE7"/>
    <w:rsid w:val="00D26A3C"/>
    <w:rsid w:val="00D26DAF"/>
    <w:rsid w:val="00D30D93"/>
    <w:rsid w:val="00D32811"/>
    <w:rsid w:val="00D33F62"/>
    <w:rsid w:val="00D34001"/>
    <w:rsid w:val="00D3485F"/>
    <w:rsid w:val="00D35C30"/>
    <w:rsid w:val="00D36DE8"/>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1578"/>
    <w:rsid w:val="00D820F8"/>
    <w:rsid w:val="00D852C2"/>
    <w:rsid w:val="00D856C5"/>
    <w:rsid w:val="00D856D3"/>
    <w:rsid w:val="00D8595F"/>
    <w:rsid w:val="00D85CE4"/>
    <w:rsid w:val="00D86409"/>
    <w:rsid w:val="00D870BF"/>
    <w:rsid w:val="00D877B3"/>
    <w:rsid w:val="00D9098E"/>
    <w:rsid w:val="00D90E1F"/>
    <w:rsid w:val="00D90FDD"/>
    <w:rsid w:val="00D923FF"/>
    <w:rsid w:val="00D9474C"/>
    <w:rsid w:val="00D9649B"/>
    <w:rsid w:val="00D96DF4"/>
    <w:rsid w:val="00D9706C"/>
    <w:rsid w:val="00D97524"/>
    <w:rsid w:val="00D97C6B"/>
    <w:rsid w:val="00DA06A4"/>
    <w:rsid w:val="00DA07AE"/>
    <w:rsid w:val="00DA1DD9"/>
    <w:rsid w:val="00DA236E"/>
    <w:rsid w:val="00DA2EE7"/>
    <w:rsid w:val="00DA4004"/>
    <w:rsid w:val="00DA499E"/>
    <w:rsid w:val="00DA5E12"/>
    <w:rsid w:val="00DA6806"/>
    <w:rsid w:val="00DA6CD1"/>
    <w:rsid w:val="00DA75E3"/>
    <w:rsid w:val="00DA7708"/>
    <w:rsid w:val="00DA795C"/>
    <w:rsid w:val="00DA7A1D"/>
    <w:rsid w:val="00DB03F4"/>
    <w:rsid w:val="00DB09E4"/>
    <w:rsid w:val="00DB0E80"/>
    <w:rsid w:val="00DB1CC6"/>
    <w:rsid w:val="00DB2595"/>
    <w:rsid w:val="00DB2CFA"/>
    <w:rsid w:val="00DB3B1D"/>
    <w:rsid w:val="00DB3D87"/>
    <w:rsid w:val="00DB3EEF"/>
    <w:rsid w:val="00DB4E3F"/>
    <w:rsid w:val="00DB7452"/>
    <w:rsid w:val="00DB7F02"/>
    <w:rsid w:val="00DC0E39"/>
    <w:rsid w:val="00DC18DB"/>
    <w:rsid w:val="00DC18EF"/>
    <w:rsid w:val="00DC1A59"/>
    <w:rsid w:val="00DC2E40"/>
    <w:rsid w:val="00DC3B4B"/>
    <w:rsid w:val="00DC4EAD"/>
    <w:rsid w:val="00DC5748"/>
    <w:rsid w:val="00DC5FB8"/>
    <w:rsid w:val="00DC5FCE"/>
    <w:rsid w:val="00DC7924"/>
    <w:rsid w:val="00DD11C2"/>
    <w:rsid w:val="00DD3036"/>
    <w:rsid w:val="00DD311E"/>
    <w:rsid w:val="00DD31C1"/>
    <w:rsid w:val="00DD356B"/>
    <w:rsid w:val="00DD3FC4"/>
    <w:rsid w:val="00DD47D5"/>
    <w:rsid w:val="00DD4845"/>
    <w:rsid w:val="00DD4917"/>
    <w:rsid w:val="00DD4E1E"/>
    <w:rsid w:val="00DD52B7"/>
    <w:rsid w:val="00DD5301"/>
    <w:rsid w:val="00DD5709"/>
    <w:rsid w:val="00DD670C"/>
    <w:rsid w:val="00DE187A"/>
    <w:rsid w:val="00DE18DB"/>
    <w:rsid w:val="00DE1B4A"/>
    <w:rsid w:val="00DE3293"/>
    <w:rsid w:val="00DE337E"/>
    <w:rsid w:val="00DE38A2"/>
    <w:rsid w:val="00DE3B0F"/>
    <w:rsid w:val="00DE5357"/>
    <w:rsid w:val="00DE53BD"/>
    <w:rsid w:val="00DE6F79"/>
    <w:rsid w:val="00DE7D47"/>
    <w:rsid w:val="00DF0183"/>
    <w:rsid w:val="00DF0663"/>
    <w:rsid w:val="00DF1D74"/>
    <w:rsid w:val="00DF263D"/>
    <w:rsid w:val="00DF3850"/>
    <w:rsid w:val="00DF40DE"/>
    <w:rsid w:val="00DF487C"/>
    <w:rsid w:val="00DF7382"/>
    <w:rsid w:val="00DF7EBC"/>
    <w:rsid w:val="00E019C2"/>
    <w:rsid w:val="00E01A5D"/>
    <w:rsid w:val="00E02688"/>
    <w:rsid w:val="00E02E2E"/>
    <w:rsid w:val="00E057CE"/>
    <w:rsid w:val="00E06BBE"/>
    <w:rsid w:val="00E06E24"/>
    <w:rsid w:val="00E07ADF"/>
    <w:rsid w:val="00E10308"/>
    <w:rsid w:val="00E10D3B"/>
    <w:rsid w:val="00E11E84"/>
    <w:rsid w:val="00E125F3"/>
    <w:rsid w:val="00E12717"/>
    <w:rsid w:val="00E12948"/>
    <w:rsid w:val="00E12E6C"/>
    <w:rsid w:val="00E138E3"/>
    <w:rsid w:val="00E140A6"/>
    <w:rsid w:val="00E141E5"/>
    <w:rsid w:val="00E14797"/>
    <w:rsid w:val="00E15968"/>
    <w:rsid w:val="00E16032"/>
    <w:rsid w:val="00E16540"/>
    <w:rsid w:val="00E166CC"/>
    <w:rsid w:val="00E16E28"/>
    <w:rsid w:val="00E16FC8"/>
    <w:rsid w:val="00E173C2"/>
    <w:rsid w:val="00E209EA"/>
    <w:rsid w:val="00E2145A"/>
    <w:rsid w:val="00E21C9E"/>
    <w:rsid w:val="00E228F2"/>
    <w:rsid w:val="00E239F5"/>
    <w:rsid w:val="00E23B94"/>
    <w:rsid w:val="00E2449C"/>
    <w:rsid w:val="00E24C5D"/>
    <w:rsid w:val="00E25E9F"/>
    <w:rsid w:val="00E266C4"/>
    <w:rsid w:val="00E271D4"/>
    <w:rsid w:val="00E309E3"/>
    <w:rsid w:val="00E317DF"/>
    <w:rsid w:val="00E3267C"/>
    <w:rsid w:val="00E328AA"/>
    <w:rsid w:val="00E34E58"/>
    <w:rsid w:val="00E3575E"/>
    <w:rsid w:val="00E35D63"/>
    <w:rsid w:val="00E35E24"/>
    <w:rsid w:val="00E36367"/>
    <w:rsid w:val="00E3711C"/>
    <w:rsid w:val="00E37334"/>
    <w:rsid w:val="00E37F10"/>
    <w:rsid w:val="00E4012F"/>
    <w:rsid w:val="00E4257F"/>
    <w:rsid w:val="00E45E91"/>
    <w:rsid w:val="00E46524"/>
    <w:rsid w:val="00E467BD"/>
    <w:rsid w:val="00E50A98"/>
    <w:rsid w:val="00E5180E"/>
    <w:rsid w:val="00E51B93"/>
    <w:rsid w:val="00E526F4"/>
    <w:rsid w:val="00E5488D"/>
    <w:rsid w:val="00E54E1B"/>
    <w:rsid w:val="00E54F54"/>
    <w:rsid w:val="00E5711C"/>
    <w:rsid w:val="00E603D2"/>
    <w:rsid w:val="00E60BF8"/>
    <w:rsid w:val="00E61114"/>
    <w:rsid w:val="00E61301"/>
    <w:rsid w:val="00E61639"/>
    <w:rsid w:val="00E61D44"/>
    <w:rsid w:val="00E622B9"/>
    <w:rsid w:val="00E63621"/>
    <w:rsid w:val="00E63AEA"/>
    <w:rsid w:val="00E647E8"/>
    <w:rsid w:val="00E6564D"/>
    <w:rsid w:val="00E66048"/>
    <w:rsid w:val="00E66A25"/>
    <w:rsid w:val="00E67145"/>
    <w:rsid w:val="00E71865"/>
    <w:rsid w:val="00E719B5"/>
    <w:rsid w:val="00E72807"/>
    <w:rsid w:val="00E732BA"/>
    <w:rsid w:val="00E735EF"/>
    <w:rsid w:val="00E73AD2"/>
    <w:rsid w:val="00E74243"/>
    <w:rsid w:val="00E7474A"/>
    <w:rsid w:val="00E74EED"/>
    <w:rsid w:val="00E77093"/>
    <w:rsid w:val="00E8093C"/>
    <w:rsid w:val="00E80DCD"/>
    <w:rsid w:val="00E820AD"/>
    <w:rsid w:val="00E83550"/>
    <w:rsid w:val="00E83573"/>
    <w:rsid w:val="00E84405"/>
    <w:rsid w:val="00E85233"/>
    <w:rsid w:val="00E853E4"/>
    <w:rsid w:val="00E86809"/>
    <w:rsid w:val="00E86DDC"/>
    <w:rsid w:val="00E87BC2"/>
    <w:rsid w:val="00E87D88"/>
    <w:rsid w:val="00E90523"/>
    <w:rsid w:val="00E92AB7"/>
    <w:rsid w:val="00E947C9"/>
    <w:rsid w:val="00E95847"/>
    <w:rsid w:val="00E95F08"/>
    <w:rsid w:val="00E96923"/>
    <w:rsid w:val="00E96D99"/>
    <w:rsid w:val="00E96F1D"/>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4E68"/>
    <w:rsid w:val="00EC543C"/>
    <w:rsid w:val="00EC6849"/>
    <w:rsid w:val="00EC6C23"/>
    <w:rsid w:val="00EC6E8A"/>
    <w:rsid w:val="00EC6EB9"/>
    <w:rsid w:val="00EC7775"/>
    <w:rsid w:val="00ED0E52"/>
    <w:rsid w:val="00ED2D78"/>
    <w:rsid w:val="00ED3B80"/>
    <w:rsid w:val="00ED4499"/>
    <w:rsid w:val="00ED6D62"/>
    <w:rsid w:val="00ED6FCA"/>
    <w:rsid w:val="00ED7179"/>
    <w:rsid w:val="00ED76A0"/>
    <w:rsid w:val="00ED7803"/>
    <w:rsid w:val="00EE08F6"/>
    <w:rsid w:val="00EE0947"/>
    <w:rsid w:val="00EE3D45"/>
    <w:rsid w:val="00EE415A"/>
    <w:rsid w:val="00EE572F"/>
    <w:rsid w:val="00EE608F"/>
    <w:rsid w:val="00EE761A"/>
    <w:rsid w:val="00EE78E2"/>
    <w:rsid w:val="00EE7C14"/>
    <w:rsid w:val="00EF02A8"/>
    <w:rsid w:val="00EF2342"/>
    <w:rsid w:val="00EF3AF9"/>
    <w:rsid w:val="00EF3CB0"/>
    <w:rsid w:val="00EF41E0"/>
    <w:rsid w:val="00EF51AF"/>
    <w:rsid w:val="00EF56D8"/>
    <w:rsid w:val="00EF5C8E"/>
    <w:rsid w:val="00EF5CCE"/>
    <w:rsid w:val="00EF66D2"/>
    <w:rsid w:val="00EF77AA"/>
    <w:rsid w:val="00EF798A"/>
    <w:rsid w:val="00F0081B"/>
    <w:rsid w:val="00F01011"/>
    <w:rsid w:val="00F0108B"/>
    <w:rsid w:val="00F0183C"/>
    <w:rsid w:val="00F028BD"/>
    <w:rsid w:val="00F033B3"/>
    <w:rsid w:val="00F03458"/>
    <w:rsid w:val="00F0399C"/>
    <w:rsid w:val="00F03F2A"/>
    <w:rsid w:val="00F047AA"/>
    <w:rsid w:val="00F078D2"/>
    <w:rsid w:val="00F07D99"/>
    <w:rsid w:val="00F07E43"/>
    <w:rsid w:val="00F11A2D"/>
    <w:rsid w:val="00F11F11"/>
    <w:rsid w:val="00F126F3"/>
    <w:rsid w:val="00F157EE"/>
    <w:rsid w:val="00F15D2C"/>
    <w:rsid w:val="00F15EE6"/>
    <w:rsid w:val="00F16815"/>
    <w:rsid w:val="00F17994"/>
    <w:rsid w:val="00F17AB6"/>
    <w:rsid w:val="00F21CE0"/>
    <w:rsid w:val="00F23523"/>
    <w:rsid w:val="00F24B61"/>
    <w:rsid w:val="00F24E54"/>
    <w:rsid w:val="00F26FC2"/>
    <w:rsid w:val="00F27C39"/>
    <w:rsid w:val="00F3007D"/>
    <w:rsid w:val="00F30109"/>
    <w:rsid w:val="00F30AD2"/>
    <w:rsid w:val="00F31E17"/>
    <w:rsid w:val="00F31FEC"/>
    <w:rsid w:val="00F32FF6"/>
    <w:rsid w:val="00F34D84"/>
    <w:rsid w:val="00F369CF"/>
    <w:rsid w:val="00F36E58"/>
    <w:rsid w:val="00F40205"/>
    <w:rsid w:val="00F407CD"/>
    <w:rsid w:val="00F40C63"/>
    <w:rsid w:val="00F42758"/>
    <w:rsid w:val="00F42C02"/>
    <w:rsid w:val="00F44892"/>
    <w:rsid w:val="00F45619"/>
    <w:rsid w:val="00F46201"/>
    <w:rsid w:val="00F46A7C"/>
    <w:rsid w:val="00F475D1"/>
    <w:rsid w:val="00F62D53"/>
    <w:rsid w:val="00F6387C"/>
    <w:rsid w:val="00F639E3"/>
    <w:rsid w:val="00F64F06"/>
    <w:rsid w:val="00F6594E"/>
    <w:rsid w:val="00F661A6"/>
    <w:rsid w:val="00F674DC"/>
    <w:rsid w:val="00F70440"/>
    <w:rsid w:val="00F70D1C"/>
    <w:rsid w:val="00F72388"/>
    <w:rsid w:val="00F742ED"/>
    <w:rsid w:val="00F7430F"/>
    <w:rsid w:val="00F7467E"/>
    <w:rsid w:val="00F74BCE"/>
    <w:rsid w:val="00F775B3"/>
    <w:rsid w:val="00F802AD"/>
    <w:rsid w:val="00F80936"/>
    <w:rsid w:val="00F80F2B"/>
    <w:rsid w:val="00F836EC"/>
    <w:rsid w:val="00F84249"/>
    <w:rsid w:val="00F8436E"/>
    <w:rsid w:val="00F861AD"/>
    <w:rsid w:val="00F87491"/>
    <w:rsid w:val="00F877BE"/>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32EC"/>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6CBE"/>
    <w:rsid w:val="00FD6E1B"/>
    <w:rsid w:val="00FD7E75"/>
    <w:rsid w:val="00FE0300"/>
    <w:rsid w:val="00FE0455"/>
    <w:rsid w:val="00FE0966"/>
    <w:rsid w:val="00FE1233"/>
    <w:rsid w:val="00FE1541"/>
    <w:rsid w:val="00FE24D3"/>
    <w:rsid w:val="00FE273C"/>
    <w:rsid w:val="00FE32AF"/>
    <w:rsid w:val="00FE3B11"/>
    <w:rsid w:val="00FE51FD"/>
    <w:rsid w:val="00FE6290"/>
    <w:rsid w:val="00FE6CF6"/>
    <w:rsid w:val="00FE74AC"/>
    <w:rsid w:val="00FE78EF"/>
    <w:rsid w:val="00FF06C2"/>
    <w:rsid w:val="00FF1D74"/>
    <w:rsid w:val="00FF2C42"/>
    <w:rsid w:val="00FF4158"/>
    <w:rsid w:val="00FF4870"/>
    <w:rsid w:val="00FF5124"/>
    <w:rsid w:val="00FF651C"/>
    <w:rsid w:val="00FF78C0"/>
    <w:rsid w:val="02CD37A8"/>
    <w:rsid w:val="035E4559"/>
    <w:rsid w:val="0BB95D1D"/>
    <w:rsid w:val="0FAC1251"/>
    <w:rsid w:val="100A447D"/>
    <w:rsid w:val="134277FC"/>
    <w:rsid w:val="14486D32"/>
    <w:rsid w:val="156B2636"/>
    <w:rsid w:val="18A6265E"/>
    <w:rsid w:val="18AF707B"/>
    <w:rsid w:val="1AAD2F8A"/>
    <w:rsid w:val="1E85739C"/>
    <w:rsid w:val="207850EF"/>
    <w:rsid w:val="221B4A06"/>
    <w:rsid w:val="22271F3E"/>
    <w:rsid w:val="22942696"/>
    <w:rsid w:val="253C10D3"/>
    <w:rsid w:val="2781337C"/>
    <w:rsid w:val="2A947376"/>
    <w:rsid w:val="2C8622C4"/>
    <w:rsid w:val="2DBF09AB"/>
    <w:rsid w:val="2E8259FF"/>
    <w:rsid w:val="2F9F402B"/>
    <w:rsid w:val="2FB358A5"/>
    <w:rsid w:val="2FFA6931"/>
    <w:rsid w:val="345937CE"/>
    <w:rsid w:val="3595172F"/>
    <w:rsid w:val="362A0769"/>
    <w:rsid w:val="36A51BF4"/>
    <w:rsid w:val="380F45CC"/>
    <w:rsid w:val="3A981197"/>
    <w:rsid w:val="3B5F663F"/>
    <w:rsid w:val="3C1515AA"/>
    <w:rsid w:val="3FD7004F"/>
    <w:rsid w:val="40C66F18"/>
    <w:rsid w:val="432E4AC9"/>
    <w:rsid w:val="468A2CFC"/>
    <w:rsid w:val="471B610B"/>
    <w:rsid w:val="4AD86832"/>
    <w:rsid w:val="4ADD0CE6"/>
    <w:rsid w:val="4BC86638"/>
    <w:rsid w:val="4DB06F45"/>
    <w:rsid w:val="4E5527F6"/>
    <w:rsid w:val="4ECA54CC"/>
    <w:rsid w:val="55423750"/>
    <w:rsid w:val="55A253EC"/>
    <w:rsid w:val="579E0CAF"/>
    <w:rsid w:val="5BFA42C1"/>
    <w:rsid w:val="5DF60ACB"/>
    <w:rsid w:val="60025EA2"/>
    <w:rsid w:val="66403909"/>
    <w:rsid w:val="68EC0320"/>
    <w:rsid w:val="6AF76AD3"/>
    <w:rsid w:val="6C0A130D"/>
    <w:rsid w:val="6CE92D12"/>
    <w:rsid w:val="6DBE4BE1"/>
    <w:rsid w:val="6E1F57B3"/>
    <w:rsid w:val="6E3851B0"/>
    <w:rsid w:val="6E8700BC"/>
    <w:rsid w:val="70752F43"/>
    <w:rsid w:val="73276779"/>
    <w:rsid w:val="73B351D8"/>
    <w:rsid w:val="74DD70D7"/>
    <w:rsid w:val="757C14D3"/>
    <w:rsid w:val="75E825D6"/>
    <w:rsid w:val="7763241B"/>
    <w:rsid w:val="78472D65"/>
    <w:rsid w:val="79A95ED4"/>
    <w:rsid w:val="7B030CC0"/>
    <w:rsid w:val="7B6D6B25"/>
    <w:rsid w:val="7CF27A2C"/>
    <w:rsid w:val="7EBB304E"/>
    <w:rsid w:val="7FBE2911"/>
    <w:rsid w:val="7FDA1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40"/>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List Paragraph"/>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9"/>
    <w:qFormat/>
    <w:uiPriority w:val="0"/>
    <w:pPr>
      <w:keepNext/>
      <w:keepLines/>
    </w:pPr>
    <w:rPr>
      <w:rFonts w:ascii="Arial" w:hAnsi="Arial" w:eastAsia="Malgun Gothic"/>
      <w:sz w:val="18"/>
      <w:szCs w:val="20"/>
      <w:lang w:val="en-GB" w:eastAsia="zh-CN"/>
    </w:rPr>
  </w:style>
  <w:style w:type="paragraph" w:customStyle="1" w:styleId="36">
    <w:name w:val="TAH"/>
    <w:basedOn w:val="37"/>
    <w:link w:val="47"/>
    <w:qFormat/>
    <w:uiPriority w:val="0"/>
    <w:pPr>
      <w:keepNext/>
      <w:keepLines/>
      <w:jc w:val="center"/>
    </w:pPr>
    <w:rPr>
      <w:rFonts w:ascii="Arial" w:hAnsi="Arial" w:eastAsia="Malgun Gothic"/>
      <w:b/>
      <w:sz w:val="18"/>
      <w:szCs w:val="20"/>
      <w:lang w:val="en-GB" w:eastAsia="zh-CN"/>
    </w:rPr>
  </w:style>
  <w:style w:type="paragraph" w:customStyle="1" w:styleId="37">
    <w:name w:val="TAC"/>
    <w:basedOn w:val="35"/>
    <w:link w:val="48"/>
    <w:qFormat/>
    <w:uiPriority w:val="0"/>
    <w:pPr>
      <w:jc w:val="center"/>
    </w:pPr>
    <w:rPr>
      <w:rFonts w:eastAsia="宋体"/>
      <w:lang w:eastAsia="en-US"/>
    </w:rPr>
  </w:style>
  <w:style w:type="paragraph" w:customStyle="1" w:styleId="38">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9">
    <w:name w:val="TAL Char"/>
    <w:link w:val="35"/>
    <w:qFormat/>
    <w:uiPriority w:val="0"/>
    <w:rPr>
      <w:rFonts w:ascii="Arial" w:hAnsi="Arial" w:eastAsia="Malgun Gothic" w:cs="Times New Roman"/>
      <w:sz w:val="18"/>
      <w:szCs w:val="20"/>
      <w:lang w:val="en-GB" w:eastAsia="zh-CN"/>
    </w:rPr>
  </w:style>
  <w:style w:type="character" w:customStyle="1" w:styleId="40">
    <w:name w:val="标题 8 字符"/>
    <w:link w:val="8"/>
    <w:qFormat/>
    <w:uiPriority w:val="9"/>
    <w:rPr>
      <w:rFonts w:ascii="Cambria" w:hAnsi="Cambria" w:eastAsia="宋体" w:cs="Times New Roman"/>
      <w:sz w:val="24"/>
      <w:szCs w:val="24"/>
      <w:lang w:val="en-US"/>
    </w:rPr>
  </w:style>
  <w:style w:type="character" w:customStyle="1" w:styleId="41">
    <w:name w:val="apple-converted-space"/>
    <w:qFormat/>
    <w:uiPriority w:val="0"/>
  </w:style>
  <w:style w:type="character" w:customStyle="1" w:styleId="42">
    <w:name w:val="high-light-bg"/>
    <w:qFormat/>
    <w:uiPriority w:val="0"/>
  </w:style>
  <w:style w:type="paragraph" w:customStyle="1" w:styleId="43">
    <w:name w:val="스타일 스타일 스타일 스타일 양쪽 첫 줄:  2 글자 + 첫 줄:  2 글자 + 첫 줄:  2 글자 + 첫 줄:  2..."/>
    <w:basedOn w:val="1"/>
    <w:link w:val="44"/>
    <w:qFormat/>
    <w:uiPriority w:val="0"/>
    <w:pPr>
      <w:spacing w:after="180" w:line="336" w:lineRule="auto"/>
      <w:ind w:firstLine="200" w:firstLineChars="200"/>
      <w:jc w:val="both"/>
    </w:pPr>
    <w:rPr>
      <w:rFonts w:eastAsia="Malgun Gothic" w:cs="Batang"/>
      <w:szCs w:val="20"/>
      <w:lang w:val="en-GB"/>
    </w:rPr>
  </w:style>
  <w:style w:type="character" w:customStyle="1" w:styleId="44">
    <w:name w:val="스타일 스타일 스타일 스타일 양쪽 첫 줄:  2 글자 + 첫 줄:  2 글자 + 첫 줄:  2 글자 + 첫 줄:  2... Char"/>
    <w:link w:val="43"/>
    <w:qFormat/>
    <w:uiPriority w:val="0"/>
    <w:rPr>
      <w:rFonts w:ascii="Times New Roman" w:hAnsi="Times New Roman" w:eastAsia="Malgun Gothic" w:cs="Batang"/>
      <w:lang w:val="en-GB" w:eastAsia="en-US"/>
    </w:rPr>
  </w:style>
  <w:style w:type="paragraph" w:customStyle="1" w:styleId="45">
    <w:name w:val="B1"/>
    <w:basedOn w:val="1"/>
    <w:link w:val="46"/>
    <w:qFormat/>
    <w:uiPriority w:val="0"/>
    <w:pPr>
      <w:spacing w:after="180"/>
      <w:ind w:left="568" w:hanging="284"/>
    </w:pPr>
    <w:rPr>
      <w:rFonts w:eastAsia="宋体"/>
      <w:szCs w:val="20"/>
      <w:lang w:val="en-GB"/>
    </w:rPr>
  </w:style>
  <w:style w:type="character" w:customStyle="1" w:styleId="46">
    <w:name w:val="B1 Char1"/>
    <w:link w:val="45"/>
    <w:qFormat/>
    <w:uiPriority w:val="0"/>
    <w:rPr>
      <w:rFonts w:ascii="Times New Roman" w:hAnsi="Times New Roman"/>
      <w:lang w:val="en-GB" w:eastAsia="en-US"/>
    </w:rPr>
  </w:style>
  <w:style w:type="character" w:customStyle="1" w:styleId="47">
    <w:name w:val="TAH Car"/>
    <w:link w:val="36"/>
    <w:qFormat/>
    <w:uiPriority w:val="0"/>
    <w:rPr>
      <w:rFonts w:ascii="Arial" w:hAnsi="Arial" w:eastAsia="Malgun Gothic"/>
      <w:b/>
      <w:sz w:val="18"/>
      <w:lang w:val="en-GB" w:eastAsia="zh-CN"/>
    </w:rPr>
  </w:style>
  <w:style w:type="character" w:customStyle="1" w:styleId="48">
    <w:name w:val="TAC Char"/>
    <w:link w:val="3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8"/>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5"/>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목록 단락1"/>
    <w:basedOn w:val="1"/>
    <w:qFormat/>
    <w:uiPriority w:val="34"/>
    <w:pPr>
      <w:overflowPunct w:val="0"/>
      <w:autoSpaceDE w:val="0"/>
      <w:autoSpaceDN w:val="0"/>
      <w:adjustRightInd w:val="0"/>
      <w:spacing w:after="120"/>
      <w:ind w:left="720"/>
      <w:contextualSpacing/>
      <w:jc w:val="both"/>
      <w:textAlignment w:val="baseline"/>
    </w:pPr>
    <w:rPr>
      <w:rFonts w:ascii="Arial" w:hAnsi="Arial" w:eastAsia="Times New Roman"/>
      <w:szCs w:val="20"/>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6</Pages>
  <Words>1404</Words>
  <Characters>8009</Characters>
  <Lines>66</Lines>
  <Paragraphs>18</Paragraphs>
  <ScaleCrop>false</ScaleCrop>
  <LinksUpToDate>false</LinksUpToDate>
  <CharactersWithSpaces>9395</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2024-10-01T20:20:45Z</dcterms:modified>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7B37204075AF49F09386BF4B93258737_13</vt:lpwstr>
  </property>
</Properties>
</file>