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8bis</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24</w:t>
      </w:r>
      <w:r>
        <w:rPr>
          <w:rFonts w:hint="eastAsia" w:ascii="Arial" w:hAnsi="Arial" w:cs="Arial"/>
          <w:b/>
          <w:bCs/>
          <w:sz w:val="22"/>
          <w:szCs w:val="22"/>
        </w:rPr>
        <w:t>08077</w:t>
      </w:r>
    </w:p>
    <w:p>
      <w:pPr>
        <w:spacing w:before="120" w:after="120"/>
        <w:rPr>
          <w:rFonts w:ascii="Arial" w:hAnsi="Arial" w:cs="Arial"/>
          <w:b/>
          <w:bCs/>
          <w:sz w:val="22"/>
          <w:szCs w:val="22"/>
        </w:rPr>
      </w:pPr>
      <w:r>
        <w:rPr>
          <w:rFonts w:hint="eastAsia" w:ascii="Arial" w:hAnsi="Arial" w:cs="Arial"/>
          <w:b/>
          <w:bCs/>
          <w:sz w:val="22"/>
          <w:szCs w:val="22"/>
        </w:rPr>
        <w:t>Hefei</w:t>
      </w:r>
      <w:r>
        <w:rPr>
          <w:rFonts w:ascii="Arial" w:hAnsi="Arial" w:cs="Arial"/>
          <w:b/>
          <w:bCs/>
          <w:sz w:val="22"/>
          <w:szCs w:val="22"/>
          <w:lang w:eastAsia="ja-JP"/>
        </w:rPr>
        <w:t xml:space="preserve">, </w:t>
      </w:r>
      <w:r>
        <w:rPr>
          <w:rFonts w:hint="eastAsia" w:ascii="Arial" w:hAnsi="Arial" w:cs="Arial"/>
          <w:b/>
          <w:bCs/>
          <w:sz w:val="22"/>
          <w:szCs w:val="22"/>
        </w:rPr>
        <w:t>China, Oct. 14</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Oct. 18</w:t>
      </w:r>
      <w:r>
        <w:rPr>
          <w:rFonts w:hint="eastAsia" w:ascii="Arial" w:hAnsi="Arial" w:cs="Arial"/>
          <w:b/>
          <w:bCs/>
          <w:sz w:val="22"/>
          <w:szCs w:val="22"/>
          <w:vertAlign w:val="superscript"/>
        </w:rPr>
        <w:t>th</w:t>
      </w:r>
      <w:r>
        <w:rPr>
          <w:rFonts w:ascii="Arial" w:hAnsi="Arial" w:cs="Arial"/>
          <w:b/>
          <w:bCs/>
          <w:sz w:val="22"/>
          <w:szCs w:val="22"/>
          <w:lang w:eastAsia="ja-JP"/>
        </w:rPr>
        <w:t>, 202</w:t>
      </w:r>
      <w:r>
        <w:rPr>
          <w:rFonts w:hint="eastAsia" w:ascii="Arial" w:hAnsi="Arial" w:cs="Arial"/>
          <w:b/>
          <w:bCs/>
          <w:sz w:val="22"/>
          <w:szCs w:val="22"/>
        </w:rPr>
        <w:t>4</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measurement gap for XR</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Corporation</w:t>
      </w:r>
      <w:r>
        <w:rPr>
          <w:rFonts w:ascii="Arial" w:hAnsi="Arial"/>
          <w:b/>
          <w:sz w:val="22"/>
          <w:szCs w:val="22"/>
        </w:rPr>
        <w:t>,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9.10.1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szCs w:val="21"/>
        </w:rPr>
        <w:t>B</w:t>
      </w:r>
      <w:r>
        <w:rPr>
          <w:rFonts w:hint="eastAsia"/>
          <w:szCs w:val="21"/>
        </w:rPr>
        <w:t>ased</w:t>
      </w:r>
      <w:r>
        <w:rPr>
          <w:szCs w:val="21"/>
        </w:rPr>
        <w:t xml:space="preserve"> on the working assumption in</w:t>
      </w:r>
      <w:r>
        <w:rPr>
          <w:rFonts w:hint="eastAsia"/>
          <w:szCs w:val="21"/>
        </w:rPr>
        <w:t xml:space="preserve"> RAN1#118 meeting [1], we further discuss the remaining issues of the dynamic solution</w:t>
      </w:r>
      <w:r>
        <w:rPr>
          <w:szCs w:val="21"/>
        </w:rPr>
        <w:t xml:space="preserve"> to skip a particular gap/restriction</w:t>
      </w:r>
      <w:r>
        <w:rPr>
          <w:rFonts w:hint="eastAsia"/>
          <w:szCs w:val="21"/>
        </w:rPr>
        <w:t xml:space="preserve"> occasion. </w:t>
      </w:r>
    </w:p>
    <w:p>
      <w:pPr>
        <w:spacing w:before="120" w:after="120"/>
        <w:rPr>
          <w:szCs w:val="21"/>
        </w:rPr>
      </w:pPr>
      <w:r>
        <w:rPr>
          <w:rFonts w:hint="eastAsia"/>
          <w:szCs w:val="21"/>
        </w:rPr>
        <w:t xml:space="preserve">In Section 2, we provide our views on the meanings of the single bit </w:t>
      </w:r>
      <w:r>
        <w:rPr>
          <w:szCs w:val="21"/>
        </w:rPr>
        <w:t xml:space="preserve">of </w:t>
      </w:r>
      <w:r>
        <w:rPr>
          <w:rFonts w:hint="eastAsia"/>
          <w:szCs w:val="21"/>
        </w:rPr>
        <w:t xml:space="preserve">indication in DCI signaling and corresponding </w:t>
      </w:r>
      <w:r>
        <w:rPr>
          <w:szCs w:val="21"/>
        </w:rPr>
        <w:t xml:space="preserve">applicable </w:t>
      </w:r>
      <w:r>
        <w:rPr>
          <w:rFonts w:hint="eastAsia"/>
          <w:szCs w:val="21"/>
        </w:rPr>
        <w:t xml:space="preserve">DCI format. </w:t>
      </w:r>
      <w:r>
        <w:rPr>
          <w:szCs w:val="21"/>
        </w:rPr>
        <w:t xml:space="preserve">Section 3 explores dynamic solutions further, examining </w:t>
      </w:r>
      <w:r>
        <w:rPr>
          <w:rFonts w:hint="eastAsia"/>
          <w:szCs w:val="21"/>
        </w:rPr>
        <w:t xml:space="preserve">the partial cancellation/skipping of gap/restriction.  </w:t>
      </w:r>
    </w:p>
    <w:p>
      <w:pPr>
        <w:pStyle w:val="2"/>
        <w:spacing w:before="120" w:after="120"/>
        <w:ind w:left="0"/>
      </w:pPr>
      <w:r>
        <w:rPr>
          <w:rFonts w:hint="eastAsia" w:eastAsia="宋体"/>
        </w:rPr>
        <w:t>Discussion on remaining issues of signaling design</w:t>
      </w:r>
    </w:p>
    <w:p>
      <w:pPr>
        <w:spacing w:before="120" w:after="120"/>
      </w:pPr>
      <w:r>
        <w:rPr>
          <w:rFonts w:hint="eastAsia"/>
        </w:rPr>
        <w:t xml:space="preserve">In RAN1#118 meeting, there </w:t>
      </w:r>
      <w:r>
        <w:t>wa</w:t>
      </w:r>
      <w:r>
        <w:rPr>
          <w:rFonts w:hint="eastAsia"/>
        </w:rPr>
        <w:t>s a working assumption about the dynamic solution to skip a particular gap/restriction occasion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1" w:type="dxa"/>
          </w:tcPr>
          <w:p>
            <w:pPr>
              <w:spacing w:before="120" w:after="120"/>
              <w:rPr>
                <w:b/>
                <w:bCs/>
                <w:szCs w:val="21"/>
              </w:rPr>
            </w:pPr>
            <w:r>
              <w:rPr>
                <w:b/>
                <w:bCs/>
                <w:szCs w:val="21"/>
                <w:highlight w:val="darkYellow"/>
              </w:rPr>
              <w:t>Working Assumption</w:t>
            </w:r>
          </w:p>
          <w:p>
            <w:pPr>
              <w:spacing w:before="120" w:after="120"/>
              <w:rPr>
                <w:szCs w:val="21"/>
              </w:rPr>
            </w:pPr>
            <w:r>
              <w:rPr>
                <w:szCs w:val="21"/>
              </w:rPr>
              <w:t>For solutions based on triggering/enabling by network signaling to enable Tx/Rx in gaps/restrictions that are caused by RRM measurements select the following option:</w:t>
            </w:r>
          </w:p>
          <w:p>
            <w:pPr>
              <w:pStyle w:val="40"/>
              <w:numPr>
                <w:ilvl w:val="0"/>
                <w:numId w:val="5"/>
              </w:numPr>
              <w:spacing w:after="120"/>
              <w:rPr>
                <w:sz w:val="21"/>
                <w:szCs w:val="21"/>
              </w:rPr>
            </w:pPr>
            <w:r>
              <w:rPr>
                <w:sz w:val="21"/>
                <w:szCs w:val="21"/>
              </w:rPr>
              <w:t xml:space="preserve">Alt. 1: Dynamic indication to enable Tx/Rx in particular gap/restriction that are caused by RRM measurements. </w:t>
            </w:r>
          </w:p>
          <w:p>
            <w:pPr>
              <w:pStyle w:val="40"/>
              <w:numPr>
                <w:ilvl w:val="1"/>
                <w:numId w:val="5"/>
              </w:numPr>
              <w:spacing w:after="120"/>
              <w:rPr>
                <w:sz w:val="21"/>
                <w:szCs w:val="21"/>
              </w:rPr>
            </w:pPr>
            <w:r>
              <w:rPr>
                <w:b/>
                <w:bCs/>
                <w:sz w:val="21"/>
                <w:szCs w:val="21"/>
              </w:rPr>
              <w:t>Alt 1-1</w:t>
            </w:r>
            <w:r>
              <w:rPr>
                <w:sz w:val="21"/>
                <w:szCs w:val="21"/>
              </w:rPr>
              <w:t xml:space="preserve">: Explicit indication </w:t>
            </w:r>
            <w:r>
              <w:rPr>
                <w:rFonts w:hint="eastAsia"/>
                <w:sz w:val="21"/>
                <w:szCs w:val="21"/>
              </w:rPr>
              <w:t>by DCI</w:t>
            </w:r>
            <w:r>
              <w:rPr>
                <w:sz w:val="21"/>
                <w:szCs w:val="21"/>
              </w:rPr>
              <w:t xml:space="preserve"> to skip a particular gap/restriction;</w:t>
            </w:r>
          </w:p>
          <w:p>
            <w:pPr>
              <w:pStyle w:val="40"/>
              <w:numPr>
                <w:ilvl w:val="2"/>
                <w:numId w:val="5"/>
              </w:numPr>
              <w:spacing w:after="120"/>
              <w:rPr>
                <w:sz w:val="21"/>
                <w:szCs w:val="21"/>
              </w:rPr>
            </w:pPr>
            <w:r>
              <w:rPr>
                <w:sz w:val="21"/>
                <w:szCs w:val="21"/>
              </w:rPr>
              <w:t>Indication is included as part of scheduling DCI:</w:t>
            </w:r>
          </w:p>
          <w:p>
            <w:pPr>
              <w:pStyle w:val="40"/>
              <w:numPr>
                <w:ilvl w:val="3"/>
                <w:numId w:val="5"/>
              </w:numPr>
              <w:spacing w:after="120"/>
              <w:rPr>
                <w:sz w:val="21"/>
                <w:szCs w:val="21"/>
              </w:rPr>
            </w:pPr>
            <w:r>
              <w:rPr>
                <w:sz w:val="21"/>
                <w:szCs w:val="21"/>
              </w:rPr>
              <w:t>Bit-field size is one bit;</w:t>
            </w:r>
          </w:p>
          <w:p>
            <w:pPr>
              <w:numPr>
                <w:ilvl w:val="4"/>
                <w:numId w:val="5"/>
              </w:numPr>
              <w:spacing w:before="120" w:after="120"/>
              <w:rPr>
                <w:szCs w:val="21"/>
              </w:rPr>
            </w:pPr>
            <w:r>
              <w:rPr>
                <w:szCs w:val="21"/>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pPr>
              <w:spacing w:beforeLines="0" w:after="0" w:afterLines="0" w:line="240" w:lineRule="auto"/>
              <w:rPr>
                <w:szCs w:val="21"/>
              </w:rPr>
            </w:pPr>
            <w:r>
              <w:rPr>
                <w:szCs w:val="21"/>
              </w:rPr>
              <w:t xml:space="preserve">Send an LS to RAN4 to inform them of the above working assumption and ask them if there is any issue with it. </w:t>
            </w:r>
            <w:r>
              <w:rPr>
                <w:szCs w:val="21"/>
                <w:highlight w:val="green"/>
              </w:rPr>
              <w:t>Final LS in R1-2407561.</w:t>
            </w:r>
          </w:p>
        </w:tc>
      </w:tr>
    </w:tbl>
    <w:p>
      <w:pPr>
        <w:pStyle w:val="3"/>
        <w:spacing w:before="120" w:after="120"/>
        <w:ind w:left="991" w:right="210" w:hanging="991" w:hangingChars="354"/>
      </w:pPr>
      <w:r>
        <w:rPr>
          <w:rFonts w:hint="eastAsia"/>
        </w:rPr>
        <w:t xml:space="preserve">DCI </w:t>
      </w:r>
      <w:r>
        <w:t>content</w:t>
      </w:r>
    </w:p>
    <w:p>
      <w:pPr>
        <w:spacing w:before="120" w:after="120"/>
      </w:pPr>
      <w:r>
        <w:rPr>
          <w:rFonts w:hint="eastAsia"/>
        </w:rPr>
        <w:t xml:space="preserve">In the scenario of single gap/restriction configured and activated </w:t>
      </w:r>
      <w:r>
        <w:t>for</w:t>
      </w:r>
      <w:r>
        <w:rPr>
          <w:rFonts w:hint="eastAsia"/>
        </w:rPr>
        <w:t xml:space="preserve"> one UE, e.g., </w:t>
      </w:r>
      <w:r>
        <w:t xml:space="preserve">for </w:t>
      </w:r>
      <w:r>
        <w:rPr>
          <w:rFonts w:hint="eastAsia"/>
        </w:rPr>
        <w:t xml:space="preserve">Rel-15/Rel-16 measurement gap, the single bit in the DCI signaling is </w:t>
      </w:r>
      <w:r>
        <w:t xml:space="preserve">used to </w:t>
      </w:r>
      <w:r>
        <w:rPr>
          <w:rFonts w:hint="eastAsia"/>
        </w:rPr>
        <w:t xml:space="preserve">indicate the next gap/restriction occasion after the minimum time offset, and the </w:t>
      </w:r>
      <w:r>
        <w:t>information</w:t>
      </w:r>
      <w:r>
        <w:rPr>
          <w:rFonts w:hint="eastAsia"/>
        </w:rPr>
        <w:t xml:space="preserve"> conveyed by the single bit is capable of representing the state of enabling Tx/Rx in the gap/restriction occasion and the state of </w:t>
      </w:r>
      <w:r>
        <w:t xml:space="preserve">performing </w:t>
      </w:r>
      <w:r>
        <w:rPr>
          <w:rFonts w:hint="eastAsia"/>
        </w:rPr>
        <w:t xml:space="preserve">measurement in the gap/restriction. For example, the bit </w:t>
      </w:r>
      <w:r>
        <w:t>‘</w:t>
      </w:r>
      <w:r>
        <w:rPr>
          <w:rFonts w:hint="eastAsia"/>
        </w:rPr>
        <w:t>1</w:t>
      </w:r>
      <w:r>
        <w:t>’</w:t>
      </w:r>
      <w:r>
        <w:rPr>
          <w:rFonts w:hint="eastAsia"/>
        </w:rPr>
        <w:t xml:space="preserve"> in the one-bit field indicates the gap/restriction occasion is skipped and enabling Tx/Rx, while the bit </w:t>
      </w:r>
      <w:r>
        <w:t>‘</w:t>
      </w:r>
      <w:r>
        <w:rPr>
          <w:rFonts w:hint="eastAsia"/>
        </w:rPr>
        <w:t>0</w:t>
      </w:r>
      <w:r>
        <w:t>’</w:t>
      </w:r>
      <w:r>
        <w:rPr>
          <w:rFonts w:hint="eastAsia"/>
        </w:rPr>
        <w:t xml:space="preserve"> in the one-bit field indicates the gap/restriction occasion is not skipped and execute measurement. </w:t>
      </w:r>
    </w:p>
    <w:p>
      <w:pPr>
        <w:pStyle w:val="63"/>
        <w:spacing w:before="120" w:after="120"/>
        <w:jc w:val="both"/>
        <w:rPr>
          <w:lang w:val="en-US" w:eastAsia="zh-CN"/>
        </w:rPr>
      </w:pPr>
      <w:bookmarkStart w:id="0" w:name="_Toc7057"/>
      <w:r>
        <w:rPr>
          <w:rFonts w:hint="eastAsia"/>
          <w:lang w:val="en-US" w:eastAsia="zh-CN"/>
        </w:rPr>
        <w:t xml:space="preserve">For the scenario of single gap/restriction configured and activated </w:t>
      </w:r>
      <w:r>
        <w:rPr>
          <w:lang w:val="en-US" w:eastAsia="zh-CN"/>
        </w:rPr>
        <w:t>for</w:t>
      </w:r>
      <w:r>
        <w:rPr>
          <w:rFonts w:hint="eastAsia"/>
          <w:lang w:val="en-US" w:eastAsia="zh-CN"/>
        </w:rPr>
        <w:t xml:space="preserve"> one UE, support the bit in the DCI is used to indicate whether to skip the first gap/restriction after a minimum time offset.</w:t>
      </w:r>
      <w:bookmarkEnd w:id="0"/>
    </w:p>
    <w:p>
      <w:pPr>
        <w:spacing w:before="120" w:after="120"/>
      </w:pPr>
      <w:r>
        <w:t>A</w:t>
      </w:r>
      <w:r>
        <w:rPr>
          <w:rFonts w:hint="eastAsia"/>
        </w:rPr>
        <w:t xml:space="preserve">ccording to TS 38.133 [2], there exists a scenario that multiple measurement object configurations are configured and activated simultaneously, such as, Rel-17 concurrent measurement gap. </w:t>
      </w:r>
    </w:p>
    <w:p>
      <w:pPr>
        <w:pStyle w:val="60"/>
        <w:spacing w:before="120" w:after="120"/>
        <w:rPr>
          <w:lang w:val="en-US" w:eastAsia="zh-CN"/>
        </w:rPr>
      </w:pPr>
      <w:bookmarkStart w:id="1" w:name="_Toc11172"/>
      <w:bookmarkStart w:id="2" w:name="_Toc1332"/>
      <w:r>
        <w:rPr>
          <w:rFonts w:hint="eastAsia"/>
          <w:lang w:val="en-US" w:eastAsia="zh-CN"/>
        </w:rPr>
        <w:t>Multiple measurement gaps can be configured for one UE, including e.g., Rel-17 concurrent measurement gap</w:t>
      </w:r>
      <w:bookmarkEnd w:id="1"/>
      <w:r>
        <w:rPr>
          <w:rFonts w:hint="eastAsia"/>
          <w:lang w:val="en-US" w:eastAsia="zh-CN"/>
        </w:rPr>
        <w:t>.</w:t>
      </w:r>
      <w:bookmarkEnd w:id="2"/>
      <w:r>
        <w:rPr>
          <w:rFonts w:hint="eastAsia"/>
          <w:lang w:val="en-US" w:eastAsia="zh-CN"/>
        </w:rPr>
        <w:t xml:space="preserve"> </w:t>
      </w:r>
    </w:p>
    <w:p>
      <w:pPr>
        <w:spacing w:before="120" w:after="120"/>
      </w:pPr>
      <w:r>
        <w:t xml:space="preserve">Specifically, </w:t>
      </w:r>
      <w:r>
        <w:rPr>
          <w:rFonts w:hint="eastAsia"/>
        </w:rPr>
        <w:t>overlap between gap/restriction occasions from different gaps/restrictions configurations may occur</w:t>
      </w:r>
      <w:r>
        <w:t xml:space="preserve"> according to the</w:t>
      </w:r>
      <w:r>
        <w:rPr>
          <w:rFonts w:hint="eastAsia"/>
        </w:rPr>
        <w:t xml:space="preserve"> definition of the overlapped measurement gap occasions in TS 38.133 [2], which is shown as below.</w:t>
      </w:r>
      <w: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1" w:hRule="atLeast"/>
          <w:jc w:val="center"/>
        </w:trPr>
        <w:tc>
          <w:tcPr>
            <w:tcW w:w="8522" w:type="dxa"/>
          </w:tcPr>
          <w:p>
            <w:pPr>
              <w:spacing w:before="120" w:after="120"/>
              <w:rPr>
                <w:i/>
                <w:iCs/>
                <w:lang w:val="en-GB"/>
              </w:rPr>
            </w:pPr>
            <w:bookmarkStart w:id="3" w:name="_Hlk97307080"/>
            <w:bookmarkStart w:id="4" w:name="_Hlk97307155"/>
            <w:r>
              <w:rPr>
                <w:rFonts w:hint="eastAsia"/>
                <w:i/>
                <w:iCs/>
              </w:rPr>
              <w:t>TS 38.133</w:t>
            </w:r>
          </w:p>
          <w:p>
            <w:pPr>
              <w:spacing w:before="120" w:after="120"/>
              <w:rPr>
                <w:b/>
                <w:bCs/>
                <w:u w:val="single"/>
              </w:rPr>
            </w:pPr>
            <w:r>
              <w:rPr>
                <w:rFonts w:hint="eastAsia"/>
                <w:b/>
                <w:bCs/>
                <w:u w:val="single"/>
              </w:rPr>
              <w:t>9.1.8.3 Collision between concurrent measurement gap</w:t>
            </w:r>
          </w:p>
          <w:p>
            <w:pPr>
              <w:spacing w:before="120" w:after="120"/>
            </w:pPr>
            <w:r>
              <w:t xml:space="preserve">Collisions between occasions of two concurrent measurement gaps may occur as specified in this clause if the two measurement gaps are </w:t>
            </w:r>
          </w:p>
          <w:p>
            <w:pPr>
              <w:pStyle w:val="66"/>
              <w:spacing w:before="120" w:after="120"/>
            </w:pPr>
            <w:r>
              <w:t>-</w:t>
            </w:r>
            <w:r>
              <w:tab/>
            </w:r>
            <w:r>
              <w:t>two per-UE measurement gaps, or</w:t>
            </w:r>
          </w:p>
          <w:p>
            <w:pPr>
              <w:pStyle w:val="66"/>
              <w:spacing w:before="120" w:after="120"/>
            </w:pPr>
            <w:r>
              <w:t>-</w:t>
            </w:r>
            <w:r>
              <w:tab/>
            </w:r>
            <w:r>
              <w:t>two per-FR measurement gaps in the same FR, or</w:t>
            </w:r>
          </w:p>
          <w:p>
            <w:pPr>
              <w:pStyle w:val="66"/>
              <w:spacing w:before="120" w:after="120"/>
              <w:rPr>
                <w:b/>
                <w:bCs/>
                <w:color w:val="0000FF"/>
              </w:rPr>
            </w:pPr>
            <w:r>
              <w:t>-</w:t>
            </w:r>
            <w:r>
              <w:tab/>
            </w:r>
            <w:r>
              <w:t>one per-UE measurement gap and one per-FR measurement gap.</w:t>
            </w:r>
          </w:p>
          <w:p>
            <w:pPr>
              <w:spacing w:before="120" w:after="120"/>
              <w:rPr>
                <w:lang w:eastAsia="ja-JP"/>
              </w:rPr>
            </w:pPr>
            <w:bookmarkStart w:id="5" w:name="_Hlk97307288"/>
            <w:r>
              <w:t>When UE is configured with concurrent measurement gaps, two measurement gap occasions are considered colliding</w:t>
            </w:r>
            <w:r>
              <w:rPr>
                <w:lang w:eastAsia="ja-JP"/>
              </w:rPr>
              <w:t xml:space="preserve"> if at least one of the following conditions is met:</w:t>
            </w:r>
          </w:p>
          <w:p>
            <w:pPr>
              <w:pStyle w:val="66"/>
              <w:spacing w:before="120" w:after="120"/>
            </w:pPr>
            <w:r>
              <w:t>-</w:t>
            </w:r>
            <w:r>
              <w:tab/>
            </w:r>
            <w:r>
              <w:rPr>
                <w:b/>
                <w:bCs/>
                <w:highlight w:val="green"/>
              </w:rPr>
              <w:t>the two occasions are fully or partially overlapping in time domain</w:t>
            </w:r>
            <w:r>
              <w:t>, or</w:t>
            </w:r>
          </w:p>
          <w:bookmarkEnd w:id="3"/>
          <w:bookmarkEnd w:id="4"/>
          <w:bookmarkEnd w:id="5"/>
          <w:p>
            <w:pPr>
              <w:pStyle w:val="66"/>
              <w:spacing w:before="120" w:after="120"/>
            </w:pPr>
            <w:r>
              <w:t>-</w:t>
            </w:r>
            <w:r>
              <w:tab/>
            </w:r>
            <w:r>
              <w:rPr>
                <w:b/>
                <w:bCs/>
                <w:highlight w:val="green"/>
                <w:u w:val="single"/>
                <w:lang w:eastAsia="ja-JP"/>
              </w:rPr>
              <w:t>the distance between the two occasions is equal to or smaller than 4ms</w:t>
            </w:r>
            <w:r>
              <w:rPr>
                <w:lang w:eastAsia="ja-JP"/>
              </w:rPr>
              <w:t>.</w:t>
            </w:r>
          </w:p>
        </w:tc>
      </w:tr>
    </w:tbl>
    <w:p>
      <w:pPr>
        <w:spacing w:before="120" w:after="120"/>
      </w:pPr>
      <w:r>
        <w:t>And the meaning of one-bit field causes confusion regarding which gap occasion to cancel in this case. For example, if</w:t>
      </w:r>
      <w:r>
        <w:rPr>
          <w:rFonts w:hint="eastAsia"/>
        </w:rPr>
        <w:t xml:space="preserve"> UE is configured with concurrent measurement gaps and two measurement gap occasions are considered colliding, </w:t>
      </w:r>
      <w:r>
        <w:t>it should be clarified that single bit indicates to cancel</w:t>
      </w:r>
      <w:r>
        <w:rPr>
          <w:rFonts w:hint="eastAsia"/>
        </w:rPr>
        <w:t xml:space="preserve"> which measurement gap occasion. </w:t>
      </w:r>
    </w:p>
    <w:p>
      <w:pPr>
        <w:spacing w:before="120" w:after="120"/>
      </w:pPr>
      <w:r>
        <w:t xml:space="preserve">In the meanwhile, we also take into account existing </w:t>
      </w:r>
      <w:r>
        <w:rPr>
          <w:rFonts w:hint="eastAsia"/>
        </w:rPr>
        <w:t>dropping mechanism to address problem of the collision between two measurement gap occasions</w:t>
      </w:r>
      <w:r>
        <w:t xml:space="preserve"> as follows:</w:t>
      </w:r>
    </w:p>
    <w:tbl>
      <w:tblPr>
        <w:tblStyle w:val="26"/>
        <w:tblW w:w="0" w:type="auto"/>
        <w:tblInd w:w="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4" w:type="dxa"/>
          </w:tcPr>
          <w:p>
            <w:pPr>
              <w:spacing w:before="120" w:after="120"/>
              <w:rPr>
                <w:i/>
                <w:iCs/>
              </w:rPr>
            </w:pPr>
            <w:bookmarkStart w:id="6" w:name="_Hlk101198987"/>
            <w:bookmarkStart w:id="7" w:name="_Hlk101196094"/>
            <w:r>
              <w:rPr>
                <w:rFonts w:hint="eastAsia"/>
                <w:i/>
                <w:iCs/>
              </w:rPr>
              <w:t>TS 38.133</w:t>
            </w:r>
          </w:p>
          <w:p>
            <w:pPr>
              <w:spacing w:before="120" w:after="120"/>
              <w:rPr>
                <w:b/>
                <w:bCs/>
                <w:u w:val="single"/>
              </w:rPr>
            </w:pPr>
            <w:r>
              <w:rPr>
                <w:rFonts w:hint="eastAsia"/>
                <w:b/>
                <w:bCs/>
                <w:u w:val="single"/>
              </w:rPr>
              <w:t>9.1.8.3 Collision between concurrent measurement gap</w:t>
            </w:r>
          </w:p>
          <w:p>
            <w:pPr>
              <w:spacing w:before="120" w:after="120"/>
            </w:pPr>
            <w:r>
              <w:t>In case of collision between two measurement gap occasions, the UE shall perform measurements in the occasion of the measurement gap with higher priority, and the occasion of the measurement gap with lower priority shall be dropped.</w:t>
            </w:r>
            <w:bookmarkEnd w:id="6"/>
            <w:bookmarkEnd w:id="7"/>
            <w:r>
              <w:rPr>
                <w:szCs w:val="21"/>
                <w:lang w:eastAsia="ko-KR"/>
              </w:rPr>
              <w:t xml:space="preserve"> </w:t>
            </w:r>
            <w:r>
              <w:t xml:space="preserve">The UE shall be able to transmit PUCCH/PUSCH/SRS or receive PDCCH/PDSCH/TRS/CSI-RS for CQI in the corresponding NR serving cells in the slots that are not interrupted according to requirements in clause 9.1.8.4. </w:t>
            </w:r>
          </w:p>
          <w:p>
            <w:pPr>
              <w:spacing w:before="120" w:after="120"/>
              <w:rPr>
                <w:i/>
              </w:rPr>
            </w:pPr>
            <w:r>
              <w:rPr>
                <w:szCs w:val="21"/>
                <w:lang w:eastAsia="ko-KR"/>
              </w:rPr>
              <w:t xml:space="preserve">The requirements of concurrent measurement gaps in section 9 shall not apply when a gap without assigned priority is configured simultaneously with any other gap(s) </w:t>
            </w:r>
            <w:r>
              <w:rPr>
                <w:rFonts w:hint="eastAsia"/>
              </w:rPr>
              <w:t>t</w:t>
            </w:r>
            <w:r>
              <w:t>hat affect serving carriers</w:t>
            </w:r>
            <w:r>
              <w:rPr>
                <w:szCs w:val="21"/>
                <w:lang w:eastAsia="ko-KR"/>
              </w:rPr>
              <w:t xml:space="preserve"> in the same FR and the measurement gaps are colliding with each other.</w:t>
            </w:r>
          </w:p>
          <w:p>
            <w:pPr>
              <w:spacing w:before="120" w:after="120"/>
            </w:pPr>
            <w:r>
              <w:t xml:space="preserve">The priority for a measurement gap is configured by networks via </w:t>
            </w:r>
            <w:r>
              <w:rPr>
                <w:i/>
              </w:rPr>
              <w:t>gapPriority</w:t>
            </w:r>
            <w:r>
              <w:t xml:space="preserve"> in </w:t>
            </w:r>
            <w:r>
              <w:rPr>
                <w:i/>
              </w:rPr>
              <w:t>GapConfig</w:t>
            </w:r>
            <w:r>
              <w:t>. The requirements with concurrent measurement gaps apply provided that two measurement gaps colliding with each other are configured with different priorities.</w:t>
            </w:r>
          </w:p>
        </w:tc>
      </w:tr>
    </w:tbl>
    <w:p>
      <w:pPr>
        <w:spacing w:before="120" w:after="120"/>
      </w:pPr>
    </w:p>
    <w:p>
      <w:pPr>
        <w:spacing w:before="120" w:after="120"/>
      </w:pPr>
      <w:r>
        <w:t xml:space="preserve">For instance, two detailed cases are provided in the following context. </w:t>
      </w:r>
      <w:r>
        <w:rPr>
          <w:rFonts w:hint="eastAsia"/>
        </w:rPr>
        <w:t>The first case is that the two measurement gap occasions collide and the starting position of measurement gap with low priority is prior to that of measurement gap with high priority, as illustrated in Figure 1. While the second case is that the two measurement gap occasions collide and the starting position of measurement gap with high priority is prior to that of measurement gap with low priority, as illustrated in Figure 2. Based on these two cases we provided, the ambiguity can be resolved through an analysis of two key aspects:</w:t>
      </w:r>
    </w:p>
    <w:p>
      <w:pPr>
        <w:numPr>
          <w:ilvl w:val="0"/>
          <w:numId w:val="6"/>
        </w:numPr>
        <w:spacing w:before="120" w:after="120"/>
      </w:pPr>
      <w:r>
        <w:rPr>
          <w:rFonts w:hint="eastAsia"/>
        </w:rPr>
        <w:t>Which occasion(s) one bit in the DCI signaling indicates.</w:t>
      </w:r>
    </w:p>
    <w:p>
      <w:pPr>
        <w:numPr>
          <w:ilvl w:val="0"/>
          <w:numId w:val="6"/>
        </w:numPr>
        <w:spacing w:before="120" w:after="120"/>
      </w:pPr>
      <w:r>
        <w:rPr>
          <w:rFonts w:hint="eastAsia"/>
        </w:rPr>
        <w:t>When the one bit in the DCI signaling indicates one occasion, whether the other occasion can be resume</w:t>
      </w:r>
      <w:r>
        <w:t>d</w:t>
      </w:r>
      <w:r>
        <w:rPr>
          <w:rFonts w:hint="eastAsia"/>
        </w:rPr>
        <w:t xml:space="preserve"> or not. </w:t>
      </w:r>
    </w:p>
    <w:p>
      <w:pPr>
        <w:spacing w:before="120" w:after="120"/>
        <w:jc w:val="center"/>
      </w:pPr>
      <w:r>
        <w:drawing>
          <wp:inline distT="0" distB="0" distL="114300" distR="114300">
            <wp:extent cx="3531870" cy="2127250"/>
            <wp:effectExtent l="0" t="0" r="1143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531870" cy="2127250"/>
                    </a:xfrm>
                    <a:prstGeom prst="rect">
                      <a:avLst/>
                    </a:prstGeom>
                    <a:noFill/>
                    <a:ln>
                      <a:noFill/>
                    </a:ln>
                  </pic:spPr>
                </pic:pic>
              </a:graphicData>
            </a:graphic>
          </wp:inline>
        </w:drawing>
      </w:r>
    </w:p>
    <w:p>
      <w:pPr>
        <w:spacing w:before="120" w:after="120"/>
        <w:jc w:val="center"/>
      </w:pPr>
      <w:r>
        <w:rPr>
          <w:rFonts w:hint="eastAsia"/>
        </w:rPr>
        <w:t xml:space="preserve">Figure 1 Example </w:t>
      </w:r>
      <w:r>
        <w:t>#</w:t>
      </w:r>
      <w:r>
        <w:rPr>
          <w:rFonts w:hint="eastAsia"/>
        </w:rPr>
        <w:t>1 of DCI signaling indicating two overlapped measurement gap</w:t>
      </w:r>
      <w:r>
        <w:t>s</w:t>
      </w:r>
    </w:p>
    <w:p>
      <w:pPr>
        <w:spacing w:before="120" w:after="120"/>
        <w:jc w:val="center"/>
      </w:pPr>
      <w:r>
        <w:drawing>
          <wp:inline distT="0" distB="0" distL="114300" distR="114300">
            <wp:extent cx="3478530" cy="2125345"/>
            <wp:effectExtent l="0" t="0" r="7620" b="8255"/>
            <wp:docPr id="10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76"/>
                    <pic:cNvPicPr>
                      <a:picLocks noChangeAspect="1"/>
                    </pic:cNvPicPr>
                  </pic:nvPicPr>
                  <pic:blipFill>
                    <a:blip r:embed="rId13"/>
                    <a:stretch>
                      <a:fillRect/>
                    </a:stretch>
                  </pic:blipFill>
                  <pic:spPr>
                    <a:xfrm>
                      <a:off x="0" y="0"/>
                      <a:ext cx="3478530" cy="2125345"/>
                    </a:xfrm>
                    <a:prstGeom prst="rect">
                      <a:avLst/>
                    </a:prstGeom>
                    <a:noFill/>
                    <a:ln>
                      <a:noFill/>
                    </a:ln>
                  </pic:spPr>
                </pic:pic>
              </a:graphicData>
            </a:graphic>
          </wp:inline>
        </w:drawing>
      </w:r>
    </w:p>
    <w:p>
      <w:pPr>
        <w:spacing w:before="120" w:after="120"/>
        <w:jc w:val="center"/>
      </w:pPr>
      <w:r>
        <w:rPr>
          <w:rFonts w:hint="eastAsia"/>
        </w:rPr>
        <w:t xml:space="preserve">Figure 2 Example </w:t>
      </w:r>
      <w:r>
        <w:t>#</w:t>
      </w:r>
      <w:r>
        <w:rPr>
          <w:rFonts w:hint="eastAsia"/>
        </w:rPr>
        <w:t>2 of DCI signaling indicating two overlapped measurement gap</w:t>
      </w:r>
      <w:r>
        <w:t>s</w:t>
      </w:r>
    </w:p>
    <w:p>
      <w:pPr>
        <w:pStyle w:val="60"/>
        <w:spacing w:before="120" w:after="120"/>
        <w:rPr>
          <w:lang w:val="en-US" w:eastAsia="zh-CN"/>
        </w:rPr>
      </w:pPr>
      <w:r>
        <w:rPr>
          <w:rFonts w:hint="eastAsia"/>
          <w:lang w:val="en-US" w:eastAsia="zh-CN"/>
        </w:rPr>
        <w:t xml:space="preserve"> </w:t>
      </w:r>
      <w:bookmarkStart w:id="8" w:name="_Toc8969"/>
      <w:r>
        <w:rPr>
          <w:rFonts w:hint="eastAsia"/>
          <w:lang w:val="en-US" w:eastAsia="zh-CN"/>
        </w:rPr>
        <w:t>In the scenario of multiple overlapped gaps/restrictions configured and activated for one UE, single bit indication may cause ambiguities on UE behaviors.</w:t>
      </w:r>
      <w:bookmarkEnd w:id="8"/>
      <w:r>
        <w:rPr>
          <w:rFonts w:hint="eastAsia"/>
          <w:lang w:val="en-US" w:eastAsia="zh-CN"/>
        </w:rPr>
        <w:t xml:space="preserve"> </w:t>
      </w:r>
    </w:p>
    <w:p>
      <w:pPr>
        <w:spacing w:before="120" w:after="120"/>
      </w:pPr>
      <w:r>
        <w:t>Consequently, o</w:t>
      </w:r>
      <w:r>
        <w:rPr>
          <w:rFonts w:hint="eastAsia"/>
        </w:rPr>
        <w:t>ne approach is to use a single bit to simultaneously indicate two conflicting measurement gap occasions. For this approach, it is clear for UE that the DCI indicates to skip the measurement gap occasion and its overlapped measurement occasion or not.</w:t>
      </w:r>
    </w:p>
    <w:p>
      <w:pPr>
        <w:spacing w:before="120" w:after="120"/>
        <w:jc w:val="center"/>
      </w:pPr>
      <w:r>
        <w:drawing>
          <wp:inline distT="0" distB="0" distL="114300" distR="114300">
            <wp:extent cx="3829050" cy="1871980"/>
            <wp:effectExtent l="0" t="0" r="0" b="13970"/>
            <wp:docPr id="110"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77"/>
                    <pic:cNvPicPr>
                      <a:picLocks noChangeAspect="1"/>
                    </pic:cNvPicPr>
                  </pic:nvPicPr>
                  <pic:blipFill>
                    <a:blip r:embed="rId14"/>
                    <a:stretch>
                      <a:fillRect/>
                    </a:stretch>
                  </pic:blipFill>
                  <pic:spPr>
                    <a:xfrm>
                      <a:off x="0" y="0"/>
                      <a:ext cx="3829050" cy="1871980"/>
                    </a:xfrm>
                    <a:prstGeom prst="rect">
                      <a:avLst/>
                    </a:prstGeom>
                    <a:noFill/>
                    <a:ln>
                      <a:noFill/>
                    </a:ln>
                  </pic:spPr>
                </pic:pic>
              </a:graphicData>
            </a:graphic>
          </wp:inline>
        </w:drawing>
      </w:r>
    </w:p>
    <w:p>
      <w:pPr>
        <w:spacing w:before="120" w:after="120"/>
        <w:jc w:val="center"/>
      </w:pPr>
      <w:r>
        <w:rPr>
          <w:rFonts w:hint="eastAsia"/>
        </w:rPr>
        <w:t xml:space="preserve">Figure 3 Approach </w:t>
      </w:r>
      <w:r>
        <w:t>#</w:t>
      </w:r>
      <w:r>
        <w:rPr>
          <w:rFonts w:hint="eastAsia"/>
        </w:rPr>
        <w:t>1 of DCI signaling indicating two overlapped measurement gap</w:t>
      </w:r>
    </w:p>
    <w:p>
      <w:pPr>
        <w:spacing w:before="120" w:after="120"/>
      </w:pPr>
      <w:r>
        <w:rPr>
          <w:rFonts w:hint="eastAsia"/>
        </w:rPr>
        <w:t>Another approach is to use a single bit to indicate the measurement gap occasion with high priority. For this approach, it is also clear for UE that the DCI only indicates to skip the measurement gap occasion with high priority or not. With this approach, when DCI indicates to skip the measurement gap occasion with high priority, whether the measurement gap occasion with low priority can be resumed for guaranteeing measurement performance can be further discussed.</w:t>
      </w:r>
    </w:p>
    <w:p>
      <w:pPr>
        <w:spacing w:before="120" w:after="120"/>
        <w:jc w:val="center"/>
      </w:pPr>
      <w:r>
        <w:drawing>
          <wp:inline distT="0" distB="0" distL="114300" distR="114300">
            <wp:extent cx="3994785" cy="1790700"/>
            <wp:effectExtent l="0" t="0" r="5715" b="0"/>
            <wp:docPr id="11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78"/>
                    <pic:cNvPicPr>
                      <a:picLocks noChangeAspect="1"/>
                    </pic:cNvPicPr>
                  </pic:nvPicPr>
                  <pic:blipFill>
                    <a:blip r:embed="rId15"/>
                    <a:stretch>
                      <a:fillRect/>
                    </a:stretch>
                  </pic:blipFill>
                  <pic:spPr>
                    <a:xfrm>
                      <a:off x="0" y="0"/>
                      <a:ext cx="3994785" cy="1790700"/>
                    </a:xfrm>
                    <a:prstGeom prst="rect">
                      <a:avLst/>
                    </a:prstGeom>
                    <a:noFill/>
                    <a:ln>
                      <a:noFill/>
                    </a:ln>
                  </pic:spPr>
                </pic:pic>
              </a:graphicData>
            </a:graphic>
          </wp:inline>
        </w:drawing>
      </w:r>
    </w:p>
    <w:p>
      <w:pPr>
        <w:spacing w:before="120" w:after="120"/>
        <w:jc w:val="center"/>
      </w:pPr>
      <w:r>
        <w:rPr>
          <w:rFonts w:hint="eastAsia"/>
        </w:rPr>
        <w:t xml:space="preserve">Figure 4 Approach </w:t>
      </w:r>
      <w:r>
        <w:t>#</w:t>
      </w:r>
      <w:r>
        <w:rPr>
          <w:rFonts w:hint="eastAsia"/>
        </w:rPr>
        <w:t>2 of DCI signaling indicating two overlapped measurement gap</w:t>
      </w:r>
    </w:p>
    <w:p>
      <w:pPr>
        <w:pStyle w:val="63"/>
        <w:spacing w:before="120" w:after="120"/>
        <w:jc w:val="both"/>
        <w:rPr>
          <w:lang w:val="en-US" w:eastAsia="zh-CN"/>
        </w:rPr>
      </w:pPr>
      <w:bookmarkStart w:id="9" w:name="_Toc19468"/>
      <w:bookmarkStart w:id="10" w:name="_Toc13346"/>
      <w:r>
        <w:rPr>
          <w:rFonts w:hint="eastAsia"/>
          <w:lang w:val="en-US" w:eastAsia="zh-CN"/>
        </w:rPr>
        <w:t xml:space="preserve">In the scenario of multiple overlapped gaps/restrictions configured and activated </w:t>
      </w:r>
      <w:r>
        <w:rPr>
          <w:lang w:val="en-US" w:eastAsia="zh-CN"/>
        </w:rPr>
        <w:t>for</w:t>
      </w:r>
      <w:r>
        <w:rPr>
          <w:rFonts w:hint="eastAsia"/>
          <w:lang w:val="en-US" w:eastAsia="zh-CN"/>
        </w:rPr>
        <w:t xml:space="preserve"> one UE,</w:t>
      </w:r>
      <w:bookmarkEnd w:id="9"/>
      <w:r>
        <w:rPr>
          <w:rFonts w:hint="eastAsia"/>
          <w:lang w:val="en-US" w:eastAsia="zh-CN"/>
        </w:rPr>
        <w:t xml:space="preserve"> the 1-bit field in DCI</w:t>
      </w:r>
      <w:r>
        <w:rPr>
          <w:lang w:val="en-US" w:eastAsia="zh-CN"/>
        </w:rPr>
        <w:t xml:space="preserve"> signaling</w:t>
      </w:r>
      <w:r>
        <w:rPr>
          <w:rFonts w:hint="eastAsia"/>
          <w:lang w:val="en-US" w:eastAsia="zh-CN"/>
        </w:rPr>
        <w:t xml:space="preserve"> for the measurement gap can be down-selected in one of the following two ways:</w:t>
      </w:r>
      <w:bookmarkEnd w:id="10"/>
    </w:p>
    <w:p>
      <w:pPr>
        <w:pStyle w:val="63"/>
        <w:numPr>
          <w:ilvl w:val="1"/>
          <w:numId w:val="4"/>
        </w:numPr>
        <w:tabs>
          <w:tab w:val="clear" w:pos="840"/>
        </w:tabs>
        <w:spacing w:before="120" w:after="120"/>
        <w:jc w:val="both"/>
        <w:rPr>
          <w:lang w:val="en-US" w:eastAsia="zh-CN"/>
        </w:rPr>
      </w:pPr>
      <w:bookmarkStart w:id="11" w:name="_Toc1795"/>
      <w:r>
        <w:rPr>
          <w:rFonts w:hint="eastAsia"/>
          <w:lang w:val="en-US" w:eastAsia="zh-CN"/>
        </w:rPr>
        <w:t>Option 1: The 1-bit field in DCI indicates to skip two conflicting measurement gap occasions simultaneously.</w:t>
      </w:r>
      <w:bookmarkEnd w:id="11"/>
    </w:p>
    <w:p>
      <w:pPr>
        <w:pStyle w:val="63"/>
        <w:numPr>
          <w:ilvl w:val="1"/>
          <w:numId w:val="4"/>
        </w:numPr>
        <w:tabs>
          <w:tab w:val="clear" w:pos="840"/>
        </w:tabs>
        <w:spacing w:before="120" w:after="120"/>
        <w:jc w:val="both"/>
        <w:rPr>
          <w:lang w:val="en-US" w:eastAsia="zh-CN"/>
        </w:rPr>
      </w:pPr>
      <w:bookmarkStart w:id="12" w:name="_Toc16218"/>
      <w:r>
        <w:rPr>
          <w:rFonts w:hint="eastAsia"/>
          <w:lang w:val="en-US" w:eastAsia="zh-CN"/>
        </w:rPr>
        <w:t>Option 2: The 1-bit field in DCI indicates to skip the measurement gap occasion with high priority.</w:t>
      </w:r>
      <w:bookmarkEnd w:id="12"/>
    </w:p>
    <w:p>
      <w:pPr>
        <w:spacing w:before="120" w:after="120"/>
      </w:pPr>
    </w:p>
    <w:p>
      <w:pPr>
        <w:pStyle w:val="3"/>
        <w:spacing w:before="120" w:after="120"/>
        <w:ind w:left="991" w:right="210" w:hanging="991" w:hangingChars="354"/>
      </w:pPr>
      <w:r>
        <w:rPr>
          <w:rFonts w:hint="eastAsia"/>
        </w:rPr>
        <w:t>DCI format</w:t>
      </w:r>
    </w:p>
    <w:p>
      <w:pPr>
        <w:spacing w:before="120" w:after="120"/>
      </w:pPr>
      <w:r>
        <w:rPr>
          <w:rFonts w:hint="eastAsia"/>
        </w:rPr>
        <w:t xml:space="preserve">The agreement in RAN1#118 meeting </w:t>
      </w:r>
      <w:r>
        <w:t>says</w:t>
      </w:r>
      <w:r>
        <w:rPr>
          <w:rFonts w:hint="eastAsia"/>
        </w:rPr>
        <w:t xml:space="preserve"> that the DCI format of the dynamic solution is part of scheduling DCI. </w:t>
      </w:r>
      <w:r>
        <w:t xml:space="preserve">For example, </w:t>
      </w:r>
      <w:r>
        <w:rPr>
          <w:rFonts w:hint="eastAsia"/>
        </w:rPr>
        <w:t xml:space="preserve">DCI format 0_0 and DCI format 1_0 are fall back DCI. </w:t>
      </w:r>
      <w:r>
        <w:t>Thus i</w:t>
      </w:r>
      <w:r>
        <w:rPr>
          <w:rFonts w:hint="eastAsia"/>
        </w:rPr>
        <w:t xml:space="preserve">t is less possible to add additional bit field for gap/restriction cancellation in the fall back DCI. </w:t>
      </w:r>
      <w:r>
        <w:t xml:space="preserve">On the other hand, </w:t>
      </w:r>
      <w:r>
        <w:rPr>
          <w:rFonts w:hint="eastAsia"/>
        </w:rPr>
        <w:t>the non-fall back DCI for scheduling in single cell should be supported basically</w:t>
      </w:r>
      <w:r>
        <w:t>, such as DCI format x_1, x_2</w:t>
      </w:r>
      <w:r>
        <w:rPr>
          <w:rFonts w:hint="eastAsia"/>
        </w:rPr>
        <w:t>. Moreover, we are also open to consider the non-fall back DCI for scheduling in multiple cells</w:t>
      </w:r>
      <w:r>
        <w:t>, e.g. DCI format x_3</w:t>
      </w:r>
      <w:r>
        <w:rPr>
          <w:rFonts w:hint="eastAsia"/>
        </w:rPr>
        <w:t>.</w:t>
      </w:r>
    </w:p>
    <w:p>
      <w:pPr>
        <w:pStyle w:val="63"/>
        <w:spacing w:before="120" w:after="120"/>
        <w:jc w:val="both"/>
        <w:rPr>
          <w:lang w:val="en-US" w:eastAsia="zh-CN"/>
        </w:rPr>
      </w:pPr>
      <w:bookmarkStart w:id="13" w:name="_Toc12118"/>
      <w:r>
        <w:rPr>
          <w:rFonts w:hint="eastAsia"/>
          <w:lang w:val="en-US" w:eastAsia="zh-CN"/>
        </w:rPr>
        <w:t xml:space="preserve">Support indicating to skip measurement gap/restriction via non-fall back scheduling DCI, i.e., DCI format x_1, x_2, </w:t>
      </w:r>
      <w:r>
        <w:t>x_3</w:t>
      </w:r>
      <w:r>
        <w:rPr>
          <w:rFonts w:hint="eastAsia"/>
          <w:lang w:val="en-US" w:eastAsia="zh-CN"/>
        </w:rPr>
        <w:t>.</w:t>
      </w:r>
      <w:bookmarkEnd w:id="13"/>
    </w:p>
    <w:p>
      <w:pPr>
        <w:spacing w:before="120" w:after="120"/>
      </w:pPr>
    </w:p>
    <w:p>
      <w:pPr>
        <w:pStyle w:val="2"/>
        <w:spacing w:before="120" w:after="120"/>
        <w:ind w:left="0"/>
        <w:rPr>
          <w:rFonts w:eastAsia="宋体"/>
        </w:rPr>
      </w:pPr>
      <w:r>
        <w:rPr>
          <w:rFonts w:hint="eastAsia" w:eastAsia="宋体"/>
        </w:rPr>
        <w:t xml:space="preserve">Partially cancel/skip occasion of gap/restriction </w:t>
      </w:r>
    </w:p>
    <w:p>
      <w:pPr>
        <w:spacing w:before="120" w:after="120"/>
        <w:rPr>
          <w:szCs w:val="21"/>
        </w:rPr>
      </w:pPr>
      <w:r>
        <w:rPr>
          <w:rFonts w:hint="eastAsia"/>
          <w:szCs w:val="21"/>
        </w:rPr>
        <w:t xml:space="preserve">In RAN1#116 meeting, fully cancellation/skipping for the occasion(s) of gaps/restrictions </w:t>
      </w:r>
      <w:r>
        <w:rPr>
          <w:szCs w:val="21"/>
        </w:rPr>
        <w:t>wa</w:t>
      </w:r>
      <w:r>
        <w:rPr>
          <w:rFonts w:hint="eastAsia"/>
          <w:szCs w:val="21"/>
        </w:rPr>
        <w:t>s agreed to be the baseline of enabling Tx/Rx, and partial cancellation/skipping needs further study [3].</w:t>
      </w:r>
    </w:p>
    <w:p>
      <w:pPr>
        <w:spacing w:before="120" w:after="120"/>
        <w:rPr>
          <w:sz w:val="20"/>
        </w:rPr>
      </w:pPr>
      <w:r>
        <w:rPr>
          <w:rFonts w:hint="eastAsia"/>
          <w:szCs w:val="21"/>
        </w:rPr>
        <w:t xml:space="preserve">According to the scheduling availability in current specification as below [2], when UE does not support </w:t>
      </w:r>
      <w:r>
        <w:rPr>
          <w:rFonts w:hint="eastAsia"/>
          <w:i/>
          <w:iCs/>
          <w:szCs w:val="21"/>
        </w:rPr>
        <w:t xml:space="preserve">simultaneousRxDataSSB-DiffNumerology </w:t>
      </w:r>
      <w:r>
        <w:rPr>
          <w:rFonts w:hint="eastAsia"/>
          <w:szCs w:val="21"/>
        </w:rPr>
        <w:t xml:space="preserve">and </w:t>
      </w:r>
      <w:r>
        <w:rPr>
          <w:rFonts w:eastAsia="MS Mincho"/>
          <w:i/>
          <w:szCs w:val="21"/>
          <w:lang w:eastAsia="ja-JP"/>
        </w:rPr>
        <w:t>deriveSSB_IndexFromCell</w:t>
      </w:r>
      <w:r>
        <w:rPr>
          <w:rFonts w:hint="eastAsia"/>
          <w:iCs/>
          <w:szCs w:val="21"/>
        </w:rPr>
        <w:t xml:space="preserve"> is enabled (which means the timing between serving cell and neighbor cell can be acquired), </w:t>
      </w:r>
      <w:r>
        <w:rPr>
          <w:rFonts w:hint="eastAsia"/>
          <w:szCs w:val="21"/>
        </w:rPr>
        <w:t xml:space="preserve">scheduling restriction is in </w:t>
      </w:r>
      <w:r>
        <w:rPr>
          <w:rFonts w:hint="eastAsia"/>
          <w:b/>
          <w:szCs w:val="21"/>
        </w:rPr>
        <w:t xml:space="preserve">symbol </w:t>
      </w:r>
      <w:r>
        <w:rPr>
          <w:b/>
          <w:szCs w:val="21"/>
        </w:rPr>
        <w:t xml:space="preserve">(SSB symbols) </w:t>
      </w:r>
      <w:r>
        <w:rPr>
          <w:rFonts w:hint="eastAsia"/>
          <w:b/>
          <w:szCs w:val="21"/>
        </w:rPr>
        <w:t xml:space="preserve">level </w:t>
      </w:r>
      <w:r>
        <w:rPr>
          <w:rFonts w:hint="eastAsia"/>
          <w:b w:val="0"/>
          <w:bCs/>
          <w:szCs w:val="21"/>
          <w:lang w:val="en-US" w:eastAsia="zh-CN"/>
        </w:rPr>
        <w:t xml:space="preserve">in the scenario of </w:t>
      </w:r>
      <w:r>
        <w:rPr>
          <w:rFonts w:hint="eastAsia"/>
          <w:szCs w:val="21"/>
        </w:rPr>
        <w:t xml:space="preserve">intra-frequency measurement without measurement gap.  </w:t>
      </w:r>
    </w:p>
    <w:tbl>
      <w:tblPr>
        <w:tblStyle w:val="2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3" w:type="dxa"/>
          </w:tcPr>
          <w:p>
            <w:pPr>
              <w:pStyle w:val="6"/>
              <w:numPr>
                <w:ilvl w:val="2"/>
                <w:numId w:val="0"/>
              </w:numPr>
              <w:ind w:right="210"/>
              <w:rPr>
                <w:sz w:val="20"/>
              </w:rPr>
            </w:pPr>
            <w:r>
              <w:rPr>
                <w:rFonts w:hint="eastAsia"/>
                <w:sz w:val="20"/>
              </w:rPr>
              <w:t>Example of NR intra-frequency measurement without measurement gap</w:t>
            </w:r>
          </w:p>
          <w:p>
            <w:pPr>
              <w:spacing w:before="120" w:after="120"/>
            </w:pPr>
          </w:p>
          <w:p>
            <w:pPr>
              <w:pStyle w:val="6"/>
              <w:numPr>
                <w:ilvl w:val="2"/>
                <w:numId w:val="0"/>
              </w:numPr>
              <w:ind w:right="210"/>
              <w:rPr>
                <w:sz w:val="18"/>
                <w:szCs w:val="18"/>
                <w:u w:val="none"/>
              </w:rPr>
            </w:pPr>
            <w:r>
              <w:rPr>
                <w:sz w:val="18"/>
                <w:szCs w:val="18"/>
                <w:u w:val="none"/>
              </w:rPr>
              <w:t>9.2.5.3.2</w:t>
            </w:r>
            <w:r>
              <w:rPr>
                <w:sz w:val="18"/>
                <w:szCs w:val="18"/>
                <w:u w:val="none"/>
              </w:rPr>
              <w:tab/>
            </w:r>
            <w:r>
              <w:rPr>
                <w:sz w:val="18"/>
                <w:szCs w:val="18"/>
                <w:u w:val="none"/>
              </w:rPr>
              <w:t>Scheduling availability of UE performing measurements with a different subcarrier spacing than PDSCH/PDCCH on FR1</w:t>
            </w:r>
          </w:p>
          <w:p>
            <w:pPr>
              <w:spacing w:before="120" w:after="120"/>
              <w:rPr>
                <w:sz w:val="18"/>
                <w:szCs w:val="18"/>
              </w:rPr>
            </w:pPr>
            <w:r>
              <w:rPr>
                <w:sz w:val="18"/>
                <w:szCs w:val="18"/>
                <w:highlight w:val="green"/>
              </w:rPr>
              <w:t xml:space="preserve">For UE which do not support </w:t>
            </w:r>
            <w:r>
              <w:rPr>
                <w:i/>
                <w:sz w:val="18"/>
                <w:szCs w:val="18"/>
                <w:highlight w:val="green"/>
              </w:rPr>
              <w:t>simultaneousRxDataSSB-DiffNumerology</w:t>
            </w:r>
            <w:r>
              <w:rPr>
                <w:i/>
                <w:sz w:val="18"/>
                <w:szCs w:val="18"/>
              </w:rPr>
              <w:t xml:space="preserve"> </w:t>
            </w:r>
            <w:r>
              <w:rPr>
                <w:sz w:val="18"/>
                <w:szCs w:val="18"/>
              </w:rPr>
              <w:t>[14] the following restrictions apply due to SS-RSRP/RSRQ/SINR measurement</w:t>
            </w:r>
          </w:p>
          <w:p>
            <w:pPr>
              <w:pStyle w:val="66"/>
              <w:spacing w:before="120" w:after="120"/>
              <w:rPr>
                <w:i/>
                <w:sz w:val="18"/>
                <w:szCs w:val="18"/>
              </w:rPr>
            </w:pPr>
            <w:r>
              <w:rPr>
                <w:sz w:val="18"/>
                <w:szCs w:val="18"/>
              </w:rPr>
              <w:t>-</w:t>
            </w:r>
            <w:r>
              <w:rPr>
                <w:sz w:val="18"/>
                <w:szCs w:val="18"/>
              </w:rPr>
              <w:tab/>
            </w:r>
            <w:r>
              <w:rPr>
                <w:sz w:val="18"/>
                <w:szCs w:val="18"/>
                <w:highlight w:val="green"/>
              </w:rPr>
              <w:t xml:space="preserve">If </w:t>
            </w:r>
            <w:r>
              <w:rPr>
                <w:rFonts w:eastAsia="MS Mincho"/>
                <w:i/>
                <w:sz w:val="18"/>
                <w:szCs w:val="18"/>
                <w:highlight w:val="green"/>
                <w:lang w:eastAsia="ja-JP"/>
              </w:rPr>
              <w:t>deriveSSB_IndexFromCell</w:t>
            </w:r>
            <w:r>
              <w:rPr>
                <w:sz w:val="18"/>
                <w:szCs w:val="18"/>
                <w:highlight w:val="green"/>
              </w:rPr>
              <w:t xml:space="preserve"> is enabled</w:t>
            </w:r>
            <w:r>
              <w:rPr>
                <w:sz w:val="18"/>
                <w:szCs w:val="18"/>
              </w:rPr>
              <w:t xml:space="preserve"> the UE is not expected to transmit PUCCH/PUSCH/SRS or receive PDCCH/PDSCH/TRS/CSI-RS for CQI </w:t>
            </w:r>
            <w:r>
              <w:rPr>
                <w:b/>
                <w:bCs/>
                <w:sz w:val="18"/>
                <w:szCs w:val="18"/>
              </w:rPr>
              <w:t xml:space="preserve">on SSB symbols to be measured, and on 1 data symbol before each consecutive SSB symbols to be measured and 1 data symbol after each consecutive SSB symbols </w:t>
            </w:r>
            <w:r>
              <w:rPr>
                <w:sz w:val="18"/>
                <w:szCs w:val="18"/>
              </w:rPr>
              <w:t xml:space="preserve">to be measured within SMTC window duration. If the high layer signalling of </w:t>
            </w:r>
            <w:r>
              <w:rPr>
                <w:i/>
                <w:sz w:val="18"/>
                <w:szCs w:val="18"/>
              </w:rPr>
              <w:t>smtc2</w:t>
            </w:r>
            <w:r>
              <w:rPr>
                <w:b/>
                <w:sz w:val="18"/>
                <w:szCs w:val="18"/>
              </w:rPr>
              <w:t xml:space="preserve"> </w:t>
            </w:r>
            <w:r>
              <w:rPr>
                <w:sz w:val="18"/>
                <w:szCs w:val="18"/>
              </w:rPr>
              <w:t>is configured (in TS 38.331 [2]), the SMTC periodicity</w:t>
            </w:r>
            <w:r>
              <w:rPr>
                <w:sz w:val="18"/>
                <w:szCs w:val="18"/>
                <w:vertAlign w:val="subscript"/>
              </w:rPr>
              <w:t xml:space="preserve"> </w:t>
            </w:r>
            <w:r>
              <w:rPr>
                <w:sz w:val="18"/>
                <w:szCs w:val="18"/>
              </w:rPr>
              <w:t xml:space="preserve">follows </w:t>
            </w:r>
            <w:r>
              <w:rPr>
                <w:i/>
                <w:sz w:val="18"/>
                <w:szCs w:val="18"/>
              </w:rPr>
              <w:t>smtc2</w:t>
            </w:r>
            <w:r>
              <w:rPr>
                <w:sz w:val="18"/>
                <w:szCs w:val="18"/>
              </w:rPr>
              <w:t xml:space="preserve">; Otherwise the SMTC periodicity follows </w:t>
            </w:r>
            <w:r>
              <w:rPr>
                <w:i/>
                <w:sz w:val="18"/>
                <w:szCs w:val="18"/>
              </w:rPr>
              <w:t>smtc1.</w:t>
            </w:r>
          </w:p>
          <w:p>
            <w:pPr>
              <w:pStyle w:val="66"/>
              <w:spacing w:before="120" w:after="120"/>
              <w:rPr>
                <w:iCs/>
                <w:sz w:val="18"/>
                <w:szCs w:val="18"/>
              </w:rPr>
            </w:pPr>
            <w:r>
              <w:rPr>
                <w:rFonts w:hint="eastAsia"/>
                <w:iCs/>
                <w:sz w:val="18"/>
                <w:szCs w:val="18"/>
              </w:rPr>
              <w:t>&lt;Omit&gt;</w:t>
            </w:r>
          </w:p>
          <w:p>
            <w:pPr>
              <w:pStyle w:val="6"/>
              <w:numPr>
                <w:ilvl w:val="2"/>
                <w:numId w:val="0"/>
              </w:numPr>
              <w:ind w:right="210"/>
              <w:rPr>
                <w:sz w:val="18"/>
                <w:szCs w:val="18"/>
                <w:u w:val="none"/>
              </w:rPr>
            </w:pPr>
            <w:r>
              <w:rPr>
                <w:sz w:val="18"/>
                <w:szCs w:val="18"/>
                <w:u w:val="none"/>
              </w:rPr>
              <w:t>9.2.5.3.3</w:t>
            </w:r>
            <w:r>
              <w:rPr>
                <w:sz w:val="18"/>
                <w:szCs w:val="18"/>
                <w:u w:val="none"/>
              </w:rPr>
              <w:tab/>
            </w:r>
            <w:r>
              <w:rPr>
                <w:sz w:val="18"/>
                <w:szCs w:val="18"/>
                <w:u w:val="none"/>
              </w:rPr>
              <w:t>Scheduling availability of UE performing measurements on FR2</w:t>
            </w:r>
          </w:p>
          <w:p>
            <w:pPr>
              <w:spacing w:before="120" w:after="120"/>
              <w:rPr>
                <w:sz w:val="18"/>
                <w:szCs w:val="18"/>
              </w:rPr>
            </w:pPr>
            <w:r>
              <w:rPr>
                <w:sz w:val="18"/>
                <w:szCs w:val="18"/>
              </w:rPr>
              <w:t>The following scheduling restriction applies due to SS-RSRP or SS-SINR measurement on an FR2 intra-frequency cell</w:t>
            </w:r>
          </w:p>
          <w:p>
            <w:pPr>
              <w:pStyle w:val="66"/>
              <w:spacing w:before="120" w:after="120"/>
              <w:rPr>
                <w:sz w:val="18"/>
                <w:szCs w:val="18"/>
              </w:rPr>
            </w:pPr>
            <w:r>
              <w:rPr>
                <w:sz w:val="18"/>
                <w:szCs w:val="18"/>
              </w:rPr>
              <w:t>-</w:t>
            </w:r>
            <w:r>
              <w:rPr>
                <w:sz w:val="18"/>
                <w:szCs w:val="18"/>
              </w:rPr>
              <w:tab/>
            </w:r>
            <w:r>
              <w:rPr>
                <w:sz w:val="18"/>
                <w:szCs w:val="18"/>
                <w:highlight w:val="green"/>
              </w:rPr>
              <w:t xml:space="preserve">If </w:t>
            </w:r>
            <w:r>
              <w:rPr>
                <w:rFonts w:eastAsia="MS Mincho"/>
                <w:i/>
                <w:sz w:val="18"/>
                <w:szCs w:val="18"/>
                <w:highlight w:val="green"/>
                <w:lang w:eastAsia="ja-JP"/>
              </w:rPr>
              <w:t>deriveSSB-IndexFromCell</w:t>
            </w:r>
            <w:r>
              <w:rPr>
                <w:sz w:val="18"/>
                <w:szCs w:val="18"/>
                <w:highlight w:val="green"/>
              </w:rPr>
              <w:t xml:space="preserve"> is enabled</w:t>
            </w:r>
            <w:r>
              <w:rPr>
                <w:sz w:val="18"/>
                <w:szCs w:val="18"/>
              </w:rPr>
              <w:t xml:space="preserve">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pPr>
              <w:pStyle w:val="66"/>
              <w:spacing w:before="120" w:after="120"/>
            </w:pPr>
            <w:r>
              <w:rPr>
                <w:rFonts w:hint="eastAsia"/>
                <w:iCs/>
                <w:sz w:val="18"/>
                <w:szCs w:val="18"/>
              </w:rPr>
              <w:t>&lt;Omit&gt;</w:t>
            </w:r>
          </w:p>
        </w:tc>
      </w:tr>
    </w:tbl>
    <w:p>
      <w:pPr>
        <w:spacing w:before="120" w:after="120"/>
        <w:rPr>
          <w:szCs w:val="21"/>
        </w:rPr>
      </w:pPr>
      <w:r>
        <w:rPr>
          <w:rFonts w:hint="eastAsia"/>
          <w:szCs w:val="21"/>
        </w:rPr>
        <w:t>One scenario for partial cancellation is that only partial gap/restriction occasion is after the required minimum time offset</w:t>
      </w:r>
      <w:r>
        <w:rPr>
          <w:szCs w:val="21"/>
        </w:rPr>
        <w:t xml:space="preserve"> as shown in Figure 5</w:t>
      </w:r>
      <w:r>
        <w:rPr>
          <w:rFonts w:hint="eastAsia"/>
          <w:szCs w:val="21"/>
        </w:rPr>
        <w:t xml:space="preserve">. According </w:t>
      </w:r>
      <w:r>
        <w:rPr>
          <w:szCs w:val="21"/>
        </w:rPr>
        <w:t xml:space="preserve">to </w:t>
      </w:r>
      <w:r>
        <w:rPr>
          <w:rFonts w:hint="eastAsia"/>
          <w:szCs w:val="21"/>
        </w:rPr>
        <w:t>the analysis above, for SMTC window and network control small gap</w:t>
      </w:r>
      <w:r>
        <w:rPr>
          <w:rFonts w:hint="eastAsia"/>
          <w:szCs w:val="21"/>
          <w:lang w:val="en-US" w:eastAsia="zh-CN"/>
        </w:rPr>
        <w:t xml:space="preserve"> (NCSG)</w:t>
      </w:r>
      <w:r>
        <w:rPr>
          <w:rFonts w:hint="eastAsia"/>
          <w:szCs w:val="21"/>
        </w:rPr>
        <w:t xml:space="preserve">, the switch between data transmission/reception and measurement can be within several symbols. To this end, when only a part of SMTC window or NCSG is after the required minimum time offset as illustrated in Figure </w:t>
      </w:r>
      <w:r>
        <w:rPr>
          <w:szCs w:val="21"/>
        </w:rPr>
        <w:t>5</w:t>
      </w:r>
      <w:r>
        <w:rPr>
          <w:rFonts w:hint="eastAsia"/>
          <w:szCs w:val="21"/>
        </w:rPr>
        <w:t xml:space="preserve">, the scheduling restriction in the later part of SMTC window or NCSG can be relaxed.  </w:t>
      </w:r>
    </w:p>
    <w:p>
      <w:pPr>
        <w:spacing w:before="120" w:after="120"/>
        <w:jc w:val="center"/>
      </w:pPr>
      <w:r>
        <w:drawing>
          <wp:inline distT="0" distB="0" distL="114300" distR="114300">
            <wp:extent cx="3806190" cy="1508760"/>
            <wp:effectExtent l="0" t="0" r="3810"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3806190" cy="1508760"/>
                    </a:xfrm>
                    <a:prstGeom prst="rect">
                      <a:avLst/>
                    </a:prstGeom>
                    <a:noFill/>
                    <a:ln>
                      <a:noFill/>
                    </a:ln>
                  </pic:spPr>
                </pic:pic>
              </a:graphicData>
            </a:graphic>
          </wp:inline>
        </w:drawing>
      </w:r>
    </w:p>
    <w:p>
      <w:pPr>
        <w:spacing w:before="120" w:after="120"/>
        <w:jc w:val="center"/>
      </w:pPr>
      <w:r>
        <w:rPr>
          <w:rFonts w:hint="eastAsia"/>
        </w:rPr>
        <w:t>Figure 5 Example of partial skipping in single bit indication</w:t>
      </w:r>
    </w:p>
    <w:p>
      <w:pPr>
        <w:spacing w:before="120" w:after="120"/>
        <w:jc w:val="center"/>
      </w:pPr>
    </w:p>
    <w:p>
      <w:pPr>
        <w:pStyle w:val="63"/>
        <w:spacing w:before="120" w:after="120"/>
        <w:jc w:val="both"/>
        <w:rPr>
          <w:lang w:val="en-US" w:eastAsia="zh-CN"/>
        </w:rPr>
      </w:pPr>
      <w:bookmarkStart w:id="14" w:name="_Toc20620"/>
      <w:r>
        <w:rPr>
          <w:rFonts w:hint="eastAsia"/>
          <w:lang w:val="en-US" w:eastAsia="zh-CN"/>
        </w:rPr>
        <w:t>T</w:t>
      </w:r>
      <w:r>
        <w:rPr>
          <w:lang w:val="en-US"/>
        </w:rPr>
        <w:t>he case where an occasion(s) of gap/restrictions that are caused by RRM measurements are cancelled/skipped partially</w:t>
      </w:r>
      <w:r>
        <w:rPr>
          <w:rFonts w:hint="eastAsia"/>
          <w:lang w:val="en-US" w:eastAsia="zh-CN"/>
        </w:rPr>
        <w:t xml:space="preserve"> should not be excluded.</w:t>
      </w:r>
      <w:bookmarkEnd w:id="14"/>
    </w:p>
    <w:p>
      <w:pPr>
        <w:pStyle w:val="63"/>
        <w:spacing w:before="120" w:after="120"/>
        <w:jc w:val="both"/>
        <w:rPr>
          <w:lang w:val="en-US" w:eastAsia="zh-CN"/>
        </w:rPr>
      </w:pPr>
      <w:bookmarkStart w:id="15" w:name="_Toc9430"/>
      <w:r>
        <w:rPr>
          <w:rFonts w:hint="eastAsia"/>
          <w:lang w:val="en-US" w:eastAsia="zh-CN"/>
        </w:rPr>
        <w:t>RAN1 continues to discuss and decide whether or not to introduce the case where an occasion(s) of gap/restrictions that are caused by RRM measurements are cancelled/skipped partially in the SMTC or NCSG.</w:t>
      </w:r>
      <w:bookmarkEnd w:id="15"/>
      <w:r>
        <w:rPr>
          <w:rFonts w:hint="eastAsia"/>
          <w:lang w:val="en-US" w:eastAsia="zh-CN"/>
        </w:rPr>
        <w:t xml:space="preserve"> </w:t>
      </w: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i w:val="0"/>
          <w:iCs w:val="0"/>
          <w:szCs w:val="22"/>
        </w:rPr>
        <w:fldChar w:fldCharType="begin"/>
      </w:r>
      <w:r>
        <w:rPr>
          <w:i w:val="0"/>
          <w:iCs w:val="0"/>
          <w:szCs w:val="22"/>
        </w:rPr>
        <w:instrText xml:space="preserve"> HYPERLINK \l _Toc1332 </w:instrText>
      </w:r>
      <w:r>
        <w:rPr>
          <w:i w:val="0"/>
          <w:iCs w:val="0"/>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Multiple measurement gaps can be configured for one UE, including e.g., Rel-17 concurrent measurement gap.</w:t>
      </w:r>
      <w:r>
        <w:rPr>
          <w:i w:val="0"/>
          <w:iCs w:val="0"/>
          <w:szCs w:val="22"/>
        </w:rPr>
        <w:fldChar w:fldCharType="end"/>
      </w:r>
    </w:p>
    <w:p>
      <w:pPr>
        <w:pStyle w:val="20"/>
        <w:tabs>
          <w:tab w:val="right" w:leader="dot" w:pos="9660"/>
          <w:tab w:val="clear" w:pos="0"/>
        </w:tabs>
      </w:pPr>
      <w:r>
        <w:rPr>
          <w:szCs w:val="22"/>
        </w:rPr>
        <w:fldChar w:fldCharType="begin"/>
      </w:r>
      <w:r>
        <w:rPr>
          <w:szCs w:val="22"/>
        </w:rPr>
        <w:instrText xml:space="preserve"> HYPERLINK \l _Toc8969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In the scenario of multiple overlapped gaps/restrictions configured and activated for one UE, single bit indication may cause ambiguities on UE behaviors.</w:t>
      </w:r>
      <w:r>
        <w:rPr>
          <w:szCs w:val="22"/>
        </w:rPr>
        <w:fldChar w:fldCharType="end"/>
      </w:r>
    </w:p>
    <w:p>
      <w:pPr>
        <w:spacing w:before="120" w:after="120"/>
      </w:pPr>
      <w:r>
        <w:rPr>
          <w:szCs w:val="22"/>
        </w:rPr>
        <w:fldChar w:fldCharType="end"/>
      </w:r>
      <w:bookmarkStart w:id="16" w:name="_GoBack"/>
      <w:bookmarkEnd w:id="16"/>
    </w:p>
    <w:p>
      <w:pPr>
        <w:pStyle w:val="20"/>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_Toc7057 </w:instrText>
      </w:r>
      <w: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 xml:space="preserve">For the scenario of single gap/restriction configured and activated </w:t>
      </w:r>
      <w:r>
        <w:rPr>
          <w:lang w:val="en-US" w:eastAsia="zh-CN"/>
        </w:rPr>
        <w:t>for</w:t>
      </w:r>
      <w:r>
        <w:rPr>
          <w:rFonts w:hint="eastAsia"/>
          <w:lang w:val="en-US" w:eastAsia="zh-CN"/>
        </w:rPr>
        <w:t xml:space="preserve"> one UE, support the bit in the DCI is used to indicate whether to skip the first gap/restriction after a minimum time offset.</w:t>
      </w:r>
      <w:r>
        <w:fldChar w:fldCharType="end"/>
      </w:r>
    </w:p>
    <w:p>
      <w:pPr>
        <w:pStyle w:val="20"/>
        <w:tabs>
          <w:tab w:val="right" w:leader="dot" w:pos="9660"/>
          <w:tab w:val="clear" w:pos="0"/>
        </w:tabs>
      </w:pPr>
      <w:r>
        <w:fldChar w:fldCharType="begin"/>
      </w:r>
      <w:r>
        <w:instrText xml:space="preserve"> HYPERLINK \l _Toc13346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 xml:space="preserve">In the scenario of multiple overlapped gaps/restrictions configured and activated </w:t>
      </w:r>
      <w:r>
        <w:rPr>
          <w:lang w:val="en-US" w:eastAsia="zh-CN"/>
        </w:rPr>
        <w:t>for</w:t>
      </w:r>
      <w:r>
        <w:rPr>
          <w:rFonts w:hint="eastAsia"/>
          <w:lang w:val="en-US" w:eastAsia="zh-CN"/>
        </w:rPr>
        <w:t xml:space="preserve"> one UE, the 1-bit field in DCI</w:t>
      </w:r>
      <w:r>
        <w:rPr>
          <w:lang w:val="en-US" w:eastAsia="zh-CN"/>
        </w:rPr>
        <w:t xml:space="preserve"> signaling</w:t>
      </w:r>
      <w:r>
        <w:rPr>
          <w:rFonts w:hint="eastAsia"/>
          <w:lang w:val="en-US" w:eastAsia="zh-CN"/>
        </w:rPr>
        <w:t xml:space="preserve"> for the measurement gap can be down-selected in one of the following two ways:</w:t>
      </w:r>
      <w:r>
        <w:fldChar w:fldCharType="end"/>
      </w:r>
    </w:p>
    <w:p>
      <w:pPr>
        <w:pStyle w:val="20"/>
        <w:tabs>
          <w:tab w:val="right" w:leader="dot" w:pos="9660"/>
          <w:tab w:val="clear" w:pos="0"/>
        </w:tabs>
        <w:ind w:leftChars="200"/>
      </w:pPr>
      <w:r>
        <w:fldChar w:fldCharType="begin"/>
      </w:r>
      <w:r>
        <w:instrText xml:space="preserve"> HYPERLINK \l _Toc1795 </w:instrText>
      </w:r>
      <w:r>
        <w:fldChar w:fldCharType="separate"/>
      </w:r>
      <w:r>
        <w:rPr>
          <w:rFonts w:hint="default" w:ascii="Arial" w:hAnsi="Arial" w:eastAsia="宋体" w:cs="Arial"/>
          <w:bCs/>
          <w:i/>
          <w:iCs/>
          <w:lang w:val="en-US" w:eastAsia="zh-CN"/>
        </w:rPr>
        <w:t xml:space="preserve">• </w:t>
      </w:r>
      <w:r>
        <w:rPr>
          <w:rFonts w:hint="eastAsia"/>
          <w:lang w:val="en-US" w:eastAsia="zh-CN"/>
        </w:rPr>
        <w:t>Option 1: The 1-bit field in DCI indicates to skip two conflicting measurement gap occasions simultaneously.</w:t>
      </w:r>
      <w:r>
        <w:fldChar w:fldCharType="end"/>
      </w:r>
    </w:p>
    <w:p>
      <w:pPr>
        <w:pStyle w:val="20"/>
        <w:tabs>
          <w:tab w:val="right" w:leader="dot" w:pos="9660"/>
          <w:tab w:val="clear" w:pos="0"/>
        </w:tabs>
        <w:ind w:leftChars="200"/>
      </w:pPr>
      <w:r>
        <w:fldChar w:fldCharType="begin"/>
      </w:r>
      <w:r>
        <w:instrText xml:space="preserve"> HYPERLINK \l _Toc16218 </w:instrText>
      </w:r>
      <w:r>
        <w:fldChar w:fldCharType="separate"/>
      </w:r>
      <w:r>
        <w:rPr>
          <w:rFonts w:hint="default" w:ascii="Arial" w:hAnsi="Arial" w:eastAsia="宋体" w:cs="Arial"/>
          <w:bCs/>
          <w:i/>
          <w:iCs/>
          <w:lang w:val="en-US" w:eastAsia="zh-CN"/>
        </w:rPr>
        <w:t xml:space="preserve">• </w:t>
      </w:r>
      <w:r>
        <w:rPr>
          <w:rFonts w:hint="eastAsia"/>
          <w:lang w:val="en-US" w:eastAsia="zh-CN"/>
        </w:rPr>
        <w:t>Option 2: The 1-bit field in DCI indicates to skip the measurement gap occasion with high priority.</w:t>
      </w:r>
      <w:r>
        <w:fldChar w:fldCharType="end"/>
      </w:r>
    </w:p>
    <w:p>
      <w:pPr>
        <w:pStyle w:val="20"/>
        <w:tabs>
          <w:tab w:val="right" w:leader="dot" w:pos="9660"/>
          <w:tab w:val="clear" w:pos="0"/>
        </w:tabs>
      </w:pPr>
      <w:r>
        <w:fldChar w:fldCharType="begin"/>
      </w:r>
      <w:r>
        <w:instrText xml:space="preserve"> HYPERLINK \l _Toc12118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 xml:space="preserve">Support indicating to skip measurement gap/restriction via non-fall back scheduling DCI, i.e., DCI format x_1, x_2, </w:t>
      </w:r>
      <w:r>
        <w:t>x_3</w:t>
      </w:r>
      <w:r>
        <w:rPr>
          <w:rFonts w:hint="eastAsia"/>
          <w:lang w:val="en-US" w:eastAsia="zh-CN"/>
        </w:rPr>
        <w:t>.</w:t>
      </w:r>
      <w:r>
        <w:fldChar w:fldCharType="end"/>
      </w:r>
    </w:p>
    <w:p>
      <w:pPr>
        <w:pStyle w:val="20"/>
        <w:tabs>
          <w:tab w:val="right" w:leader="dot" w:pos="9660"/>
          <w:tab w:val="clear" w:pos="0"/>
        </w:tabs>
      </w:pPr>
      <w:r>
        <w:fldChar w:fldCharType="begin"/>
      </w:r>
      <w:r>
        <w:instrText xml:space="preserve"> HYPERLINK \l _Toc20620 </w:instrText>
      </w:r>
      <w: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T</w:t>
      </w:r>
      <w:r>
        <w:rPr>
          <w:lang w:val="en-US"/>
        </w:rPr>
        <w:t>he case where an occasion(s) of gap/restrictions that are caused by RRM measurements are cancelled/skipped partially</w:t>
      </w:r>
      <w:r>
        <w:rPr>
          <w:rFonts w:hint="eastAsia"/>
          <w:lang w:val="en-US" w:eastAsia="zh-CN"/>
        </w:rPr>
        <w:t xml:space="preserve"> should not be excluded.</w:t>
      </w:r>
      <w:r>
        <w:fldChar w:fldCharType="end"/>
      </w:r>
    </w:p>
    <w:p>
      <w:pPr>
        <w:pStyle w:val="20"/>
        <w:tabs>
          <w:tab w:val="right" w:leader="dot" w:pos="9660"/>
          <w:tab w:val="clear" w:pos="0"/>
        </w:tabs>
      </w:pPr>
      <w:r>
        <w:fldChar w:fldCharType="begin"/>
      </w:r>
      <w:r>
        <w:instrText xml:space="preserve"> HYPERLINK \l _Toc9430 </w:instrText>
      </w:r>
      <w: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RAN1 continues to discuss and decide whether or not to introduce the case where an occasion(s) of gap/restrictions that are caused by RRM measurements are cancelled/skipped partially in the SMTC or NCSG.</w:t>
      </w:r>
      <w:r>
        <w:fldChar w:fldCharType="end"/>
      </w:r>
    </w:p>
    <w:p>
      <w:pPr>
        <w:spacing w:before="120" w:after="120"/>
        <w:rPr>
          <w:highlight w:val="yellow"/>
        </w:rPr>
      </w:pPr>
      <w:r>
        <w:fldChar w:fldCharType="end"/>
      </w:r>
    </w:p>
    <w:p>
      <w:pPr>
        <w:pStyle w:val="2"/>
        <w:spacing w:before="120" w:after="120"/>
        <w:ind w:left="0"/>
        <w:rPr>
          <w:rFonts w:eastAsia="宋体"/>
        </w:rPr>
      </w:pPr>
      <w:r>
        <w:rPr>
          <w:rFonts w:hint="eastAsia" w:eastAsia="宋体"/>
        </w:rPr>
        <w:t>Reference</w:t>
      </w:r>
      <w:r>
        <w:rPr>
          <w:rFonts w:eastAsia="宋体"/>
        </w:rPr>
        <w:t>s</w:t>
      </w:r>
      <w:r>
        <w:rPr>
          <w:rFonts w:hint="eastAsia" w:eastAsia="宋体"/>
        </w:rPr>
        <w:tab/>
      </w:r>
    </w:p>
    <w:p>
      <w:pPr>
        <w:pStyle w:val="39"/>
        <w:spacing w:before="120" w:after="120"/>
        <w:ind w:left="363" w:hanging="363"/>
      </w:pPr>
      <w:r>
        <w:rPr>
          <w:rFonts w:hint="eastAsia"/>
        </w:rPr>
        <w:t>RAN1 Chair</w:t>
      </w:r>
      <w:r>
        <w:t>’</w:t>
      </w:r>
      <w:r>
        <w:rPr>
          <w:rFonts w:hint="eastAsia"/>
        </w:rPr>
        <w:t xml:space="preserve">s Note, 3GPP TSG RAN WG1 #118, </w:t>
      </w:r>
      <w:r>
        <w:fldChar w:fldCharType="begin"/>
      </w:r>
      <w:r>
        <w:instrText xml:space="preserve"> HYPERLINK "https://www.3gpp.org//Specification-Groups/" \t "https://www.3gpp.org/_blank" </w:instrText>
      </w:r>
      <w:r>
        <w:fldChar w:fldCharType="separate"/>
      </w:r>
      <w:r>
        <w:rPr>
          <w:rFonts w:hint="eastAsia"/>
        </w:rPr>
        <w:t>Maastricht</w:t>
      </w:r>
      <w:r>
        <w:rPr>
          <w:rFonts w:hint="eastAsia"/>
        </w:rPr>
        <w:fldChar w:fldCharType="end"/>
      </w:r>
      <w:r>
        <w:rPr>
          <w:rFonts w:hint="eastAsia"/>
        </w:rPr>
        <w:t>, Netherlands, Aug. 19th - Aug. 23th, 2024.</w:t>
      </w:r>
    </w:p>
    <w:p>
      <w:pPr>
        <w:pStyle w:val="39"/>
        <w:spacing w:beforeLines="0" w:after="0" w:afterLines="0" w:line="240" w:lineRule="auto"/>
        <w:ind w:left="363" w:hanging="363"/>
      </w:pPr>
      <w:r>
        <w:rPr>
          <w:rFonts w:hint="eastAsia"/>
        </w:rPr>
        <w:t>TS 38.133, V18.3.0, User Equipment (UE) radio transmission and reception; Part 1: Range 1 Standalone (Release 18)</w:t>
      </w:r>
    </w:p>
    <w:p>
      <w:pPr>
        <w:pStyle w:val="39"/>
        <w:spacing w:beforeLines="0" w:after="0" w:afterLines="0" w:line="240" w:lineRule="auto"/>
        <w:ind w:left="363" w:hanging="363"/>
      </w:pPr>
      <w:r>
        <w:rPr>
          <w:rFonts w:hint="eastAsia"/>
        </w:rPr>
        <w:t>RAN1 Chair</w:t>
      </w:r>
      <w:r>
        <w:t>’</w:t>
      </w:r>
      <w:r>
        <w:rPr>
          <w:rFonts w:hint="eastAsia"/>
        </w:rPr>
        <w:t>s Note, 3GPP TSG RAN WG1 #116, Athens, Greece, February 26th - March 1st, 2024.</w:t>
      </w: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8F83D64"/>
    <w:multiLevelType w:val="singleLevel"/>
    <w:tmpl w:val="B8F83D64"/>
    <w:lvl w:ilvl="0" w:tentative="0">
      <w:start w:val="1"/>
      <w:numFmt w:val="bullet"/>
      <w:lvlText w:val=""/>
      <w:lvlJc w:val="left"/>
      <w:pPr>
        <w:tabs>
          <w:tab w:val="left" w:pos="420"/>
        </w:tabs>
        <w:ind w:left="840" w:hanging="420"/>
      </w:pPr>
      <w:rPr>
        <w:rFonts w:hint="default" w:ascii="Wingdings" w:hAnsi="Wingdings" w:cs="Wingdings"/>
      </w:rPr>
    </w:lvl>
  </w:abstractNum>
  <w:abstractNum w:abstractNumId="2">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C33"/>
    <w:rsid w:val="000036E8"/>
    <w:rsid w:val="0001358E"/>
    <w:rsid w:val="00044DE7"/>
    <w:rsid w:val="00050423"/>
    <w:rsid w:val="00051F4E"/>
    <w:rsid w:val="000529AC"/>
    <w:rsid w:val="00062202"/>
    <w:rsid w:val="00072FB0"/>
    <w:rsid w:val="00093DF3"/>
    <w:rsid w:val="000A15BE"/>
    <w:rsid w:val="000A5B81"/>
    <w:rsid w:val="000C1A96"/>
    <w:rsid w:val="000D0462"/>
    <w:rsid w:val="000E2433"/>
    <w:rsid w:val="000E3EA5"/>
    <w:rsid w:val="000F28CA"/>
    <w:rsid w:val="00103906"/>
    <w:rsid w:val="001047BA"/>
    <w:rsid w:val="00142961"/>
    <w:rsid w:val="001470AA"/>
    <w:rsid w:val="00153BF7"/>
    <w:rsid w:val="0016113B"/>
    <w:rsid w:val="001632AB"/>
    <w:rsid w:val="00171C17"/>
    <w:rsid w:val="00171EE4"/>
    <w:rsid w:val="00172A27"/>
    <w:rsid w:val="001754AE"/>
    <w:rsid w:val="0018732E"/>
    <w:rsid w:val="00191912"/>
    <w:rsid w:val="00195F46"/>
    <w:rsid w:val="001B3634"/>
    <w:rsid w:val="001C1894"/>
    <w:rsid w:val="001C196F"/>
    <w:rsid w:val="001D1287"/>
    <w:rsid w:val="001E125B"/>
    <w:rsid w:val="001E262F"/>
    <w:rsid w:val="001F1A26"/>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37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0506"/>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D5857"/>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8E"/>
    <w:rsid w:val="00523AD9"/>
    <w:rsid w:val="00523D5E"/>
    <w:rsid w:val="00527033"/>
    <w:rsid w:val="00531B5B"/>
    <w:rsid w:val="00532500"/>
    <w:rsid w:val="005349A5"/>
    <w:rsid w:val="00541B22"/>
    <w:rsid w:val="00546436"/>
    <w:rsid w:val="00547723"/>
    <w:rsid w:val="00564BCB"/>
    <w:rsid w:val="00571C55"/>
    <w:rsid w:val="00572F6E"/>
    <w:rsid w:val="00574776"/>
    <w:rsid w:val="0058526A"/>
    <w:rsid w:val="0059321F"/>
    <w:rsid w:val="00593818"/>
    <w:rsid w:val="005A05C6"/>
    <w:rsid w:val="005A0FE9"/>
    <w:rsid w:val="005B77A5"/>
    <w:rsid w:val="005C6B42"/>
    <w:rsid w:val="005D4A06"/>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47598"/>
    <w:rsid w:val="006501AA"/>
    <w:rsid w:val="006536B8"/>
    <w:rsid w:val="00654F58"/>
    <w:rsid w:val="00676C72"/>
    <w:rsid w:val="00680E71"/>
    <w:rsid w:val="00680FFF"/>
    <w:rsid w:val="00691376"/>
    <w:rsid w:val="006922EF"/>
    <w:rsid w:val="00694EF8"/>
    <w:rsid w:val="00694FB9"/>
    <w:rsid w:val="006C2229"/>
    <w:rsid w:val="006C55B1"/>
    <w:rsid w:val="006C69C1"/>
    <w:rsid w:val="006D11DE"/>
    <w:rsid w:val="006D3D89"/>
    <w:rsid w:val="006D6D9B"/>
    <w:rsid w:val="006E01C3"/>
    <w:rsid w:val="006F4852"/>
    <w:rsid w:val="006F6FFA"/>
    <w:rsid w:val="00700636"/>
    <w:rsid w:val="00701BF9"/>
    <w:rsid w:val="007036F7"/>
    <w:rsid w:val="0070691A"/>
    <w:rsid w:val="0070693A"/>
    <w:rsid w:val="0071249F"/>
    <w:rsid w:val="00717A38"/>
    <w:rsid w:val="0073053B"/>
    <w:rsid w:val="00735DC1"/>
    <w:rsid w:val="007427BB"/>
    <w:rsid w:val="007440A2"/>
    <w:rsid w:val="007440C5"/>
    <w:rsid w:val="00745143"/>
    <w:rsid w:val="00747C56"/>
    <w:rsid w:val="007501AC"/>
    <w:rsid w:val="007555B6"/>
    <w:rsid w:val="00762F1B"/>
    <w:rsid w:val="0076682E"/>
    <w:rsid w:val="00774941"/>
    <w:rsid w:val="0077581A"/>
    <w:rsid w:val="0077761A"/>
    <w:rsid w:val="00784828"/>
    <w:rsid w:val="00785A2A"/>
    <w:rsid w:val="00786A2C"/>
    <w:rsid w:val="00787FA9"/>
    <w:rsid w:val="007A0CD8"/>
    <w:rsid w:val="007B0FD9"/>
    <w:rsid w:val="007B458B"/>
    <w:rsid w:val="007C1A41"/>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A85"/>
    <w:rsid w:val="00870E40"/>
    <w:rsid w:val="00886E49"/>
    <w:rsid w:val="00886EA7"/>
    <w:rsid w:val="00892B4C"/>
    <w:rsid w:val="00893268"/>
    <w:rsid w:val="0089344F"/>
    <w:rsid w:val="00894520"/>
    <w:rsid w:val="008A72B5"/>
    <w:rsid w:val="008B3130"/>
    <w:rsid w:val="008B547D"/>
    <w:rsid w:val="008B5C48"/>
    <w:rsid w:val="008B7F10"/>
    <w:rsid w:val="008C0445"/>
    <w:rsid w:val="008E6458"/>
    <w:rsid w:val="008F255E"/>
    <w:rsid w:val="008F3DC8"/>
    <w:rsid w:val="00903A35"/>
    <w:rsid w:val="00906E78"/>
    <w:rsid w:val="00922624"/>
    <w:rsid w:val="00923BDA"/>
    <w:rsid w:val="00925E81"/>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35EC"/>
    <w:rsid w:val="009D6400"/>
    <w:rsid w:val="009D7444"/>
    <w:rsid w:val="009D7770"/>
    <w:rsid w:val="009D7C12"/>
    <w:rsid w:val="009E0B10"/>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2311"/>
    <w:rsid w:val="00A656E5"/>
    <w:rsid w:val="00A809DB"/>
    <w:rsid w:val="00A86EB5"/>
    <w:rsid w:val="00A91773"/>
    <w:rsid w:val="00A92854"/>
    <w:rsid w:val="00A92CA8"/>
    <w:rsid w:val="00A94652"/>
    <w:rsid w:val="00AA1889"/>
    <w:rsid w:val="00AA6934"/>
    <w:rsid w:val="00AB0AAF"/>
    <w:rsid w:val="00AB251B"/>
    <w:rsid w:val="00AB5108"/>
    <w:rsid w:val="00AB6D34"/>
    <w:rsid w:val="00AC24BF"/>
    <w:rsid w:val="00AC5F8D"/>
    <w:rsid w:val="00AD56C4"/>
    <w:rsid w:val="00AD7FE5"/>
    <w:rsid w:val="00AE18E8"/>
    <w:rsid w:val="00AE5530"/>
    <w:rsid w:val="00AE6F50"/>
    <w:rsid w:val="00B031EF"/>
    <w:rsid w:val="00B11405"/>
    <w:rsid w:val="00B138E9"/>
    <w:rsid w:val="00B14808"/>
    <w:rsid w:val="00B179E3"/>
    <w:rsid w:val="00B245AA"/>
    <w:rsid w:val="00B34FF8"/>
    <w:rsid w:val="00B4121C"/>
    <w:rsid w:val="00B43645"/>
    <w:rsid w:val="00B46502"/>
    <w:rsid w:val="00B54730"/>
    <w:rsid w:val="00B56091"/>
    <w:rsid w:val="00B60F6C"/>
    <w:rsid w:val="00B663FA"/>
    <w:rsid w:val="00B76824"/>
    <w:rsid w:val="00B81C3C"/>
    <w:rsid w:val="00B87AB7"/>
    <w:rsid w:val="00BA72B7"/>
    <w:rsid w:val="00BA7674"/>
    <w:rsid w:val="00BB08C4"/>
    <w:rsid w:val="00BC5BFB"/>
    <w:rsid w:val="00BD72A5"/>
    <w:rsid w:val="00BE22EC"/>
    <w:rsid w:val="00BE5D22"/>
    <w:rsid w:val="00BF526E"/>
    <w:rsid w:val="00BF743C"/>
    <w:rsid w:val="00C07C74"/>
    <w:rsid w:val="00C12784"/>
    <w:rsid w:val="00C12A79"/>
    <w:rsid w:val="00C16276"/>
    <w:rsid w:val="00C2142E"/>
    <w:rsid w:val="00C22FCF"/>
    <w:rsid w:val="00C2334E"/>
    <w:rsid w:val="00C2713A"/>
    <w:rsid w:val="00C31212"/>
    <w:rsid w:val="00C34FD0"/>
    <w:rsid w:val="00C625E3"/>
    <w:rsid w:val="00C636E5"/>
    <w:rsid w:val="00C67AE3"/>
    <w:rsid w:val="00C76271"/>
    <w:rsid w:val="00C829B3"/>
    <w:rsid w:val="00C855D2"/>
    <w:rsid w:val="00C86B1F"/>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86C8F"/>
    <w:rsid w:val="00E92BF0"/>
    <w:rsid w:val="00E94718"/>
    <w:rsid w:val="00E95FFE"/>
    <w:rsid w:val="00EA0820"/>
    <w:rsid w:val="00EA3CF2"/>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71825"/>
    <w:rsid w:val="00F80169"/>
    <w:rsid w:val="00F81514"/>
    <w:rsid w:val="00F82200"/>
    <w:rsid w:val="00F86352"/>
    <w:rsid w:val="00F87040"/>
    <w:rsid w:val="00F91979"/>
    <w:rsid w:val="00F95A32"/>
    <w:rsid w:val="00FA1BFE"/>
    <w:rsid w:val="00FA3FD9"/>
    <w:rsid w:val="00FA6AF6"/>
    <w:rsid w:val="00FA7D65"/>
    <w:rsid w:val="00FB593A"/>
    <w:rsid w:val="00FC20D8"/>
    <w:rsid w:val="00FC72FB"/>
    <w:rsid w:val="00FE0900"/>
    <w:rsid w:val="010D0267"/>
    <w:rsid w:val="010D6400"/>
    <w:rsid w:val="01116D56"/>
    <w:rsid w:val="011C7F2E"/>
    <w:rsid w:val="01466B34"/>
    <w:rsid w:val="015462A2"/>
    <w:rsid w:val="01804EE8"/>
    <w:rsid w:val="01864AED"/>
    <w:rsid w:val="01881F56"/>
    <w:rsid w:val="018E27D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2E57608"/>
    <w:rsid w:val="031A6DDF"/>
    <w:rsid w:val="032219B3"/>
    <w:rsid w:val="0348179E"/>
    <w:rsid w:val="035F7137"/>
    <w:rsid w:val="0368661B"/>
    <w:rsid w:val="03817C6C"/>
    <w:rsid w:val="03F50BF8"/>
    <w:rsid w:val="03F757EE"/>
    <w:rsid w:val="040D5006"/>
    <w:rsid w:val="04176B15"/>
    <w:rsid w:val="04250069"/>
    <w:rsid w:val="04332B60"/>
    <w:rsid w:val="044D191B"/>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5BAD"/>
    <w:rsid w:val="073C0F1E"/>
    <w:rsid w:val="0757160E"/>
    <w:rsid w:val="07573824"/>
    <w:rsid w:val="075A5568"/>
    <w:rsid w:val="077046F9"/>
    <w:rsid w:val="07816512"/>
    <w:rsid w:val="0797540B"/>
    <w:rsid w:val="079A051E"/>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1D6798"/>
    <w:rsid w:val="1035011A"/>
    <w:rsid w:val="103607AE"/>
    <w:rsid w:val="10384280"/>
    <w:rsid w:val="105D7F23"/>
    <w:rsid w:val="10761A5F"/>
    <w:rsid w:val="108E0879"/>
    <w:rsid w:val="10B011B8"/>
    <w:rsid w:val="10C03F43"/>
    <w:rsid w:val="10C359D9"/>
    <w:rsid w:val="11011524"/>
    <w:rsid w:val="110877A1"/>
    <w:rsid w:val="110D72EA"/>
    <w:rsid w:val="110E7959"/>
    <w:rsid w:val="1119722C"/>
    <w:rsid w:val="1127264D"/>
    <w:rsid w:val="112F7E4A"/>
    <w:rsid w:val="11434434"/>
    <w:rsid w:val="114A05F1"/>
    <w:rsid w:val="115C58D6"/>
    <w:rsid w:val="11604BE2"/>
    <w:rsid w:val="117D26D0"/>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6202E0"/>
    <w:rsid w:val="18655B8E"/>
    <w:rsid w:val="186E43F1"/>
    <w:rsid w:val="187705A0"/>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D651D"/>
    <w:rsid w:val="1C2E6201"/>
    <w:rsid w:val="1C302928"/>
    <w:rsid w:val="1C52178E"/>
    <w:rsid w:val="1C68632B"/>
    <w:rsid w:val="1C9F1651"/>
    <w:rsid w:val="1CAB7A6B"/>
    <w:rsid w:val="1CC94B43"/>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EB1E9A"/>
    <w:rsid w:val="1EF73ABF"/>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0A1D64"/>
    <w:rsid w:val="231523F7"/>
    <w:rsid w:val="233D46B2"/>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176290"/>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069EC"/>
    <w:rsid w:val="25D1716B"/>
    <w:rsid w:val="25DF6A97"/>
    <w:rsid w:val="25E6024A"/>
    <w:rsid w:val="25EA0F86"/>
    <w:rsid w:val="261A29D3"/>
    <w:rsid w:val="26212585"/>
    <w:rsid w:val="26282ED7"/>
    <w:rsid w:val="265B6DE8"/>
    <w:rsid w:val="265F04C1"/>
    <w:rsid w:val="267440C5"/>
    <w:rsid w:val="268C256C"/>
    <w:rsid w:val="269F48BD"/>
    <w:rsid w:val="26A7223A"/>
    <w:rsid w:val="26F23979"/>
    <w:rsid w:val="272A1178"/>
    <w:rsid w:val="272D26C8"/>
    <w:rsid w:val="274604BA"/>
    <w:rsid w:val="27530B85"/>
    <w:rsid w:val="27537ACC"/>
    <w:rsid w:val="27572E13"/>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9D034D"/>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7E049A"/>
    <w:rsid w:val="32AD5AEA"/>
    <w:rsid w:val="32C3640C"/>
    <w:rsid w:val="32C47E69"/>
    <w:rsid w:val="32DF4B9C"/>
    <w:rsid w:val="32EE5E66"/>
    <w:rsid w:val="32F707FF"/>
    <w:rsid w:val="32FE7982"/>
    <w:rsid w:val="330551E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31B9C"/>
    <w:rsid w:val="36B77EB7"/>
    <w:rsid w:val="36DE7BD3"/>
    <w:rsid w:val="37510F39"/>
    <w:rsid w:val="37592FE4"/>
    <w:rsid w:val="375E20CF"/>
    <w:rsid w:val="377336AC"/>
    <w:rsid w:val="377F502A"/>
    <w:rsid w:val="37804449"/>
    <w:rsid w:val="37817D02"/>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995310"/>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DF0FA6"/>
    <w:rsid w:val="39E23259"/>
    <w:rsid w:val="39EA289E"/>
    <w:rsid w:val="39EE0057"/>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F11FD"/>
    <w:rsid w:val="3F227ECC"/>
    <w:rsid w:val="3F2A1510"/>
    <w:rsid w:val="3F323523"/>
    <w:rsid w:val="3F5243FF"/>
    <w:rsid w:val="3F59407A"/>
    <w:rsid w:val="3F66080D"/>
    <w:rsid w:val="3F963935"/>
    <w:rsid w:val="3FBD7ADB"/>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694287"/>
    <w:rsid w:val="416948A9"/>
    <w:rsid w:val="416B194D"/>
    <w:rsid w:val="41724916"/>
    <w:rsid w:val="41851622"/>
    <w:rsid w:val="41BE3E52"/>
    <w:rsid w:val="41C36A02"/>
    <w:rsid w:val="41D8445C"/>
    <w:rsid w:val="41E40788"/>
    <w:rsid w:val="41F20931"/>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9C290E"/>
    <w:rsid w:val="45A52B1C"/>
    <w:rsid w:val="45AC4CF4"/>
    <w:rsid w:val="45AD524F"/>
    <w:rsid w:val="45AE36B8"/>
    <w:rsid w:val="45CF7FBC"/>
    <w:rsid w:val="45F35C5E"/>
    <w:rsid w:val="462A74AF"/>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391BF8"/>
    <w:rsid w:val="484B3CA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30E7B"/>
    <w:rsid w:val="4AED5C11"/>
    <w:rsid w:val="4AFF253A"/>
    <w:rsid w:val="4B096721"/>
    <w:rsid w:val="4B151DD8"/>
    <w:rsid w:val="4B1E03CD"/>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8F486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BA1003"/>
    <w:rsid w:val="50C85002"/>
    <w:rsid w:val="50D3250E"/>
    <w:rsid w:val="50D33AD4"/>
    <w:rsid w:val="50D565E3"/>
    <w:rsid w:val="51251091"/>
    <w:rsid w:val="512B4D4B"/>
    <w:rsid w:val="51351C9B"/>
    <w:rsid w:val="513D3709"/>
    <w:rsid w:val="515323AC"/>
    <w:rsid w:val="515911D2"/>
    <w:rsid w:val="5159308A"/>
    <w:rsid w:val="51607B17"/>
    <w:rsid w:val="51636223"/>
    <w:rsid w:val="51665649"/>
    <w:rsid w:val="517462FF"/>
    <w:rsid w:val="518F2123"/>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10EB0"/>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D77025"/>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703672"/>
    <w:rsid w:val="5773534B"/>
    <w:rsid w:val="57780B7F"/>
    <w:rsid w:val="578541CE"/>
    <w:rsid w:val="57856672"/>
    <w:rsid w:val="578C265D"/>
    <w:rsid w:val="579D25BA"/>
    <w:rsid w:val="57B9331D"/>
    <w:rsid w:val="57B975D7"/>
    <w:rsid w:val="57BB6757"/>
    <w:rsid w:val="57C82DD9"/>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B50362"/>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9D7700"/>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45EFD"/>
    <w:rsid w:val="60D87E5D"/>
    <w:rsid w:val="60F668B8"/>
    <w:rsid w:val="60FC46B7"/>
    <w:rsid w:val="61002168"/>
    <w:rsid w:val="61172DD5"/>
    <w:rsid w:val="6138206E"/>
    <w:rsid w:val="61393A60"/>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CD0306"/>
    <w:rsid w:val="62F27D6D"/>
    <w:rsid w:val="63005319"/>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B2EEE"/>
    <w:rsid w:val="63FE1629"/>
    <w:rsid w:val="640673D9"/>
    <w:rsid w:val="641E6EE2"/>
    <w:rsid w:val="64275148"/>
    <w:rsid w:val="64326B19"/>
    <w:rsid w:val="645214CF"/>
    <w:rsid w:val="64655883"/>
    <w:rsid w:val="6487530B"/>
    <w:rsid w:val="64BA39D7"/>
    <w:rsid w:val="64CF3CAA"/>
    <w:rsid w:val="64D96235"/>
    <w:rsid w:val="64DA01CC"/>
    <w:rsid w:val="650F5FAC"/>
    <w:rsid w:val="652D2807"/>
    <w:rsid w:val="6534392E"/>
    <w:rsid w:val="654F6FF9"/>
    <w:rsid w:val="656033A2"/>
    <w:rsid w:val="656B0071"/>
    <w:rsid w:val="65815AA0"/>
    <w:rsid w:val="658855D4"/>
    <w:rsid w:val="658867B3"/>
    <w:rsid w:val="659B42A0"/>
    <w:rsid w:val="65A8095A"/>
    <w:rsid w:val="65F1238A"/>
    <w:rsid w:val="65F35604"/>
    <w:rsid w:val="65FF3198"/>
    <w:rsid w:val="661644AB"/>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408C4"/>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66E0E"/>
    <w:rsid w:val="6BCA3451"/>
    <w:rsid w:val="6BD57A1A"/>
    <w:rsid w:val="6BE52340"/>
    <w:rsid w:val="6BEA317F"/>
    <w:rsid w:val="6BEC555E"/>
    <w:rsid w:val="6C077B7C"/>
    <w:rsid w:val="6C3D68C7"/>
    <w:rsid w:val="6C865FBC"/>
    <w:rsid w:val="6C89469E"/>
    <w:rsid w:val="6C93673A"/>
    <w:rsid w:val="6C9559EA"/>
    <w:rsid w:val="6C991B9A"/>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75420"/>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8E71A9"/>
    <w:rsid w:val="729310B6"/>
    <w:rsid w:val="729B0CF8"/>
    <w:rsid w:val="72A1101D"/>
    <w:rsid w:val="72C80096"/>
    <w:rsid w:val="72CD0489"/>
    <w:rsid w:val="72DB349B"/>
    <w:rsid w:val="72E10CF1"/>
    <w:rsid w:val="72E16E78"/>
    <w:rsid w:val="72EA15F7"/>
    <w:rsid w:val="73062CBE"/>
    <w:rsid w:val="731912B2"/>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50363"/>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40896"/>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200E6"/>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BF3E86"/>
    <w:rsid w:val="7FCA7309"/>
    <w:rsid w:val="7FDA1B5E"/>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link w:val="73"/>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character" w:customStyle="1" w:styleId="73">
    <w:name w:val="3GPP Normal Text Char"/>
    <w:link w:val="61"/>
    <w:qFormat/>
    <w:uiPriority w:val="0"/>
    <w:rPr>
      <w:rFonts w:ascii="Times New Roman" w:hAnsi="Times New Roman" w:eastAsia="MS Mincho"/>
    </w:rPr>
  </w:style>
  <w:style w:type="paragraph" w:customStyle="1" w:styleId="74">
    <w:name w:val="TAN"/>
    <w:basedOn w:val="52"/>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C6C594-0B79-457C-9FA0-0501C8C4B43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2038</Words>
  <Characters>11620</Characters>
  <Lines>96</Lines>
  <Paragraphs>27</Paragraphs>
  <TotalTime>3</TotalTime>
  <ScaleCrop>false</ScaleCrop>
  <LinksUpToDate>false</LinksUpToDate>
  <CharactersWithSpaces>13631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2024-09-11T06:37:00Z</dcterms:created>
  <dc:creator>YuzhouHu</dc:creator>
  <cp:lastModifiedBy>ZTE, Jiajun Xu</cp:lastModifiedBy>
  <dcterms:modified xsi:type="dcterms:W3CDTF">2024-09-30T07:54:43Z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6E9410940A134A10AFA46D0F8DD18D25</vt:lpwstr>
  </property>
</Properties>
</file>