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8bis</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24</w:t>
      </w:r>
      <w:r>
        <w:rPr>
          <w:rFonts w:hint="eastAsia" w:ascii="Arial" w:hAnsi="Arial" w:cs="Arial"/>
          <w:b/>
          <w:bCs/>
          <w:sz w:val="22"/>
          <w:szCs w:val="22"/>
        </w:rPr>
        <w:t>08073</w:t>
      </w:r>
    </w:p>
    <w:p>
      <w:pPr>
        <w:spacing w:before="120" w:after="120"/>
        <w:rPr>
          <w:rFonts w:ascii="Arial" w:hAnsi="Arial" w:cs="Arial"/>
          <w:b/>
          <w:bCs/>
          <w:sz w:val="22"/>
          <w:szCs w:val="22"/>
        </w:rPr>
      </w:pPr>
      <w:r>
        <w:rPr>
          <w:rFonts w:hint="eastAsia" w:ascii="Arial" w:hAnsi="Arial" w:cs="Arial"/>
          <w:b/>
          <w:bCs/>
          <w:sz w:val="22"/>
          <w:szCs w:val="22"/>
        </w:rPr>
        <w:t>Hefei</w:t>
      </w:r>
      <w:r>
        <w:rPr>
          <w:rFonts w:ascii="Arial" w:hAnsi="Arial" w:cs="Arial"/>
          <w:b/>
          <w:bCs/>
          <w:sz w:val="22"/>
          <w:szCs w:val="22"/>
          <w:lang w:eastAsia="ja-JP"/>
        </w:rPr>
        <w:t xml:space="preserve">, </w:t>
      </w:r>
      <w:r>
        <w:rPr>
          <w:rFonts w:hint="eastAsia" w:ascii="Arial" w:hAnsi="Arial" w:cs="Arial"/>
          <w:b/>
          <w:bCs/>
          <w:sz w:val="22"/>
          <w:szCs w:val="22"/>
        </w:rPr>
        <w:t>China, Oct. 14</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Oct. 18</w:t>
      </w:r>
      <w:r>
        <w:rPr>
          <w:rFonts w:hint="eastAsia" w:ascii="Arial" w:hAnsi="Arial" w:cs="Arial"/>
          <w:b/>
          <w:bCs/>
          <w:sz w:val="22"/>
          <w:szCs w:val="22"/>
          <w:vertAlign w:val="superscript"/>
        </w:rPr>
        <w:t>th</w:t>
      </w:r>
      <w:r>
        <w:rPr>
          <w:rFonts w:ascii="Arial" w:hAnsi="Arial" w:cs="Arial"/>
          <w:b/>
          <w:bCs/>
          <w:sz w:val="22"/>
          <w:szCs w:val="22"/>
          <w:lang w:eastAsia="ja-JP"/>
        </w:rPr>
        <w:t>, 202</w:t>
      </w:r>
      <w:r>
        <w:rPr>
          <w:rFonts w:hint="eastAsia" w:ascii="Arial" w:hAnsi="Arial" w:cs="Arial"/>
          <w:b/>
          <w:bCs/>
          <w:sz w:val="22"/>
          <w:szCs w:val="22"/>
        </w:rPr>
        <w:t>4</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Discussio</w:t>
      </w:r>
      <w:r>
        <w:rPr>
          <w:rFonts w:hint="eastAsia" w:ascii="Arial" w:hAnsi="Arial"/>
          <w:b/>
          <w:sz w:val="22"/>
          <w:szCs w:val="22"/>
        </w:rPr>
        <w:t>n on common signal/channel for NES</w:t>
      </w:r>
      <w:r>
        <w:rPr>
          <w:rFonts w:ascii="Arial" w:hAnsi="Arial"/>
          <w:b/>
          <w:sz w:val="22"/>
          <w:szCs w:val="22"/>
        </w:rPr>
        <w:t>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Corporation</w:t>
      </w:r>
      <w:r>
        <w:rPr>
          <w:rFonts w:ascii="Arial" w:hAnsi="Arial"/>
          <w:b/>
          <w:sz w:val="22"/>
          <w:szCs w:val="22"/>
        </w:rPr>
        <w:t>,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9.5.3</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 xml:space="preserve">In this paper, we further discuss adaptation of SSB in time domain in </w:t>
      </w:r>
      <w:r>
        <w:rPr>
          <w:szCs w:val="21"/>
        </w:rPr>
        <w:t>various</w:t>
      </w:r>
      <w:r>
        <w:rPr>
          <w:rFonts w:hint="eastAsia"/>
          <w:szCs w:val="21"/>
        </w:rPr>
        <w:t xml:space="preserve"> scenarios</w:t>
      </w:r>
      <w:r>
        <w:rPr>
          <w:szCs w:val="21"/>
        </w:rPr>
        <w:t xml:space="preserve"> </w:t>
      </w:r>
      <w:r>
        <w:rPr>
          <w:rFonts w:hint="eastAsia"/>
          <w:szCs w:val="21"/>
        </w:rPr>
        <w:t>in Section 2. The solutions to adaptation of PRACH in time domain are analyzed in Section 3. Moreover, techniques for adaptation of paging occasions in time domain</w:t>
      </w:r>
      <w:r>
        <w:rPr>
          <w:szCs w:val="21"/>
        </w:rPr>
        <w:t xml:space="preserve"> </w:t>
      </w:r>
      <w:r>
        <w:rPr>
          <w:rFonts w:hint="eastAsia"/>
          <w:szCs w:val="21"/>
        </w:rPr>
        <w:t>are</w:t>
      </w:r>
      <w:r>
        <w:rPr>
          <w:rFonts w:hint="eastAsia"/>
        </w:rPr>
        <w:t xml:space="preserve"> </w:t>
      </w:r>
      <w:r>
        <w:t xml:space="preserve">also </w:t>
      </w:r>
      <w:r>
        <w:rPr>
          <w:rFonts w:hint="eastAsia"/>
        </w:rPr>
        <w:t>discussed.</w:t>
      </w:r>
    </w:p>
    <w:p>
      <w:pPr>
        <w:pStyle w:val="2"/>
        <w:spacing w:before="120" w:after="120"/>
        <w:ind w:left="0"/>
      </w:pPr>
      <w:r>
        <w:rPr>
          <w:rFonts w:hint="eastAsia" w:eastAsia="宋体"/>
        </w:rPr>
        <w:t>Adaptation of SSB in time domain</w:t>
      </w:r>
    </w:p>
    <w:p>
      <w:pPr>
        <w:pStyle w:val="3"/>
        <w:spacing w:before="120" w:after="120"/>
        <w:ind w:left="991" w:right="210" w:hanging="991" w:hangingChars="354"/>
      </w:pPr>
      <w:r>
        <w:rPr>
          <w:rFonts w:hint="eastAsia" w:eastAsia="宋体"/>
        </w:rPr>
        <w:t>Scenarios for adaptation of SSB in time domain</w:t>
      </w:r>
    </w:p>
    <w:p>
      <w:pPr>
        <w:spacing w:before="120" w:after="120"/>
      </w:pPr>
      <w:r>
        <w:rPr>
          <w:rFonts w:hint="eastAsia"/>
        </w:rPr>
        <w:t>In RAN1#118 meeting, applicable scenario for SSB adaptation was agreed as follows [1].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2" w:type="dxa"/>
          </w:tcPr>
          <w:p>
            <w:pPr>
              <w:spacing w:beforeLines="0" w:after="0" w:afterLines="0" w:line="240" w:lineRule="auto"/>
              <w:rPr>
                <w:rFonts w:cs="Times"/>
                <w:b/>
                <w:bCs/>
                <w:szCs w:val="21"/>
              </w:rPr>
            </w:pPr>
            <w:r>
              <w:rPr>
                <w:rFonts w:cs="Times"/>
                <w:b/>
                <w:bCs/>
                <w:szCs w:val="21"/>
                <w:highlight w:val="green"/>
              </w:rPr>
              <w:t>Agreement</w:t>
            </w:r>
          </w:p>
          <w:p>
            <w:pPr>
              <w:spacing w:beforeLines="0" w:after="0" w:afterLines="0" w:line="240" w:lineRule="auto"/>
              <w:rPr>
                <w:szCs w:val="21"/>
              </w:rPr>
            </w:pPr>
            <w:r>
              <w:rPr>
                <w:szCs w:val="21"/>
              </w:rPr>
              <w:t>For adaptation mechanism(s) of SSB in time-domain,</w:t>
            </w:r>
          </w:p>
          <w:p>
            <w:pPr>
              <w:numPr>
                <w:ilvl w:val="0"/>
                <w:numId w:val="5"/>
              </w:numPr>
              <w:spacing w:beforeLines="0" w:after="0" w:afterLines="0" w:line="240" w:lineRule="auto"/>
              <w:rPr>
                <w:szCs w:val="21"/>
              </w:rPr>
            </w:pPr>
            <w:r>
              <w:rPr>
                <w:szCs w:val="21"/>
              </w:rPr>
              <w:t xml:space="preserve">For Rel-19 NES-capable UE’s PCell (Connected mode), adaptation of CD-SSB on sync raster is not supported </w:t>
            </w:r>
          </w:p>
          <w:p>
            <w:pPr>
              <w:numPr>
                <w:ilvl w:val="1"/>
                <w:numId w:val="5"/>
              </w:numPr>
              <w:spacing w:beforeLines="0" w:after="0" w:afterLines="0" w:line="240" w:lineRule="auto"/>
              <w:rPr>
                <w:szCs w:val="21"/>
              </w:rPr>
            </w:pPr>
            <w:r>
              <w:rPr>
                <w:szCs w:val="21"/>
              </w:rPr>
              <w:t>FFS: Adaptation for SSB that is not CD-SSB is supported (A2)</w:t>
            </w:r>
          </w:p>
          <w:p>
            <w:pPr>
              <w:numPr>
                <w:ilvl w:val="1"/>
                <w:numId w:val="5"/>
              </w:numPr>
              <w:spacing w:beforeLines="0" w:after="0" w:afterLines="0" w:line="240" w:lineRule="auto"/>
              <w:rPr>
                <w:szCs w:val="21"/>
              </w:rPr>
            </w:pPr>
            <w:r>
              <w:rPr>
                <w:szCs w:val="21"/>
              </w:rPr>
              <w:t>FFS: Adaptation for SSB not on sync raster is supported (A3)</w:t>
            </w:r>
          </w:p>
          <w:p>
            <w:pPr>
              <w:pStyle w:val="40"/>
              <w:numPr>
                <w:ilvl w:val="0"/>
                <w:numId w:val="5"/>
              </w:numPr>
              <w:spacing w:after="0" w:afterLines="0" w:line="240" w:lineRule="auto"/>
              <w:rPr>
                <w:sz w:val="21"/>
                <w:szCs w:val="21"/>
              </w:rPr>
            </w:pPr>
            <w:r>
              <w:rPr>
                <w:sz w:val="21"/>
                <w:szCs w:val="21"/>
              </w:rPr>
              <w:t>For Rel-19 NES-capable UE’s SCell</w:t>
            </w:r>
          </w:p>
          <w:p>
            <w:pPr>
              <w:numPr>
                <w:ilvl w:val="1"/>
                <w:numId w:val="5"/>
              </w:numPr>
              <w:spacing w:beforeLines="0" w:after="0" w:afterLines="0" w:line="240" w:lineRule="auto"/>
              <w:rPr>
                <w:szCs w:val="21"/>
              </w:rPr>
            </w:pPr>
            <w:r>
              <w:rPr>
                <w:szCs w:val="21"/>
              </w:rPr>
              <w:t>Adaptation of SSB configured for the SCell is supported for the following cases</w:t>
            </w:r>
          </w:p>
          <w:p>
            <w:pPr>
              <w:numPr>
                <w:ilvl w:val="2"/>
                <w:numId w:val="5"/>
              </w:numPr>
              <w:spacing w:beforeLines="0" w:after="0" w:afterLines="0" w:line="240" w:lineRule="auto"/>
              <w:rPr>
                <w:szCs w:val="21"/>
              </w:rPr>
            </w:pPr>
            <w:r>
              <w:rPr>
                <w:szCs w:val="21"/>
              </w:rPr>
              <w:t>FFS: Adaptation for CD-SSB (B1) including UE impact compared to legacy operation where the SSB is configured with periodicity&gt;20msec for SCell</w:t>
            </w:r>
          </w:p>
          <w:p>
            <w:pPr>
              <w:numPr>
                <w:ilvl w:val="2"/>
                <w:numId w:val="5"/>
              </w:numPr>
              <w:spacing w:beforeLines="0" w:after="0" w:afterLines="0" w:line="240" w:lineRule="auto"/>
              <w:rPr>
                <w:szCs w:val="21"/>
              </w:rPr>
            </w:pPr>
            <w:r>
              <w:rPr>
                <w:szCs w:val="21"/>
              </w:rPr>
              <w:t>Adaptation for SSB that is not CD-SSB on sync raster (B2’)</w:t>
            </w:r>
          </w:p>
          <w:p>
            <w:pPr>
              <w:numPr>
                <w:ilvl w:val="2"/>
                <w:numId w:val="5"/>
              </w:numPr>
              <w:spacing w:beforeLines="0" w:after="0" w:afterLines="0" w:line="240" w:lineRule="auto"/>
              <w:rPr>
                <w:szCs w:val="21"/>
              </w:rPr>
            </w:pPr>
            <w:r>
              <w:rPr>
                <w:szCs w:val="21"/>
              </w:rPr>
              <w:t>Adaptation for SSB that is not CD-SSB not on sync raster (B3’)</w:t>
            </w:r>
          </w:p>
        </w:tc>
      </w:tr>
    </w:tbl>
    <w:p>
      <w:pPr>
        <w:spacing w:before="120" w:after="120"/>
      </w:pPr>
      <w:r>
        <w:t>For</w:t>
      </w:r>
      <w:r>
        <w:rPr>
          <w:rFonts w:hint="eastAsia"/>
        </w:rPr>
        <w:t xml:space="preserve"> </w:t>
      </w:r>
      <w:r>
        <w:t xml:space="preserve">one </w:t>
      </w:r>
      <w:r>
        <w:rPr>
          <w:rFonts w:hint="eastAsia"/>
        </w:rPr>
        <w:t>cell with both legacy UEs and Rel-19 NES-capable UEs,</w:t>
      </w:r>
      <w:r>
        <w:t xml:space="preserve"> </w:t>
      </w:r>
      <w:r>
        <w:rPr>
          <w:rFonts w:hint="eastAsia"/>
        </w:rPr>
        <w:t>i</w:t>
      </w:r>
      <w:r>
        <w:t xml:space="preserve">n case that both CD-SSB and not CD-SSB are configured </w:t>
      </w:r>
      <w:r>
        <w:rPr>
          <w:rFonts w:hint="eastAsia"/>
        </w:rPr>
        <w:t>in PCell</w:t>
      </w:r>
      <w:r>
        <w:t xml:space="preserve">, </w:t>
      </w:r>
      <w:r>
        <w:rPr>
          <w:rFonts w:hint="eastAsia"/>
        </w:rPr>
        <w:t>adaptation of not cell-defining SSB or SSB not on sync raster</w:t>
      </w:r>
      <w:r>
        <w:t xml:space="preserve"> may bring network energy saving benefits</w:t>
      </w:r>
      <w:r>
        <w:rPr>
          <w:rFonts w:hint="eastAsia"/>
        </w:rPr>
        <w:t>,</w:t>
      </w:r>
      <w:r>
        <w:t xml:space="preserve"> but</w:t>
      </w:r>
      <w:r>
        <w:rPr>
          <w:rFonts w:hint="eastAsia"/>
        </w:rPr>
        <w:t xml:space="preserve"> the NES gain would be limited </w:t>
      </w:r>
      <w:r>
        <w:t>due to power consumption of always-on CD SSB</w:t>
      </w:r>
      <w:r>
        <w:rPr>
          <w:rFonts w:hint="eastAsia"/>
        </w:rPr>
        <w:t xml:space="preserve">. </w:t>
      </w:r>
    </w:p>
    <w:p>
      <w:pPr>
        <w:pStyle w:val="60"/>
        <w:spacing w:before="120" w:after="120"/>
      </w:pPr>
      <w:bookmarkStart w:id="0" w:name="_Toc16163"/>
      <w:r>
        <w:rPr>
          <w:lang w:val="en-US" w:eastAsia="zh-CN"/>
        </w:rPr>
        <w:t>For Rel-19 NES-capable UE’s PCell, adaptation of not cell-defining SSB or SSB not on sync raster may bring network energy saving benefits, but the NES gain would be limited due to power consumption of always-on CD SSB.</w:t>
      </w:r>
      <w:bookmarkEnd w:id="0"/>
    </w:p>
    <w:p>
      <w:pPr>
        <w:spacing w:before="120" w:after="120"/>
      </w:pPr>
      <w:r>
        <w:rPr>
          <w:rFonts w:hint="eastAsia"/>
        </w:rPr>
        <w:t>From the perspective of Rel-19 NES-capable UE</w:t>
      </w:r>
      <w:r>
        <w:t>’</w:t>
      </w:r>
      <w:r>
        <w:rPr>
          <w:rFonts w:hint="eastAsia"/>
        </w:rPr>
        <w:t>s SCell, in case that SCell is other UEs</w:t>
      </w:r>
      <w:r>
        <w:t>’</w:t>
      </w:r>
      <w:r>
        <w:rPr>
          <w:rFonts w:hint="eastAsia"/>
        </w:rPr>
        <w:t xml:space="preserve"> PCell, adaptation of CD-SSB on sync raster is not supported </w:t>
      </w:r>
      <w:r>
        <w:t xml:space="preserve">either </w:t>
      </w:r>
      <w:r>
        <w:rPr>
          <w:rFonts w:hint="eastAsia"/>
        </w:rPr>
        <w:t>according to the above agreement. However, i</w:t>
      </w:r>
      <w:r>
        <w:t xml:space="preserve">n a scenario where a SCell serves as only UEs’ SCell (e.g., small cell in </w:t>
      </w:r>
      <w:r>
        <w:rPr>
          <w:rFonts w:hint="eastAsia"/>
        </w:rPr>
        <w:t>h</w:t>
      </w:r>
      <w:r>
        <w:t xml:space="preserve">eterogeneous network), it implies that the SCell is designed to serve UEs in connected mode, while idle/inactive mode UEs are not allowed to access or camp on it. For such scenarios, </w:t>
      </w:r>
      <w:r>
        <w:rPr>
          <w:rFonts w:hint="eastAsia"/>
        </w:rPr>
        <w:t xml:space="preserve">from the perspective of existing specification, </w:t>
      </w:r>
      <w:r>
        <w:t>either CD-SSB or not CD-SSB can be configured based existing network, and adapting CD-SSB/not CD-SSB may yield significant NES benefits.</w:t>
      </w:r>
      <w:r>
        <w:rPr>
          <w:rFonts w:hint="eastAsia"/>
        </w:rPr>
        <w:t xml:space="preserve"> In order to </w:t>
      </w:r>
      <w:r>
        <w:t>address concern of</w:t>
      </w:r>
      <w:r>
        <w:rPr>
          <w:rFonts w:hint="eastAsia"/>
        </w:rPr>
        <w:t xml:space="preserve"> legacy UE impact, cell barring in the MIB of CD-SSB and SIB1 can be considered, </w:t>
      </w:r>
      <w:r>
        <w:t>it can also be realized</w:t>
      </w:r>
      <w:r>
        <w:rPr>
          <w:rFonts w:hint="eastAsia"/>
        </w:rPr>
        <w:t xml:space="preserve"> by configuring NCD-SSB or SSB not in sync raster and the adaptation can be applicable for NCD-SSB or SSB not in sync raster. I</w:t>
      </w:r>
      <w:r>
        <w:t xml:space="preserve">n our view, these approaches share the common objective of preventing legacy UEs in idle or inactive mode from accessing or camping on NES cells. Consequently, the impact of adapting the SSB periodicity can be mitigated, irrespective of whether the SSB is a CD-SSB or not. </w:t>
      </w:r>
      <w:r>
        <w:rPr>
          <w:rFonts w:hint="eastAsia"/>
        </w:rPr>
        <w:t>To this end, adaptation of CD-SSB in Rel-19 NES-capable UE</w:t>
      </w:r>
      <w:r>
        <w:t>’</w:t>
      </w:r>
      <w:r>
        <w:rPr>
          <w:rFonts w:hint="eastAsia"/>
        </w:rPr>
        <w:t>s SCell should be supported.</w:t>
      </w:r>
    </w:p>
    <w:p>
      <w:pPr>
        <w:pStyle w:val="63"/>
        <w:spacing w:before="120" w:after="120"/>
        <w:jc w:val="both"/>
        <w:rPr>
          <w:lang w:val="en-US" w:eastAsia="zh-CN"/>
        </w:rPr>
      </w:pPr>
      <w:bookmarkStart w:id="1" w:name="_Toc8251"/>
      <w:r>
        <w:rPr>
          <w:rFonts w:hint="eastAsia"/>
          <w:lang w:val="en-US" w:eastAsia="zh-CN"/>
        </w:rPr>
        <w:t>Support adaptation for CD-SSB in the scenario for Rel-19 NES-capable UE</w:t>
      </w:r>
      <w:r>
        <w:rPr>
          <w:lang w:val="en-US" w:eastAsia="zh-CN"/>
        </w:rPr>
        <w:t>’</w:t>
      </w:r>
      <w:r>
        <w:rPr>
          <w:rFonts w:hint="eastAsia"/>
          <w:lang w:val="en-US" w:eastAsia="zh-CN"/>
        </w:rPr>
        <w:t>s SCell.</w:t>
      </w:r>
      <w:bookmarkEnd w:id="1"/>
    </w:p>
    <w:p>
      <w:pPr>
        <w:spacing w:before="120" w:after="120"/>
      </w:pPr>
      <w:r>
        <w:rPr>
          <w:rFonts w:hint="eastAsia"/>
        </w:rPr>
        <w:t>In addition, focusing on not CD-SSB adaptation, it has been already supported in the scenario of Rel-19 NES-capable UE</w:t>
      </w:r>
      <w:r>
        <w:t>’</w:t>
      </w:r>
      <w:r>
        <w:rPr>
          <w:rFonts w:hint="eastAsia"/>
        </w:rPr>
        <w:t>s SCell (B2</w:t>
      </w:r>
      <w:r>
        <w:t>’</w:t>
      </w:r>
      <w:r>
        <w:rPr>
          <w:rFonts w:hint="eastAsia"/>
        </w:rPr>
        <w:t>), while it is still for further study in Rel-19 NES-capable UE</w:t>
      </w:r>
      <w:r>
        <w:t>’</w:t>
      </w:r>
      <w:r>
        <w:rPr>
          <w:rFonts w:hint="eastAsia"/>
        </w:rPr>
        <w:t>s PCell (A2). From our perspective, not CD-SSB adaptation should also be supported in Rel-19 NES-capable UE</w:t>
      </w:r>
      <w:r>
        <w:t>’</w:t>
      </w:r>
      <w:r>
        <w:rPr>
          <w:rFonts w:hint="eastAsia"/>
        </w:rPr>
        <w:t>s PCell (A2) in order to obtain NES gain. Given that the SCell acts as other UEs</w:t>
      </w:r>
      <w:r>
        <w:t>’</w:t>
      </w:r>
      <w:r>
        <w:rPr>
          <w:rFonts w:hint="eastAsia"/>
        </w:rPr>
        <w:t xml:space="preserve"> PCell, if not CD-SSB</w:t>
      </w:r>
      <w:r>
        <w:rPr>
          <w:rFonts w:hint="eastAsia"/>
          <w:lang w:val="en-US" w:eastAsia="zh-CN"/>
        </w:rPr>
        <w:t xml:space="preserve"> adaptation</w:t>
      </w:r>
      <w:r>
        <w:rPr>
          <w:rFonts w:hint="eastAsia"/>
        </w:rPr>
        <w:t xml:space="preserve"> is supported in SCell and not supported in PCell, from gNB</w:t>
      </w:r>
      <w:r>
        <w:t>’</w:t>
      </w:r>
      <w:r>
        <w:rPr>
          <w:rFonts w:hint="eastAsia"/>
        </w:rPr>
        <w:t>s perspective, gNB still adheres not CD-SSB configuration of PCell, irrespective of adaptation is applied or not. For example, the periodicity of not CD-SSB is set to 20ms and it is adapted to 40ms for obtaining NES gain in the SCell (maybe other UEs</w:t>
      </w:r>
      <w:r>
        <w:t>’</w:t>
      </w:r>
      <w:r>
        <w:rPr>
          <w:rFonts w:hint="eastAsia"/>
        </w:rPr>
        <w:t xml:space="preserve"> PCell), if not CD-SSB is adapted in SCell and not adapted in PCell, the gNB should transmits not CD-SSB with 20ms periodicity. Similarly, adaptation of not CD-SSB off sync raster should be considered in Rel-19 NES-capable UE</w:t>
      </w:r>
      <w:r>
        <w:t>’</w:t>
      </w:r>
      <w:r>
        <w:rPr>
          <w:rFonts w:hint="eastAsia"/>
        </w:rPr>
        <w:t>s PCell.</w:t>
      </w:r>
    </w:p>
    <w:p>
      <w:pPr>
        <w:pStyle w:val="63"/>
        <w:spacing w:before="120" w:after="120"/>
        <w:jc w:val="both"/>
        <w:rPr>
          <w:lang w:val="en-US" w:eastAsia="zh-CN"/>
        </w:rPr>
      </w:pPr>
      <w:bookmarkStart w:id="2" w:name="_Toc29636"/>
      <w:r>
        <w:rPr>
          <w:rFonts w:hint="eastAsia"/>
          <w:lang w:val="en-US" w:eastAsia="zh-CN"/>
        </w:rPr>
        <w:t>Support adaptation for not CD-SSB in the scenario for Rel-19 NES-capable UE</w:t>
      </w:r>
      <w:r>
        <w:rPr>
          <w:lang w:val="en-US" w:eastAsia="zh-CN"/>
        </w:rPr>
        <w:t>’</w:t>
      </w:r>
      <w:r>
        <w:rPr>
          <w:rFonts w:hint="eastAsia"/>
          <w:lang w:val="en-US" w:eastAsia="zh-CN"/>
        </w:rPr>
        <w:t>s PCell.</w:t>
      </w:r>
      <w:bookmarkEnd w:id="2"/>
    </w:p>
    <w:p>
      <w:pPr>
        <w:spacing w:before="120" w:after="120"/>
      </w:pPr>
      <w:r>
        <w:t>In</w:t>
      </w:r>
      <w:r>
        <w:rPr>
          <w:rFonts w:hint="eastAsia"/>
        </w:rPr>
        <w:t xml:space="preserve"> FL summary [3], there is </w:t>
      </w:r>
      <w:r>
        <w:t>one</w:t>
      </w:r>
      <w:r>
        <w:rPr>
          <w:rFonts w:hint="eastAsia"/>
        </w:rPr>
        <w:t xml:space="preserve"> </w:t>
      </w:r>
      <w:r>
        <w:t xml:space="preserve">more </w:t>
      </w:r>
      <w:r>
        <w:rPr>
          <w:rFonts w:hint="eastAsia"/>
        </w:rPr>
        <w:t>pending proposal for Rel-19 NES-capable UE in idle/inactive mode</w:t>
      </w:r>
      <w:r>
        <w:t xml:space="preserve">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highlight w:val="yellow"/>
              </w:rPr>
            </w:pPr>
            <w:r>
              <w:rPr>
                <w:rFonts w:hint="eastAsia"/>
                <w:highlight w:val="yellow"/>
              </w:rPr>
              <w:t>Proposal 2.1.1c-rev2 in R1-2407409</w:t>
            </w:r>
          </w:p>
          <w:p>
            <w:pPr>
              <w:spacing w:beforeLines="0" w:after="0" w:afterLines="0" w:line="240" w:lineRule="auto"/>
            </w:pPr>
            <w:r>
              <w:t>Study further the following for Rel-19 NES-capable UE in idle/inactive mode</w:t>
            </w:r>
          </w:p>
          <w:p>
            <w:pPr>
              <w:pStyle w:val="15"/>
              <w:numPr>
                <w:ilvl w:val="1"/>
                <w:numId w:val="5"/>
              </w:numPr>
              <w:spacing w:beforeLines="0" w:after="0" w:afterLines="0" w:line="240" w:lineRule="auto"/>
              <w:rPr>
                <w:rFonts w:ascii="Times New Roman" w:hAnsi="Times New Roman"/>
              </w:rPr>
            </w:pPr>
            <w:r>
              <w:rPr>
                <w:rFonts w:ascii="Times New Roman" w:hAnsi="Times New Roman"/>
              </w:rPr>
              <w:t xml:space="preserve">[Option 1: Adaptation of CD-SSB] </w:t>
            </w:r>
          </w:p>
          <w:p>
            <w:pPr>
              <w:pStyle w:val="15"/>
              <w:numPr>
                <w:ilvl w:val="1"/>
                <w:numId w:val="5"/>
              </w:numPr>
              <w:spacing w:beforeLines="0" w:after="0" w:afterLines="0" w:line="240" w:lineRule="auto"/>
              <w:rPr>
                <w:rFonts w:ascii="Times New Roman" w:hAnsi="Times New Roman"/>
              </w:rPr>
            </w:pPr>
            <w:r>
              <w:rPr>
                <w:rFonts w:ascii="Times New Roman" w:hAnsi="Times New Roman"/>
              </w:rPr>
              <w:t xml:space="preserve">Option 2: Adaptation of CD-SSB at least for a cell not providing initial cell selection </w:t>
            </w:r>
          </w:p>
          <w:p>
            <w:pPr>
              <w:pStyle w:val="15"/>
              <w:numPr>
                <w:ilvl w:val="2"/>
                <w:numId w:val="5"/>
              </w:numPr>
              <w:spacing w:beforeLines="0" w:after="0" w:afterLines="0" w:line="240" w:lineRule="auto"/>
              <w:jc w:val="left"/>
              <w:rPr>
                <w:rFonts w:ascii="Times New Roman" w:hAnsi="Times New Roman"/>
              </w:rPr>
            </w:pPr>
            <w:r>
              <w:rPr>
                <w:rFonts w:ascii="Times New Roman" w:hAnsi="Times New Roman"/>
              </w:rPr>
              <w:t>FFS: whether R19 NES-capable UE can use the cell for initial cell selection</w:t>
            </w:r>
          </w:p>
          <w:p>
            <w:pPr>
              <w:pStyle w:val="15"/>
              <w:numPr>
                <w:ilvl w:val="1"/>
                <w:numId w:val="5"/>
              </w:numPr>
              <w:spacing w:beforeLines="0" w:after="0" w:afterLines="0" w:line="240" w:lineRule="auto"/>
              <w:rPr>
                <w:rFonts w:ascii="Times New Roman" w:hAnsi="Times New Roman"/>
              </w:rPr>
            </w:pPr>
            <w:r>
              <w:rPr>
                <w:rFonts w:ascii="Times New Roman" w:hAnsi="Times New Roman"/>
              </w:rPr>
              <w:t>Option 3: Adaptation of SSB that is not CD-SSB at least for a cell that has large periodicity CD-SSB (e.g. periodicity greater than 20 msec)</w:t>
            </w:r>
          </w:p>
          <w:p>
            <w:pPr>
              <w:pStyle w:val="15"/>
              <w:numPr>
                <w:ilvl w:val="2"/>
                <w:numId w:val="5"/>
              </w:numPr>
              <w:spacing w:beforeLines="0" w:after="0" w:afterLines="0" w:line="240" w:lineRule="auto"/>
            </w:pPr>
            <w:r>
              <w:rPr>
                <w:rFonts w:ascii="Times New Roman" w:hAnsi="Times New Roman"/>
              </w:rPr>
              <w:t>No adaptation on CD-SSB</w:t>
            </w:r>
          </w:p>
          <w:p>
            <w:pPr>
              <w:pStyle w:val="15"/>
              <w:numPr>
                <w:ilvl w:val="1"/>
                <w:numId w:val="5"/>
              </w:numPr>
              <w:spacing w:beforeLines="0" w:after="0" w:afterLines="0" w:line="240" w:lineRule="auto"/>
            </w:pPr>
            <w:r>
              <w:rPr>
                <w:rFonts w:ascii="Times New Roman" w:hAnsi="Times New Roman"/>
              </w:rPr>
              <w:t>Option 4: No additional SSB adaptation mechanism is specified</w:t>
            </w:r>
          </w:p>
        </w:tc>
      </w:tr>
    </w:tbl>
    <w:p>
      <w:pPr>
        <w:spacing w:before="120" w:after="120"/>
      </w:pPr>
      <w:r>
        <w:rPr>
          <w:rFonts w:hint="eastAsia"/>
        </w:rPr>
        <w:t xml:space="preserve">In our opinion, for the scenarios that cell only with Rel-19 NES-capable UEs [4], which has been discussed in </w:t>
      </w:r>
      <w:r>
        <w:rPr>
          <w:rFonts w:hint="eastAsia"/>
          <w:bCs/>
        </w:rPr>
        <w:t>RAN#104 meeting</w:t>
      </w:r>
      <w:r>
        <w:rPr>
          <w:rFonts w:hint="eastAsia"/>
        </w:rPr>
        <w:t>, adaptation of SSB in time domain can be applied to these UEs in both idle/inactive mode and in connected mode. In this case, re-farming bands or new spectrum are dedicated to Rel-19 and beyond UEs, such as band n104</w:t>
      </w:r>
      <w:r>
        <w:t xml:space="preserve">. These new spectrum </w:t>
      </w:r>
      <w:r>
        <w:rPr>
          <w:rFonts w:hint="eastAsia"/>
        </w:rPr>
        <w:t xml:space="preserve">is </w:t>
      </w:r>
      <w:r>
        <w:t xml:space="preserve">not recognizable by legacy UEs, </w:t>
      </w:r>
      <w:r>
        <w:rPr>
          <w:rFonts w:hint="eastAsia"/>
        </w:rPr>
        <w:t>due to their inherent limitation in</w:t>
      </w:r>
      <w:r>
        <w:t xml:space="preserve"> detect</w:t>
      </w:r>
      <w:r>
        <w:rPr>
          <w:rFonts w:hint="eastAsia"/>
        </w:rPr>
        <w:t>ing</w:t>
      </w:r>
      <w:r>
        <w:t xml:space="preserve"> and utiliz</w:t>
      </w:r>
      <w:r>
        <w:rPr>
          <w:rFonts w:hint="eastAsia"/>
        </w:rPr>
        <w:t>ing</w:t>
      </w:r>
      <w:r>
        <w:t xml:space="preserve"> such frequency bands</w:t>
      </w:r>
      <w:r>
        <w:rPr>
          <w:rFonts w:hint="eastAsia"/>
        </w:rPr>
        <w:t>. Consequently, adaptation of CD-SSB for Rel-19 NES-capable UE in idle/inactive mode allows for greater flexibility in maximizing NES gain without the constraint of accommodating legacy UE compatibility.</w:t>
      </w:r>
    </w:p>
    <w:p>
      <w:pPr>
        <w:pStyle w:val="63"/>
        <w:spacing w:before="120" w:after="120"/>
        <w:jc w:val="both"/>
        <w:rPr>
          <w:lang w:val="en-US" w:eastAsia="zh-CN"/>
        </w:rPr>
      </w:pPr>
      <w:bookmarkStart w:id="3" w:name="_Toc13385"/>
      <w:bookmarkStart w:id="4" w:name="_Toc15033"/>
      <w:r>
        <w:rPr>
          <w:rFonts w:hint="eastAsia"/>
          <w:lang w:val="en-US" w:eastAsia="zh-CN"/>
        </w:rPr>
        <w:t>Support adaptation of CD-SSB for Rel-19 NES-capable UE in idle/inactive mode in the scenario that cell with only Rel-19 NES-capable UEs.</w:t>
      </w:r>
      <w:bookmarkEnd w:id="3"/>
      <w:bookmarkEnd w:id="4"/>
    </w:p>
    <w:p>
      <w:pPr>
        <w:pStyle w:val="3"/>
        <w:spacing w:before="120" w:after="120"/>
        <w:ind w:left="991" w:right="210" w:hanging="991" w:hangingChars="354"/>
        <w:rPr>
          <w:rFonts w:eastAsia="宋体"/>
        </w:rPr>
      </w:pPr>
      <w:r>
        <w:rPr>
          <w:rFonts w:hint="eastAsia" w:eastAsia="宋体"/>
        </w:rPr>
        <w:t xml:space="preserve">Potential schemes for adaptation of SSB in time domain </w:t>
      </w:r>
    </w:p>
    <w:p>
      <w:pPr>
        <w:spacing w:before="120" w:after="120"/>
      </w:pPr>
      <w:r>
        <w:rPr>
          <w:rFonts w:hint="eastAsia"/>
        </w:rPr>
        <w:t xml:space="preserve">In RAN1#117 meeting, there </w:t>
      </w:r>
      <w:r>
        <w:t>wa</w:t>
      </w:r>
      <w:r>
        <w:rPr>
          <w:rFonts w:hint="eastAsia"/>
        </w:rPr>
        <w:t>s an agreement for potential schemes for adaptation of SSB in time domain [5].</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rFonts w:eastAsia="Batang"/>
                <w:b/>
                <w:bCs/>
              </w:rPr>
            </w:pPr>
            <w:r>
              <w:rPr>
                <w:rFonts w:eastAsia="Batang"/>
                <w:b/>
                <w:bCs/>
                <w:highlight w:val="green"/>
              </w:rPr>
              <w:t>Agreement</w:t>
            </w:r>
          </w:p>
          <w:p>
            <w:pPr>
              <w:spacing w:beforeLines="0" w:after="0" w:afterLines="0" w:line="240" w:lineRule="auto"/>
              <w:rPr>
                <w:rFonts w:eastAsia="Batang"/>
              </w:rPr>
            </w:pPr>
            <w:r>
              <w:rPr>
                <w:rFonts w:eastAsia="Batang"/>
              </w:rPr>
              <w:t>For adaptation of</w:t>
            </w:r>
            <w:r>
              <w:rPr>
                <w:rFonts w:eastAsia="Batang"/>
                <w:color w:val="FF0000"/>
              </w:rPr>
              <w:t xml:space="preserve"> </w:t>
            </w:r>
            <w:r>
              <w:rPr>
                <w:rFonts w:eastAsia="Batang"/>
              </w:rPr>
              <w:t>SSB in time-domain, Option 1 is supported</w:t>
            </w:r>
          </w:p>
          <w:p>
            <w:pPr>
              <w:numPr>
                <w:ilvl w:val="0"/>
                <w:numId w:val="6"/>
              </w:numPr>
              <w:suppressAutoHyphens/>
              <w:spacing w:beforeLines="0" w:after="0" w:afterLines="0" w:line="240" w:lineRule="auto"/>
              <w:rPr>
                <w:rFonts w:eastAsia="Batang" w:cs="Times"/>
              </w:rPr>
            </w:pPr>
            <w:r>
              <w:rPr>
                <w:rFonts w:eastAsia="Batang"/>
              </w:rPr>
              <w:t xml:space="preserve">Option 1: </w:t>
            </w:r>
            <w:r>
              <w:rPr>
                <w:rFonts w:eastAsia="Batang" w:cs="Times"/>
              </w:rPr>
              <w:t>Adaptation of SSB burst periodicity using one or more SSB burst periodicity value(s)</w:t>
            </w:r>
          </w:p>
          <w:p>
            <w:pPr>
              <w:numPr>
                <w:ilvl w:val="0"/>
                <w:numId w:val="6"/>
              </w:numPr>
              <w:suppressAutoHyphens/>
              <w:spacing w:beforeLines="0" w:after="0" w:afterLines="0" w:line="240" w:lineRule="auto"/>
              <w:rPr>
                <w:rFonts w:eastAsia="Batang" w:cs="Times"/>
              </w:rPr>
            </w:pPr>
            <w:r>
              <w:rPr>
                <w:rFonts w:eastAsia="Batang" w:cs="Times"/>
                <w:lang w:eastAsia="ko-KR"/>
              </w:rPr>
              <w:t>Note: Using Option 2 to realize Option 1 is not precluded</w:t>
            </w:r>
          </w:p>
          <w:p>
            <w:pPr>
              <w:numPr>
                <w:ilvl w:val="1"/>
                <w:numId w:val="6"/>
              </w:numPr>
              <w:suppressAutoHyphens/>
              <w:spacing w:beforeLines="0" w:after="0" w:afterLines="0" w:line="240" w:lineRule="auto"/>
              <w:rPr>
                <w:rFonts w:eastAsia="Batang" w:cs="Times"/>
              </w:rPr>
            </w:pPr>
            <w:r>
              <w:rPr>
                <w:rFonts w:eastAsia="Batang"/>
              </w:rPr>
              <w:t xml:space="preserve">Option 2: </w:t>
            </w:r>
            <w:r>
              <w:rPr>
                <w:rFonts w:eastAsia="Batang" w:cs="Times"/>
              </w:rPr>
              <w:t>Adaptation based on two SSB configurations [where up to two configurations can be active]</w:t>
            </w:r>
          </w:p>
          <w:p>
            <w:pPr>
              <w:numPr>
                <w:ilvl w:val="2"/>
                <w:numId w:val="6"/>
              </w:numPr>
              <w:suppressAutoHyphens/>
              <w:spacing w:beforeLines="0" w:after="0" w:afterLines="0" w:line="240" w:lineRule="auto"/>
              <w:rPr>
                <w:rFonts w:eastAsia="Batang" w:cs="Times"/>
              </w:rPr>
            </w:pPr>
            <w:r>
              <w:rPr>
                <w:rFonts w:eastAsia="Batang" w:cs="Times"/>
              </w:rPr>
              <w:t xml:space="preserve">FFS: details of the differences between the two SSB configurations, e.g. </w:t>
            </w:r>
            <w:r>
              <w:rPr>
                <w:rFonts w:eastAsia="Batang"/>
              </w:rPr>
              <w:t>two different periodicities</w:t>
            </w:r>
          </w:p>
          <w:p>
            <w:pPr>
              <w:numPr>
                <w:ilvl w:val="0"/>
                <w:numId w:val="6"/>
              </w:numPr>
              <w:suppressAutoHyphens/>
              <w:spacing w:beforeLines="0" w:after="0" w:afterLines="0" w:line="240" w:lineRule="auto"/>
            </w:pPr>
            <w:r>
              <w:rPr>
                <w:rFonts w:eastAsia="Batang" w:cs="Times"/>
              </w:rPr>
              <w:t xml:space="preserve">FFS: Details including applicable scenarios </w:t>
            </w:r>
          </w:p>
          <w:p>
            <w:pPr>
              <w:numPr>
                <w:ilvl w:val="0"/>
                <w:numId w:val="6"/>
              </w:numPr>
              <w:suppressAutoHyphens/>
              <w:spacing w:beforeLines="0" w:after="0" w:afterLines="0" w:line="240" w:lineRule="auto"/>
            </w:pPr>
            <w:r>
              <w:rPr>
                <w:rFonts w:eastAsia="Batang" w:cs="Times"/>
              </w:rPr>
              <w:t>FFS: Support of Cell DTX for connected mode UEs for SSB</w:t>
            </w:r>
          </w:p>
        </w:tc>
      </w:tr>
    </w:tbl>
    <w:p>
      <w:pPr>
        <w:spacing w:before="120" w:after="120"/>
      </w:pPr>
      <w:r>
        <w:rPr>
          <w:rFonts w:hint="eastAsia"/>
        </w:rPr>
        <w:t xml:space="preserve">From </w:t>
      </w:r>
      <w:r>
        <w:t>our</w:t>
      </w:r>
      <w:r>
        <w:rPr>
          <w:rFonts w:hint="eastAsia"/>
        </w:rPr>
        <w:t xml:space="preserve"> perspective, the SSB burst periodicity adaptation based on two periodicities in one SSB configuration (i.e., Option 1) may be the most straightforward approach for adaptation of SSB in time domain. However, adaptation </w:t>
      </w:r>
      <w:r>
        <w:t>between</w:t>
      </w:r>
      <w:r>
        <w:rPr>
          <w:rFonts w:hint="eastAsia"/>
        </w:rPr>
        <w:t xml:space="preserve"> two SSB configurations (i.e., Option 2) provides </w:t>
      </w:r>
      <w:r>
        <w:t xml:space="preserve">more </w:t>
      </w:r>
      <w:r>
        <w:rPr>
          <w:rFonts w:hint="eastAsia"/>
        </w:rPr>
        <w:t xml:space="preserve">flexibility for adaptation of SSB in time domain. </w:t>
      </w:r>
      <w:r>
        <w:t>The reason is that f</w:t>
      </w:r>
      <w:r>
        <w:rPr>
          <w:rFonts w:hint="eastAsia"/>
        </w:rPr>
        <w:t xml:space="preserve">or one thing, it can adapt other parameters (e.g., SSB position in SSB burst) besides SSB burst periodicity. For another, </w:t>
      </w:r>
      <w:r>
        <w:t>for</w:t>
      </w:r>
      <w:r>
        <w:rPr>
          <w:rFonts w:hint="eastAsia"/>
        </w:rPr>
        <w:t xml:space="preserve"> Rel-19 NES-capable UEs</w:t>
      </w:r>
      <w:r>
        <w:t>’</w:t>
      </w:r>
      <w:r>
        <w:rPr>
          <w:rFonts w:hint="eastAsia"/>
        </w:rPr>
        <w:t xml:space="preserve"> SCell, the adaptation of SSB in time domain is similar to triggering on-demand SSB in the scenario </w:t>
      </w:r>
      <w:r>
        <w:t>where</w:t>
      </w:r>
      <w:r>
        <w:rPr>
          <w:rFonts w:hint="eastAsia"/>
        </w:rPr>
        <w:t xml:space="preserve"> there is always-on SSB transmission as discussed in AI 9.5.1. </w:t>
      </w:r>
      <w:r>
        <w:t>Thus</w:t>
      </w:r>
      <w:r>
        <w:rPr>
          <w:rFonts w:hint="eastAsia"/>
        </w:rPr>
        <w:t xml:space="preserve">, adaptation based on two SSB configuration may </w:t>
      </w:r>
      <w:r>
        <w:t xml:space="preserve">turn to </w:t>
      </w:r>
      <w:r>
        <w:rPr>
          <w:rFonts w:hint="eastAsia"/>
        </w:rPr>
        <w:t>be a unified solution for both agenda items.</w:t>
      </w:r>
    </w:p>
    <w:p>
      <w:pPr>
        <w:pStyle w:val="63"/>
        <w:spacing w:before="120" w:after="120"/>
        <w:jc w:val="both"/>
        <w:rPr>
          <w:lang w:val="en-US" w:eastAsia="zh-CN"/>
        </w:rPr>
      </w:pPr>
      <w:bookmarkStart w:id="5" w:name="_Toc14814"/>
      <w:r>
        <w:rPr>
          <w:lang w:val="en-US" w:eastAsia="zh-CN"/>
        </w:rPr>
        <w:t>Support to s</w:t>
      </w:r>
      <w:r>
        <w:rPr>
          <w:rFonts w:hint="eastAsia"/>
          <w:lang w:val="en-US" w:eastAsia="zh-CN"/>
        </w:rPr>
        <w:t>pecify Option 2: Adaptation based on two SSB configurations, for adaptation of SSB in time domain.</w:t>
      </w:r>
      <w:bookmarkEnd w:id="5"/>
    </w:p>
    <w:p>
      <w:pPr>
        <w:spacing w:before="120" w:after="120"/>
      </w:pPr>
      <w:r>
        <w:rPr>
          <w:rFonts w:hint="eastAsia"/>
        </w:rPr>
        <w:t xml:space="preserve">For mechanism for adaptation of SSB in time domain, one approach involves using system information for notification. However, system information can be only updated per modification period, which is multiple of paging cycles, leading to large latency when updates are needed frequently. Therefore, it is beneficial to explore approaches that facilitate a rapid update of the SSB periodicity. For example, dynamic adaptation of SSB burst periodicity based on DCI signaling, including e.g., paging DCI, DCI format 2_7, DCI format 2_9 or new DCI format should be considered for this purpose.  </w:t>
      </w:r>
    </w:p>
    <w:p>
      <w:pPr>
        <w:spacing w:before="120" w:after="120"/>
      </w:pPr>
      <w:r>
        <w:rPr>
          <w:rFonts w:hint="eastAsia"/>
        </w:rPr>
        <w:t>To this end, we have the following proposals:</w:t>
      </w:r>
    </w:p>
    <w:p>
      <w:pPr>
        <w:pStyle w:val="63"/>
        <w:spacing w:before="120" w:after="120"/>
        <w:jc w:val="both"/>
        <w:rPr>
          <w:lang w:val="en-US" w:eastAsia="zh-CN"/>
        </w:rPr>
      </w:pPr>
      <w:bookmarkStart w:id="6" w:name="_Toc13906"/>
      <w:r>
        <w:rPr>
          <w:lang w:val="en-US" w:eastAsia="zh-CN"/>
        </w:rPr>
        <w:t>Support to s</w:t>
      </w:r>
      <w:r>
        <w:rPr>
          <w:rFonts w:hint="eastAsia"/>
          <w:lang w:val="en-US" w:eastAsia="zh-CN"/>
        </w:rPr>
        <w:t>pecify dynamic signaling including e.g., paging DCI, DCI format 2_7, DCI format 2_9 or ne</w:t>
      </w:r>
      <w:r>
        <w:rPr>
          <w:lang w:val="en-US" w:eastAsia="zh-CN"/>
        </w:rPr>
        <w:t xml:space="preserve">w </w:t>
      </w:r>
      <w:r>
        <w:rPr>
          <w:rFonts w:hint="eastAsia"/>
          <w:lang w:val="en-US" w:eastAsia="zh-CN"/>
        </w:rPr>
        <w:t>DCI format, for adaptation of SSB in time domain.</w:t>
      </w:r>
      <w:bookmarkEnd w:id="6"/>
    </w:p>
    <w:p>
      <w:pPr>
        <w:spacing w:before="120" w:after="120"/>
      </w:pPr>
      <w:r>
        <w:rPr>
          <w:rFonts w:hint="eastAsia"/>
        </w:rPr>
        <w:t>Besides,</w:t>
      </w:r>
      <w:r>
        <w:t xml:space="preserve"> details of existing DCI format are analyzed in section 3.1, how to indicate adaptation of common signal can be discussed there, and finally one or two proper DCI format(s) would be chosen.</w:t>
      </w:r>
    </w:p>
    <w:p>
      <w:pPr>
        <w:pStyle w:val="2"/>
        <w:spacing w:before="120" w:after="120"/>
        <w:ind w:left="0"/>
      </w:pPr>
      <w:r>
        <w:rPr>
          <w:rFonts w:hint="eastAsia" w:eastAsia="宋体"/>
        </w:rPr>
        <w:t xml:space="preserve">Adaptation of PRACH in time domain  </w:t>
      </w:r>
      <w:r>
        <w:rPr>
          <w:rFonts w:eastAsia="宋体"/>
        </w:rPr>
        <w:t xml:space="preserve"> </w:t>
      </w:r>
      <w:bookmarkStart w:id="7" w:name="_Toc525"/>
      <w:bookmarkEnd w:id="7"/>
      <w:bookmarkStart w:id="8" w:name="_Toc29400"/>
      <w:bookmarkEnd w:id="8"/>
      <w:bookmarkStart w:id="9" w:name="_Toc82"/>
      <w:bookmarkEnd w:id="9"/>
      <w:bookmarkStart w:id="10" w:name="_Toc29089"/>
      <w:bookmarkEnd w:id="10"/>
    </w:p>
    <w:p>
      <w:pPr>
        <w:pStyle w:val="3"/>
        <w:spacing w:before="120" w:after="120"/>
        <w:ind w:left="991" w:right="210" w:hanging="991" w:hangingChars="354"/>
        <w:rPr>
          <w:rFonts w:eastAsia="宋体"/>
        </w:rPr>
      </w:pPr>
      <w:r>
        <w:rPr>
          <w:rFonts w:hint="eastAsia" w:eastAsia="宋体"/>
        </w:rPr>
        <w:t>Potential schemes for adaptation of PRACH in time domain</w:t>
      </w:r>
    </w:p>
    <w:p>
      <w:pPr>
        <w:spacing w:before="120" w:after="120"/>
      </w:pPr>
      <w:r>
        <w:rPr>
          <w:rFonts w:hint="eastAsia"/>
        </w:rPr>
        <w:t>In RAN1#118 meeting, there are several agreements about the potential schemes for adaptation of PRACH in time domain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rFonts w:cs="Times"/>
                <w:b/>
                <w:bCs/>
                <w:highlight w:val="green"/>
              </w:rPr>
            </w:pPr>
            <w:r>
              <w:rPr>
                <w:rFonts w:cs="Times"/>
                <w:b/>
                <w:bCs/>
                <w:highlight w:val="green"/>
              </w:rPr>
              <w:t>Agreement</w:t>
            </w:r>
          </w:p>
          <w:p>
            <w:pPr>
              <w:pStyle w:val="15"/>
              <w:spacing w:before="120"/>
              <w:jc w:val="left"/>
              <w:rPr>
                <w:rFonts w:ascii="Times New Roman" w:hAnsi="Times New Roman"/>
                <w:lang w:eastAsia="en-US"/>
              </w:rPr>
            </w:pPr>
            <w:r>
              <w:rPr>
                <w:rFonts w:ascii="Times New Roman" w:hAnsi="Times New Roman"/>
                <w:lang w:eastAsia="en-US"/>
              </w:rPr>
              <w:t>For adaptation of PRACH in time-domain, select at least one from the following alternatives for configuration of the additional PRACH resources</w:t>
            </w:r>
          </w:p>
          <w:p>
            <w:pPr>
              <w:numPr>
                <w:ilvl w:val="0"/>
                <w:numId w:val="7"/>
              </w:numPr>
              <w:spacing w:before="120" w:after="120"/>
              <w:contextualSpacing/>
            </w:pPr>
            <w:r>
              <w:t xml:space="preserve">Alt 1: The PRACH configuration index for the additional PRACH resources is same as the PRACH configuration index for the legacy resources and </w:t>
            </w:r>
          </w:p>
          <w:p>
            <w:pPr>
              <w:numPr>
                <w:ilvl w:val="1"/>
                <w:numId w:val="7"/>
              </w:numPr>
              <w:spacing w:before="120" w:after="120"/>
              <w:contextualSpacing/>
            </w:pPr>
            <w:r>
              <w:t>Discuss further additional mechanism(s) for determining the additional PRACH resources, e.g.</w:t>
            </w:r>
          </w:p>
          <w:p>
            <w:pPr>
              <w:numPr>
                <w:ilvl w:val="2"/>
                <w:numId w:val="7"/>
              </w:numPr>
              <w:spacing w:before="120" w:after="120"/>
              <w:contextualSpacing/>
            </w:pPr>
            <w:r>
              <w:t xml:space="preserve">Opt 1-1: Scaled/adjusted PRACH configuration period </w:t>
            </w:r>
          </w:p>
          <w:p>
            <w:pPr>
              <w:numPr>
                <w:ilvl w:val="2"/>
                <w:numId w:val="7"/>
              </w:numPr>
              <w:spacing w:before="120" w:after="120"/>
              <w:contextualSpacing/>
            </w:pPr>
            <w:r>
              <w:t>Opt 1-2: Adjusting the parameters (e.g., (x, y) value and slot number) of the PRACH configuration</w:t>
            </w:r>
          </w:p>
          <w:p>
            <w:pPr>
              <w:numPr>
                <w:ilvl w:val="2"/>
                <w:numId w:val="7"/>
              </w:numPr>
              <w:spacing w:before="120" w:after="120"/>
              <w:contextualSpacing/>
            </w:pPr>
            <w:r>
              <w:t>Opt 1-3: Muting/masking ROs</w:t>
            </w:r>
          </w:p>
          <w:p>
            <w:pPr>
              <w:numPr>
                <w:ilvl w:val="2"/>
                <w:numId w:val="7"/>
              </w:numPr>
              <w:spacing w:before="120" w:after="120"/>
              <w:contextualSpacing/>
            </w:pPr>
            <w:r>
              <w:t>Opt 1-4: additional timing offset(s)</w:t>
            </w:r>
          </w:p>
          <w:p>
            <w:pPr>
              <w:numPr>
                <w:ilvl w:val="0"/>
                <w:numId w:val="7"/>
              </w:numPr>
              <w:spacing w:before="120" w:after="120"/>
              <w:contextualSpacing/>
            </w:pPr>
            <w:r>
              <w:t xml:space="preserve">Alt 2: The PRACH configuration index for the additional PRACH resources is different from the PRACH configuration index for the legacy resources, </w:t>
            </w:r>
          </w:p>
          <w:p>
            <w:pPr>
              <w:numPr>
                <w:ilvl w:val="1"/>
                <w:numId w:val="7"/>
              </w:numPr>
              <w:spacing w:before="120" w:after="120"/>
              <w:contextualSpacing/>
            </w:pPr>
            <w:r>
              <w:t>Discuss further additional mechanism(s) for determining the additional PRACH resources, e.g.</w:t>
            </w:r>
          </w:p>
          <w:p>
            <w:pPr>
              <w:numPr>
                <w:ilvl w:val="2"/>
                <w:numId w:val="7"/>
              </w:numPr>
              <w:spacing w:before="120" w:after="120"/>
              <w:contextualSpacing/>
            </w:pPr>
            <w:r>
              <w:t>Opt 2-1: Muting/masking ROs (e.g. for the case when the PRACH configuration index for the additional PRACH resources contains legacy resources)</w:t>
            </w:r>
          </w:p>
          <w:p>
            <w:pPr>
              <w:numPr>
                <w:ilvl w:val="2"/>
                <w:numId w:val="7"/>
              </w:numPr>
              <w:spacing w:before="120" w:after="120"/>
              <w:contextualSpacing/>
            </w:pPr>
            <w:r>
              <w:t>Opt 2-2: Additional timing offset(s)</w:t>
            </w:r>
          </w:p>
          <w:p>
            <w:pPr>
              <w:numPr>
                <w:ilvl w:val="0"/>
                <w:numId w:val="7"/>
              </w:numPr>
              <w:spacing w:before="120" w:after="120"/>
              <w:contextualSpacing/>
            </w:pPr>
            <w:r>
              <w:t>FFS: Additional parameters to facilitate condensed/cluster RACH resources in time-domain (including whether needed)</w:t>
            </w:r>
          </w:p>
          <w:p>
            <w:pPr>
              <w:numPr>
                <w:ilvl w:val="0"/>
                <w:numId w:val="7"/>
              </w:numPr>
              <w:spacing w:before="120" w:after="120"/>
              <w:contextualSpacing/>
              <w:rPr>
                <w:szCs w:val="21"/>
              </w:rPr>
            </w:pPr>
            <w:r>
              <w:t>FFS: Additional frequency domain parameter(s) (e.g., freq. starting offset)</w:t>
            </w:r>
          </w:p>
        </w:tc>
      </w:tr>
    </w:tbl>
    <w:p>
      <w:pPr>
        <w:spacing w:before="120" w:after="120"/>
      </w:pPr>
      <w:r>
        <w:rPr>
          <w:rFonts w:hint="eastAsia"/>
        </w:rPr>
        <w:t xml:space="preserve">In our opinion, </w:t>
      </w:r>
      <w:r>
        <w:t xml:space="preserve">a </w:t>
      </w:r>
      <w:r>
        <w:rPr>
          <w:rFonts w:hint="eastAsia"/>
        </w:rPr>
        <w:t xml:space="preserve">straightforward approach is to configure two PRACH configuration indexes by a semi-static signaling, where one PRACH configuration index is configured for the resources for legacy UEs while another PRACH configuration index is configured for the additional PRACH resources (i.e., Alt 2 </w:t>
      </w:r>
      <w:r>
        <w:t>without the sub-bullets</w:t>
      </w:r>
      <w:r>
        <w:rPr>
          <w:rFonts w:hint="eastAsia"/>
        </w:rPr>
        <w:t>). The adapt</w:t>
      </w:r>
      <w:r>
        <w:t>at</w:t>
      </w:r>
      <w:r>
        <w:rPr>
          <w:rFonts w:hint="eastAsia"/>
        </w:rPr>
        <w:t xml:space="preserve">ion signaling would indicate whether additional PRACH resources are available or not. </w:t>
      </w:r>
    </w:p>
    <w:p>
      <w:pPr>
        <w:spacing w:before="120" w:after="120"/>
      </w:pPr>
      <w:r>
        <w:rPr>
          <w:rFonts w:hint="eastAsia"/>
        </w:rPr>
        <w:t xml:space="preserve">In this case, the PRACH configuration indexes should be different from the PRACH configuration index for the resources for legacy UE </w:t>
      </w:r>
      <w:r>
        <w:t>if there is no additional frequency domain parameters</w:t>
      </w:r>
      <w:r>
        <w:rPr>
          <w:rFonts w:hint="eastAsia"/>
        </w:rPr>
        <w:t xml:space="preserve">. </w:t>
      </w:r>
    </w:p>
    <w:p>
      <w:pPr>
        <w:pStyle w:val="63"/>
        <w:spacing w:before="120" w:after="120"/>
        <w:jc w:val="both"/>
        <w:rPr>
          <w:lang w:val="en-US" w:eastAsia="zh-CN"/>
        </w:rPr>
      </w:pPr>
      <w:bookmarkStart w:id="11" w:name="_Toc12672"/>
      <w:r>
        <w:rPr>
          <w:rFonts w:hint="eastAsia"/>
          <w:lang w:val="en-US" w:eastAsia="zh-CN"/>
        </w:rPr>
        <w:t>Support Alt 2: The PRACH configuration index for the additional PRACH resources is different from the PRACH configuration index for the legacy resources.</w:t>
      </w:r>
      <w:bookmarkEnd w:id="11"/>
      <w:r>
        <w:rPr>
          <w:rFonts w:hint="eastAsia"/>
          <w:lang w:val="en-US" w:eastAsia="zh-CN"/>
        </w:rPr>
        <w:t xml:space="preserve"> </w:t>
      </w:r>
    </w:p>
    <w:p>
      <w:pPr>
        <w:spacing w:before="120" w:after="120"/>
      </w:pPr>
      <w:r>
        <w:rPr>
          <w:rFonts w:hint="eastAsia"/>
        </w:rPr>
        <w:t xml:space="preserve">When considering the PRACH configuration index is same as the PRACH configuration index for the legacy PRACH resources, it becomes necessary to introduce additional parameter(s) for determining the additional PRACH resources. However, some approaches, such as scaled/adjusted PRACH configuration period, additional timing offset and adjusting parameters of the PRACH, ultimately yield the same outcome of PRACH resources pattern </w:t>
      </w:r>
      <w:r>
        <w:t xml:space="preserve">in time domain which can be </w:t>
      </w:r>
      <w:r>
        <w:rPr>
          <w:rFonts w:hint="eastAsia"/>
        </w:rPr>
        <w:t xml:space="preserve">achieved by </w:t>
      </w:r>
      <w:r>
        <w:t>Alt 2, and</w:t>
      </w:r>
      <w:r>
        <w:rPr>
          <w:rFonts w:hint="eastAsia"/>
        </w:rPr>
        <w:t xml:space="preserve"> </w:t>
      </w:r>
      <w:r>
        <w:t>no additional benefit of Alt 1 over Alt 2 is observed</w:t>
      </w:r>
      <w:r>
        <w:rPr>
          <w:rFonts w:hint="eastAsia"/>
        </w:rPr>
        <w:t>,</w:t>
      </w:r>
      <w:r>
        <w:t xml:space="preserve"> </w:t>
      </w:r>
      <w:r>
        <w:rPr>
          <w:rFonts w:hint="eastAsia"/>
        </w:rPr>
        <w:t>so</w:t>
      </w:r>
      <w:r>
        <w:t xml:space="preserve"> </w:t>
      </w:r>
      <w:r>
        <w:rPr>
          <w:rFonts w:hint="eastAsia"/>
        </w:rPr>
        <w:t>this kind of approaches</w:t>
      </w:r>
      <w:r>
        <w:t xml:space="preserve"> with additional parameters are not well justified</w:t>
      </w:r>
      <w:r>
        <w:rPr>
          <w:rFonts w:hint="eastAsia"/>
        </w:rPr>
        <w:t>.</w:t>
      </w:r>
    </w:p>
    <w:p>
      <w:pPr>
        <w:pStyle w:val="60"/>
        <w:spacing w:before="120" w:after="120"/>
        <w:jc w:val="both"/>
        <w:rPr>
          <w:lang w:val="en-US" w:eastAsia="zh-CN"/>
        </w:rPr>
      </w:pPr>
      <w:bookmarkStart w:id="12" w:name="_Toc15331"/>
      <w:r>
        <w:rPr>
          <w:lang w:val="en-US" w:eastAsia="zh-CN"/>
        </w:rPr>
        <w:t>For Alt 1, t</w:t>
      </w:r>
      <w:r>
        <w:rPr>
          <w:rFonts w:hint="eastAsia"/>
          <w:lang w:val="en-US" w:eastAsia="zh-CN"/>
        </w:rPr>
        <w:t>he outcome of configured PRACH resources achieved by additional parameter(s) is similar to that achieved by approaches of two different PRACH configuration indexes for NES-capable UEs and legacy UEs, respectively.</w:t>
      </w:r>
      <w:bookmarkEnd w:id="12"/>
      <w:r>
        <w:rPr>
          <w:rFonts w:hint="eastAsia"/>
          <w:lang w:val="en-US" w:eastAsia="zh-CN"/>
        </w:rPr>
        <w:t xml:space="preserve">  </w:t>
      </w:r>
    </w:p>
    <w:p>
      <w:pPr>
        <w:spacing w:before="120" w:after="120"/>
      </w:pPr>
      <w:r>
        <w:t>As for</w:t>
      </w:r>
      <w:r>
        <w:rPr>
          <w:rFonts w:hint="eastAsia"/>
        </w:rPr>
        <w:t xml:space="preserve"> muting/masking ROs, </w:t>
      </w:r>
      <w:r>
        <w:t>it may have</w:t>
      </w:r>
      <w:r>
        <w:rPr>
          <w:rFonts w:hint="eastAsia"/>
        </w:rPr>
        <w:t xml:space="preserve"> a negative impact on legacy UE, since legacy UEs are not capable of knowing which ROs are muted. </w:t>
      </w:r>
      <w:r>
        <w:t>Thus extra limitation/spec impact would be added along with this approach.</w:t>
      </w:r>
    </w:p>
    <w:p>
      <w:pPr>
        <w:spacing w:before="120" w:after="120"/>
      </w:pPr>
      <w:r>
        <w:rPr>
          <w:rFonts w:hint="eastAsia"/>
        </w:rPr>
        <w:t>From our perspective, one feasible way for the case that same PRACH configuration index for both legacy UEs and NES-capable UEs involves the introduction of an additional parameter, where this additional parameter is utilized to facilitate condensed/cluster PRACH resources in time domain. For example, in Figure 4, the additional parameter would be a number of consecutive system frames for the PRACH configuration within a PRACH configuration period. This pattern of PRACH resources is capable of balancing the NES gain and the access delay without legacy UE impact.</w:t>
      </w:r>
    </w:p>
    <w:p>
      <w:pPr>
        <w:spacing w:before="120" w:after="120"/>
        <w:jc w:val="center"/>
      </w:pPr>
      <w:r>
        <w:drawing>
          <wp:inline distT="0" distB="0" distL="114300" distR="114300">
            <wp:extent cx="5381625" cy="1545590"/>
            <wp:effectExtent l="0" t="0" r="9525" b="1651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2"/>
                    <a:stretch>
                      <a:fillRect/>
                    </a:stretch>
                  </pic:blipFill>
                  <pic:spPr>
                    <a:xfrm>
                      <a:off x="0" y="0"/>
                      <a:ext cx="5398114" cy="1550308"/>
                    </a:xfrm>
                    <a:prstGeom prst="rect">
                      <a:avLst/>
                    </a:prstGeom>
                    <a:noFill/>
                    <a:ln>
                      <a:noFill/>
                    </a:ln>
                  </pic:spPr>
                </pic:pic>
              </a:graphicData>
            </a:graphic>
          </wp:inline>
        </w:drawing>
      </w:r>
    </w:p>
    <w:p>
      <w:pPr>
        <w:spacing w:before="120" w:after="120"/>
        <w:jc w:val="center"/>
      </w:pPr>
      <w:r>
        <w:rPr>
          <w:rFonts w:hint="eastAsia"/>
        </w:rPr>
        <w:t xml:space="preserve">Figure 1 </w:t>
      </w:r>
      <w:r>
        <w:rPr>
          <w:rFonts w:hint="eastAsia" w:eastAsia="Batang"/>
          <w:szCs w:val="24"/>
        </w:rPr>
        <w:t>C</w:t>
      </w:r>
      <w:r>
        <w:rPr>
          <w:rFonts w:eastAsia="Batang"/>
          <w:szCs w:val="24"/>
          <w:lang w:val="en-GB"/>
        </w:rPr>
        <w:t>ondensed/</w:t>
      </w:r>
      <w:r>
        <w:rPr>
          <w:rFonts w:hint="eastAsia" w:eastAsia="Batang"/>
          <w:szCs w:val="24"/>
        </w:rPr>
        <w:t>C</w:t>
      </w:r>
      <w:r>
        <w:rPr>
          <w:rFonts w:eastAsia="Batang"/>
          <w:szCs w:val="24"/>
          <w:lang w:val="en-GB"/>
        </w:rPr>
        <w:t>luster</w:t>
      </w:r>
      <w:r>
        <w:rPr>
          <w:rFonts w:hint="eastAsia" w:eastAsia="Batang"/>
          <w:szCs w:val="24"/>
        </w:rPr>
        <w:t xml:space="preserve"> </w:t>
      </w:r>
      <w:r>
        <w:rPr>
          <w:rFonts w:hint="eastAsia"/>
        </w:rPr>
        <w:t>PRACH configuration for network energy saving.</w:t>
      </w:r>
    </w:p>
    <w:p>
      <w:pPr>
        <w:pStyle w:val="63"/>
        <w:spacing w:before="120" w:after="120"/>
        <w:jc w:val="both"/>
        <w:rPr>
          <w:lang w:val="en-US" w:eastAsia="zh-CN"/>
        </w:rPr>
      </w:pPr>
      <w:r>
        <w:rPr>
          <w:rFonts w:hint="eastAsia"/>
          <w:lang w:val="en-US" w:eastAsia="zh-CN"/>
        </w:rPr>
        <w:t xml:space="preserve"> </w:t>
      </w:r>
      <w:r>
        <w:rPr>
          <w:rFonts w:hint="eastAsia"/>
          <w:lang w:val="en-US" w:eastAsia="zh-CN"/>
        </w:rPr>
        <w:tab/>
      </w:r>
      <w:bookmarkStart w:id="13" w:name="_Toc5061"/>
      <w:r>
        <w:rPr>
          <w:rFonts w:hint="eastAsia"/>
          <w:lang w:val="en-US" w:eastAsia="zh-CN"/>
        </w:rPr>
        <w:t xml:space="preserve">Support to specify </w:t>
      </w:r>
      <w:r>
        <w:rPr>
          <w:rFonts w:hint="eastAsia" w:eastAsia="Batang"/>
          <w:szCs w:val="24"/>
          <w:lang w:val="en-US" w:eastAsia="zh-CN"/>
        </w:rPr>
        <w:t>a</w:t>
      </w:r>
      <w:r>
        <w:rPr>
          <w:rFonts w:eastAsia="Batang"/>
          <w:szCs w:val="24"/>
          <w:lang w:eastAsia="zh-CN"/>
        </w:rPr>
        <w:t>dditional parameter</w:t>
      </w:r>
      <w:r>
        <w:rPr>
          <w:rFonts w:hint="eastAsia" w:eastAsia="Batang"/>
          <w:szCs w:val="24"/>
          <w:lang w:val="en-US" w:eastAsia="zh-CN"/>
        </w:rPr>
        <w:t>(</w:t>
      </w:r>
      <w:r>
        <w:rPr>
          <w:rFonts w:eastAsia="Batang"/>
          <w:szCs w:val="24"/>
          <w:lang w:eastAsia="zh-CN"/>
        </w:rPr>
        <w:t>s</w:t>
      </w:r>
      <w:r>
        <w:rPr>
          <w:rFonts w:hint="eastAsia" w:eastAsia="Batang"/>
          <w:szCs w:val="24"/>
          <w:lang w:val="en-US" w:eastAsia="zh-CN"/>
        </w:rPr>
        <w:t>)</w:t>
      </w:r>
      <w:r>
        <w:rPr>
          <w:rFonts w:eastAsia="Batang"/>
          <w:szCs w:val="24"/>
          <w:lang w:eastAsia="zh-CN"/>
        </w:rPr>
        <w:t xml:space="preserve"> to facilitate condensed/cluster RACH resources in time-domain</w:t>
      </w:r>
      <w:r>
        <w:rPr>
          <w:rFonts w:hint="eastAsia" w:eastAsia="Batang"/>
          <w:szCs w:val="24"/>
          <w:lang w:val="en-US" w:eastAsia="zh-CN"/>
        </w:rPr>
        <w:t>, e.g., an additional parameter providing a consecutive SFNs for PRACH occasions.</w:t>
      </w:r>
      <w:bookmarkEnd w:id="13"/>
      <w:r>
        <w:rPr>
          <w:rFonts w:hint="eastAsia"/>
          <w:lang w:val="en-US" w:eastAsia="zh-CN"/>
        </w:rPr>
        <w:t xml:space="preserve"> </w:t>
      </w:r>
    </w:p>
    <w:p>
      <w:pPr>
        <w:spacing w:before="120" w:after="120"/>
      </w:pPr>
      <w:r>
        <w:rPr>
          <w:rFonts w:hint="eastAsia"/>
        </w:rPr>
        <w:t>In the aspect of signaling for PRACH adaptation in time domain, at least DCI-based adaptation of PRACH configuration is agreed in RAN1#118 meeting, which is shown as follows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spacing w:beforeLines="0" w:after="0" w:afterLines="0" w:line="240" w:lineRule="auto"/>
              <w:rPr>
                <w:rFonts w:cs="Times"/>
                <w:b/>
                <w:bCs/>
                <w:szCs w:val="21"/>
                <w:highlight w:val="green"/>
              </w:rPr>
            </w:pPr>
            <w:r>
              <w:rPr>
                <w:rFonts w:cs="Times"/>
                <w:b/>
                <w:bCs/>
                <w:szCs w:val="21"/>
                <w:highlight w:val="green"/>
              </w:rPr>
              <w:t>Agreement</w:t>
            </w:r>
          </w:p>
          <w:p>
            <w:pPr>
              <w:spacing w:beforeLines="0" w:after="0" w:afterLines="0" w:line="240" w:lineRule="auto"/>
              <w:rPr>
                <w:szCs w:val="21"/>
              </w:rPr>
            </w:pPr>
            <w:r>
              <w:rPr>
                <w:szCs w:val="21"/>
              </w:rPr>
              <w:t xml:space="preserve">For the adaptation mechanism for additional PRACH resources (for CONNECTED mode UE and IDLE/INACTIVE mode UE), </w:t>
            </w:r>
          </w:p>
          <w:p>
            <w:pPr>
              <w:pStyle w:val="40"/>
              <w:numPr>
                <w:ilvl w:val="0"/>
                <w:numId w:val="8"/>
              </w:numPr>
              <w:overflowPunct w:val="0"/>
              <w:autoSpaceDE w:val="0"/>
              <w:autoSpaceDN w:val="0"/>
              <w:adjustRightInd w:val="0"/>
              <w:spacing w:after="0" w:afterLines="0" w:line="240" w:lineRule="auto"/>
              <w:textAlignment w:val="baseline"/>
            </w:pPr>
            <w:r>
              <w:rPr>
                <w:sz w:val="21"/>
                <w:szCs w:val="21"/>
              </w:rPr>
              <w:t>At least DCI based adaptation is supported. No introduction of new DCI format.</w:t>
            </w:r>
          </w:p>
          <w:p>
            <w:pPr>
              <w:pStyle w:val="40"/>
              <w:overflowPunct w:val="0"/>
              <w:autoSpaceDE w:val="0"/>
              <w:autoSpaceDN w:val="0"/>
              <w:adjustRightInd w:val="0"/>
              <w:spacing w:after="0" w:afterLines="0" w:line="240" w:lineRule="auto"/>
              <w:ind w:left="0"/>
              <w:textAlignment w:val="baseline"/>
              <w:rPr>
                <w:sz w:val="21"/>
                <w:szCs w:val="21"/>
              </w:rPr>
            </w:pPr>
          </w:p>
          <w:p>
            <w:pPr>
              <w:spacing w:beforeLines="0" w:after="0" w:afterLines="0" w:line="240" w:lineRule="auto"/>
              <w:rPr>
                <w:b/>
                <w:bCs/>
              </w:rPr>
            </w:pPr>
            <w:r>
              <w:rPr>
                <w:b/>
                <w:bCs/>
                <w:highlight w:val="green"/>
              </w:rPr>
              <w:t>Agreement</w:t>
            </w:r>
          </w:p>
          <w:p>
            <w:pPr>
              <w:spacing w:beforeLines="0" w:after="0" w:afterLines="0" w:line="240" w:lineRule="auto"/>
            </w:pPr>
            <w:r>
              <w:t>For DCI-based adaptation for additional PRACH resources, select only from the following alternatives</w:t>
            </w:r>
          </w:p>
          <w:p>
            <w:pPr>
              <w:numPr>
                <w:ilvl w:val="0"/>
                <w:numId w:val="9"/>
              </w:numPr>
              <w:spacing w:beforeLines="0" w:after="0" w:afterLines="0" w:line="240" w:lineRule="auto"/>
            </w:pPr>
            <w:r>
              <w:t>Alt 1: (PRACH resource configuration level) DCI-based adaptation to indicate whether the additional PRACH resources provided by semi-static signalling are available or not</w:t>
            </w:r>
          </w:p>
          <w:p>
            <w:pPr>
              <w:numPr>
                <w:ilvl w:val="1"/>
                <w:numId w:val="9"/>
              </w:numPr>
              <w:spacing w:beforeLines="0" w:after="0" w:afterLines="0" w:line="240" w:lineRule="auto"/>
            </w:pPr>
            <w:r>
              <w:t>FFS: details</w:t>
            </w:r>
          </w:p>
          <w:p>
            <w:pPr>
              <w:numPr>
                <w:ilvl w:val="0"/>
                <w:numId w:val="9"/>
              </w:numPr>
              <w:spacing w:beforeLines="0" w:after="0" w:afterLines="0" w:line="240" w:lineRule="auto"/>
            </w:pPr>
            <w:r>
              <w:t>Alt 2: (subset of PRACH resource level) DCI-based adaptation to indicate whether a subset of the additional PRACH resources provided by semi-static signalling are available or not</w:t>
            </w:r>
          </w:p>
          <w:p>
            <w:pPr>
              <w:numPr>
                <w:ilvl w:val="1"/>
                <w:numId w:val="9"/>
              </w:numPr>
              <w:spacing w:beforeLines="0" w:after="0" w:afterLines="0" w:line="240" w:lineRule="auto"/>
              <w:rPr>
                <w:rFonts w:ascii="Calibri" w:hAnsi="Calibri"/>
                <w:sz w:val="16"/>
                <w:szCs w:val="16"/>
              </w:rPr>
            </w:pPr>
            <w:r>
              <w:t xml:space="preserve">FFS: whether the subset of the additional PRACH resources is in </w:t>
            </w:r>
          </w:p>
          <w:p>
            <w:pPr>
              <w:numPr>
                <w:ilvl w:val="2"/>
                <w:numId w:val="9"/>
              </w:numPr>
              <w:spacing w:beforeLines="0" w:after="0" w:afterLines="0" w:line="240" w:lineRule="auto"/>
              <w:rPr>
                <w:rFonts w:ascii="Calibri" w:hAnsi="Calibri"/>
                <w:sz w:val="16"/>
                <w:szCs w:val="16"/>
              </w:rPr>
            </w:pPr>
            <w:r>
              <w:t>Alt 2-1: RO level per SSB</w:t>
            </w:r>
          </w:p>
          <w:p>
            <w:pPr>
              <w:numPr>
                <w:ilvl w:val="2"/>
                <w:numId w:val="9"/>
              </w:numPr>
              <w:spacing w:beforeLines="0" w:after="0" w:afterLines="0" w:line="240" w:lineRule="auto"/>
              <w:rPr>
                <w:rFonts w:ascii="Calibri" w:hAnsi="Calibri"/>
                <w:sz w:val="16"/>
                <w:szCs w:val="16"/>
              </w:rPr>
            </w:pPr>
            <w:r>
              <w:t>Alt 2-2: SSB-to-RO mapping cycle level</w:t>
            </w:r>
          </w:p>
          <w:p>
            <w:pPr>
              <w:numPr>
                <w:ilvl w:val="2"/>
                <w:numId w:val="9"/>
              </w:numPr>
              <w:spacing w:beforeLines="0" w:after="0" w:afterLines="0" w:line="240" w:lineRule="auto"/>
              <w:rPr>
                <w:rFonts w:ascii="Calibri" w:hAnsi="Calibri"/>
                <w:sz w:val="16"/>
                <w:szCs w:val="16"/>
              </w:rPr>
            </w:pPr>
            <w:r>
              <w:t>Alt 2-3: PRACH association period level</w:t>
            </w:r>
          </w:p>
          <w:p>
            <w:pPr>
              <w:numPr>
                <w:ilvl w:val="2"/>
                <w:numId w:val="9"/>
              </w:numPr>
              <w:spacing w:beforeLines="0" w:after="0" w:afterLines="0" w:line="240" w:lineRule="auto"/>
              <w:rPr>
                <w:rFonts w:ascii="Calibri" w:hAnsi="Calibri"/>
                <w:sz w:val="16"/>
                <w:szCs w:val="16"/>
              </w:rPr>
            </w:pPr>
            <w:r>
              <w:t>Alt 2-4: PRACH association pattern period level </w:t>
            </w:r>
          </w:p>
          <w:p>
            <w:pPr>
              <w:numPr>
                <w:ilvl w:val="2"/>
                <w:numId w:val="9"/>
              </w:numPr>
              <w:spacing w:beforeLines="0" w:after="0" w:afterLines="0" w:line="240" w:lineRule="auto"/>
              <w:rPr>
                <w:rFonts w:ascii="Calibri" w:hAnsi="Calibri"/>
                <w:sz w:val="16"/>
                <w:szCs w:val="16"/>
              </w:rPr>
            </w:pPr>
            <w:r>
              <w:t>Alt 2-5: SFN level</w:t>
            </w:r>
          </w:p>
          <w:p>
            <w:pPr>
              <w:numPr>
                <w:ilvl w:val="0"/>
                <w:numId w:val="9"/>
              </w:numPr>
              <w:spacing w:beforeLines="0" w:after="0" w:afterLines="0" w:line="240" w:lineRule="auto"/>
            </w:pPr>
            <w:r>
              <w:rPr>
                <w:lang w:eastAsia="ko-KR"/>
              </w:rPr>
              <w:t xml:space="preserve">Alt 3: </w:t>
            </w:r>
            <w:r>
              <w:t>DCI-based Enhanced/new Cell DRX to indicate whether the enhanced/new Cell DRX is activated or deactivated.</w:t>
            </w:r>
          </w:p>
          <w:p>
            <w:pPr>
              <w:numPr>
                <w:ilvl w:val="1"/>
                <w:numId w:val="9"/>
              </w:numPr>
              <w:spacing w:beforeLines="0" w:after="0" w:afterLines="0" w:line="240" w:lineRule="auto"/>
            </w:pPr>
            <w:r>
              <w:t>If activated, the additional configured PRACH provided by semi-static signalling within non-active period are not available.</w:t>
            </w:r>
          </w:p>
          <w:p>
            <w:pPr>
              <w:numPr>
                <w:ilvl w:val="1"/>
                <w:numId w:val="9"/>
              </w:numPr>
              <w:spacing w:beforeLines="0" w:after="0" w:afterLines="0" w:line="240" w:lineRule="auto"/>
              <w:rPr>
                <w:szCs w:val="21"/>
              </w:rPr>
            </w:pPr>
            <w:r>
              <w:t>FFS: whether Alt 1 and/or Alt 2 can be applied to the active period</w:t>
            </w:r>
          </w:p>
          <w:p>
            <w:pPr>
              <w:numPr>
                <w:ilvl w:val="1"/>
                <w:numId w:val="9"/>
              </w:numPr>
              <w:spacing w:beforeLines="0" w:after="0" w:afterLines="0" w:line="240" w:lineRule="auto"/>
              <w:rPr>
                <w:szCs w:val="21"/>
              </w:rPr>
            </w:pPr>
            <w:r>
              <w:t>FFS: details</w:t>
            </w:r>
          </w:p>
        </w:tc>
      </w:tr>
    </w:tbl>
    <w:p>
      <w:pPr>
        <w:spacing w:before="120" w:after="120"/>
      </w:pPr>
      <w:r>
        <w:rPr>
          <w:rFonts w:hint="eastAsia"/>
        </w:rPr>
        <w:t xml:space="preserve">Towards three alternatives for DCI-based adaptation for additional PRACH resources, we think Alt 1 and Alt 2 would be the </w:t>
      </w:r>
      <w:r>
        <w:t>straightforward</w:t>
      </w:r>
      <w:r>
        <w:rPr>
          <w:rFonts w:hint="eastAsia"/>
        </w:rPr>
        <w:t xml:space="preserve"> solutions</w:t>
      </w:r>
      <w:r>
        <w:t xml:space="preserve"> for all scenarios</w:t>
      </w:r>
      <w:r>
        <w:rPr>
          <w:rFonts w:hint="eastAsia"/>
        </w:rPr>
        <w:t xml:space="preserve">, while Alt 3 is a solution for the specific scenario. In our views, the solution and specific scenario should be decoupled. </w:t>
      </w:r>
    </w:p>
    <w:p>
      <w:pPr>
        <w:pStyle w:val="60"/>
        <w:spacing w:before="120" w:after="120"/>
        <w:jc w:val="both"/>
        <w:rPr>
          <w:lang w:val="en-US" w:eastAsia="zh-CN"/>
        </w:rPr>
      </w:pPr>
      <w:bookmarkStart w:id="14" w:name="_Toc4714"/>
      <w:r>
        <w:rPr>
          <w:rFonts w:hint="eastAsia"/>
          <w:lang w:val="en-US" w:eastAsia="zh-CN"/>
        </w:rPr>
        <w:t>The solution for DCI-based adaptation for additional PRACH resources and the specific scenarios should be decoupled.</w:t>
      </w:r>
      <w:bookmarkEnd w:id="14"/>
      <w:r>
        <w:rPr>
          <w:rFonts w:hint="eastAsia"/>
          <w:lang w:val="en-US" w:eastAsia="zh-CN"/>
        </w:rPr>
        <w:t xml:space="preserve">  </w:t>
      </w:r>
    </w:p>
    <w:p>
      <w:pPr>
        <w:spacing w:before="120" w:after="120"/>
      </w:pPr>
      <w:r>
        <w:rPr>
          <w:rFonts w:hint="eastAsia"/>
        </w:rPr>
        <w:t>From the perspective of Alt 1, it aims to activate all the additional ROs in the PRACH configuration if necessary. In our opinion, it is the most straightforward and efficient solution for DCI-based adaptation. For one thing, when gNB is aware of few UEs in the cell, deactivating all the additional ROs in the PRACH configuration can obtain the largest NES gain. For another, the smallest payload size in DCI can be achieved. For example, one bit in DCI is capable of indicating the activation and deactivation of PRACH configuration for the additional PRACH resources.</w:t>
      </w:r>
    </w:p>
    <w:p>
      <w:pPr>
        <w:spacing w:before="120" w:after="120"/>
      </w:pPr>
      <w:r>
        <w:rPr>
          <w:rFonts w:hint="eastAsia"/>
        </w:rPr>
        <w:t xml:space="preserve">From the perspective of Alt 2, it aims to activate all or partial additional ROs in the PRACH configuration if necessary. From our perspective, solutions in Alt 2 are able to provide flexibility for adaptation of PRACH resources, but at cost of limited NES gain and large payload size in DCI signaling. On the one hand, since just a subset of additional PRACH resources are deactivated, limited NES gain are obtained, compared to deactivating all the additional PRACH resources (i.e., Alt 1). </w:t>
      </w:r>
      <w:r>
        <w:t>Moreover</w:t>
      </w:r>
      <w:r>
        <w:rPr>
          <w:rFonts w:hint="eastAsia"/>
        </w:rPr>
        <w:t>, activating/deactivating a subset of the additional PRACH resource need extra information in the DCI signaling, resulting in larger payload size compared to Alt 1.</w:t>
      </w:r>
    </w:p>
    <w:p>
      <w:pPr>
        <w:pStyle w:val="63"/>
        <w:spacing w:before="120" w:after="120"/>
        <w:jc w:val="both"/>
        <w:rPr>
          <w:lang w:val="en-US" w:eastAsia="zh-CN"/>
        </w:rPr>
      </w:pPr>
      <w:bookmarkStart w:id="15" w:name="_Toc16694"/>
      <w:r>
        <w:rPr>
          <w:rFonts w:hint="eastAsia"/>
          <w:lang w:val="en-US" w:eastAsia="zh-CN"/>
        </w:rPr>
        <w:t xml:space="preserve">Support Alt 1: </w:t>
      </w:r>
      <w:r>
        <w:t>DCI-based adaptation to indicate whether the additional PRACH resources provided by semi-static signalling are available or not</w:t>
      </w:r>
      <w:r>
        <w:rPr>
          <w:rFonts w:hint="eastAsia"/>
          <w:lang w:val="en-US" w:eastAsia="zh-CN"/>
        </w:rPr>
        <w:t>, since it achieves largest NES gain and smallest payload size in DCI signaling.</w:t>
      </w:r>
      <w:bookmarkEnd w:id="15"/>
    </w:p>
    <w:p>
      <w:pPr>
        <w:spacing w:before="120" w:after="120"/>
      </w:pPr>
      <w:r>
        <w:rPr>
          <w:rFonts w:hint="eastAsia"/>
        </w:rPr>
        <w:t xml:space="preserve">Moreover, in RAN1#118 meeting, whether DCI contains a validity time duration or not has been discussed [3]. The validity time duration is to inform UE when </w:t>
      </w:r>
      <w:r>
        <w:t xml:space="preserve">and how long </w:t>
      </w:r>
      <w:r>
        <w:rPr>
          <w:rFonts w:hint="eastAsia"/>
        </w:rPr>
        <w:t xml:space="preserve">the additional PRACH resources are available. From our perspective, we think it is necessary to consider the validity time duration for additional PRACH resources. Besides, the application delay between the DCI signaling reception and the </w:t>
      </w:r>
      <w:r>
        <w:t xml:space="preserve">start of </w:t>
      </w:r>
      <w:r>
        <w:rPr>
          <w:rFonts w:hint="eastAsia"/>
        </w:rPr>
        <w:t xml:space="preserve">availability of additional PRACH resources needed to be further discussed. </w:t>
      </w:r>
    </w:p>
    <w:p>
      <w:pPr>
        <w:spacing w:before="120" w:after="120"/>
      </w:pPr>
      <w:r>
        <w:rPr>
          <w:rFonts w:hint="eastAsia"/>
        </w:rPr>
        <w:t xml:space="preserve">However, it is not preferable to include a validity time duration in DCI signaling, since it may occur heavy signaling overhead. In contrast, validity time duration </w:t>
      </w:r>
      <w:r>
        <w:t>should be</w:t>
      </w:r>
      <w:r>
        <w:rPr>
          <w:rFonts w:hint="eastAsia"/>
        </w:rPr>
        <w:t xml:space="preserve"> configured by semi-static signaling </w:t>
      </w:r>
      <w:r>
        <w:t xml:space="preserve">which </w:t>
      </w:r>
      <w:r>
        <w:rPr>
          <w:rFonts w:hint="eastAsia"/>
        </w:rPr>
        <w:t>seem</w:t>
      </w:r>
      <w:r>
        <w:t>s</w:t>
      </w:r>
      <w:r>
        <w:rPr>
          <w:rFonts w:hint="eastAsia"/>
        </w:rPr>
        <w:t xml:space="preserve"> more feasible and reasonable. And there are </w:t>
      </w:r>
      <w:r>
        <w:t xml:space="preserve">similar </w:t>
      </w:r>
      <w:r>
        <w:rPr>
          <w:rFonts w:hint="eastAsia"/>
        </w:rPr>
        <w:t>solutions in current specification</w:t>
      </w:r>
      <w:r>
        <w:t xml:space="preserve"> thus very small spec effort is expected if reus</w:t>
      </w:r>
      <w:r>
        <w:rPr>
          <w:rFonts w:hint="eastAsia"/>
        </w:rPr>
        <w:t>ing</w:t>
      </w:r>
      <w:r>
        <w:t xml:space="preserve"> the same way</w:t>
      </w:r>
      <w:r>
        <w:rPr>
          <w:rFonts w:hint="eastAsia"/>
        </w:rPr>
        <w:t xml:space="preserve">. For example, the validity time duration of TRS availability indication in paging DCI or PEI is determined by the higher layer parameter </w:t>
      </w:r>
      <w:r>
        <w:rPr>
          <w:rFonts w:hint="eastAsia"/>
          <w:i/>
          <w:iCs/>
        </w:rPr>
        <w:t xml:space="preserve">validityDuration </w:t>
      </w:r>
      <w:r>
        <w:rPr>
          <w:rFonts w:hint="eastAsia"/>
        </w:rPr>
        <w:t xml:space="preserve">[6]. </w:t>
      </w:r>
    </w:p>
    <w:p>
      <w:pPr>
        <w:pStyle w:val="63"/>
        <w:spacing w:before="120" w:after="120"/>
        <w:jc w:val="both"/>
        <w:rPr>
          <w:lang w:val="en-US" w:eastAsia="zh-CN"/>
        </w:rPr>
      </w:pPr>
      <w:bookmarkStart w:id="16" w:name="_Toc3348"/>
      <w:r>
        <w:rPr>
          <w:rFonts w:hint="eastAsia"/>
          <w:lang w:val="en-US" w:eastAsia="zh-CN"/>
        </w:rPr>
        <w:t>Do not support to include a validity time duration in DCI signaling for adaptation of PRACH in time domain.</w:t>
      </w:r>
      <w:bookmarkEnd w:id="16"/>
    </w:p>
    <w:p>
      <w:pPr>
        <w:spacing w:before="120" w:after="120"/>
      </w:pPr>
      <w:r>
        <w:rPr>
          <w:rFonts w:hint="eastAsia"/>
        </w:rPr>
        <w:t>Regarding the DCI format, there are also several options according to the agreements in RAN1#118 meeting as follows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rFonts w:cs="Times"/>
                <w:b/>
                <w:bCs/>
                <w:highlight w:val="green"/>
              </w:rPr>
            </w:pPr>
            <w:r>
              <w:rPr>
                <w:rFonts w:cs="Times"/>
                <w:b/>
                <w:bCs/>
                <w:highlight w:val="green"/>
              </w:rPr>
              <w:t>Agreement</w:t>
            </w:r>
          </w:p>
          <w:p>
            <w:pPr>
              <w:spacing w:beforeLines="0" w:after="0" w:afterLines="0" w:line="240" w:lineRule="auto"/>
              <w:rPr>
                <w:szCs w:val="21"/>
              </w:rPr>
            </w:pPr>
            <w:r>
              <w:rPr>
                <w:szCs w:val="21"/>
              </w:rPr>
              <w:t xml:space="preserve">For DCI-based adaptation for additional PRACH resources, </w:t>
            </w:r>
          </w:p>
          <w:p>
            <w:pPr>
              <w:pStyle w:val="40"/>
              <w:numPr>
                <w:ilvl w:val="0"/>
                <w:numId w:val="8"/>
              </w:numPr>
              <w:overflowPunct w:val="0"/>
              <w:autoSpaceDE w:val="0"/>
              <w:autoSpaceDN w:val="0"/>
              <w:adjustRightInd w:val="0"/>
              <w:spacing w:after="0" w:afterLines="0" w:line="240" w:lineRule="auto"/>
              <w:textAlignment w:val="baseline"/>
              <w:rPr>
                <w:sz w:val="21"/>
                <w:szCs w:val="21"/>
              </w:rPr>
            </w:pPr>
            <w:r>
              <w:rPr>
                <w:sz w:val="21"/>
                <w:szCs w:val="21"/>
              </w:rPr>
              <w:t xml:space="preserve">Select from the following DCI format(s) to carry the adaptation indication. </w:t>
            </w:r>
          </w:p>
          <w:p>
            <w:pPr>
              <w:pStyle w:val="40"/>
              <w:numPr>
                <w:ilvl w:val="1"/>
                <w:numId w:val="8"/>
              </w:numPr>
              <w:overflowPunct w:val="0"/>
              <w:autoSpaceDE w:val="0"/>
              <w:autoSpaceDN w:val="0"/>
              <w:adjustRightInd w:val="0"/>
              <w:spacing w:after="0" w:afterLines="0" w:line="240" w:lineRule="auto"/>
              <w:textAlignment w:val="baseline"/>
              <w:rPr>
                <w:sz w:val="21"/>
                <w:szCs w:val="21"/>
              </w:rPr>
            </w:pPr>
            <w:r>
              <w:rPr>
                <w:sz w:val="21"/>
                <w:szCs w:val="21"/>
              </w:rPr>
              <w:t>DCI format 1_0</w:t>
            </w:r>
          </w:p>
          <w:p>
            <w:pPr>
              <w:pStyle w:val="40"/>
              <w:numPr>
                <w:ilvl w:val="1"/>
                <w:numId w:val="8"/>
              </w:numPr>
              <w:overflowPunct w:val="0"/>
              <w:autoSpaceDE w:val="0"/>
              <w:autoSpaceDN w:val="0"/>
              <w:adjustRightInd w:val="0"/>
              <w:spacing w:after="0" w:afterLines="0" w:line="240" w:lineRule="auto"/>
              <w:textAlignment w:val="baseline"/>
              <w:rPr>
                <w:sz w:val="21"/>
                <w:szCs w:val="21"/>
              </w:rPr>
            </w:pPr>
            <w:r>
              <w:rPr>
                <w:sz w:val="21"/>
                <w:szCs w:val="21"/>
              </w:rPr>
              <w:t>DCI format 2_7</w:t>
            </w:r>
          </w:p>
          <w:p>
            <w:pPr>
              <w:pStyle w:val="40"/>
              <w:numPr>
                <w:ilvl w:val="1"/>
                <w:numId w:val="8"/>
              </w:numPr>
              <w:overflowPunct w:val="0"/>
              <w:autoSpaceDE w:val="0"/>
              <w:autoSpaceDN w:val="0"/>
              <w:adjustRightInd w:val="0"/>
              <w:spacing w:after="0" w:afterLines="0" w:line="240" w:lineRule="auto"/>
              <w:textAlignment w:val="baseline"/>
              <w:rPr>
                <w:sz w:val="21"/>
                <w:szCs w:val="21"/>
              </w:rPr>
            </w:pPr>
            <w:r>
              <w:rPr>
                <w:sz w:val="21"/>
                <w:szCs w:val="21"/>
              </w:rPr>
              <w:t>DCI format 2_9</w:t>
            </w:r>
          </w:p>
          <w:p>
            <w:pPr>
              <w:pStyle w:val="40"/>
              <w:numPr>
                <w:ilvl w:val="0"/>
                <w:numId w:val="8"/>
              </w:numPr>
              <w:overflowPunct w:val="0"/>
              <w:autoSpaceDE w:val="0"/>
              <w:autoSpaceDN w:val="0"/>
              <w:adjustRightInd w:val="0"/>
              <w:spacing w:after="0" w:afterLines="0" w:line="240" w:lineRule="auto"/>
              <w:textAlignment w:val="baseline"/>
            </w:pPr>
            <w:r>
              <w:rPr>
                <w:sz w:val="21"/>
                <w:szCs w:val="21"/>
              </w:rPr>
              <w:t>FFS: existing (P-RNTI, SI-RNTI, CellDTRX-RNTI, PEI-RNTI, C-RNTI) or new RNTI used for detecting the DCI format</w:t>
            </w:r>
          </w:p>
        </w:tc>
      </w:tr>
    </w:tbl>
    <w:p>
      <w:pPr>
        <w:spacing w:before="120" w:after="120"/>
        <w:rPr>
          <w:szCs w:val="21"/>
        </w:rPr>
      </w:pPr>
      <w:r>
        <w:t>There was</w:t>
      </w:r>
      <w:r>
        <w:rPr>
          <w:rFonts w:hint="eastAsia"/>
        </w:rPr>
        <w:t xml:space="preserve"> an agreement that the adaptation of PRACH resources is for UEs in idle/inactive mode and UEs in connected mode. </w:t>
      </w:r>
      <w:r>
        <w:t xml:space="preserve">Consequently, one or two DCI formats need to be employed for supporting both idle mode UEs and connected mode UEs. </w:t>
      </w:r>
      <w:r>
        <w:rPr>
          <w:rFonts w:hint="eastAsia"/>
        </w:rPr>
        <w:t>Based on current specification, f</w:t>
      </w:r>
      <w:r>
        <w:rPr>
          <w:rFonts w:hint="eastAsia"/>
          <w:szCs w:val="21"/>
        </w:rPr>
        <w:t>or the UEs in idle/inactive mode, they are required to monitor DCI format 1_0 with CRC scrambled by P-RNTI (Paging DCI), DCI format 1_0 with CRC scrambled by SI-RNTI (SI DCI) as well as DCI format 2_7 with CRC scrambled by PEI-RNTI (PEI). But they are not required to monitor DCI format 2_9 with CRC scrambled by CellDTRX-RNTI. For the UEs in connected mode, they need to monitor paging DCI, SI DCI and DCI format 2_9 but do not monitor PEI.</w:t>
      </w:r>
    </w:p>
    <w:p>
      <w:pPr>
        <w:spacing w:before="120" w:after="120"/>
      </w:pPr>
      <w:r>
        <w:rPr>
          <w:rFonts w:hint="eastAsia"/>
        </w:rPr>
        <w:t>From the perspective of payload size in the DCI signaling, the fields for conveying adaptation information in paging DCI inherently constrained, due to the limited reserved bits in paging DCI. In contrast, for SI DCI, PEI and DCI format 2_9, the remaining bits for payload size are adequate, since the DCI size is quite flexible.</w:t>
      </w:r>
    </w:p>
    <w:p>
      <w:pPr>
        <w:spacing w:before="120" w:after="120"/>
      </w:pPr>
      <w:r>
        <w:rPr>
          <w:rFonts w:hint="eastAsia"/>
        </w:rPr>
        <w:t xml:space="preserve">In summary, towards the existing DCI format, paging DCI and SI DCI are suitable DCI signaling for both UEs in idle/inactive mode and UEs in connected mode. But there are different monitoring occasions for these two DCIs. </w:t>
      </w:r>
      <w:r>
        <w:rPr>
          <w:rFonts w:hint="eastAsia"/>
          <w:szCs w:val="21"/>
        </w:rPr>
        <w:t xml:space="preserve">UEs need to monitoring paging DCI in the configured paging occasions per paging cycle, while UEs need to monitor SI DCI in the PDCCH monitoring occasion only when the system information changes. Moreover, paging DCI has constrained payload size for adaptation of PRACH. </w:t>
      </w:r>
      <w:r>
        <w:rPr>
          <w:rFonts w:hint="eastAsia"/>
        </w:rPr>
        <w:t xml:space="preserve">While PEI and DCI format 2_9 are only required to be monitored for UEs in idle/inactive mode and UEs in connected mode, respectively. But they has sufficient payload size to indicate adaptation of PRACH in time domain. </w:t>
      </w:r>
    </w:p>
    <w:p>
      <w:pPr>
        <w:spacing w:before="120" w:after="120"/>
      </w:pPr>
      <w:r>
        <w:rPr>
          <w:rFonts w:hint="eastAsia"/>
        </w:rPr>
        <w:t>For compar</w:t>
      </w:r>
      <w:r>
        <w:t>ing</w:t>
      </w:r>
      <w:r>
        <w:rPr>
          <w:rFonts w:hint="eastAsia"/>
        </w:rPr>
        <w:t xml:space="preserve"> different existing DCI, we provides pros and cons for each referred DCI in the following table.</w:t>
      </w:r>
    </w:p>
    <w:p>
      <w:pPr>
        <w:spacing w:before="120" w:after="120"/>
        <w:jc w:val="center"/>
      </w:pPr>
      <w:r>
        <w:rPr>
          <w:rFonts w:hint="eastAsia"/>
        </w:rPr>
        <w:t>Table 1 Pros and cons on using existing DCI for adaptation of PRACH</w:t>
      </w:r>
      <w:r>
        <w:t>/SSB</w:t>
      </w:r>
      <w:r>
        <w:rPr>
          <w:rFonts w:hint="eastAsia"/>
        </w:rPr>
        <w:t xml:space="preserve"> in time domain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3"/>
        <w:gridCol w:w="3809"/>
        <w:gridCol w:w="3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shd w:val="pct10" w:color="auto" w:fill="auto"/>
          </w:tcPr>
          <w:p>
            <w:pPr>
              <w:spacing w:beforeLines="0" w:after="0" w:afterLines="0" w:line="240" w:lineRule="exact"/>
              <w:jc w:val="center"/>
              <w:rPr>
                <w:b/>
                <w:bCs/>
                <w:sz w:val="18"/>
                <w:szCs w:val="18"/>
              </w:rPr>
            </w:pPr>
            <w:r>
              <w:rPr>
                <w:rFonts w:hint="eastAsia"/>
                <w:b/>
                <w:bCs/>
                <w:sz w:val="18"/>
                <w:szCs w:val="18"/>
              </w:rPr>
              <w:t>Existing DCI</w:t>
            </w:r>
            <w:r>
              <w:rPr>
                <w:b/>
                <w:bCs/>
                <w:sz w:val="18"/>
                <w:szCs w:val="18"/>
              </w:rPr>
              <w:t xml:space="preserve"> format</w:t>
            </w:r>
          </w:p>
        </w:tc>
        <w:tc>
          <w:tcPr>
            <w:tcW w:w="0" w:type="auto"/>
            <w:shd w:val="pct10" w:color="auto" w:fill="auto"/>
          </w:tcPr>
          <w:p>
            <w:pPr>
              <w:spacing w:beforeLines="0" w:after="0" w:afterLines="0" w:line="240" w:lineRule="exact"/>
              <w:jc w:val="center"/>
              <w:rPr>
                <w:b/>
                <w:bCs/>
                <w:sz w:val="18"/>
                <w:szCs w:val="18"/>
              </w:rPr>
            </w:pPr>
            <w:r>
              <w:rPr>
                <w:rFonts w:hint="eastAsia"/>
                <w:b/>
                <w:bCs/>
                <w:sz w:val="18"/>
                <w:szCs w:val="18"/>
              </w:rPr>
              <w:t>Pros</w:t>
            </w:r>
          </w:p>
        </w:tc>
        <w:tc>
          <w:tcPr>
            <w:tcW w:w="0" w:type="auto"/>
            <w:shd w:val="pct10" w:color="auto" w:fill="auto"/>
          </w:tcPr>
          <w:p>
            <w:pPr>
              <w:spacing w:beforeLines="0" w:after="0" w:afterLines="0" w:line="240" w:lineRule="exact"/>
              <w:jc w:val="center"/>
              <w:rPr>
                <w:b/>
                <w:bCs/>
                <w:sz w:val="18"/>
                <w:szCs w:val="18"/>
              </w:rPr>
            </w:pPr>
            <w:r>
              <w:rPr>
                <w:rFonts w:hint="eastAsia"/>
                <w:b/>
                <w:bCs/>
                <w:sz w:val="18"/>
                <w:szCs w:val="18"/>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beforeLines="0" w:after="0" w:afterLines="0" w:line="240" w:lineRule="exact"/>
              <w:rPr>
                <w:sz w:val="18"/>
                <w:szCs w:val="18"/>
              </w:rPr>
            </w:pPr>
            <w:r>
              <w:rPr>
                <w:rFonts w:hint="eastAsia"/>
                <w:sz w:val="18"/>
                <w:szCs w:val="18"/>
              </w:rPr>
              <w:t>Paging DCI</w:t>
            </w:r>
          </w:p>
          <w:p>
            <w:pPr>
              <w:spacing w:beforeLines="0" w:after="0" w:afterLines="0" w:line="240" w:lineRule="exact"/>
              <w:rPr>
                <w:sz w:val="18"/>
                <w:szCs w:val="18"/>
              </w:rPr>
            </w:pPr>
            <w:r>
              <w:rPr>
                <w:rFonts w:hint="eastAsia"/>
                <w:sz w:val="18"/>
                <w:szCs w:val="18"/>
              </w:rPr>
              <w:t>(DCI format 1_0 with CRC scrambled by P-RNTI)</w:t>
            </w:r>
          </w:p>
        </w:tc>
        <w:tc>
          <w:tcPr>
            <w:tcW w:w="0" w:type="auto"/>
          </w:tcPr>
          <w:p>
            <w:pPr>
              <w:numPr>
                <w:ilvl w:val="0"/>
                <w:numId w:val="10"/>
              </w:numPr>
              <w:spacing w:beforeLines="0" w:after="0" w:afterLines="0" w:line="240" w:lineRule="exact"/>
              <w:rPr>
                <w:sz w:val="18"/>
                <w:szCs w:val="18"/>
              </w:rPr>
            </w:pPr>
            <w:r>
              <w:rPr>
                <w:rFonts w:hint="eastAsia"/>
                <w:sz w:val="18"/>
                <w:szCs w:val="18"/>
              </w:rPr>
              <w:t>Can be monitored for idle/inactive UEs and connected UEs.</w:t>
            </w:r>
          </w:p>
        </w:tc>
        <w:tc>
          <w:tcPr>
            <w:tcW w:w="0" w:type="auto"/>
          </w:tcPr>
          <w:p>
            <w:pPr>
              <w:numPr>
                <w:ilvl w:val="0"/>
                <w:numId w:val="10"/>
              </w:numPr>
              <w:spacing w:beforeLines="0" w:after="0" w:afterLines="0" w:line="240" w:lineRule="exact"/>
              <w:rPr>
                <w:sz w:val="18"/>
                <w:szCs w:val="18"/>
              </w:rPr>
            </w:pPr>
            <w:r>
              <w:rPr>
                <w:rFonts w:hint="eastAsia"/>
                <w:sz w:val="18"/>
                <w:szCs w:val="18"/>
              </w:rPr>
              <w:t>Constrained payload size.</w:t>
            </w:r>
          </w:p>
          <w:p>
            <w:pPr>
              <w:numPr>
                <w:ilvl w:val="0"/>
                <w:numId w:val="10"/>
              </w:numPr>
              <w:spacing w:beforeLines="0" w:after="0" w:afterLines="0" w:line="240" w:lineRule="exact"/>
              <w:rPr>
                <w:sz w:val="18"/>
                <w:szCs w:val="18"/>
              </w:rPr>
            </w:pPr>
            <w:r>
              <w:rPr>
                <w:rFonts w:hint="eastAsia"/>
                <w:sz w:val="18"/>
                <w:szCs w:val="18"/>
              </w:rPr>
              <w:t>RRC connected UE monitors it per SI modification period</w:t>
            </w:r>
          </w:p>
          <w:p>
            <w:pPr>
              <w:spacing w:beforeLines="0" w:after="0" w:afterLines="0" w:line="240" w:lineRule="exac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beforeLines="0" w:after="0" w:afterLines="0" w:line="240" w:lineRule="exact"/>
              <w:rPr>
                <w:sz w:val="18"/>
                <w:szCs w:val="18"/>
              </w:rPr>
            </w:pPr>
            <w:r>
              <w:rPr>
                <w:rFonts w:hint="eastAsia"/>
                <w:sz w:val="18"/>
                <w:szCs w:val="18"/>
              </w:rPr>
              <w:t>SI DCI</w:t>
            </w:r>
          </w:p>
          <w:p>
            <w:pPr>
              <w:spacing w:beforeLines="0" w:after="0" w:afterLines="0" w:line="240" w:lineRule="exact"/>
              <w:rPr>
                <w:sz w:val="18"/>
                <w:szCs w:val="18"/>
              </w:rPr>
            </w:pPr>
            <w:r>
              <w:rPr>
                <w:rFonts w:hint="eastAsia"/>
                <w:sz w:val="18"/>
                <w:szCs w:val="18"/>
              </w:rPr>
              <w:t>(DCI format 1_0 with CRC scrambled by SI-RNTI)</w:t>
            </w:r>
          </w:p>
        </w:tc>
        <w:tc>
          <w:tcPr>
            <w:tcW w:w="0" w:type="auto"/>
          </w:tcPr>
          <w:p>
            <w:pPr>
              <w:numPr>
                <w:ilvl w:val="0"/>
                <w:numId w:val="10"/>
              </w:numPr>
              <w:spacing w:beforeLines="0" w:after="0" w:afterLines="0" w:line="240" w:lineRule="exact"/>
              <w:rPr>
                <w:sz w:val="18"/>
                <w:szCs w:val="18"/>
              </w:rPr>
            </w:pPr>
            <w:r>
              <w:rPr>
                <w:rFonts w:hint="eastAsia"/>
                <w:sz w:val="18"/>
                <w:szCs w:val="18"/>
              </w:rPr>
              <w:t>Can be monitored for idle/inactive UEs and connected UEs.</w:t>
            </w:r>
          </w:p>
          <w:p>
            <w:pPr>
              <w:numPr>
                <w:ilvl w:val="0"/>
                <w:numId w:val="10"/>
              </w:numPr>
              <w:spacing w:beforeLines="0" w:after="0" w:afterLines="0" w:line="240" w:lineRule="exact"/>
              <w:rPr>
                <w:sz w:val="18"/>
                <w:szCs w:val="18"/>
              </w:rPr>
            </w:pPr>
            <w:r>
              <w:rPr>
                <w:rFonts w:hint="eastAsia"/>
                <w:sz w:val="18"/>
                <w:szCs w:val="18"/>
              </w:rPr>
              <w:t>Adequate payload size to indicate adaptation of PRACH/SSB resources.</w:t>
            </w:r>
          </w:p>
        </w:tc>
        <w:tc>
          <w:tcPr>
            <w:tcW w:w="0" w:type="auto"/>
          </w:tcPr>
          <w:p>
            <w:pPr>
              <w:numPr>
                <w:ilvl w:val="0"/>
                <w:numId w:val="10"/>
              </w:numPr>
              <w:spacing w:beforeLines="0" w:after="0" w:afterLines="0" w:line="240" w:lineRule="exact"/>
              <w:rPr>
                <w:sz w:val="18"/>
                <w:szCs w:val="18"/>
              </w:rPr>
            </w:pPr>
            <w:r>
              <w:rPr>
                <w:rFonts w:hint="eastAsia"/>
                <w:sz w:val="18"/>
                <w:szCs w:val="18"/>
              </w:rPr>
              <w:t>UE only monitors it when the system information is changed.</w:t>
            </w:r>
          </w:p>
          <w:p>
            <w:pPr>
              <w:spacing w:beforeLines="0" w:after="0" w:afterLines="0" w:line="240" w:lineRule="exac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beforeLines="0" w:after="0" w:afterLines="0" w:line="240" w:lineRule="exact"/>
              <w:rPr>
                <w:sz w:val="18"/>
                <w:szCs w:val="18"/>
              </w:rPr>
            </w:pPr>
            <w:r>
              <w:rPr>
                <w:rFonts w:hint="eastAsia"/>
                <w:sz w:val="18"/>
                <w:szCs w:val="18"/>
              </w:rPr>
              <w:t>PEI</w:t>
            </w:r>
          </w:p>
          <w:p>
            <w:pPr>
              <w:spacing w:beforeLines="0" w:after="0" w:afterLines="0" w:line="240" w:lineRule="exact"/>
              <w:rPr>
                <w:sz w:val="18"/>
                <w:szCs w:val="18"/>
              </w:rPr>
            </w:pPr>
            <w:r>
              <w:rPr>
                <w:rFonts w:hint="eastAsia"/>
                <w:sz w:val="18"/>
                <w:szCs w:val="18"/>
              </w:rPr>
              <w:t>(DCI format 2_7)</w:t>
            </w:r>
          </w:p>
        </w:tc>
        <w:tc>
          <w:tcPr>
            <w:tcW w:w="0" w:type="auto"/>
          </w:tcPr>
          <w:p>
            <w:pPr>
              <w:numPr>
                <w:ilvl w:val="0"/>
                <w:numId w:val="10"/>
              </w:numPr>
              <w:spacing w:beforeLines="0" w:after="0" w:afterLines="0" w:line="240" w:lineRule="exact"/>
              <w:rPr>
                <w:sz w:val="18"/>
                <w:szCs w:val="18"/>
              </w:rPr>
            </w:pPr>
            <w:r>
              <w:rPr>
                <w:rFonts w:hint="eastAsia"/>
                <w:sz w:val="18"/>
                <w:szCs w:val="18"/>
              </w:rPr>
              <w:t>Adequate payload size to indicate adaptation of PRACH/SSB resources</w:t>
            </w:r>
          </w:p>
        </w:tc>
        <w:tc>
          <w:tcPr>
            <w:tcW w:w="0" w:type="auto"/>
          </w:tcPr>
          <w:p>
            <w:pPr>
              <w:numPr>
                <w:ilvl w:val="0"/>
                <w:numId w:val="11"/>
              </w:numPr>
              <w:spacing w:beforeLines="0" w:after="0" w:afterLines="0" w:line="240" w:lineRule="exact"/>
              <w:rPr>
                <w:sz w:val="18"/>
                <w:szCs w:val="18"/>
              </w:rPr>
            </w:pPr>
            <w:r>
              <w:rPr>
                <w:rFonts w:hint="eastAsia"/>
                <w:sz w:val="18"/>
                <w:szCs w:val="18"/>
              </w:rPr>
              <w:t>Can be monitored for only idle/inactive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beforeLines="0" w:after="0" w:afterLines="0" w:line="240" w:lineRule="exact"/>
              <w:rPr>
                <w:sz w:val="18"/>
                <w:szCs w:val="18"/>
              </w:rPr>
            </w:pPr>
            <w:r>
              <w:rPr>
                <w:rFonts w:hint="eastAsia"/>
                <w:sz w:val="18"/>
                <w:szCs w:val="18"/>
              </w:rPr>
              <w:t>DCI format 2_9</w:t>
            </w:r>
          </w:p>
        </w:tc>
        <w:tc>
          <w:tcPr>
            <w:tcW w:w="0" w:type="auto"/>
          </w:tcPr>
          <w:p>
            <w:pPr>
              <w:numPr>
                <w:ilvl w:val="0"/>
                <w:numId w:val="10"/>
              </w:numPr>
              <w:spacing w:beforeLines="0" w:after="0" w:afterLines="0" w:line="240" w:lineRule="exact"/>
              <w:rPr>
                <w:sz w:val="18"/>
                <w:szCs w:val="18"/>
              </w:rPr>
            </w:pPr>
            <w:r>
              <w:rPr>
                <w:rFonts w:hint="eastAsia"/>
                <w:sz w:val="18"/>
                <w:szCs w:val="18"/>
              </w:rPr>
              <w:t>Adequate payload size to indicate adaptation of PRACH/SSB resources</w:t>
            </w:r>
          </w:p>
        </w:tc>
        <w:tc>
          <w:tcPr>
            <w:tcW w:w="0" w:type="auto"/>
          </w:tcPr>
          <w:p>
            <w:pPr>
              <w:numPr>
                <w:ilvl w:val="0"/>
                <w:numId w:val="11"/>
              </w:numPr>
              <w:spacing w:beforeLines="0" w:after="0" w:afterLines="0" w:line="240" w:lineRule="exact"/>
              <w:rPr>
                <w:sz w:val="18"/>
                <w:szCs w:val="18"/>
              </w:rPr>
            </w:pPr>
            <w:r>
              <w:rPr>
                <w:rFonts w:hint="eastAsia"/>
                <w:sz w:val="18"/>
                <w:szCs w:val="18"/>
              </w:rPr>
              <w:t>Can be monitored for only connected UEs.</w:t>
            </w:r>
          </w:p>
        </w:tc>
      </w:tr>
    </w:tbl>
    <w:p>
      <w:pPr>
        <w:spacing w:before="120" w:after="120"/>
      </w:pPr>
      <w:r>
        <w:rPr>
          <w:rFonts w:hint="eastAsia"/>
        </w:rPr>
        <w:t xml:space="preserve">According to above analysis, we have four directions for the DCI signaling design. </w:t>
      </w:r>
    </w:p>
    <w:p>
      <w:pPr>
        <w:numPr>
          <w:ilvl w:val="0"/>
          <w:numId w:val="12"/>
        </w:numPr>
        <w:spacing w:before="120" w:after="120"/>
      </w:pPr>
      <w:r>
        <w:rPr>
          <w:rFonts w:hint="eastAsia"/>
        </w:rPr>
        <w:t>Reusing paging DCI but carefully selecting the information field for adaptation of PRACH/SSB resources for UEs.</w:t>
      </w:r>
    </w:p>
    <w:p>
      <w:pPr>
        <w:numPr>
          <w:ilvl w:val="0"/>
          <w:numId w:val="12"/>
        </w:numPr>
        <w:spacing w:before="120" w:after="120"/>
      </w:pPr>
      <w:r>
        <w:rPr>
          <w:rFonts w:hint="eastAsia"/>
        </w:rPr>
        <w:t>Extending the monitoring behaviors for UE, for instance, PEI can be monitored by the connected UEs.</w:t>
      </w:r>
    </w:p>
    <w:p>
      <w:pPr>
        <w:numPr>
          <w:ilvl w:val="0"/>
          <w:numId w:val="12"/>
        </w:numPr>
        <w:spacing w:before="120" w:after="120"/>
      </w:pPr>
      <w:r>
        <w:rPr>
          <w:rFonts w:hint="eastAsia"/>
        </w:rPr>
        <w:t>Combined DCI formats for adaptation of PRACH, such as PEI for idle/inactive UEs and DCI format 2_9 for connected UEs.</w:t>
      </w:r>
    </w:p>
    <w:p>
      <w:pPr>
        <w:spacing w:before="120" w:after="120"/>
      </w:pPr>
      <w:r>
        <w:rPr>
          <w:rFonts w:hint="eastAsia"/>
        </w:rPr>
        <w:t>Besides, using new RNTI for the existing DCI format would be another feasible way for signaling design for adaptation of PRACH in time domain</w:t>
      </w:r>
      <w:r>
        <w:t xml:space="preserve"> thus can also be considered</w:t>
      </w:r>
      <w:r>
        <w:rPr>
          <w:rFonts w:hint="eastAsia"/>
        </w:rPr>
        <w:t>.</w:t>
      </w:r>
    </w:p>
    <w:p>
      <w:pPr>
        <w:pStyle w:val="63"/>
        <w:spacing w:before="120" w:after="120"/>
        <w:jc w:val="both"/>
        <w:rPr>
          <w:lang w:val="en-US" w:eastAsia="zh-CN"/>
        </w:rPr>
      </w:pPr>
      <w:r>
        <w:rPr>
          <w:rFonts w:hint="eastAsia"/>
          <w:lang w:val="en-US" w:eastAsia="zh-CN"/>
        </w:rPr>
        <w:t xml:space="preserve"> </w:t>
      </w:r>
      <w:bookmarkStart w:id="17" w:name="_Toc31255"/>
      <w:r>
        <w:rPr>
          <w:rFonts w:hint="eastAsia"/>
          <w:lang w:val="en-US" w:eastAsia="zh-CN"/>
        </w:rPr>
        <w:t>Support the following consideration for DCI signaling for adaptation of PRACH in time domain：</w:t>
      </w:r>
      <w:bookmarkEnd w:id="17"/>
    </w:p>
    <w:p>
      <w:pPr>
        <w:pStyle w:val="63"/>
        <w:numPr>
          <w:ilvl w:val="1"/>
          <w:numId w:val="4"/>
        </w:numPr>
        <w:tabs>
          <w:tab w:val="clear" w:pos="840"/>
        </w:tabs>
        <w:spacing w:before="120" w:after="120"/>
        <w:jc w:val="both"/>
        <w:rPr>
          <w:lang w:val="en-US" w:eastAsia="zh-CN"/>
        </w:rPr>
      </w:pPr>
      <w:bookmarkStart w:id="18" w:name="_Toc6571"/>
      <w:r>
        <w:rPr>
          <w:rFonts w:hint="eastAsia"/>
          <w:lang w:val="en-US" w:eastAsia="zh-CN"/>
        </w:rPr>
        <w:t>DCI format 1_0 with CRC scrambled by P-RNTI (Paging DCI)</w:t>
      </w:r>
      <w:r>
        <w:rPr>
          <w:lang w:val="en-US" w:eastAsia="zh-CN"/>
        </w:rPr>
        <w:t xml:space="preserve"> for both idle</w:t>
      </w:r>
      <w:r>
        <w:rPr>
          <w:rFonts w:hint="eastAsia"/>
          <w:lang w:val="en-US" w:eastAsia="zh-CN"/>
        </w:rPr>
        <w:t>/inactive</w:t>
      </w:r>
      <w:r>
        <w:rPr>
          <w:lang w:val="en-US" w:eastAsia="zh-CN"/>
        </w:rPr>
        <w:t xml:space="preserve"> mode and connected mode</w:t>
      </w:r>
      <w:bookmarkEnd w:id="18"/>
    </w:p>
    <w:p>
      <w:pPr>
        <w:pStyle w:val="63"/>
        <w:numPr>
          <w:ilvl w:val="1"/>
          <w:numId w:val="4"/>
        </w:numPr>
        <w:tabs>
          <w:tab w:val="clear" w:pos="840"/>
        </w:tabs>
        <w:spacing w:before="120" w:after="120"/>
        <w:jc w:val="both"/>
        <w:rPr>
          <w:lang w:val="en-US" w:eastAsia="zh-CN"/>
        </w:rPr>
      </w:pPr>
      <w:bookmarkStart w:id="19" w:name="_Toc15814"/>
      <w:r>
        <w:rPr>
          <w:lang w:val="en-US" w:eastAsia="zh-CN"/>
        </w:rPr>
        <w:t xml:space="preserve">Extending </w:t>
      </w:r>
      <w:r>
        <w:rPr>
          <w:rFonts w:hint="eastAsia"/>
          <w:lang w:val="en-US" w:eastAsia="zh-CN"/>
        </w:rPr>
        <w:t xml:space="preserve">DCI format 2_7 with CRC scrambled by PEI-RNTI (PEI) </w:t>
      </w:r>
      <w:r>
        <w:rPr>
          <w:lang w:val="en-US" w:eastAsia="zh-CN"/>
        </w:rPr>
        <w:t>to connected mode</w:t>
      </w:r>
      <w:bookmarkEnd w:id="19"/>
    </w:p>
    <w:p>
      <w:pPr>
        <w:pStyle w:val="63"/>
        <w:numPr>
          <w:ilvl w:val="1"/>
          <w:numId w:val="4"/>
        </w:numPr>
        <w:tabs>
          <w:tab w:val="clear" w:pos="840"/>
        </w:tabs>
        <w:spacing w:before="120" w:after="120"/>
        <w:jc w:val="both"/>
        <w:rPr>
          <w:lang w:val="en-US" w:eastAsia="zh-CN"/>
        </w:rPr>
      </w:pPr>
      <w:bookmarkStart w:id="20" w:name="_Toc25827"/>
      <w:r>
        <w:rPr>
          <w:rFonts w:hint="eastAsia"/>
          <w:lang w:val="en-US" w:eastAsia="zh-CN"/>
        </w:rPr>
        <w:t xml:space="preserve">DCI format 2_7 </w:t>
      </w:r>
      <w:r>
        <w:rPr>
          <w:lang w:val="en-US" w:eastAsia="zh-CN"/>
        </w:rPr>
        <w:t>for idle</w:t>
      </w:r>
      <w:r>
        <w:rPr>
          <w:rFonts w:hint="eastAsia"/>
          <w:lang w:val="en-US" w:eastAsia="zh-CN"/>
        </w:rPr>
        <w:t>/inactive</w:t>
      </w:r>
      <w:r>
        <w:rPr>
          <w:lang w:val="en-US" w:eastAsia="zh-CN"/>
        </w:rPr>
        <w:t xml:space="preserve"> mode </w:t>
      </w:r>
      <w:r>
        <w:rPr>
          <w:rFonts w:hint="eastAsia"/>
          <w:lang w:val="en-US" w:eastAsia="zh-CN"/>
        </w:rPr>
        <w:t>+ DCI format 2_9</w:t>
      </w:r>
      <w:r>
        <w:rPr>
          <w:lang w:val="en-US" w:eastAsia="zh-CN"/>
        </w:rPr>
        <w:t xml:space="preserve"> for connected mode</w:t>
      </w:r>
      <w:bookmarkEnd w:id="20"/>
    </w:p>
    <w:p>
      <w:pPr>
        <w:pStyle w:val="63"/>
        <w:numPr>
          <w:ilvl w:val="1"/>
          <w:numId w:val="4"/>
        </w:numPr>
        <w:tabs>
          <w:tab w:val="clear" w:pos="840"/>
        </w:tabs>
        <w:spacing w:before="120" w:after="120"/>
        <w:jc w:val="both"/>
        <w:rPr>
          <w:lang w:val="en-US" w:eastAsia="zh-CN"/>
        </w:rPr>
      </w:pPr>
      <w:bookmarkStart w:id="21" w:name="_Toc8562"/>
      <w:r>
        <w:rPr>
          <w:rFonts w:hint="eastAsia"/>
          <w:lang w:val="en-US" w:eastAsia="zh-CN"/>
        </w:rPr>
        <w:t>DCI format 1_0/2_7/2_9 with CRC scrambled by new RNTI</w:t>
      </w:r>
      <w:bookmarkEnd w:id="21"/>
    </w:p>
    <w:p>
      <w:pPr>
        <w:spacing w:before="120" w:after="120"/>
      </w:pPr>
    </w:p>
    <w:p>
      <w:pPr>
        <w:pStyle w:val="3"/>
        <w:spacing w:before="120" w:after="120"/>
        <w:ind w:left="991" w:right="210" w:hanging="991" w:hangingChars="354"/>
        <w:rPr>
          <w:rFonts w:eastAsia="宋体"/>
        </w:rPr>
      </w:pPr>
      <w:r>
        <w:rPr>
          <w:rFonts w:hint="eastAsia" w:eastAsia="宋体"/>
        </w:rPr>
        <w:t>Overlap between additional PRACH resources and the PRACH resources for legacy UEs</w:t>
      </w:r>
    </w:p>
    <w:p>
      <w:pPr>
        <w:spacing w:before="120" w:after="120"/>
      </w:pPr>
      <w:r>
        <w:rPr>
          <w:rFonts w:hint="eastAsia"/>
        </w:rPr>
        <w:t>In RAN1#118 meeting, the legacy SSB-RO mapping for the case 1 to case 3 of time-domain and/or frequency domain between additional PRACH resources and the PRACH resources for legacy UEs was agreed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rFonts w:cs="Times"/>
                <w:b/>
                <w:bCs/>
                <w:highlight w:val="green"/>
              </w:rPr>
            </w:pPr>
            <w:r>
              <w:rPr>
                <w:rFonts w:cs="Times"/>
                <w:b/>
                <w:bCs/>
                <w:highlight w:val="green"/>
              </w:rPr>
              <w:t>Agreement</w:t>
            </w:r>
          </w:p>
          <w:p>
            <w:pPr>
              <w:pStyle w:val="15"/>
              <w:spacing w:beforeLines="0" w:after="0" w:afterLines="0" w:line="240" w:lineRule="auto"/>
              <w:jc w:val="left"/>
              <w:rPr>
                <w:rFonts w:ascii="Times New Roman" w:hAnsi="Times New Roman"/>
              </w:rPr>
            </w:pPr>
            <w:r>
              <w:rPr>
                <w:rFonts w:ascii="Times New Roman" w:hAnsi="Times New Roman"/>
              </w:rPr>
              <w:t xml:space="preserve">Extend the RAN1#117 agreement on SSB-RO mapping rule for additional PRACH resources to Case 1 </w:t>
            </w:r>
          </w:p>
          <w:p>
            <w:pPr>
              <w:pStyle w:val="15"/>
              <w:numPr>
                <w:ilvl w:val="0"/>
                <w:numId w:val="13"/>
              </w:numPr>
              <w:overflowPunct w:val="0"/>
              <w:autoSpaceDE w:val="0"/>
              <w:autoSpaceDN w:val="0"/>
              <w:adjustRightInd w:val="0"/>
              <w:spacing w:beforeLines="0" w:after="0" w:afterLines="0" w:line="240" w:lineRule="auto"/>
              <w:jc w:val="left"/>
              <w:textAlignment w:val="baseline"/>
              <w:rPr>
                <w:rFonts w:ascii="Times New Roman" w:hAnsi="Times New Roman"/>
              </w:rPr>
            </w:pPr>
            <w:r>
              <w:rPr>
                <w:rFonts w:ascii="Times New Roman" w:hAnsi="Times New Roman"/>
              </w:rPr>
              <w:t>Case 1: no time-domain overlap between the additional PRACH resources for NES-capable UEs and the PRACH resources for legacy UEs</w:t>
            </w:r>
          </w:p>
          <w:p>
            <w:pPr>
              <w:pStyle w:val="15"/>
              <w:spacing w:before="120"/>
              <w:rPr>
                <w:rFonts w:ascii="Times New Roman" w:hAnsi="Times New Roman"/>
              </w:rPr>
            </w:pPr>
            <w:r>
              <mc:AlternateContent>
                <mc:Choice Requires="wps">
                  <w:drawing>
                    <wp:inline distT="0" distB="0" distL="0" distR="0">
                      <wp:extent cx="5125720" cy="1709420"/>
                      <wp:effectExtent l="4445" t="4445" r="13335" b="19685"/>
                      <wp:docPr id="667638372" name="Text Box 2"/>
                      <wp:cNvGraphicFramePr/>
                      <a:graphic xmlns:a="http://schemas.openxmlformats.org/drawingml/2006/main">
                        <a:graphicData uri="http://schemas.microsoft.com/office/word/2010/wordprocessingShape">
                          <wps:wsp>
                            <wps:cNvSpPr txBox="1">
                              <a:spLocks noChangeArrowheads="1"/>
                            </wps:cNvSpPr>
                            <wps:spPr bwMode="auto">
                              <a:xfrm>
                                <a:off x="0" y="0"/>
                                <a:ext cx="5125720" cy="1709420"/>
                              </a:xfrm>
                              <a:prstGeom prst="rect">
                                <a:avLst/>
                              </a:prstGeom>
                              <a:solidFill>
                                <a:srgbClr val="FFFFFF"/>
                              </a:solidFill>
                              <a:ln w="9525">
                                <a:solidFill>
                                  <a:srgbClr val="000000"/>
                                </a:solidFill>
                                <a:miter lim="800000"/>
                              </a:ln>
                            </wps:spPr>
                            <wps:txbx>
                              <w:txbxContent>
                                <w:p>
                                  <w:pPr>
                                    <w:spacing w:before="120" w:after="120"/>
                                    <w:rPr>
                                      <w:b/>
                                      <w:bCs/>
                                      <w:i/>
                                      <w:iCs/>
                                      <w:lang w:eastAsia="ko-KR"/>
                                    </w:rPr>
                                  </w:pPr>
                                  <w:r>
                                    <w:rPr>
                                      <w:b/>
                                      <w:bCs/>
                                      <w:i/>
                                      <w:iCs/>
                                      <w:highlight w:val="green"/>
                                      <w:lang w:eastAsia="ko-KR"/>
                                    </w:rPr>
                                    <w:t>RAN1#117 Agreement</w:t>
                                  </w:r>
                                </w:p>
                                <w:p>
                                  <w:pPr>
                                    <w:spacing w:before="120" w:after="120"/>
                                    <w:rPr>
                                      <w:i/>
                                      <w:iCs/>
                                    </w:rPr>
                                  </w:pPr>
                                  <w:r>
                                    <w:rPr>
                                      <w:i/>
                                      <w:iCs/>
                                    </w:rPr>
                                    <w:t xml:space="preserve">At least for the case where legacy ROs and additional ROs </w:t>
                                  </w:r>
                                  <w:r>
                                    <w:rPr>
                                      <w:i/>
                                      <w:iCs/>
                                      <w:highlight w:val="yellow"/>
                                    </w:rPr>
                                    <w:t>overlap in neither time nor frequency domain</w:t>
                                  </w:r>
                                  <w:r>
                                    <w:rPr>
                                      <w:i/>
                                      <w:iCs/>
                                    </w:rPr>
                                    <w:t>, for adaptation of PRACH in time-domain, the SSB-RO mapping rule for additional PRACH resources follows the legacy SSB-RO mapping rule.</w:t>
                                  </w:r>
                                </w:p>
                                <w:p>
                                  <w:pPr>
                                    <w:numPr>
                                      <w:ilvl w:val="0"/>
                                      <w:numId w:val="14"/>
                                    </w:numPr>
                                    <w:spacing w:before="120" w:after="120"/>
                                    <w:contextualSpacing/>
                                    <w:rPr>
                                      <w:i/>
                                      <w:iCs/>
                                    </w:rPr>
                                  </w:pPr>
                                  <w:r>
                                    <w:rPr>
                                      <w:i/>
                                      <w:iCs/>
                                    </w:rPr>
                                    <w:t>Mapping SS/PBCH block indexes to valid additional PRACH occasions provided by semi-static signalling follows the legacy mapping order for preamble/time resource/frequency/PRACH slot indexes.</w:t>
                                  </w:r>
                                </w:p>
                                <w:p>
                                  <w:pPr>
                                    <w:numPr>
                                      <w:ilvl w:val="1"/>
                                      <w:numId w:val="14"/>
                                    </w:numPr>
                                    <w:spacing w:before="120" w:after="120"/>
                                    <w:contextualSpacing/>
                                    <w:rPr>
                                      <w:i/>
                                      <w:iCs/>
                                    </w:rPr>
                                  </w:pPr>
                                  <w:r>
                                    <w:rPr>
                                      <w:rFonts w:hint="eastAsia"/>
                                      <w:i/>
                                      <w:iCs/>
                                      <w:lang w:eastAsia="ko-KR"/>
                                    </w:rPr>
                                    <w:t>N</w:t>
                                  </w:r>
                                  <w:r>
                                    <w:rPr>
                                      <w:i/>
                                      <w:iCs/>
                                      <w:lang w:eastAsia="ko-KR"/>
                                    </w:rPr>
                                    <w:t>ote: This mapping is not impacted by time domain PRACH adaptation</w:t>
                                  </w:r>
                                </w:p>
                                <w:p>
                                  <w:pPr>
                                    <w:numPr>
                                      <w:ilvl w:val="0"/>
                                      <w:numId w:val="14"/>
                                    </w:numPr>
                                    <w:spacing w:before="120" w:after="120"/>
                                    <w:contextualSpacing/>
                                    <w:rPr>
                                      <w:i/>
                                      <w:iCs/>
                                    </w:rPr>
                                  </w:pPr>
                                  <w:r>
                                    <w:rPr>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noAutofit/>
                            </wps:bodyPr>
                          </wps:wsp>
                        </a:graphicData>
                      </a:graphic>
                    </wp:inline>
                  </w:drawing>
                </mc:Choice>
                <mc:Fallback>
                  <w:pict>
                    <v:shape id="Text Box 2" o:spid="_x0000_s1026" o:spt="202" type="#_x0000_t202" style="height:134.6pt;width:403.6pt;" fillcolor="#FFFFFF" filled="t" stroked="t" coordsize="21600,21600" o:gfxdata="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OpKG01gAAAAUBAAAPAAAAAAAAAAEAIAAAACIAAABkcnMvZG93bnJldi54&#10;bWxQSwECFAAUAAAACACHTuJA7bTEejUCAACPBAAADgAAAAAAAAABACAAAAAlAQAAZHJzL2Uyb0Rv&#10;Yy54bWxQSwUGAAAAAAYABgBZAQAAzAUAAAAA&#10;">
                      <v:fill on="t" focussize="0,0"/>
                      <v:stroke color="#000000" miterlimit="8" joinstyle="miter"/>
                      <v:imagedata o:title=""/>
                      <o:lock v:ext="edit" aspectratio="f"/>
                      <v:textbox>
                        <w:txbxContent>
                          <w:p>
                            <w:pPr>
                              <w:spacing w:before="120" w:after="120"/>
                              <w:rPr>
                                <w:b/>
                                <w:bCs/>
                                <w:i/>
                                <w:iCs/>
                                <w:lang w:eastAsia="ko-KR"/>
                              </w:rPr>
                            </w:pPr>
                            <w:r>
                              <w:rPr>
                                <w:b/>
                                <w:bCs/>
                                <w:i/>
                                <w:iCs/>
                                <w:highlight w:val="green"/>
                                <w:lang w:eastAsia="ko-KR"/>
                              </w:rPr>
                              <w:t>RAN1#117 Agreement</w:t>
                            </w:r>
                          </w:p>
                          <w:p>
                            <w:pPr>
                              <w:spacing w:before="120" w:after="120"/>
                              <w:rPr>
                                <w:i/>
                                <w:iCs/>
                              </w:rPr>
                            </w:pPr>
                            <w:r>
                              <w:rPr>
                                <w:i/>
                                <w:iCs/>
                              </w:rPr>
                              <w:t xml:space="preserve">At least for the case where legacy ROs and additional ROs </w:t>
                            </w:r>
                            <w:r>
                              <w:rPr>
                                <w:i/>
                                <w:iCs/>
                                <w:highlight w:val="yellow"/>
                              </w:rPr>
                              <w:t>overlap in neither time nor frequency domain</w:t>
                            </w:r>
                            <w:r>
                              <w:rPr>
                                <w:i/>
                                <w:iCs/>
                              </w:rPr>
                              <w:t>, for adaptation of PRACH in time-domain, the SSB-RO mapping rule for additional PRACH resources follows the legacy SSB-RO mapping rule.</w:t>
                            </w:r>
                          </w:p>
                          <w:p>
                            <w:pPr>
                              <w:numPr>
                                <w:ilvl w:val="0"/>
                                <w:numId w:val="14"/>
                              </w:numPr>
                              <w:spacing w:before="120" w:after="120"/>
                              <w:contextualSpacing/>
                              <w:rPr>
                                <w:i/>
                                <w:iCs/>
                              </w:rPr>
                            </w:pPr>
                            <w:r>
                              <w:rPr>
                                <w:i/>
                                <w:iCs/>
                              </w:rPr>
                              <w:t>Mapping SS/PBCH block indexes to valid additional PRACH occasions provided by semi-static signalling follows the legacy mapping order for preamble/time resource/frequency/PRACH slot indexes.</w:t>
                            </w:r>
                          </w:p>
                          <w:p>
                            <w:pPr>
                              <w:numPr>
                                <w:ilvl w:val="1"/>
                                <w:numId w:val="14"/>
                              </w:numPr>
                              <w:spacing w:before="120" w:after="120"/>
                              <w:contextualSpacing/>
                              <w:rPr>
                                <w:i/>
                                <w:iCs/>
                              </w:rPr>
                            </w:pPr>
                            <w:r>
                              <w:rPr>
                                <w:rFonts w:hint="eastAsia"/>
                                <w:i/>
                                <w:iCs/>
                                <w:lang w:eastAsia="ko-KR"/>
                              </w:rPr>
                              <w:t>N</w:t>
                            </w:r>
                            <w:r>
                              <w:rPr>
                                <w:i/>
                                <w:iCs/>
                                <w:lang w:eastAsia="ko-KR"/>
                              </w:rPr>
                              <w:t>ote: This mapping is not impacted by time domain PRACH adaptation</w:t>
                            </w:r>
                          </w:p>
                          <w:p>
                            <w:pPr>
                              <w:numPr>
                                <w:ilvl w:val="0"/>
                                <w:numId w:val="14"/>
                              </w:numPr>
                              <w:spacing w:before="120" w:after="120"/>
                              <w:contextualSpacing/>
                              <w:rPr>
                                <w:i/>
                                <w:iCs/>
                              </w:rPr>
                            </w:pPr>
                            <w:r>
                              <w:rPr>
                                <w:i/>
                                <w:iCs/>
                              </w:rPr>
                              <w:t>Validation rules for the additional PRACH resources follow the legacy validation rules for PRACH resources configured for legacy UEs.</w:t>
                            </w:r>
                          </w:p>
                        </w:txbxContent>
                      </v:textbox>
                      <w10:wrap type="none"/>
                      <w10:anchorlock/>
                    </v:shape>
                  </w:pict>
                </mc:Fallback>
              </mc:AlternateContent>
            </w:r>
          </w:p>
          <w:p>
            <w:pPr>
              <w:spacing w:beforeLines="0" w:after="0" w:afterLines="0" w:line="240" w:lineRule="auto"/>
              <w:rPr>
                <w:rFonts w:cs="Times"/>
                <w:b/>
                <w:bCs/>
                <w:highlight w:val="green"/>
              </w:rPr>
            </w:pPr>
            <w:r>
              <w:rPr>
                <w:rFonts w:cs="Times"/>
                <w:b/>
                <w:bCs/>
                <w:highlight w:val="green"/>
              </w:rPr>
              <w:t>Agreement</w:t>
            </w:r>
          </w:p>
          <w:p>
            <w:pPr>
              <w:pStyle w:val="15"/>
              <w:spacing w:beforeLines="0" w:after="0" w:afterLines="0" w:line="240" w:lineRule="auto"/>
              <w:jc w:val="left"/>
              <w:rPr>
                <w:rFonts w:ascii="Times New Roman" w:hAnsi="Times New Roman"/>
              </w:rPr>
            </w:pPr>
            <w:r>
              <w:rPr>
                <w:rFonts w:ascii="Times New Roman" w:hAnsi="Times New Roman"/>
              </w:rPr>
              <w:t xml:space="preserve">For SSB-RO mapping rule for additional PRACH resources for Case 2. </w:t>
            </w:r>
          </w:p>
          <w:p>
            <w:pPr>
              <w:pStyle w:val="15"/>
              <w:numPr>
                <w:ilvl w:val="0"/>
                <w:numId w:val="13"/>
              </w:numPr>
              <w:overflowPunct w:val="0"/>
              <w:autoSpaceDE w:val="0"/>
              <w:autoSpaceDN w:val="0"/>
              <w:adjustRightInd w:val="0"/>
              <w:spacing w:beforeLines="0" w:after="0" w:afterLines="0" w:line="240" w:lineRule="auto"/>
              <w:jc w:val="left"/>
              <w:textAlignment w:val="baseline"/>
            </w:pPr>
            <w:r>
              <w:rPr>
                <w:rFonts w:ascii="Times New Roman" w:hAnsi="Times New Roman"/>
              </w:rPr>
              <w:t>Extend the RAN1#117 and RAN1#118 agreements on SSB-RO mapping</w:t>
            </w:r>
          </w:p>
        </w:tc>
      </w:tr>
    </w:tbl>
    <w:p>
      <w:pPr>
        <w:spacing w:before="120" w:after="120"/>
      </w:pPr>
      <w:r>
        <w:rPr>
          <w:rFonts w:hint="eastAsia"/>
        </w:rPr>
        <w:t>According to the agreement in RAN1#117 meeting [5], the cases of both time-domain and frequency-domain between additional PRACH resources and the PRACH resources for legacy UEs is still for further study.</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lang w:eastAsia="ko-KR"/>
              </w:rPr>
            </w:pPr>
            <w:r>
              <w:rPr>
                <w:b/>
                <w:bCs/>
                <w:highlight w:val="green"/>
                <w:lang w:eastAsia="ko-KR"/>
              </w:rPr>
              <w:t>Agreement</w:t>
            </w:r>
          </w:p>
          <w:p>
            <w:pPr>
              <w:pStyle w:val="15"/>
              <w:spacing w:beforeLines="0" w:after="0" w:afterLines="0" w:line="240" w:lineRule="auto"/>
              <w:jc w:val="left"/>
              <w:rPr>
                <w:rFonts w:ascii="Times New Roman" w:hAnsi="Times New Roman"/>
              </w:rPr>
            </w:pPr>
            <w:r>
              <w:rPr>
                <w:rFonts w:ascii="Times New Roman" w:hAnsi="Times New Roman"/>
              </w:rPr>
              <w:t xml:space="preserve">For adaptation of PRACH in time-domain, support at least the following case(s) </w:t>
            </w:r>
          </w:p>
          <w:p>
            <w:pPr>
              <w:pStyle w:val="15"/>
              <w:numPr>
                <w:ilvl w:val="0"/>
                <w:numId w:val="15"/>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rPr>
              <w:t>Case 1: no time-domain overlap between the additional PRACH resources for NES-capable UEs and the PRACH resources for legacy UEs</w:t>
            </w:r>
          </w:p>
          <w:p>
            <w:pPr>
              <w:pStyle w:val="15"/>
              <w:numPr>
                <w:ilvl w:val="0"/>
                <w:numId w:val="15"/>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rPr>
              <w:t>Case 2: time-domain overlap but no overlap in frequency domain between the additional PRACH resources for NES-capable UEs and the PRACH resources for legacy UEs</w:t>
            </w:r>
          </w:p>
          <w:p>
            <w:pPr>
              <w:pStyle w:val="15"/>
              <w:numPr>
                <w:ilvl w:val="0"/>
                <w:numId w:val="15"/>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rPr>
              <w:t>Case 3: additional PRACH resources for NES-capable UEs and legacy PRACH resources overlap neither in time nor frequency domains</w:t>
            </w:r>
          </w:p>
          <w:p>
            <w:pPr>
              <w:pStyle w:val="15"/>
              <w:numPr>
                <w:ilvl w:val="0"/>
                <w:numId w:val="15"/>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lang w:eastAsia="ko-KR"/>
              </w:rPr>
              <w:t>FFS: whether additional conditions are needed to support the above cases</w:t>
            </w:r>
          </w:p>
          <w:p>
            <w:pPr>
              <w:pStyle w:val="15"/>
              <w:numPr>
                <w:ilvl w:val="0"/>
                <w:numId w:val="15"/>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rPr>
              <w:t>FFS: Additional case whether full/partial overlap in both time and frequency is allowed</w:t>
            </w:r>
          </w:p>
          <w:p>
            <w:pPr>
              <w:pStyle w:val="15"/>
              <w:numPr>
                <w:ilvl w:val="0"/>
                <w:numId w:val="15"/>
              </w:numPr>
              <w:overflowPunct w:val="0"/>
              <w:autoSpaceDE w:val="0"/>
              <w:autoSpaceDN w:val="0"/>
              <w:adjustRightInd w:val="0"/>
              <w:spacing w:beforeLines="0" w:after="0" w:afterLines="0" w:line="240" w:lineRule="auto"/>
              <w:ind w:left="714" w:hanging="357"/>
              <w:jc w:val="left"/>
              <w:textAlignment w:val="baseline"/>
            </w:pPr>
            <w:r>
              <w:rPr>
                <w:rFonts w:ascii="Times New Roman" w:hAnsi="Times New Roman"/>
                <w:lang w:eastAsia="ko-KR"/>
              </w:rPr>
              <w:t>Above does not preclude discussion for the case where the configuration for</w:t>
            </w:r>
            <w:r>
              <w:rPr>
                <w:rFonts w:ascii="Times New Roman" w:hAnsi="Times New Roman"/>
                <w:color w:val="FF0000"/>
                <w:lang w:eastAsia="ko-KR"/>
              </w:rPr>
              <w:t xml:space="preserve"> </w:t>
            </w:r>
            <w:r>
              <w:rPr>
                <w:rFonts w:ascii="Times New Roman" w:hAnsi="Times New Roman"/>
                <w:lang w:eastAsia="ko-KR"/>
              </w:rPr>
              <w:t>additional PRACH resources contains legacy PRACH resources</w:t>
            </w:r>
          </w:p>
        </w:tc>
      </w:tr>
    </w:tbl>
    <w:p>
      <w:pPr>
        <w:spacing w:before="120" w:after="120"/>
      </w:pPr>
      <w:r>
        <w:rPr>
          <w:rFonts w:hint="eastAsia"/>
        </w:rPr>
        <w:t xml:space="preserve">In our opinion, there would be both time-domain overlap and frequency-domain overlap between some    additional PRACH resources for NES-capable UEs and the PRACH resources for legacy UEs according to our contribution [7]. Given this situation, SSB-RO mapping should be carefully designed in order to avoid the impact on legacy UE. </w:t>
      </w:r>
    </w:p>
    <w:p>
      <w:pPr>
        <w:pStyle w:val="63"/>
        <w:spacing w:before="120" w:after="120"/>
        <w:jc w:val="both"/>
        <w:rPr>
          <w:lang w:val="en-US" w:eastAsia="zh-CN"/>
        </w:rPr>
      </w:pPr>
      <w:bookmarkStart w:id="22" w:name="_Toc20861"/>
      <w:r>
        <w:rPr>
          <w:rFonts w:hint="eastAsia"/>
          <w:lang w:val="en-US" w:eastAsia="zh-CN"/>
        </w:rPr>
        <w:t xml:space="preserve">Consider the cases that some PRACH resources in the PRACH configuration for legacy UEs and those in the PRACH configuration for NES-capable UE are </w:t>
      </w:r>
      <w:r>
        <w:t>full overlap</w:t>
      </w:r>
      <w:r>
        <w:rPr>
          <w:rFonts w:hint="eastAsia"/>
          <w:lang w:val="en-US" w:eastAsia="zh-CN"/>
        </w:rPr>
        <w:t>ped</w:t>
      </w:r>
      <w:r>
        <w:t xml:space="preserve"> in both time and frequency</w:t>
      </w:r>
      <w:r>
        <w:rPr>
          <w:rFonts w:hint="eastAsia"/>
          <w:lang w:val="en-US" w:eastAsia="zh-CN"/>
        </w:rPr>
        <w:t xml:space="preserve"> domain.</w:t>
      </w:r>
      <w:bookmarkEnd w:id="22"/>
    </w:p>
    <w:p>
      <w:pPr>
        <w:spacing w:before="120" w:after="120"/>
      </w:pPr>
      <w:r>
        <w:rPr>
          <w:rFonts w:hint="eastAsia"/>
        </w:rPr>
        <w:t xml:space="preserve">To this end, we consider separate SSB-RO mapping for the overlapped PRACH resources (named as shared PRACH resources) and non-overlapped PRACH resources (named as independent PRACH resources) in additional PRACH resources [7] to avoid the impact on legacy UE. </w:t>
      </w:r>
    </w:p>
    <w:p>
      <w:pPr>
        <w:spacing w:before="120" w:after="120"/>
      </w:pPr>
      <w:r>
        <w:rPr>
          <w:rFonts w:hint="eastAsia"/>
        </w:rPr>
        <w:t>At first, UE would determine association period based on the number of transmitted SSBs and the PRACH resources in the PRACH configuration. Subsequently, within the association period, the shared PRACH resources independent PRACH resources are mapped to SSBs separately. For example, in Figure 3, there are 2 shared PRACH resources and 6 independent PRACH resources in one 40-millisecond association period with a mapping ratio of 1. Assuming the PRACH resources for legacy UEs are mapped to SSB#0 and SSB#1, respectively, th</w:t>
      </w:r>
      <w:r>
        <w:t>ese</w:t>
      </w:r>
      <w:r>
        <w:rPr>
          <w:rFonts w:hint="eastAsia"/>
        </w:rPr>
        <w:t xml:space="preserve"> 2 shared PRACH resources should similarly be mapped to SSB#0 and SSB#1, respectively. Then, the independent PRACH resources are mapped to the remaining SSB indexes, i.e., from SSB#2 to SSB#7.  </w:t>
      </w:r>
    </w:p>
    <w:p>
      <w:pPr>
        <w:spacing w:before="120" w:after="120"/>
        <w:jc w:val="center"/>
      </w:pPr>
      <w:r>
        <w:drawing>
          <wp:inline distT="0" distB="0" distL="114300" distR="114300">
            <wp:extent cx="5619115" cy="2842260"/>
            <wp:effectExtent l="0" t="0" r="635" b="152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5619115" cy="2842260"/>
                    </a:xfrm>
                    <a:prstGeom prst="rect">
                      <a:avLst/>
                    </a:prstGeom>
                    <a:noFill/>
                    <a:ln>
                      <a:noFill/>
                    </a:ln>
                  </pic:spPr>
                </pic:pic>
              </a:graphicData>
            </a:graphic>
          </wp:inline>
        </w:drawing>
      </w:r>
    </w:p>
    <w:p>
      <w:pPr>
        <w:spacing w:before="120" w:after="120"/>
        <w:jc w:val="center"/>
      </w:pPr>
      <w:r>
        <w:rPr>
          <w:rFonts w:hint="eastAsia"/>
        </w:rPr>
        <w:t>Figure 2 Example of SSB-RO mapping when there are shared PRACH resources in the configuration</w:t>
      </w:r>
    </w:p>
    <w:p>
      <w:pPr>
        <w:pStyle w:val="60"/>
        <w:spacing w:before="120" w:after="120"/>
        <w:jc w:val="both"/>
        <w:rPr>
          <w:lang w:val="en-US" w:eastAsia="zh-CN"/>
        </w:rPr>
      </w:pPr>
      <w:bookmarkStart w:id="23" w:name="_Toc1782"/>
      <w:r>
        <w:rPr>
          <w:rFonts w:hint="eastAsia"/>
          <w:lang w:val="en-US" w:eastAsia="zh-CN"/>
        </w:rPr>
        <w:t>The separate SSB-RO mapping between shared PRACH resources with that of legacy UEs and independent PRACH resources within the additional PRACH resources is capable of avoiding the impact of legacy UEs.</w:t>
      </w:r>
      <w:bookmarkEnd w:id="23"/>
    </w:p>
    <w:p>
      <w:pPr>
        <w:spacing w:before="120" w:after="120"/>
      </w:pPr>
      <w:r>
        <w:rPr>
          <w:rFonts w:hint="eastAsia"/>
        </w:rPr>
        <w:t>To this end, separate SSB-RO mapping for the shared PRACH resources and independent PRACH resources in additional PRACH resource within the association period should be considered in the scenario that there is both time and frequency domain overlap between additional PRACH resources and PRACH resources for legacy UEs.</w:t>
      </w:r>
    </w:p>
    <w:p>
      <w:pPr>
        <w:pStyle w:val="63"/>
        <w:spacing w:before="120" w:after="120"/>
        <w:jc w:val="both"/>
        <w:rPr>
          <w:lang w:val="en-US" w:eastAsia="zh-CN"/>
        </w:rPr>
      </w:pPr>
      <w:bookmarkStart w:id="24" w:name="_Toc24037"/>
      <w:r>
        <w:rPr>
          <w:rFonts w:hint="eastAsia"/>
          <w:lang w:val="en-US" w:eastAsia="zh-CN"/>
        </w:rPr>
        <w:t xml:space="preserve">Separate </w:t>
      </w:r>
      <w:r>
        <w:t xml:space="preserve">SSB-RO mapping for the </w:t>
      </w:r>
      <w:r>
        <w:rPr>
          <w:rFonts w:hint="eastAsia"/>
          <w:lang w:val="en-US" w:eastAsia="zh-CN"/>
        </w:rPr>
        <w:t>shared</w:t>
      </w:r>
      <w:r>
        <w:t xml:space="preserve"> PRACH resources</w:t>
      </w:r>
      <w:r>
        <w:rPr>
          <w:rFonts w:hint="eastAsia"/>
          <w:lang w:val="en-US" w:eastAsia="zh-CN"/>
        </w:rPr>
        <w:t xml:space="preserve"> and independent PRACH resources within one association period should be considered.</w:t>
      </w:r>
      <w:bookmarkEnd w:id="24"/>
    </w:p>
    <w:p>
      <w:pPr>
        <w:pStyle w:val="2"/>
        <w:spacing w:before="120" w:after="120"/>
        <w:ind w:left="0"/>
        <w:rPr>
          <w:rFonts w:eastAsia="宋体"/>
        </w:rPr>
      </w:pPr>
      <w:r>
        <w:t>Adaptation of paging occasions</w:t>
      </w:r>
      <w:r>
        <w:rPr>
          <w:rFonts w:hint="eastAsia"/>
        </w:rPr>
        <w:t xml:space="preserve"> in the time domain</w:t>
      </w:r>
    </w:p>
    <w:p>
      <w:pPr>
        <w:spacing w:before="120" w:after="120"/>
        <w:rPr>
          <w:szCs w:val="21"/>
        </w:rPr>
      </w:pPr>
      <w:r>
        <w:rPr>
          <w:rFonts w:hint="eastAsia"/>
          <w:szCs w:val="21"/>
        </w:rPr>
        <w:t>In RAN1#116 meeting, the agreement about adaptation of paging occasions in time domain is shown as follows [8].</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highlight w:val="green"/>
              </w:rPr>
            </w:pPr>
            <w:r>
              <w:rPr>
                <w:b/>
                <w:bCs/>
                <w:highlight w:val="green"/>
              </w:rPr>
              <w:t>Agreement</w:t>
            </w:r>
          </w:p>
          <w:p>
            <w:pPr>
              <w:pStyle w:val="15"/>
              <w:spacing w:beforeLines="0" w:after="0" w:afterLines="0" w:line="240" w:lineRule="auto"/>
              <w:rPr>
                <w:rFonts w:ascii="Times New Roman" w:hAnsi="Times New Roman"/>
              </w:rPr>
            </w:pPr>
            <w:r>
              <w:rPr>
                <w:rFonts w:ascii="Times New Roman" w:hAnsi="Times New Roman"/>
              </w:rPr>
              <w:t xml:space="preserve">For adaptation of paging, </w:t>
            </w:r>
          </w:p>
          <w:p>
            <w:pPr>
              <w:pStyle w:val="15"/>
              <w:numPr>
                <w:ilvl w:val="0"/>
                <w:numId w:val="16"/>
              </w:numPr>
              <w:spacing w:beforeLines="0" w:after="0" w:afterLines="0" w:line="240" w:lineRule="auto"/>
              <w:jc w:val="left"/>
              <w:rPr>
                <w:rFonts w:ascii="Times New Roman" w:hAnsi="Times New Roman"/>
              </w:rPr>
            </w:pPr>
            <w:r>
              <w:rPr>
                <w:rFonts w:ascii="Times New Roman" w:hAnsi="Times New Roman"/>
              </w:rPr>
              <w:t>Study further from RAN1 perspective, techniques for adaptation of paging occasions in time-domain and achievable network energy savings</w:t>
            </w:r>
          </w:p>
          <w:p>
            <w:pPr>
              <w:pStyle w:val="15"/>
              <w:numPr>
                <w:ilvl w:val="0"/>
                <w:numId w:val="16"/>
              </w:numPr>
              <w:spacing w:beforeLines="0" w:after="0" w:afterLines="0" w:line="240" w:lineRule="auto"/>
              <w:jc w:val="left"/>
              <w:rPr>
                <w:szCs w:val="21"/>
              </w:rPr>
            </w:pPr>
            <w:r>
              <w:rPr>
                <w:rFonts w:ascii="Times New Roman" w:hAnsi="Times New Roman"/>
              </w:rPr>
              <w:t>Note: Specification details for PO/PF determination and paging-related configuration/procedures to be handled by RAN2</w:t>
            </w:r>
          </w:p>
        </w:tc>
      </w:tr>
    </w:tbl>
    <w:p>
      <w:pPr>
        <w:spacing w:before="120" w:after="120"/>
        <w:rPr>
          <w:szCs w:val="21"/>
        </w:rPr>
      </w:pPr>
      <w:r>
        <w:rPr>
          <w:rFonts w:hint="eastAsia"/>
          <w:szCs w:val="21"/>
        </w:rPr>
        <w:t>Towards adaptation of paging occasions in</w:t>
      </w:r>
      <w:bookmarkStart w:id="26" w:name="_GoBack"/>
      <w:bookmarkEnd w:id="26"/>
      <w:r>
        <w:rPr>
          <w:rFonts w:hint="eastAsia"/>
          <w:szCs w:val="21"/>
        </w:rPr>
        <w:t xml:space="preserve"> time domain, the goal is to confine paging occasion in time domain to </w:t>
      </w:r>
      <w:r>
        <w:rPr>
          <w:szCs w:val="21"/>
        </w:rPr>
        <w:t>have more opportunit</w:t>
      </w:r>
      <w:r>
        <w:rPr>
          <w:rFonts w:hint="eastAsia"/>
          <w:szCs w:val="21"/>
        </w:rPr>
        <w:t>ies</w:t>
      </w:r>
      <w:r>
        <w:rPr>
          <w:szCs w:val="21"/>
        </w:rPr>
        <w:t xml:space="preserve"> of going into deep sleep between two clusters of POs</w:t>
      </w:r>
      <w:r>
        <w:rPr>
          <w:rFonts w:hint="eastAsia"/>
          <w:szCs w:val="21"/>
        </w:rPr>
        <w:t>. In RAN1#116 meeting, there was consensus that most of proposed schemes about confining paging occasions should be handled by RAN2. To this end, from RAN1</w:t>
      </w:r>
      <w:r>
        <w:rPr>
          <w:szCs w:val="21"/>
        </w:rPr>
        <w:t>’</w:t>
      </w:r>
      <w:r>
        <w:rPr>
          <w:rFonts w:hint="eastAsia"/>
          <w:szCs w:val="21"/>
        </w:rPr>
        <w:t xml:space="preserve">s perspective, the discussion should focus on how to indicate the adaptation of paging. Since paging is monitored by both UEs in idle/inactive mode and UEs in connected mode, DCI based indication for the adaptation of paging occasions in time domain can be </w:t>
      </w:r>
      <w:r>
        <w:rPr>
          <w:szCs w:val="21"/>
        </w:rPr>
        <w:t>considered</w:t>
      </w:r>
      <w:r>
        <w:rPr>
          <w:rFonts w:hint="eastAsia"/>
          <w:szCs w:val="21"/>
        </w:rPr>
        <w:t>.</w:t>
      </w:r>
    </w:p>
    <w:p>
      <w:pPr>
        <w:pStyle w:val="63"/>
        <w:spacing w:before="120" w:after="120"/>
        <w:jc w:val="both"/>
        <w:rPr>
          <w:szCs w:val="21"/>
          <w:lang w:val="en-US" w:eastAsia="zh-CN"/>
        </w:rPr>
      </w:pPr>
      <w:bookmarkStart w:id="25" w:name="_Toc14852"/>
      <w:r>
        <w:rPr>
          <w:rFonts w:hint="eastAsia"/>
          <w:lang w:val="en-US" w:eastAsia="zh-CN"/>
        </w:rPr>
        <w:t>DCI based indication for the adaptation of paging occasions in time domain can be considered.</w:t>
      </w:r>
      <w:bookmarkEnd w:id="25"/>
      <w:r>
        <w:rPr>
          <w:rFonts w:hint="eastAsia"/>
          <w:lang w:val="en-US" w:eastAsia="zh-CN"/>
        </w:rPr>
        <w:t xml:space="preserve"> </w:t>
      </w:r>
    </w:p>
    <w:p>
      <w:pPr>
        <w:pStyle w:val="63"/>
        <w:numPr>
          <w:ilvl w:val="0"/>
          <w:numId w:val="0"/>
        </w:numPr>
        <w:spacing w:before="120" w:after="120"/>
        <w:jc w:val="both"/>
        <w:rPr>
          <w:lang w:val="en-US" w:eastAsia="zh-CN"/>
        </w:rPr>
      </w:pP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rPr>
          <w:i w:val="0"/>
          <w:iCs w:val="0"/>
          <w:szCs w:val="22"/>
          <w:highlight w:val="yellow"/>
        </w:rPr>
        <w:fldChar w:fldCharType="begin"/>
      </w:r>
      <w:r>
        <w:rPr>
          <w:i w:val="0"/>
          <w:iCs w:val="0"/>
          <w:szCs w:val="22"/>
          <w:highlight w:val="yellow"/>
        </w:rPr>
        <w:instrText xml:space="preserve"> HYPERLINK \l _Toc16163 </w:instrText>
      </w:r>
      <w:r>
        <w:rPr>
          <w:i w:val="0"/>
          <w:iCs w:val="0"/>
          <w:szCs w:val="22"/>
          <w:highlight w:val="yellow"/>
        </w:rPr>
        <w:fldChar w:fldCharType="separate"/>
      </w:r>
      <w:r>
        <w:rPr>
          <w:rFonts w:hint="default" w:ascii="Times New Roman" w:hAnsi="Times New Roman" w:eastAsia="宋体" w:cs="Times New Roman"/>
          <w:bCs/>
          <w:i/>
          <w:iCs/>
          <w:lang w:val="en-US"/>
        </w:rPr>
        <w:t xml:space="preserve">Observation 1: </w:t>
      </w:r>
      <w:r>
        <w:rPr>
          <w:lang w:val="en-US" w:eastAsia="zh-CN"/>
        </w:rPr>
        <w:t>For Rel-19 NES-capable UE’s PCell, adaptation of not cell-defining SSB or SSB not on sync raster may bring network energy saving benefits, but the NES gain would be limited due to power consumption of always-on CD SSB.</w:t>
      </w:r>
      <w:r>
        <w:rPr>
          <w:i w:val="0"/>
          <w:iCs w:val="0"/>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_Toc15331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2: </w:t>
      </w:r>
      <w:r>
        <w:rPr>
          <w:lang w:val="en-US" w:eastAsia="zh-CN"/>
        </w:rPr>
        <w:t>For Alt 1, t</w:t>
      </w:r>
      <w:r>
        <w:rPr>
          <w:rFonts w:hint="eastAsia"/>
          <w:lang w:val="en-US" w:eastAsia="zh-CN"/>
        </w:rPr>
        <w:t>he outcome of configured PRACH resources achieved by additional parameter(s) is similar to that achieved by approaches of two different PRACH configuration indexes for NES-capable UEs and legacy UEs, respectively.</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_Toc4714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The solution for DCI-based adaptation for additional PRACH resources and the specific scenarios should be decoupled.</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_Toc1782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The separate SSB-RO mapping between shared PRACH resources with that of legacy UEs and independent PRACH resources within the additional PRACH resources is capable of avoiding the impact of legacy UEs.</w:t>
      </w:r>
      <w:r>
        <w:rPr>
          <w:szCs w:val="22"/>
          <w:highlight w:val="yellow"/>
        </w:rPr>
        <w:fldChar w:fldCharType="end"/>
      </w:r>
    </w:p>
    <w:p>
      <w:pPr>
        <w:spacing w:before="120" w:after="120"/>
        <w:rPr>
          <w:highlight w:val="yellow"/>
        </w:rPr>
      </w:pPr>
      <w:r>
        <w:rPr>
          <w:szCs w:val="22"/>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TOC \n  \t "YJ-Proposal,1,sub-proposal,2,3rd level proposal,3" \h</w:instrText>
      </w:r>
      <w:r>
        <w:rPr>
          <w:highlight w:val="yellow"/>
        </w:rPr>
        <w:fldChar w:fldCharType="separate"/>
      </w:r>
      <w:r>
        <w:rPr>
          <w:highlight w:val="yellow"/>
        </w:rPr>
        <w:fldChar w:fldCharType="begin"/>
      </w:r>
      <w:r>
        <w:rPr>
          <w:highlight w:val="yellow"/>
        </w:rPr>
        <w:instrText xml:space="preserve"> HYPERLINK \l _Toc8251 </w:instrText>
      </w:r>
      <w:r>
        <w:rPr>
          <w:highlight w:val="yellow"/>
        </w:rP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Support adaptation for CD-SSB in the scenario for Rel-19 NES-capable UE</w:t>
      </w:r>
      <w:r>
        <w:rPr>
          <w:lang w:val="en-US" w:eastAsia="zh-CN"/>
        </w:rPr>
        <w:t>’</w:t>
      </w:r>
      <w:r>
        <w:rPr>
          <w:rFonts w:hint="eastAsia"/>
          <w:lang w:val="en-US" w:eastAsia="zh-CN"/>
        </w:rPr>
        <w:t>s SCell.</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_Toc29636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Support adaptation for not CD-SSB in the scenario for Rel-19 NES-capable UE</w:t>
      </w:r>
      <w:r>
        <w:rPr>
          <w:lang w:val="en-US" w:eastAsia="zh-CN"/>
        </w:rPr>
        <w:t>’</w:t>
      </w:r>
      <w:r>
        <w:rPr>
          <w:rFonts w:hint="eastAsia"/>
          <w:lang w:val="en-US" w:eastAsia="zh-CN"/>
        </w:rPr>
        <w:t>s PCell.</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_Toc15033 </w:instrText>
      </w:r>
      <w:r>
        <w:rPr>
          <w:highlight w:val="yellow"/>
        </w:rP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Support adaptation of CD-SSB for Rel-19 NES-capable UE in idle/inactive mode in the scenario that cell with only Rel-19 NES-capable UEs.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_Toc14814 </w:instrText>
      </w:r>
      <w:r>
        <w:rPr>
          <w:highlight w:val="yellow"/>
        </w:rPr>
        <w:fldChar w:fldCharType="separate"/>
      </w:r>
      <w:r>
        <w:rPr>
          <w:rFonts w:hint="default" w:ascii="Times New Roman" w:hAnsi="Times New Roman" w:eastAsia="宋体" w:cs="Times New Roman"/>
          <w:bCs/>
          <w:i/>
          <w:iCs/>
          <w:lang w:val="en-US" w:eastAsia="zh-CN"/>
        </w:rPr>
        <w:t xml:space="preserve">Proposal 4: </w:t>
      </w:r>
      <w:r>
        <w:rPr>
          <w:lang w:val="en-US" w:eastAsia="zh-CN"/>
        </w:rPr>
        <w:t>Support to s</w:t>
      </w:r>
      <w:r>
        <w:rPr>
          <w:rFonts w:hint="eastAsia"/>
          <w:lang w:val="en-US" w:eastAsia="zh-CN"/>
        </w:rPr>
        <w:t>pecify Option 2: Adaptation based on two SSB configurations, for adaptation of SSB in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_Toc13906 </w:instrText>
      </w:r>
      <w:r>
        <w:rPr>
          <w:highlight w:val="yellow"/>
        </w:rPr>
        <w:fldChar w:fldCharType="separate"/>
      </w:r>
      <w:r>
        <w:rPr>
          <w:rFonts w:hint="default" w:ascii="Times New Roman" w:hAnsi="Times New Roman" w:eastAsia="宋体" w:cs="Times New Roman"/>
          <w:bCs/>
          <w:i/>
          <w:iCs/>
          <w:lang w:val="en-US" w:eastAsia="zh-CN"/>
        </w:rPr>
        <w:t xml:space="preserve">Proposal 5: </w:t>
      </w:r>
      <w:r>
        <w:rPr>
          <w:lang w:val="en-US" w:eastAsia="zh-CN"/>
        </w:rPr>
        <w:t>Support to s</w:t>
      </w:r>
      <w:r>
        <w:rPr>
          <w:rFonts w:hint="eastAsia"/>
          <w:lang w:val="en-US" w:eastAsia="zh-CN"/>
        </w:rPr>
        <w:t>pecify dynamic signaling including e.g., paging DCI, DCI format 2_7, DCI format 2_9 or ne</w:t>
      </w:r>
      <w:r>
        <w:rPr>
          <w:lang w:val="en-US" w:eastAsia="zh-CN"/>
        </w:rPr>
        <w:t xml:space="preserve">w </w:t>
      </w:r>
      <w:r>
        <w:rPr>
          <w:rFonts w:hint="eastAsia"/>
          <w:lang w:val="en-US" w:eastAsia="zh-CN"/>
        </w:rPr>
        <w:t>DCI format, for adaptation of SSB in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_Toc12672 </w:instrText>
      </w:r>
      <w:r>
        <w:rPr>
          <w:highlight w:val="yellow"/>
        </w:rP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Support Alt 2: The PRACH configuration index for the additional PRACH resources is different from the PRACH configuration index for the legacy resources.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_Toc5061 </w:instrText>
      </w:r>
      <w:r>
        <w:rPr>
          <w:highlight w:val="yellow"/>
        </w:rPr>
        <w:fldChar w:fldCharType="separate"/>
      </w:r>
      <w:r>
        <w:rPr>
          <w:rFonts w:hint="default" w:ascii="Times New Roman" w:hAnsi="Times New Roman" w:eastAsia="宋体" w:cs="Times New Roman"/>
          <w:bCs/>
          <w:i/>
          <w:iCs/>
          <w:lang w:val="en-US" w:eastAsia="zh-CN"/>
        </w:rPr>
        <w:t xml:space="preserve">Proposal 7: </w:t>
      </w:r>
      <w:r>
        <w:rPr>
          <w:rFonts w:hint="eastAsia"/>
          <w:lang w:val="en-US" w:eastAsia="zh-CN"/>
        </w:rPr>
        <w:t xml:space="preserve">Support to specify </w:t>
      </w:r>
      <w:r>
        <w:rPr>
          <w:rFonts w:hint="eastAsia" w:eastAsia="Batang"/>
          <w:szCs w:val="24"/>
          <w:lang w:val="en-US" w:eastAsia="zh-CN"/>
        </w:rPr>
        <w:t>a</w:t>
      </w:r>
      <w:r>
        <w:rPr>
          <w:rFonts w:eastAsia="Batang"/>
          <w:szCs w:val="24"/>
          <w:lang w:eastAsia="zh-CN"/>
        </w:rPr>
        <w:t>dditional parameter</w:t>
      </w:r>
      <w:r>
        <w:rPr>
          <w:rFonts w:hint="eastAsia" w:eastAsia="Batang"/>
          <w:szCs w:val="24"/>
          <w:lang w:val="en-US" w:eastAsia="zh-CN"/>
        </w:rPr>
        <w:t>(</w:t>
      </w:r>
      <w:r>
        <w:rPr>
          <w:rFonts w:eastAsia="Batang"/>
          <w:szCs w:val="24"/>
          <w:lang w:eastAsia="zh-CN"/>
        </w:rPr>
        <w:t>s</w:t>
      </w:r>
      <w:r>
        <w:rPr>
          <w:rFonts w:hint="eastAsia" w:eastAsia="Batang"/>
          <w:szCs w:val="24"/>
          <w:lang w:val="en-US" w:eastAsia="zh-CN"/>
        </w:rPr>
        <w:t>)</w:t>
      </w:r>
      <w:r>
        <w:rPr>
          <w:rFonts w:eastAsia="Batang"/>
          <w:szCs w:val="24"/>
          <w:lang w:eastAsia="zh-CN"/>
        </w:rPr>
        <w:t xml:space="preserve"> to facilitate condensed/cluster RACH resources in time-domain</w:t>
      </w:r>
      <w:r>
        <w:rPr>
          <w:rFonts w:hint="eastAsia" w:eastAsia="Batang"/>
          <w:szCs w:val="24"/>
          <w:lang w:val="en-US" w:eastAsia="zh-CN"/>
        </w:rPr>
        <w:t>, e.g., an additional parameter providing a consecutive SFNs for PRACH occasions.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_Toc16694 </w:instrText>
      </w:r>
      <w:r>
        <w:rPr>
          <w:highlight w:val="yellow"/>
        </w:rP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 xml:space="preserve">Support Alt 1: </w:t>
      </w:r>
      <w:r>
        <w:t>DCI-based adaptation to indicate whether the additional PRACH resources provided by semi-static signalling are available or not</w:t>
      </w:r>
      <w:r>
        <w:rPr>
          <w:rFonts w:hint="eastAsia"/>
          <w:lang w:val="en-US" w:eastAsia="zh-CN"/>
        </w:rPr>
        <w:t>, since it achieves largest NES gain and smallest payload size in DCI signaling.</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_Toc3348 </w:instrText>
      </w:r>
      <w:r>
        <w:rPr>
          <w:highlight w:val="yellow"/>
        </w:rPr>
        <w:fldChar w:fldCharType="separate"/>
      </w:r>
      <w:r>
        <w:rPr>
          <w:rFonts w:hint="default" w:ascii="Times New Roman" w:hAnsi="Times New Roman" w:eastAsia="宋体" w:cs="Times New Roman"/>
          <w:bCs/>
          <w:i/>
          <w:iCs/>
          <w:lang w:val="en-US" w:eastAsia="zh-CN"/>
        </w:rPr>
        <w:t xml:space="preserve">Proposal 9: </w:t>
      </w:r>
      <w:r>
        <w:rPr>
          <w:rFonts w:hint="eastAsia"/>
          <w:lang w:val="en-US" w:eastAsia="zh-CN"/>
        </w:rPr>
        <w:t>Do not support to include a validity time duration in DCI signaling for adaptation of PRACH in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_Toc31255 </w:instrText>
      </w:r>
      <w:r>
        <w:rPr>
          <w:highlight w:val="yellow"/>
        </w:rPr>
        <w:fldChar w:fldCharType="separate"/>
      </w:r>
      <w:r>
        <w:rPr>
          <w:rFonts w:hint="default" w:ascii="Times New Roman" w:hAnsi="Times New Roman" w:eastAsia="宋体" w:cs="Times New Roman"/>
          <w:bCs/>
          <w:i/>
          <w:iCs/>
          <w:lang w:val="en-US" w:eastAsia="zh-CN"/>
        </w:rPr>
        <w:t xml:space="preserve">Proposal 10: </w:t>
      </w:r>
      <w:r>
        <w:rPr>
          <w:rFonts w:hint="eastAsia"/>
          <w:lang w:val="en-US" w:eastAsia="zh-CN"/>
        </w:rPr>
        <w:t>Support the following consideration for DCI signaling for adaptation of PRACH in time domain：</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_Toc6571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DCI format 1_0 with CRC scrambled by P-RNTI (Paging DCI)</w:t>
      </w:r>
      <w:r>
        <w:rPr>
          <w:lang w:val="en-US" w:eastAsia="zh-CN"/>
        </w:rPr>
        <w:t xml:space="preserve"> for both idle</w:t>
      </w:r>
      <w:r>
        <w:rPr>
          <w:rFonts w:hint="eastAsia"/>
          <w:lang w:val="en-US" w:eastAsia="zh-CN"/>
        </w:rPr>
        <w:t>/inactive</w:t>
      </w:r>
      <w:r>
        <w:rPr>
          <w:lang w:val="en-US" w:eastAsia="zh-CN"/>
        </w:rPr>
        <w:t xml:space="preserve"> mode and connected mode</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_Toc15814 </w:instrText>
      </w:r>
      <w:r>
        <w:rPr>
          <w:highlight w:val="yellow"/>
        </w:rPr>
        <w:fldChar w:fldCharType="separate"/>
      </w:r>
      <w:r>
        <w:rPr>
          <w:rFonts w:hint="default" w:ascii="Arial" w:hAnsi="Arial" w:eastAsia="宋体" w:cs="Arial"/>
          <w:bCs/>
          <w:i/>
          <w:iCs/>
          <w:lang w:val="en-US" w:eastAsia="zh-CN"/>
        </w:rPr>
        <w:t xml:space="preserve">• </w:t>
      </w:r>
      <w:r>
        <w:rPr>
          <w:lang w:val="en-US" w:eastAsia="zh-CN"/>
        </w:rPr>
        <w:t xml:space="preserve">Extending </w:t>
      </w:r>
      <w:r>
        <w:rPr>
          <w:rFonts w:hint="eastAsia"/>
          <w:lang w:val="en-US" w:eastAsia="zh-CN"/>
        </w:rPr>
        <w:t xml:space="preserve">DCI format 2_7 with CRC scrambled by PEI-RNTI (PEI) </w:t>
      </w:r>
      <w:r>
        <w:rPr>
          <w:lang w:val="en-US" w:eastAsia="zh-CN"/>
        </w:rPr>
        <w:t>to connected mode</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_Toc25827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 xml:space="preserve">DCI format 2_7 </w:t>
      </w:r>
      <w:r>
        <w:rPr>
          <w:lang w:val="en-US" w:eastAsia="zh-CN"/>
        </w:rPr>
        <w:t>for idle</w:t>
      </w:r>
      <w:r>
        <w:rPr>
          <w:rFonts w:hint="eastAsia"/>
          <w:lang w:val="en-US" w:eastAsia="zh-CN"/>
        </w:rPr>
        <w:t>/inactive</w:t>
      </w:r>
      <w:r>
        <w:rPr>
          <w:lang w:val="en-US" w:eastAsia="zh-CN"/>
        </w:rPr>
        <w:t xml:space="preserve"> mode </w:t>
      </w:r>
      <w:r>
        <w:rPr>
          <w:rFonts w:hint="eastAsia"/>
          <w:lang w:val="en-US" w:eastAsia="zh-CN"/>
        </w:rPr>
        <w:t>+ DCI format 2_9</w:t>
      </w:r>
      <w:r>
        <w:rPr>
          <w:lang w:val="en-US" w:eastAsia="zh-CN"/>
        </w:rPr>
        <w:t xml:space="preserve"> for connected mode</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_Toc8562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DCI format 1_0/2_7/2_9 with CRC scrambled by new RNTI</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_Toc20861 </w:instrText>
      </w:r>
      <w:r>
        <w:rPr>
          <w:highlight w:val="yellow"/>
        </w:rPr>
        <w:fldChar w:fldCharType="separate"/>
      </w:r>
      <w:r>
        <w:rPr>
          <w:rFonts w:hint="default" w:ascii="Times New Roman" w:hAnsi="Times New Roman" w:eastAsia="宋体" w:cs="Times New Roman"/>
          <w:bCs/>
          <w:i/>
          <w:iCs/>
          <w:lang w:val="en-US" w:eastAsia="zh-CN"/>
        </w:rPr>
        <w:t xml:space="preserve">Proposal 11: </w:t>
      </w:r>
      <w:r>
        <w:rPr>
          <w:rFonts w:hint="eastAsia"/>
          <w:lang w:val="en-US" w:eastAsia="zh-CN"/>
        </w:rPr>
        <w:t xml:space="preserve">Consider the cases that some PRACH resources in the PRACH configuration for legacy UEs and those in the PRACH configuration for NES-capable UE are </w:t>
      </w:r>
      <w:r>
        <w:t>full overlap</w:t>
      </w:r>
      <w:r>
        <w:rPr>
          <w:rFonts w:hint="eastAsia"/>
          <w:lang w:val="en-US" w:eastAsia="zh-CN"/>
        </w:rPr>
        <w:t>ped</w:t>
      </w:r>
      <w:r>
        <w:t xml:space="preserve"> in both time and frequency</w:t>
      </w:r>
      <w:r>
        <w:rPr>
          <w:rFonts w:hint="eastAsia"/>
          <w:lang w:val="en-US" w:eastAsia="zh-CN"/>
        </w:rPr>
        <w:t xml:space="preserv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_Toc24037 </w:instrText>
      </w:r>
      <w:r>
        <w:rPr>
          <w:highlight w:val="yellow"/>
        </w:rPr>
        <w:fldChar w:fldCharType="separate"/>
      </w:r>
      <w:r>
        <w:rPr>
          <w:rFonts w:hint="default" w:ascii="Times New Roman" w:hAnsi="Times New Roman" w:eastAsia="宋体" w:cs="Times New Roman"/>
          <w:bCs/>
          <w:i/>
          <w:iCs/>
          <w:lang w:val="en-US" w:eastAsia="zh-CN"/>
        </w:rPr>
        <w:t xml:space="preserve">Proposal 12: </w:t>
      </w:r>
      <w:r>
        <w:rPr>
          <w:rFonts w:hint="eastAsia"/>
          <w:lang w:val="en-US" w:eastAsia="zh-CN"/>
        </w:rPr>
        <w:t xml:space="preserve">Separate </w:t>
      </w:r>
      <w:r>
        <w:t xml:space="preserve">SSB-RO mapping for the </w:t>
      </w:r>
      <w:r>
        <w:rPr>
          <w:rFonts w:hint="eastAsia"/>
          <w:lang w:val="en-US" w:eastAsia="zh-CN"/>
        </w:rPr>
        <w:t>shared</w:t>
      </w:r>
      <w:r>
        <w:t xml:space="preserve"> PRACH resources</w:t>
      </w:r>
      <w:r>
        <w:rPr>
          <w:rFonts w:hint="eastAsia"/>
          <w:lang w:val="en-US" w:eastAsia="zh-CN"/>
        </w:rPr>
        <w:t xml:space="preserve"> and independent PRACH resources within one association period should be considered.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_Toc14852 </w:instrText>
      </w:r>
      <w:r>
        <w:rPr>
          <w:highlight w:val="yellow"/>
        </w:rPr>
        <w:fldChar w:fldCharType="separate"/>
      </w:r>
      <w:r>
        <w:rPr>
          <w:rFonts w:hint="default" w:ascii="Times New Roman" w:hAnsi="Times New Roman" w:eastAsia="宋体" w:cs="Times New Roman"/>
          <w:bCs/>
          <w:i/>
          <w:iCs/>
          <w:lang w:val="en-US" w:eastAsia="zh-CN"/>
        </w:rPr>
        <w:t xml:space="preserve">Proposal 13: </w:t>
      </w:r>
      <w:r>
        <w:rPr>
          <w:rFonts w:hint="eastAsia"/>
          <w:lang w:val="en-US" w:eastAsia="zh-CN"/>
        </w:rPr>
        <w:t>DCI based indication for the adaptation of paging occasions in time domain can be considered.</w:t>
      </w:r>
      <w:r>
        <w:rPr>
          <w:highlight w:val="yellow"/>
        </w:rPr>
        <w:fldChar w:fldCharType="end"/>
      </w:r>
    </w:p>
    <w:p>
      <w:pPr>
        <w:spacing w:before="120" w:after="120"/>
        <w:rPr>
          <w:highlight w:val="yellow"/>
        </w:rPr>
      </w:pPr>
      <w:r>
        <w:rPr>
          <w:highlight w:val="yellow"/>
        </w:rPr>
        <w:fldChar w:fldCharType="end"/>
      </w:r>
    </w:p>
    <w:p>
      <w:pPr>
        <w:pStyle w:val="2"/>
        <w:spacing w:before="120" w:after="120"/>
        <w:ind w:left="0"/>
        <w:rPr>
          <w:rFonts w:eastAsia="宋体"/>
        </w:rPr>
      </w:pPr>
      <w:r>
        <w:rPr>
          <w:rFonts w:hint="eastAsia" w:eastAsia="宋体"/>
        </w:rPr>
        <w:t>Reference</w:t>
      </w:r>
      <w:r>
        <w:rPr>
          <w:rFonts w:eastAsia="宋体"/>
        </w:rPr>
        <w:t>s</w:t>
      </w:r>
    </w:p>
    <w:p>
      <w:pPr>
        <w:pStyle w:val="39"/>
        <w:spacing w:before="120" w:after="120"/>
        <w:ind w:left="363" w:hanging="363"/>
      </w:pPr>
      <w:r>
        <w:rPr>
          <w:rFonts w:hint="eastAsia"/>
        </w:rPr>
        <w:t>RAN1 Chair</w:t>
      </w:r>
      <w:r>
        <w:t>’</w:t>
      </w:r>
      <w:r>
        <w:rPr>
          <w:rFonts w:hint="eastAsia"/>
        </w:rPr>
        <w:t xml:space="preserve">s Note, 3GPP TSG RAN WG1 #118, </w:t>
      </w:r>
      <w:r>
        <w:fldChar w:fldCharType="begin"/>
      </w:r>
      <w:r>
        <w:instrText xml:space="preserve"> HYPERLINK "https://www.3gpp.org//Specification-Groups/" \t "https://www.3gpp.org/_blank" </w:instrText>
      </w:r>
      <w:r>
        <w:fldChar w:fldCharType="separate"/>
      </w:r>
      <w:r>
        <w:rPr>
          <w:rFonts w:hint="eastAsia"/>
        </w:rPr>
        <w:t>Maastricht</w:t>
      </w:r>
      <w:r>
        <w:rPr>
          <w:rFonts w:hint="eastAsia"/>
        </w:rPr>
        <w:fldChar w:fldCharType="end"/>
      </w:r>
      <w:r>
        <w:rPr>
          <w:rFonts w:hint="eastAsia"/>
        </w:rPr>
        <w:t>, Netherlands, Aug. 19th - Aug. 23th, 2024.</w:t>
      </w:r>
    </w:p>
    <w:p>
      <w:pPr>
        <w:pStyle w:val="39"/>
        <w:spacing w:before="120" w:after="120"/>
        <w:ind w:left="363" w:hanging="363"/>
      </w:pPr>
      <w:r>
        <w:rPr>
          <w:lang w:val="de-DE"/>
        </w:rPr>
        <w:t>R1-24</w:t>
      </w:r>
      <w:r>
        <w:rPr>
          <w:rFonts w:hint="eastAsia"/>
        </w:rPr>
        <w:t xml:space="preserve">05743, </w:t>
      </w:r>
      <w:r>
        <w:t>Final summary of AI 9.5.3 for R19 NES</w:t>
      </w:r>
      <w:r>
        <w:rPr>
          <w:rFonts w:hint="eastAsia"/>
        </w:rPr>
        <w:t>, 3GPP TSG RAN WG1 #117, Moderator (Ericsson), Fukuoka, Japan, May 20th - May 24th, 2024.</w:t>
      </w:r>
    </w:p>
    <w:p>
      <w:pPr>
        <w:pStyle w:val="39"/>
        <w:spacing w:before="120" w:after="120"/>
        <w:ind w:left="363" w:hanging="363"/>
      </w:pPr>
      <w:r>
        <w:rPr>
          <w:lang w:val="de-DE"/>
        </w:rPr>
        <w:t>R1-24</w:t>
      </w:r>
      <w:r>
        <w:rPr>
          <w:rFonts w:hint="eastAsia"/>
        </w:rPr>
        <w:t xml:space="preserve">07409, </w:t>
      </w:r>
      <w:r>
        <w:rPr>
          <w:sz w:val="22"/>
          <w:szCs w:val="22"/>
        </w:rPr>
        <w:t>Summary#4 of AI 9.5.3 for R19 NES</w:t>
      </w:r>
      <w:r>
        <w:rPr>
          <w:rFonts w:hint="eastAsia"/>
          <w:sz w:val="22"/>
          <w:szCs w:val="22"/>
        </w:rPr>
        <w:t xml:space="preserve">, </w:t>
      </w:r>
      <w:r>
        <w:rPr>
          <w:rFonts w:hint="eastAsia"/>
        </w:rPr>
        <w:t xml:space="preserve">3GPP TSG RAN WG1 #118, Moderator (Ericsson), </w:t>
      </w:r>
      <w:r>
        <w:fldChar w:fldCharType="begin"/>
      </w:r>
      <w:r>
        <w:instrText xml:space="preserve"> HYPERLINK "https://www.3gpp.org//Specification-Groups/" \t "https://www.3gpp.org/_blank" </w:instrText>
      </w:r>
      <w:r>
        <w:fldChar w:fldCharType="separate"/>
      </w:r>
      <w:r>
        <w:rPr>
          <w:rFonts w:hint="eastAsia"/>
        </w:rPr>
        <w:t>Maastricht</w:t>
      </w:r>
      <w:r>
        <w:rPr>
          <w:rFonts w:hint="eastAsia"/>
        </w:rPr>
        <w:fldChar w:fldCharType="end"/>
      </w:r>
      <w:r>
        <w:rPr>
          <w:rFonts w:hint="eastAsia"/>
        </w:rPr>
        <w:t>, Netherlands, Aug. 19th - Aug. 23th, 2024.</w:t>
      </w:r>
    </w:p>
    <w:p>
      <w:pPr>
        <w:pStyle w:val="39"/>
        <w:spacing w:before="120" w:after="120"/>
        <w:ind w:left="363" w:hanging="363"/>
      </w:pPr>
      <w:r>
        <w:rPr>
          <w:rFonts w:hint="eastAsia"/>
        </w:rPr>
        <w:t xml:space="preserve">RP-241616, Moderator's summary of offline discussion on REL-19 Network Energy Saving, 3GPP TSG RAN #104, RAN1 chair (Samsung), Shanghai, China, June 17th - June 20th, 2024. </w:t>
      </w:r>
    </w:p>
    <w:p>
      <w:pPr>
        <w:pStyle w:val="39"/>
        <w:spacing w:before="120" w:after="120"/>
        <w:ind w:left="363" w:hanging="363"/>
      </w:pPr>
      <w:r>
        <w:rPr>
          <w:rFonts w:hint="eastAsia"/>
        </w:rPr>
        <w:t>RAN1 Chair</w:t>
      </w:r>
      <w:r>
        <w:t>’</w:t>
      </w:r>
      <w:r>
        <w:rPr>
          <w:rFonts w:hint="eastAsia"/>
        </w:rPr>
        <w:t>s Note, 3GPP TSG RAN WG1 #117, Fukuoka, Japan, May 20th - May 24th, 2024.</w:t>
      </w:r>
    </w:p>
    <w:p>
      <w:pPr>
        <w:pStyle w:val="39"/>
        <w:spacing w:before="120" w:after="120"/>
        <w:ind w:left="363" w:hanging="363"/>
      </w:pPr>
      <w:r>
        <w:rPr>
          <w:rFonts w:hint="eastAsia"/>
        </w:rPr>
        <w:t>TS 38.213, Physical layer procedures for control (Release 18).</w:t>
      </w:r>
    </w:p>
    <w:p>
      <w:pPr>
        <w:pStyle w:val="39"/>
        <w:spacing w:before="120" w:after="120"/>
        <w:ind w:left="363" w:hanging="363"/>
      </w:pPr>
      <w:r>
        <w:rPr>
          <w:rFonts w:hint="eastAsia"/>
        </w:rPr>
        <w:t xml:space="preserve">R1-2406411, Discussion on common signal_channel for NES, 3GPP TSG RAN WG1 #118, ZTE Corporation, Sanechips, </w:t>
      </w:r>
      <w:r>
        <w:fldChar w:fldCharType="begin"/>
      </w:r>
      <w:r>
        <w:instrText xml:space="preserve"> HYPERLINK "https://www.3gpp.org//Specification-Groups/" \t "https://www.3gpp.org/_blank" </w:instrText>
      </w:r>
      <w:r>
        <w:fldChar w:fldCharType="separate"/>
      </w:r>
      <w:r>
        <w:rPr>
          <w:rFonts w:hint="eastAsia"/>
        </w:rPr>
        <w:t>Maastricht</w:t>
      </w:r>
      <w:r>
        <w:rPr>
          <w:rFonts w:hint="eastAsia"/>
        </w:rPr>
        <w:fldChar w:fldCharType="end"/>
      </w:r>
      <w:r>
        <w:rPr>
          <w:rFonts w:hint="eastAsia"/>
        </w:rPr>
        <w:t>, Netherlands, Aug. 19th - Aug. 23th, 2024.</w:t>
      </w:r>
    </w:p>
    <w:p>
      <w:pPr>
        <w:pStyle w:val="39"/>
        <w:spacing w:beforeLines="0" w:after="0" w:afterLines="0" w:line="240" w:lineRule="auto"/>
        <w:ind w:left="363" w:hanging="363"/>
      </w:pPr>
      <w:r>
        <w:rPr>
          <w:rFonts w:hint="eastAsia"/>
        </w:rPr>
        <w:t>RAN1 Chair</w:t>
      </w:r>
      <w:r>
        <w:t>’</w:t>
      </w:r>
      <w:r>
        <w:rPr>
          <w:rFonts w:hint="eastAsia"/>
        </w:rPr>
        <w:t>s Note, 3GPP TSG RAN WG1 #116, Athens, Greece, February 26th - March 1st, 2024.</w:t>
      </w: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60288;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263839"/>
    <w:multiLevelType w:val="singleLevel"/>
    <w:tmpl w:val="8E263839"/>
    <w:lvl w:ilvl="0" w:tentative="0">
      <w:start w:val="1"/>
      <w:numFmt w:val="bullet"/>
      <w:lvlText w:val=""/>
      <w:lvlJc w:val="left"/>
      <w:pPr>
        <w:ind w:left="420" w:hanging="420"/>
      </w:pPr>
      <w:rPr>
        <w:rFonts w:hint="default" w:ascii="Wingdings" w:hAnsi="Wingdings" w:cs="Wingdings"/>
      </w:rPr>
    </w:lvl>
  </w:abstractNum>
  <w:abstractNum w:abstractNumId="1">
    <w:nsid w:val="9AE9B366"/>
    <w:multiLevelType w:val="singleLevel"/>
    <w:tmpl w:val="9AE9B366"/>
    <w:lvl w:ilvl="0" w:tentative="0">
      <w:start w:val="1"/>
      <w:numFmt w:val="bullet"/>
      <w:lvlText w:val=""/>
      <w:lvlJc w:val="left"/>
      <w:pPr>
        <w:tabs>
          <w:tab w:val="left" w:pos="420"/>
        </w:tabs>
        <w:ind w:left="840" w:hanging="420"/>
      </w:pPr>
      <w:rPr>
        <w:rFonts w:hint="default" w:ascii="Wingdings" w:hAnsi="Wingdings" w:cs="Wingdings"/>
      </w:rPr>
    </w:lvl>
  </w:abstractNum>
  <w:abstractNum w:abstractNumId="2">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C42E4937"/>
    <w:multiLevelType w:val="singleLevel"/>
    <w:tmpl w:val="C42E4937"/>
    <w:lvl w:ilvl="0" w:tentative="0">
      <w:start w:val="1"/>
      <w:numFmt w:val="bullet"/>
      <w:lvlText w:val=""/>
      <w:lvlJc w:val="left"/>
      <w:pPr>
        <w:ind w:left="420" w:hanging="420"/>
      </w:pPr>
      <w:rPr>
        <w:rFonts w:hint="default" w:ascii="Wingdings" w:hAnsi="Wingdings" w:cs="Wingdings"/>
      </w:rPr>
    </w:lvl>
  </w:abstractNum>
  <w:abstractNum w:abstractNumId="5">
    <w:nsid w:val="04835648"/>
    <w:multiLevelType w:val="multilevel"/>
    <w:tmpl w:val="048356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11">
    <w:nsid w:val="3F880A60"/>
    <w:multiLevelType w:val="multilevel"/>
    <w:tmpl w:val="3F880A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5015543"/>
    <w:multiLevelType w:val="multilevel"/>
    <w:tmpl w:val="5501554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14"/>
  </w:num>
  <w:num w:numId="8">
    <w:abstractNumId w:val="9"/>
  </w:num>
  <w:num w:numId="9">
    <w:abstractNumId w:val="12"/>
  </w:num>
  <w:num w:numId="10">
    <w:abstractNumId w:val="0"/>
  </w:num>
  <w:num w:numId="11">
    <w:abstractNumId w:val="4"/>
  </w:num>
  <w:num w:numId="12">
    <w:abstractNumId w:val="1"/>
  </w:num>
  <w:num w:numId="13">
    <w:abstractNumId w:val="13"/>
  </w:num>
  <w:num w:numId="14">
    <w:abstractNumId w:val="11"/>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62828"/>
    <w:rsid w:val="00067806"/>
    <w:rsid w:val="000720E0"/>
    <w:rsid w:val="00072FB0"/>
    <w:rsid w:val="00093DF3"/>
    <w:rsid w:val="000A15BE"/>
    <w:rsid w:val="000B30EA"/>
    <w:rsid w:val="000C1A96"/>
    <w:rsid w:val="000D0462"/>
    <w:rsid w:val="000E2433"/>
    <w:rsid w:val="000E6BBB"/>
    <w:rsid w:val="000F28CA"/>
    <w:rsid w:val="00103906"/>
    <w:rsid w:val="001237BF"/>
    <w:rsid w:val="00142961"/>
    <w:rsid w:val="001470AA"/>
    <w:rsid w:val="00153BF7"/>
    <w:rsid w:val="0016113B"/>
    <w:rsid w:val="001622FF"/>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406B"/>
    <w:rsid w:val="00212872"/>
    <w:rsid w:val="0021360B"/>
    <w:rsid w:val="00216169"/>
    <w:rsid w:val="002240E1"/>
    <w:rsid w:val="00224A1A"/>
    <w:rsid w:val="00227DF5"/>
    <w:rsid w:val="002320CA"/>
    <w:rsid w:val="00240027"/>
    <w:rsid w:val="002401EC"/>
    <w:rsid w:val="00243B44"/>
    <w:rsid w:val="00244ABB"/>
    <w:rsid w:val="00247A67"/>
    <w:rsid w:val="00251814"/>
    <w:rsid w:val="00256B05"/>
    <w:rsid w:val="00261C72"/>
    <w:rsid w:val="0026766E"/>
    <w:rsid w:val="00270D65"/>
    <w:rsid w:val="002748A9"/>
    <w:rsid w:val="00282069"/>
    <w:rsid w:val="002864B5"/>
    <w:rsid w:val="002B4661"/>
    <w:rsid w:val="002C4448"/>
    <w:rsid w:val="002C68AC"/>
    <w:rsid w:val="002C7CCD"/>
    <w:rsid w:val="002F037D"/>
    <w:rsid w:val="002F0E7A"/>
    <w:rsid w:val="002F2535"/>
    <w:rsid w:val="002F5687"/>
    <w:rsid w:val="002F5A8D"/>
    <w:rsid w:val="00302F20"/>
    <w:rsid w:val="00303936"/>
    <w:rsid w:val="00314748"/>
    <w:rsid w:val="00315B5C"/>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95C90"/>
    <w:rsid w:val="004A142B"/>
    <w:rsid w:val="004A5D1D"/>
    <w:rsid w:val="004A699E"/>
    <w:rsid w:val="004B44A9"/>
    <w:rsid w:val="004C1A54"/>
    <w:rsid w:val="004C1B6B"/>
    <w:rsid w:val="004F5994"/>
    <w:rsid w:val="00500F45"/>
    <w:rsid w:val="00503921"/>
    <w:rsid w:val="00507A00"/>
    <w:rsid w:val="005176E7"/>
    <w:rsid w:val="00523589"/>
    <w:rsid w:val="00523668"/>
    <w:rsid w:val="00523AD9"/>
    <w:rsid w:val="00523D5E"/>
    <w:rsid w:val="00527033"/>
    <w:rsid w:val="00531B5B"/>
    <w:rsid w:val="00532500"/>
    <w:rsid w:val="0053433D"/>
    <w:rsid w:val="005349A5"/>
    <w:rsid w:val="00541B22"/>
    <w:rsid w:val="00546436"/>
    <w:rsid w:val="00547723"/>
    <w:rsid w:val="00564BCB"/>
    <w:rsid w:val="0056509E"/>
    <w:rsid w:val="00572F6E"/>
    <w:rsid w:val="00574776"/>
    <w:rsid w:val="0058526A"/>
    <w:rsid w:val="00585556"/>
    <w:rsid w:val="0059321F"/>
    <w:rsid w:val="00593818"/>
    <w:rsid w:val="005A05C6"/>
    <w:rsid w:val="005A0FE9"/>
    <w:rsid w:val="005A11E7"/>
    <w:rsid w:val="005B77A5"/>
    <w:rsid w:val="005C6B42"/>
    <w:rsid w:val="005D5019"/>
    <w:rsid w:val="005D6A1C"/>
    <w:rsid w:val="005E2C89"/>
    <w:rsid w:val="005F26E5"/>
    <w:rsid w:val="005F4271"/>
    <w:rsid w:val="00611232"/>
    <w:rsid w:val="00614E28"/>
    <w:rsid w:val="0061503F"/>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619AB"/>
    <w:rsid w:val="00674739"/>
    <w:rsid w:val="00676C72"/>
    <w:rsid w:val="00680FFF"/>
    <w:rsid w:val="00691376"/>
    <w:rsid w:val="006922EF"/>
    <w:rsid w:val="00694EF8"/>
    <w:rsid w:val="00694FB9"/>
    <w:rsid w:val="006C2229"/>
    <w:rsid w:val="006C55B1"/>
    <w:rsid w:val="006C69C1"/>
    <w:rsid w:val="006D11DE"/>
    <w:rsid w:val="006D3D89"/>
    <w:rsid w:val="006E01C3"/>
    <w:rsid w:val="006F4852"/>
    <w:rsid w:val="00700636"/>
    <w:rsid w:val="00701BF9"/>
    <w:rsid w:val="007036F7"/>
    <w:rsid w:val="0070691A"/>
    <w:rsid w:val="0070693A"/>
    <w:rsid w:val="00717A38"/>
    <w:rsid w:val="0073053B"/>
    <w:rsid w:val="00735DC1"/>
    <w:rsid w:val="007427BB"/>
    <w:rsid w:val="007431FC"/>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28CE"/>
    <w:rsid w:val="007E4A23"/>
    <w:rsid w:val="007F25FD"/>
    <w:rsid w:val="007F39F4"/>
    <w:rsid w:val="00802A15"/>
    <w:rsid w:val="00810C42"/>
    <w:rsid w:val="00816EF3"/>
    <w:rsid w:val="008266C4"/>
    <w:rsid w:val="008412CD"/>
    <w:rsid w:val="0084332A"/>
    <w:rsid w:val="00847621"/>
    <w:rsid w:val="008479FF"/>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903A35"/>
    <w:rsid w:val="009122C3"/>
    <w:rsid w:val="00922624"/>
    <w:rsid w:val="00923BDA"/>
    <w:rsid w:val="0093617A"/>
    <w:rsid w:val="009411A5"/>
    <w:rsid w:val="00946A7C"/>
    <w:rsid w:val="00950DB1"/>
    <w:rsid w:val="00952C83"/>
    <w:rsid w:val="00957418"/>
    <w:rsid w:val="009610C6"/>
    <w:rsid w:val="0096194F"/>
    <w:rsid w:val="00966E7D"/>
    <w:rsid w:val="00970630"/>
    <w:rsid w:val="00971A1F"/>
    <w:rsid w:val="0097299C"/>
    <w:rsid w:val="009734B7"/>
    <w:rsid w:val="00983FE2"/>
    <w:rsid w:val="00986B97"/>
    <w:rsid w:val="00994A41"/>
    <w:rsid w:val="009A380A"/>
    <w:rsid w:val="009A3A36"/>
    <w:rsid w:val="009A4F31"/>
    <w:rsid w:val="009B05AD"/>
    <w:rsid w:val="009B18A3"/>
    <w:rsid w:val="009B5557"/>
    <w:rsid w:val="009D2A17"/>
    <w:rsid w:val="009D6400"/>
    <w:rsid w:val="009D7770"/>
    <w:rsid w:val="009D7C12"/>
    <w:rsid w:val="009E593F"/>
    <w:rsid w:val="009F65A8"/>
    <w:rsid w:val="009F7747"/>
    <w:rsid w:val="00A05A33"/>
    <w:rsid w:val="00A14F22"/>
    <w:rsid w:val="00A15BD0"/>
    <w:rsid w:val="00A171E5"/>
    <w:rsid w:val="00A17810"/>
    <w:rsid w:val="00A21523"/>
    <w:rsid w:val="00A26720"/>
    <w:rsid w:val="00A33BD9"/>
    <w:rsid w:val="00A40C3F"/>
    <w:rsid w:val="00A4182C"/>
    <w:rsid w:val="00A50B2A"/>
    <w:rsid w:val="00A51CDD"/>
    <w:rsid w:val="00A54A48"/>
    <w:rsid w:val="00A551E2"/>
    <w:rsid w:val="00A56849"/>
    <w:rsid w:val="00A57AD9"/>
    <w:rsid w:val="00A64DED"/>
    <w:rsid w:val="00A656E5"/>
    <w:rsid w:val="00A809DB"/>
    <w:rsid w:val="00A86EB5"/>
    <w:rsid w:val="00A91773"/>
    <w:rsid w:val="00A92854"/>
    <w:rsid w:val="00A92CA8"/>
    <w:rsid w:val="00AA1889"/>
    <w:rsid w:val="00AB0AAF"/>
    <w:rsid w:val="00AB251B"/>
    <w:rsid w:val="00AB500B"/>
    <w:rsid w:val="00AB5108"/>
    <w:rsid w:val="00AB6D34"/>
    <w:rsid w:val="00AC24BF"/>
    <w:rsid w:val="00AD56C4"/>
    <w:rsid w:val="00AD7FE5"/>
    <w:rsid w:val="00AE15F4"/>
    <w:rsid w:val="00AE5530"/>
    <w:rsid w:val="00AF3608"/>
    <w:rsid w:val="00B031EF"/>
    <w:rsid w:val="00B11405"/>
    <w:rsid w:val="00B138E9"/>
    <w:rsid w:val="00B179E3"/>
    <w:rsid w:val="00B245AA"/>
    <w:rsid w:val="00B33E26"/>
    <w:rsid w:val="00B34FF8"/>
    <w:rsid w:val="00B43645"/>
    <w:rsid w:val="00B54730"/>
    <w:rsid w:val="00B56091"/>
    <w:rsid w:val="00B60F6C"/>
    <w:rsid w:val="00B663FA"/>
    <w:rsid w:val="00B76824"/>
    <w:rsid w:val="00B81C3C"/>
    <w:rsid w:val="00B8231C"/>
    <w:rsid w:val="00B87AB7"/>
    <w:rsid w:val="00BA72B7"/>
    <w:rsid w:val="00BA7674"/>
    <w:rsid w:val="00BB08C4"/>
    <w:rsid w:val="00BD72A5"/>
    <w:rsid w:val="00BE22EC"/>
    <w:rsid w:val="00BE5D22"/>
    <w:rsid w:val="00BF526E"/>
    <w:rsid w:val="00BF743C"/>
    <w:rsid w:val="00C07C74"/>
    <w:rsid w:val="00C10FE5"/>
    <w:rsid w:val="00C12784"/>
    <w:rsid w:val="00C16276"/>
    <w:rsid w:val="00C2142E"/>
    <w:rsid w:val="00C22FCF"/>
    <w:rsid w:val="00C2334E"/>
    <w:rsid w:val="00C2713A"/>
    <w:rsid w:val="00C275E2"/>
    <w:rsid w:val="00C34FD0"/>
    <w:rsid w:val="00C5232C"/>
    <w:rsid w:val="00C625E3"/>
    <w:rsid w:val="00C67AE3"/>
    <w:rsid w:val="00C76271"/>
    <w:rsid w:val="00C829B3"/>
    <w:rsid w:val="00C855D2"/>
    <w:rsid w:val="00C87A17"/>
    <w:rsid w:val="00C922BC"/>
    <w:rsid w:val="00C925E7"/>
    <w:rsid w:val="00CA09F5"/>
    <w:rsid w:val="00CA152B"/>
    <w:rsid w:val="00CB03D7"/>
    <w:rsid w:val="00CB046A"/>
    <w:rsid w:val="00CB7FB3"/>
    <w:rsid w:val="00CC01B0"/>
    <w:rsid w:val="00CC11A8"/>
    <w:rsid w:val="00CC2CD6"/>
    <w:rsid w:val="00CD3354"/>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75590"/>
    <w:rsid w:val="00D82051"/>
    <w:rsid w:val="00D82CF5"/>
    <w:rsid w:val="00D838A0"/>
    <w:rsid w:val="00D85B2C"/>
    <w:rsid w:val="00D871C4"/>
    <w:rsid w:val="00D8785A"/>
    <w:rsid w:val="00D91349"/>
    <w:rsid w:val="00D92E3B"/>
    <w:rsid w:val="00D97B0C"/>
    <w:rsid w:val="00DB0E95"/>
    <w:rsid w:val="00DB12AD"/>
    <w:rsid w:val="00DB2010"/>
    <w:rsid w:val="00DB505E"/>
    <w:rsid w:val="00DC0C4F"/>
    <w:rsid w:val="00DC1213"/>
    <w:rsid w:val="00DC6E1E"/>
    <w:rsid w:val="00DC70F6"/>
    <w:rsid w:val="00DC724A"/>
    <w:rsid w:val="00DC7E0B"/>
    <w:rsid w:val="00DD5F49"/>
    <w:rsid w:val="00DF4482"/>
    <w:rsid w:val="00E05651"/>
    <w:rsid w:val="00E068AA"/>
    <w:rsid w:val="00E1380B"/>
    <w:rsid w:val="00E258FC"/>
    <w:rsid w:val="00E30348"/>
    <w:rsid w:val="00E339EA"/>
    <w:rsid w:val="00E52879"/>
    <w:rsid w:val="00E55791"/>
    <w:rsid w:val="00E56340"/>
    <w:rsid w:val="00E67009"/>
    <w:rsid w:val="00E704FD"/>
    <w:rsid w:val="00E70ABC"/>
    <w:rsid w:val="00E74935"/>
    <w:rsid w:val="00E75D6F"/>
    <w:rsid w:val="00E8609B"/>
    <w:rsid w:val="00E91559"/>
    <w:rsid w:val="00E92BF0"/>
    <w:rsid w:val="00E94718"/>
    <w:rsid w:val="00E95FFE"/>
    <w:rsid w:val="00EA0820"/>
    <w:rsid w:val="00EB4671"/>
    <w:rsid w:val="00EB70EA"/>
    <w:rsid w:val="00ED0DCA"/>
    <w:rsid w:val="00ED47A7"/>
    <w:rsid w:val="00EE1EE7"/>
    <w:rsid w:val="00F019E9"/>
    <w:rsid w:val="00F0214A"/>
    <w:rsid w:val="00F05DFC"/>
    <w:rsid w:val="00F072E8"/>
    <w:rsid w:val="00F143A1"/>
    <w:rsid w:val="00F1480F"/>
    <w:rsid w:val="00F179F3"/>
    <w:rsid w:val="00F2072B"/>
    <w:rsid w:val="00F34277"/>
    <w:rsid w:val="00F4372E"/>
    <w:rsid w:val="00F4492D"/>
    <w:rsid w:val="00F45130"/>
    <w:rsid w:val="00F453FE"/>
    <w:rsid w:val="00F71825"/>
    <w:rsid w:val="00F80169"/>
    <w:rsid w:val="00F81514"/>
    <w:rsid w:val="00F82200"/>
    <w:rsid w:val="00F86352"/>
    <w:rsid w:val="00F87040"/>
    <w:rsid w:val="00F95A32"/>
    <w:rsid w:val="00FA3FD9"/>
    <w:rsid w:val="00FA6170"/>
    <w:rsid w:val="00FA6AF6"/>
    <w:rsid w:val="00FA7D65"/>
    <w:rsid w:val="00FB593A"/>
    <w:rsid w:val="00FC20D8"/>
    <w:rsid w:val="00FC72FB"/>
    <w:rsid w:val="00FD0FB8"/>
    <w:rsid w:val="00FE0900"/>
    <w:rsid w:val="00FF4A7B"/>
    <w:rsid w:val="010D0267"/>
    <w:rsid w:val="010D6400"/>
    <w:rsid w:val="01116D56"/>
    <w:rsid w:val="011C7F2E"/>
    <w:rsid w:val="011D1CFC"/>
    <w:rsid w:val="013B3CF1"/>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554A48"/>
    <w:rsid w:val="0D6718A8"/>
    <w:rsid w:val="0D8A5C4C"/>
    <w:rsid w:val="0D9D3B84"/>
    <w:rsid w:val="0DA32762"/>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901D25"/>
    <w:rsid w:val="10A7382A"/>
    <w:rsid w:val="10C359D9"/>
    <w:rsid w:val="11011524"/>
    <w:rsid w:val="110877A1"/>
    <w:rsid w:val="110D72EA"/>
    <w:rsid w:val="110E7959"/>
    <w:rsid w:val="1119722C"/>
    <w:rsid w:val="1127264D"/>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79443B"/>
    <w:rsid w:val="148B15E0"/>
    <w:rsid w:val="14D20D9B"/>
    <w:rsid w:val="15006FBE"/>
    <w:rsid w:val="151F6B5A"/>
    <w:rsid w:val="15212130"/>
    <w:rsid w:val="156542CB"/>
    <w:rsid w:val="158014E9"/>
    <w:rsid w:val="158A5B50"/>
    <w:rsid w:val="159F23B3"/>
    <w:rsid w:val="15A2498C"/>
    <w:rsid w:val="15A41290"/>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7F77922"/>
    <w:rsid w:val="18055C5F"/>
    <w:rsid w:val="1818083E"/>
    <w:rsid w:val="184253B9"/>
    <w:rsid w:val="18434C37"/>
    <w:rsid w:val="186202E0"/>
    <w:rsid w:val="18655B8E"/>
    <w:rsid w:val="186E43F1"/>
    <w:rsid w:val="187E4517"/>
    <w:rsid w:val="188153D5"/>
    <w:rsid w:val="18875C71"/>
    <w:rsid w:val="18B80BCE"/>
    <w:rsid w:val="18C06461"/>
    <w:rsid w:val="18C66922"/>
    <w:rsid w:val="18D15598"/>
    <w:rsid w:val="18DC5CEB"/>
    <w:rsid w:val="18E62FBE"/>
    <w:rsid w:val="18EE7258"/>
    <w:rsid w:val="19000F5A"/>
    <w:rsid w:val="190C7DED"/>
    <w:rsid w:val="19141DBC"/>
    <w:rsid w:val="19270D53"/>
    <w:rsid w:val="193337BA"/>
    <w:rsid w:val="19402796"/>
    <w:rsid w:val="19407B9F"/>
    <w:rsid w:val="195254FA"/>
    <w:rsid w:val="195919BF"/>
    <w:rsid w:val="19677C6A"/>
    <w:rsid w:val="19733859"/>
    <w:rsid w:val="197A49C5"/>
    <w:rsid w:val="198A4DC2"/>
    <w:rsid w:val="199750ED"/>
    <w:rsid w:val="19A57045"/>
    <w:rsid w:val="19AC0EF2"/>
    <w:rsid w:val="19B57275"/>
    <w:rsid w:val="19BE3E90"/>
    <w:rsid w:val="19C11AC9"/>
    <w:rsid w:val="19C37E45"/>
    <w:rsid w:val="19CF40F7"/>
    <w:rsid w:val="19ED0EB9"/>
    <w:rsid w:val="19F21F24"/>
    <w:rsid w:val="1A00617E"/>
    <w:rsid w:val="1A1324AA"/>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E7CA1"/>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0A1D05"/>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2C77"/>
    <w:rsid w:val="205B6A7D"/>
    <w:rsid w:val="205E4038"/>
    <w:rsid w:val="2075093F"/>
    <w:rsid w:val="20786BA2"/>
    <w:rsid w:val="207F447D"/>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F34D45"/>
    <w:rsid w:val="21F950CF"/>
    <w:rsid w:val="22045432"/>
    <w:rsid w:val="220D5626"/>
    <w:rsid w:val="222A3C9E"/>
    <w:rsid w:val="22396FF8"/>
    <w:rsid w:val="22431035"/>
    <w:rsid w:val="225C0846"/>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4D2E57"/>
    <w:rsid w:val="246E404E"/>
    <w:rsid w:val="247F538E"/>
    <w:rsid w:val="248114CC"/>
    <w:rsid w:val="24A3249E"/>
    <w:rsid w:val="24A62D02"/>
    <w:rsid w:val="24AE2BE4"/>
    <w:rsid w:val="24AF069B"/>
    <w:rsid w:val="24AF1929"/>
    <w:rsid w:val="24B63D40"/>
    <w:rsid w:val="24C674E1"/>
    <w:rsid w:val="24C8317D"/>
    <w:rsid w:val="24CA5836"/>
    <w:rsid w:val="24FA0B67"/>
    <w:rsid w:val="25082A0B"/>
    <w:rsid w:val="252A182D"/>
    <w:rsid w:val="25353B62"/>
    <w:rsid w:val="25417958"/>
    <w:rsid w:val="254369E7"/>
    <w:rsid w:val="25494E1D"/>
    <w:rsid w:val="2566023B"/>
    <w:rsid w:val="256C25B4"/>
    <w:rsid w:val="257A74F9"/>
    <w:rsid w:val="25895A3D"/>
    <w:rsid w:val="258D735D"/>
    <w:rsid w:val="259A68BC"/>
    <w:rsid w:val="25D1716B"/>
    <w:rsid w:val="25DF6A97"/>
    <w:rsid w:val="25E6024A"/>
    <w:rsid w:val="25EA0F86"/>
    <w:rsid w:val="26212585"/>
    <w:rsid w:val="26282ED7"/>
    <w:rsid w:val="263B1449"/>
    <w:rsid w:val="265B6DE8"/>
    <w:rsid w:val="265F04C1"/>
    <w:rsid w:val="2660228B"/>
    <w:rsid w:val="267440C5"/>
    <w:rsid w:val="268C256C"/>
    <w:rsid w:val="269F48BD"/>
    <w:rsid w:val="26A7223A"/>
    <w:rsid w:val="26F23979"/>
    <w:rsid w:val="272152C4"/>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D6CCC"/>
    <w:rsid w:val="2ADF720A"/>
    <w:rsid w:val="2AEE4512"/>
    <w:rsid w:val="2AFC30F1"/>
    <w:rsid w:val="2B262879"/>
    <w:rsid w:val="2B341240"/>
    <w:rsid w:val="2B34584A"/>
    <w:rsid w:val="2B3D6ED6"/>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36307"/>
    <w:rsid w:val="2EB72D84"/>
    <w:rsid w:val="2EE011A4"/>
    <w:rsid w:val="2EE359E2"/>
    <w:rsid w:val="2EEC1574"/>
    <w:rsid w:val="2F1B43C7"/>
    <w:rsid w:val="2F5604CA"/>
    <w:rsid w:val="2F592F8F"/>
    <w:rsid w:val="2F5942DE"/>
    <w:rsid w:val="2FA36E63"/>
    <w:rsid w:val="2FC33170"/>
    <w:rsid w:val="2FD2281B"/>
    <w:rsid w:val="2FD352CF"/>
    <w:rsid w:val="2FD66838"/>
    <w:rsid w:val="2FDB72F7"/>
    <w:rsid w:val="2FEB7FDD"/>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2D39F2"/>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1B1803"/>
    <w:rsid w:val="37373268"/>
    <w:rsid w:val="37592FE4"/>
    <w:rsid w:val="375E20CF"/>
    <w:rsid w:val="377336AC"/>
    <w:rsid w:val="377F502A"/>
    <w:rsid w:val="37804449"/>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103905"/>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321FA1"/>
    <w:rsid w:val="3D4A6E2B"/>
    <w:rsid w:val="3D5C306C"/>
    <w:rsid w:val="3D6A3EE4"/>
    <w:rsid w:val="3D6E15B5"/>
    <w:rsid w:val="3D8762BD"/>
    <w:rsid w:val="3D941FD0"/>
    <w:rsid w:val="3D9D203E"/>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CC1F36"/>
    <w:rsid w:val="3FED10C4"/>
    <w:rsid w:val="3FFD69BE"/>
    <w:rsid w:val="40115E5D"/>
    <w:rsid w:val="40142B28"/>
    <w:rsid w:val="401C3BB3"/>
    <w:rsid w:val="402551CC"/>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301385"/>
    <w:rsid w:val="48713429"/>
    <w:rsid w:val="487B3B0A"/>
    <w:rsid w:val="487F761D"/>
    <w:rsid w:val="4891605D"/>
    <w:rsid w:val="48D173C6"/>
    <w:rsid w:val="48E02F78"/>
    <w:rsid w:val="48E76F84"/>
    <w:rsid w:val="48F00546"/>
    <w:rsid w:val="4906501C"/>
    <w:rsid w:val="49090450"/>
    <w:rsid w:val="49132398"/>
    <w:rsid w:val="491B5B23"/>
    <w:rsid w:val="493B491E"/>
    <w:rsid w:val="494305AE"/>
    <w:rsid w:val="49550F29"/>
    <w:rsid w:val="495C54D1"/>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60A5C"/>
    <w:rsid w:val="4B7A2CD7"/>
    <w:rsid w:val="4B806B37"/>
    <w:rsid w:val="4B8464B3"/>
    <w:rsid w:val="4B8B1F5C"/>
    <w:rsid w:val="4B96469A"/>
    <w:rsid w:val="4BB96A99"/>
    <w:rsid w:val="4BC749D4"/>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6651D9"/>
    <w:rsid w:val="4C9A635E"/>
    <w:rsid w:val="4CA860AF"/>
    <w:rsid w:val="4CB66E36"/>
    <w:rsid w:val="4CD04687"/>
    <w:rsid w:val="4CDA7949"/>
    <w:rsid w:val="4D09681B"/>
    <w:rsid w:val="4D1A4667"/>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2E7E31"/>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5F177D"/>
    <w:rsid w:val="616270EF"/>
    <w:rsid w:val="61706EDF"/>
    <w:rsid w:val="61770AB3"/>
    <w:rsid w:val="619B1498"/>
    <w:rsid w:val="619B3BCB"/>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5C0BF8"/>
    <w:rsid w:val="6688533A"/>
    <w:rsid w:val="66BB442F"/>
    <w:rsid w:val="66D02521"/>
    <w:rsid w:val="66D439F4"/>
    <w:rsid w:val="67006A38"/>
    <w:rsid w:val="67097AAB"/>
    <w:rsid w:val="670C3488"/>
    <w:rsid w:val="672E09CF"/>
    <w:rsid w:val="67365DB5"/>
    <w:rsid w:val="677507BF"/>
    <w:rsid w:val="6792126C"/>
    <w:rsid w:val="67A97CFB"/>
    <w:rsid w:val="67CF5A1D"/>
    <w:rsid w:val="67DA135C"/>
    <w:rsid w:val="67EB7F24"/>
    <w:rsid w:val="67EC006A"/>
    <w:rsid w:val="6802125F"/>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59167B"/>
    <w:rsid w:val="6B6356A7"/>
    <w:rsid w:val="6B6712DB"/>
    <w:rsid w:val="6B6F75D9"/>
    <w:rsid w:val="6B7753BB"/>
    <w:rsid w:val="6B7A6C48"/>
    <w:rsid w:val="6B8223B8"/>
    <w:rsid w:val="6BA303EE"/>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4E0A2B"/>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2D4FC3"/>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55D00"/>
    <w:rsid w:val="78665FE4"/>
    <w:rsid w:val="786E0FFE"/>
    <w:rsid w:val="78A93133"/>
    <w:rsid w:val="78C237BC"/>
    <w:rsid w:val="78D02FB6"/>
    <w:rsid w:val="78DE372A"/>
    <w:rsid w:val="78E43768"/>
    <w:rsid w:val="78FD3867"/>
    <w:rsid w:val="79214FA6"/>
    <w:rsid w:val="79367FB8"/>
    <w:rsid w:val="79392A29"/>
    <w:rsid w:val="79421701"/>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5262A"/>
    <w:rsid w:val="7D21528B"/>
    <w:rsid w:val="7D295788"/>
    <w:rsid w:val="7D2D6988"/>
    <w:rsid w:val="7D431D8D"/>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F2676A-B801-4285-8A25-357E3881368F}">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4652</Words>
  <Characters>26519</Characters>
  <Lines>220</Lines>
  <Paragraphs>62</Paragraphs>
  <TotalTime>2</TotalTime>
  <ScaleCrop>false</ScaleCrop>
  <LinksUpToDate>false</LinksUpToDate>
  <CharactersWithSpaces>31109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 Jiajun Xu</cp:lastModifiedBy>
  <dcterms:modified xsi:type="dcterms:W3CDTF">2024-09-30T07:54:16Z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205A07F63945441EAE81737214465F60</vt:lpwstr>
  </property>
</Properties>
</file>