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CE092D" w14:textId="53A4593A" w:rsidR="00455EB9" w:rsidRPr="00E732B2" w:rsidRDefault="00455EB9" w:rsidP="00455EB9">
      <w:pPr>
        <w:tabs>
          <w:tab w:val="center" w:pos="4536"/>
          <w:tab w:val="right" w:pos="7938"/>
          <w:tab w:val="right" w:pos="9639"/>
        </w:tabs>
        <w:spacing w:after="0"/>
        <w:ind w:right="2"/>
        <w:rPr>
          <w:rFonts w:ascii="Arial" w:hAnsi="Arial" w:cs="Arial"/>
          <w:b/>
          <w:bCs/>
          <w:szCs w:val="21"/>
          <w:lang w:eastAsia="zh-CN"/>
        </w:rPr>
      </w:pPr>
      <w:bookmarkStart w:id="0" w:name="_Hlk145670493"/>
      <w:r w:rsidRPr="00E732B2">
        <w:rPr>
          <w:rFonts w:ascii="Arial" w:hAnsi="Arial" w:cs="Arial"/>
          <w:b/>
          <w:bCs/>
          <w:szCs w:val="20"/>
        </w:rPr>
        <w:t>3GPP TSG RAN WG1 #118</w:t>
      </w:r>
      <w:r w:rsidRPr="00E732B2">
        <w:rPr>
          <w:rFonts w:ascii="Arial" w:hAnsi="Arial" w:cs="Arial"/>
          <w:b/>
          <w:bCs/>
          <w:szCs w:val="20"/>
        </w:rPr>
        <w:tab/>
      </w:r>
      <w:r w:rsidRPr="00E732B2">
        <w:rPr>
          <w:rFonts w:ascii="Arial" w:hAnsi="Arial" w:cs="Arial"/>
          <w:b/>
          <w:bCs/>
          <w:szCs w:val="20"/>
        </w:rPr>
        <w:tab/>
      </w:r>
      <w:r w:rsidRPr="00E732B2">
        <w:rPr>
          <w:rFonts w:ascii="Arial" w:hAnsi="Arial" w:cs="Arial"/>
          <w:b/>
          <w:bCs/>
          <w:szCs w:val="20"/>
        </w:rPr>
        <w:tab/>
        <w:t>R1-</w:t>
      </w:r>
      <w:r w:rsidR="001A1A4C">
        <w:rPr>
          <w:rFonts w:ascii="Arial" w:hAnsi="Arial" w:cs="Arial"/>
          <w:b/>
          <w:bCs/>
          <w:szCs w:val="20"/>
        </w:rPr>
        <w:t>2407138</w:t>
      </w:r>
    </w:p>
    <w:p w14:paraId="0A42DCD1" w14:textId="5663C143" w:rsidR="00455EB9" w:rsidRPr="00E732B2" w:rsidRDefault="00455EB9" w:rsidP="00455EB9">
      <w:pPr>
        <w:tabs>
          <w:tab w:val="center" w:pos="4536"/>
          <w:tab w:val="right" w:pos="9072"/>
        </w:tabs>
        <w:spacing w:after="0"/>
        <w:rPr>
          <w:rFonts w:ascii="Arial" w:eastAsia="MS Mincho" w:hAnsi="Arial" w:cs="Arial"/>
          <w:b/>
          <w:bCs/>
          <w:szCs w:val="20"/>
          <w:lang w:eastAsia="ja-JP"/>
        </w:rPr>
      </w:pPr>
      <w:r w:rsidRPr="00E732B2">
        <w:rPr>
          <w:rFonts w:ascii="Arial" w:eastAsia="MS Mincho" w:hAnsi="Arial" w:cs="Arial"/>
          <w:b/>
          <w:bCs/>
          <w:szCs w:val="20"/>
          <w:lang w:eastAsia="ja-JP"/>
        </w:rPr>
        <w:t>Maastricht, NL, August 19</w:t>
      </w:r>
      <w:r w:rsidRPr="00E732B2">
        <w:rPr>
          <w:rFonts w:ascii="Malgun Gothic" w:eastAsia="Malgun Gothic" w:hAnsi="Malgun Gothic" w:cs="Malgun Gothic" w:hint="eastAsia"/>
          <w:b/>
          <w:bCs/>
          <w:szCs w:val="20"/>
          <w:vertAlign w:val="superscript"/>
          <w:lang w:eastAsia="ko-KR"/>
        </w:rPr>
        <w:t>th</w:t>
      </w:r>
      <w:r w:rsidRPr="00E732B2">
        <w:rPr>
          <w:rFonts w:ascii="Arial" w:eastAsia="MS Mincho" w:hAnsi="Arial" w:cs="Arial"/>
          <w:b/>
          <w:bCs/>
          <w:szCs w:val="20"/>
          <w:lang w:eastAsia="ja-JP"/>
        </w:rPr>
        <w:t xml:space="preserve"> </w:t>
      </w:r>
      <w:r w:rsidRPr="00E732B2">
        <w:rPr>
          <w:rFonts w:ascii="Arial" w:hAnsi="Arial" w:cs="Arial"/>
          <w:b/>
          <w:bCs/>
          <w:szCs w:val="20"/>
        </w:rPr>
        <w:t>– 23</w:t>
      </w:r>
      <w:r w:rsidRPr="00E732B2">
        <w:rPr>
          <w:rFonts w:ascii="Arial" w:hAnsi="Arial" w:cs="Arial"/>
          <w:b/>
          <w:bCs/>
          <w:szCs w:val="20"/>
          <w:vertAlign w:val="superscript"/>
        </w:rPr>
        <w:t>rd</w:t>
      </w:r>
      <w:r w:rsidRPr="00E732B2">
        <w:rPr>
          <w:rFonts w:ascii="Arial" w:eastAsia="MS Mincho" w:hAnsi="Arial" w:cs="Arial"/>
          <w:b/>
          <w:bCs/>
          <w:szCs w:val="20"/>
          <w:lang w:eastAsia="ja-JP"/>
        </w:rPr>
        <w:t>, 2024</w:t>
      </w:r>
      <w:bookmarkEnd w:id="0"/>
    </w:p>
    <w:p w14:paraId="7E1C4606" w14:textId="77777777" w:rsidR="009C0564" w:rsidRPr="00455EB9" w:rsidRDefault="009C0564" w:rsidP="00071D7D">
      <w:pPr>
        <w:pBdr>
          <w:top w:val="single" w:sz="4" w:space="1" w:color="auto"/>
        </w:pBdr>
        <w:spacing w:after="0"/>
        <w:jc w:val="left"/>
        <w:rPr>
          <w:rFonts w:ascii="Arial" w:hAnsi="Arial" w:cs="Arial"/>
          <w:b/>
          <w:kern w:val="2"/>
          <w:sz w:val="24"/>
          <w:lang w:eastAsia="zh-CN"/>
        </w:rPr>
      </w:pPr>
    </w:p>
    <w:p w14:paraId="1DB73F68" w14:textId="77824011"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9.11.4</w:t>
      </w:r>
    </w:p>
    <w:p w14:paraId="1A082990" w14:textId="6C11709A"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1A1A4C">
        <w:rPr>
          <w:rFonts w:ascii="Arial" w:hAnsi="Arial" w:cs="Arial"/>
          <w:b/>
          <w:bCs/>
          <w:szCs w:val="20"/>
          <w:lang w:val="en-GB" w:eastAsia="zh-CN"/>
        </w:rPr>
        <w:t>Viasat</w:t>
      </w:r>
      <w:r w:rsidR="00C00D32">
        <w:rPr>
          <w:rFonts w:ascii="Arial" w:hAnsi="Arial" w:cs="Arial"/>
          <w:b/>
          <w:bCs/>
          <w:szCs w:val="20"/>
          <w:lang w:val="en-GB" w:eastAsia="zh-CN"/>
        </w:rPr>
        <w:t>, Inmarsat</w:t>
      </w:r>
    </w:p>
    <w:p w14:paraId="462F364E" w14:textId="5F0E5C03"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A1A4C">
        <w:rPr>
          <w:rFonts w:ascii="Arial" w:hAnsi="Arial" w:cs="Arial"/>
          <w:b/>
          <w:bCs/>
          <w:szCs w:val="20"/>
          <w:lang w:val="en-GB" w:eastAsia="zh-CN"/>
        </w:rPr>
        <w:t>Views</w:t>
      </w:r>
      <w:r w:rsidR="002C00DB">
        <w:rPr>
          <w:rFonts w:ascii="Arial" w:hAnsi="Arial" w:cs="Arial"/>
          <w:b/>
          <w:bCs/>
          <w:szCs w:val="20"/>
          <w:lang w:val="en-GB" w:eastAsia="zh-CN"/>
        </w:rPr>
        <w:t xml:space="preserve"> on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577A9C6F"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188DF5F7" w:rsidR="009C0564" w:rsidRPr="0017600A" w:rsidRDefault="009C0564" w:rsidP="00071D7D">
      <w:pPr>
        <w:pBdr>
          <w:bottom w:val="single" w:sz="4" w:space="1" w:color="auto"/>
        </w:pBdr>
        <w:spacing w:after="0"/>
        <w:jc w:val="left"/>
        <w:rPr>
          <w:rFonts w:ascii="Arial" w:hAnsi="Arial" w:cs="Arial"/>
          <w:b/>
          <w:kern w:val="2"/>
          <w:lang w:val="en-GB" w:eastAsia="zh-CN"/>
        </w:rPr>
      </w:pPr>
    </w:p>
    <w:p w14:paraId="42262A19" w14:textId="166C2484" w:rsidR="001D56B2" w:rsidRDefault="001D56B2" w:rsidP="00883971">
      <w:pPr>
        <w:pStyle w:val="Heading1"/>
      </w:pPr>
      <w:r>
        <w:t>Introduction</w:t>
      </w:r>
    </w:p>
    <w:p w14:paraId="2E6CBB45" w14:textId="3A585E84" w:rsidR="001D56B2" w:rsidRDefault="001D56B2" w:rsidP="001D56B2">
      <w:pPr>
        <w:rPr>
          <w:lang w:eastAsia="zh-CN"/>
        </w:rPr>
      </w:pPr>
    </w:p>
    <w:p w14:paraId="3A70DA42" w14:textId="4554C2AA" w:rsidR="00E15C14" w:rsidRDefault="001D56B2" w:rsidP="001D56B2">
      <w:pPr>
        <w:rPr>
          <w:lang w:eastAsia="zh-CN"/>
        </w:rPr>
      </w:pPr>
      <w:r>
        <w:rPr>
          <w:lang w:eastAsia="zh-CN"/>
        </w:rPr>
        <w:t>During RAN1#11</w:t>
      </w:r>
      <w:r w:rsidR="00E15C14">
        <w:rPr>
          <w:lang w:eastAsia="zh-CN"/>
        </w:rPr>
        <w:t>7, the following agreements were reached:</w:t>
      </w:r>
    </w:p>
    <w:p w14:paraId="1F38BAD7" w14:textId="3E193CDA" w:rsidR="001D56B2" w:rsidRDefault="00E15C14" w:rsidP="001D56B2">
      <w:pPr>
        <w:rPr>
          <w:lang w:eastAsia="zh-CN"/>
        </w:rPr>
      </w:pPr>
      <w:r>
        <w:rPr>
          <w:noProof/>
          <w:lang w:eastAsia="zh-CN"/>
        </w:rPr>
        <mc:AlternateContent>
          <mc:Choice Requires="wps">
            <w:drawing>
              <wp:inline distT="0" distB="0" distL="0" distR="0" wp14:anchorId="5D05CAB6" wp14:editId="71D0569C">
                <wp:extent cx="5788660" cy="1404620"/>
                <wp:effectExtent l="0" t="0" r="2159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660" cy="1404620"/>
                        </a:xfrm>
                        <a:prstGeom prst="rect">
                          <a:avLst/>
                        </a:prstGeom>
                        <a:solidFill>
                          <a:srgbClr val="FFFFFF"/>
                        </a:solidFill>
                        <a:ln w="9525">
                          <a:solidFill>
                            <a:srgbClr val="000000"/>
                          </a:solidFill>
                          <a:miter lim="800000"/>
                          <a:headEnd/>
                          <a:tailEnd/>
                        </a:ln>
                      </wps:spPr>
                      <wps:txbx>
                        <w:txbxContent>
                          <w:p w14:paraId="5E0D85A0" w14:textId="77777777" w:rsidR="00E15C14" w:rsidRPr="00E15C14" w:rsidRDefault="00E15C14" w:rsidP="00E15C14">
                            <w:pPr>
                              <w:rPr>
                                <w:bCs/>
                                <w:sz w:val="20"/>
                                <w:szCs w:val="20"/>
                              </w:rPr>
                            </w:pPr>
                            <w:r w:rsidRPr="00E15C14">
                              <w:rPr>
                                <w:bCs/>
                                <w:sz w:val="20"/>
                                <w:szCs w:val="20"/>
                                <w:highlight w:val="green"/>
                              </w:rPr>
                              <w:t>Agreement</w:t>
                            </w:r>
                          </w:p>
                          <w:p w14:paraId="47CC421C" w14:textId="77777777" w:rsidR="00E15C14" w:rsidRPr="00E15C14" w:rsidRDefault="00E15C14" w:rsidP="00E15C14">
                            <w:pPr>
                              <w:rPr>
                                <w:bCs/>
                                <w:sz w:val="20"/>
                                <w:szCs w:val="20"/>
                              </w:rPr>
                            </w:pPr>
                            <w:r w:rsidRPr="00E15C14">
                              <w:rPr>
                                <w:bCs/>
                                <w:sz w:val="20"/>
                                <w:szCs w:val="20"/>
                              </w:rPr>
                              <w:t>For 3.75kHz single-tone OCC for NPUSCH format 1, RAN1 supports either symbol-level OCC or slot-level OCC. Other OCC schemes are not pursued.</w:t>
                            </w:r>
                          </w:p>
                          <w:p w14:paraId="35A536E5" w14:textId="6DF2C6C2" w:rsidR="00E15C14" w:rsidRPr="00E15C14" w:rsidRDefault="00E15C14" w:rsidP="00E15C14">
                            <w:pPr>
                              <w:rPr>
                                <w:bCs/>
                                <w:sz w:val="20"/>
                                <w:szCs w:val="20"/>
                              </w:rPr>
                            </w:pPr>
                            <w:r w:rsidRPr="00E15C14">
                              <w:rPr>
                                <w:bCs/>
                                <w:sz w:val="20"/>
                                <w:szCs w:val="20"/>
                              </w:rPr>
                              <w:t>For 15kHz single-tone OCC for NPUSCH format 1, RAN1 supports either symbol-level OCC or slot-level OCC. Other OCC schemes are not pursued.</w:t>
                            </w:r>
                          </w:p>
                          <w:p w14:paraId="1E37B494" w14:textId="77777777" w:rsidR="00E15C14" w:rsidRPr="00E15C14" w:rsidRDefault="00E15C14" w:rsidP="00E15C14">
                            <w:pPr>
                              <w:rPr>
                                <w:bCs/>
                                <w:sz w:val="20"/>
                                <w:szCs w:val="20"/>
                              </w:rPr>
                            </w:pPr>
                            <w:r w:rsidRPr="00E15C14">
                              <w:rPr>
                                <w:bCs/>
                                <w:sz w:val="20"/>
                                <w:szCs w:val="20"/>
                                <w:highlight w:val="green"/>
                              </w:rPr>
                              <w:t>Agreement</w:t>
                            </w:r>
                          </w:p>
                          <w:p w14:paraId="5A174CE2" w14:textId="77777777" w:rsidR="00E15C14" w:rsidRPr="00E15C14" w:rsidRDefault="00E15C14" w:rsidP="00E15C14">
                            <w:pPr>
                              <w:rPr>
                                <w:bCs/>
                                <w:sz w:val="20"/>
                                <w:szCs w:val="18"/>
                              </w:rPr>
                            </w:pPr>
                            <w:r w:rsidRPr="00E15C14">
                              <w:rPr>
                                <w:bCs/>
                                <w:sz w:val="20"/>
                                <w:szCs w:val="18"/>
                              </w:rPr>
                              <w:t>Inter-repetition OCC for NPRACH is not studied further in RAN1.</w:t>
                            </w:r>
                          </w:p>
                          <w:p w14:paraId="4AED6001" w14:textId="77777777" w:rsidR="00E15C14" w:rsidRPr="00E15C14" w:rsidRDefault="00E15C14" w:rsidP="00E15C14">
                            <w:pPr>
                              <w:rPr>
                                <w:sz w:val="20"/>
                                <w:szCs w:val="20"/>
                                <w:lang w:eastAsia="x-none"/>
                              </w:rPr>
                            </w:pPr>
                          </w:p>
                          <w:p w14:paraId="0F88E168" w14:textId="77777777" w:rsidR="00E15C14" w:rsidRPr="00E15C14" w:rsidRDefault="00E15C14" w:rsidP="00E15C14">
                            <w:pPr>
                              <w:rPr>
                                <w:bCs/>
                                <w:sz w:val="20"/>
                                <w:szCs w:val="20"/>
                              </w:rPr>
                            </w:pPr>
                            <w:r w:rsidRPr="00E15C14">
                              <w:rPr>
                                <w:bCs/>
                                <w:sz w:val="20"/>
                                <w:szCs w:val="20"/>
                                <w:highlight w:val="green"/>
                              </w:rPr>
                              <w:t>Agreement</w:t>
                            </w:r>
                          </w:p>
                          <w:p w14:paraId="113BFA7F" w14:textId="77777777" w:rsidR="00E15C14" w:rsidRPr="00E15C14" w:rsidRDefault="00E15C14" w:rsidP="00E15C14">
                            <w:pPr>
                              <w:pStyle w:val="ListParagraph"/>
                              <w:numPr>
                                <w:ilvl w:val="0"/>
                                <w:numId w:val="16"/>
                              </w:numPr>
                              <w:snapToGrid/>
                              <w:spacing w:after="160" w:line="259" w:lineRule="auto"/>
                              <w:ind w:left="465" w:hanging="465"/>
                              <w:contextualSpacing/>
                              <w:jc w:val="both"/>
                              <w:rPr>
                                <w:rFonts w:ascii="Times New Roman" w:hAnsi="Times New Roman"/>
                                <w:bCs/>
                                <w:sz w:val="20"/>
                                <w:szCs w:val="18"/>
                              </w:rPr>
                            </w:pPr>
                            <w:r w:rsidRPr="00E15C14">
                              <w:rPr>
                                <w:rFonts w:ascii="Times New Roman" w:hAnsi="Times New Roman"/>
                                <w:bCs/>
                                <w:sz w:val="20"/>
                                <w:szCs w:val="18"/>
                              </w:rPr>
                              <w:t>For the time-domain DMRS pattern (including blanked DMRS, if any):</w:t>
                            </w:r>
                          </w:p>
                          <w:p w14:paraId="450597F4" w14:textId="77777777" w:rsidR="00E15C14" w:rsidRPr="00E15C14" w:rsidRDefault="00E15C14" w:rsidP="00E15C14">
                            <w:pPr>
                              <w:pStyle w:val="ListParagraph"/>
                              <w:numPr>
                                <w:ilvl w:val="1"/>
                                <w:numId w:val="16"/>
                              </w:numPr>
                              <w:snapToGrid/>
                              <w:spacing w:after="160" w:line="259" w:lineRule="auto"/>
                              <w:ind w:left="465" w:hanging="465"/>
                              <w:contextualSpacing/>
                              <w:jc w:val="both"/>
                              <w:rPr>
                                <w:rFonts w:ascii="Times New Roman" w:hAnsi="Times New Roman"/>
                                <w:bCs/>
                                <w:sz w:val="20"/>
                                <w:szCs w:val="18"/>
                              </w:rPr>
                            </w:pPr>
                            <w:r w:rsidRPr="00E15C14">
                              <w:rPr>
                                <w:rFonts w:ascii="Times New Roman" w:hAnsi="Times New Roman"/>
                                <w:bCs/>
                                <w:sz w:val="20"/>
                                <w:szCs w:val="18"/>
                              </w:rPr>
                              <w:t>For 15kHz single-tone, RAN1 strives to reuse the Rel-17 DMRS pattern</w:t>
                            </w:r>
                          </w:p>
                          <w:p w14:paraId="02A33FDD" w14:textId="77777777" w:rsidR="00E15C14" w:rsidRPr="00E15C14" w:rsidRDefault="00E15C14" w:rsidP="00E15C14">
                            <w:pPr>
                              <w:pStyle w:val="ListParagraph"/>
                              <w:numPr>
                                <w:ilvl w:val="1"/>
                                <w:numId w:val="16"/>
                              </w:numPr>
                              <w:snapToGrid/>
                              <w:spacing w:after="160" w:line="259" w:lineRule="auto"/>
                              <w:ind w:left="465" w:hanging="465"/>
                              <w:contextualSpacing/>
                              <w:jc w:val="both"/>
                              <w:rPr>
                                <w:rFonts w:ascii="Times New Roman" w:hAnsi="Times New Roman"/>
                                <w:bCs/>
                                <w:sz w:val="20"/>
                                <w:szCs w:val="18"/>
                              </w:rPr>
                            </w:pPr>
                            <w:r w:rsidRPr="00E15C14">
                              <w:rPr>
                                <w:rFonts w:ascii="Times New Roman" w:hAnsi="Times New Roman"/>
                                <w:bCs/>
                                <w:sz w:val="20"/>
                                <w:szCs w:val="18"/>
                              </w:rPr>
                              <w:t xml:space="preserve">For 3.75kHz </w:t>
                            </w:r>
                            <w:proofErr w:type="gramStart"/>
                            <w:r w:rsidRPr="00E15C14">
                              <w:rPr>
                                <w:rFonts w:ascii="Times New Roman" w:hAnsi="Times New Roman"/>
                                <w:bCs/>
                                <w:sz w:val="20"/>
                                <w:szCs w:val="18"/>
                              </w:rPr>
                              <w:t>single-tone</w:t>
                            </w:r>
                            <w:proofErr w:type="gramEnd"/>
                          </w:p>
                          <w:p w14:paraId="4BD5BB0E" w14:textId="77777777" w:rsidR="00E15C14" w:rsidRPr="00E15C14" w:rsidRDefault="00E15C14" w:rsidP="00E15C14">
                            <w:pPr>
                              <w:pStyle w:val="ListParagraph"/>
                              <w:numPr>
                                <w:ilvl w:val="2"/>
                                <w:numId w:val="16"/>
                              </w:numPr>
                              <w:snapToGrid/>
                              <w:spacing w:after="160" w:line="259" w:lineRule="auto"/>
                              <w:ind w:left="720" w:hanging="720"/>
                              <w:contextualSpacing/>
                              <w:jc w:val="both"/>
                              <w:rPr>
                                <w:rFonts w:ascii="Times New Roman" w:hAnsi="Times New Roman"/>
                                <w:bCs/>
                                <w:sz w:val="20"/>
                                <w:szCs w:val="18"/>
                              </w:rPr>
                            </w:pPr>
                            <w:r w:rsidRPr="00E15C14">
                              <w:rPr>
                                <w:rFonts w:ascii="Times New Roman" w:hAnsi="Times New Roman"/>
                                <w:bCs/>
                                <w:sz w:val="20"/>
                                <w:szCs w:val="18"/>
                              </w:rPr>
                              <w:t xml:space="preserve"> RAN1 studies</w:t>
                            </w:r>
                          </w:p>
                          <w:p w14:paraId="6175E3A6" w14:textId="77777777" w:rsidR="00E15C14" w:rsidRPr="00E15C14" w:rsidRDefault="00E15C14" w:rsidP="00E15C14">
                            <w:pPr>
                              <w:pStyle w:val="ListParagraph"/>
                              <w:numPr>
                                <w:ilvl w:val="3"/>
                                <w:numId w:val="16"/>
                              </w:numPr>
                              <w:snapToGrid/>
                              <w:spacing w:after="160" w:line="259" w:lineRule="auto"/>
                              <w:ind w:left="1080" w:hanging="1080"/>
                              <w:contextualSpacing/>
                              <w:jc w:val="both"/>
                              <w:rPr>
                                <w:rFonts w:ascii="Times New Roman" w:hAnsi="Times New Roman"/>
                                <w:bCs/>
                                <w:sz w:val="20"/>
                                <w:szCs w:val="18"/>
                              </w:rPr>
                            </w:pPr>
                            <w:r w:rsidRPr="00E15C14">
                              <w:rPr>
                                <w:rFonts w:ascii="Times New Roman" w:hAnsi="Times New Roman"/>
                                <w:bCs/>
                                <w:sz w:val="20"/>
                                <w:szCs w:val="18"/>
                              </w:rPr>
                              <w:t>Rel-17 DMRS pattern</w:t>
                            </w:r>
                          </w:p>
                          <w:p w14:paraId="02AB46CD" w14:textId="77777777" w:rsidR="00E15C14" w:rsidRPr="00E15C14" w:rsidRDefault="00E15C14" w:rsidP="00E15C14">
                            <w:pPr>
                              <w:pStyle w:val="ListParagraph"/>
                              <w:numPr>
                                <w:ilvl w:val="3"/>
                                <w:numId w:val="16"/>
                              </w:numPr>
                              <w:snapToGrid/>
                              <w:spacing w:after="160" w:line="259" w:lineRule="auto"/>
                              <w:ind w:left="1080" w:hanging="1080"/>
                              <w:contextualSpacing/>
                              <w:jc w:val="both"/>
                              <w:rPr>
                                <w:rFonts w:ascii="Times New Roman" w:hAnsi="Times New Roman"/>
                                <w:bCs/>
                                <w:sz w:val="20"/>
                                <w:szCs w:val="18"/>
                              </w:rPr>
                            </w:pPr>
                            <w:r w:rsidRPr="00E15C14">
                              <w:rPr>
                                <w:rFonts w:ascii="Times New Roman" w:hAnsi="Times New Roman"/>
                                <w:bCs/>
                                <w:sz w:val="20"/>
                                <w:szCs w:val="18"/>
                              </w:rPr>
                              <w:t>A new DMRS pattern</w:t>
                            </w:r>
                          </w:p>
                          <w:p w14:paraId="329EFE54" w14:textId="3A7479A5" w:rsidR="00E15C14" w:rsidRPr="00E15C14" w:rsidRDefault="00E15C14" w:rsidP="00204647">
                            <w:pPr>
                              <w:pStyle w:val="ListParagraph"/>
                              <w:numPr>
                                <w:ilvl w:val="1"/>
                                <w:numId w:val="16"/>
                              </w:numPr>
                              <w:snapToGrid/>
                              <w:spacing w:after="160" w:line="259" w:lineRule="auto"/>
                              <w:ind w:left="465" w:hanging="465"/>
                              <w:contextualSpacing/>
                              <w:jc w:val="both"/>
                              <w:rPr>
                                <w:rFonts w:ascii="Times New Roman" w:hAnsi="Times New Roman"/>
                                <w:sz w:val="20"/>
                                <w:szCs w:val="20"/>
                              </w:rPr>
                            </w:pPr>
                            <w:r w:rsidRPr="00E15C14">
                              <w:rPr>
                                <w:rFonts w:ascii="Times New Roman" w:hAnsi="Times New Roman"/>
                                <w:sz w:val="20"/>
                                <w:szCs w:val="18"/>
                              </w:rPr>
                              <w:t xml:space="preserve">The DMRS overhead </w:t>
                            </w:r>
                            <w:r w:rsidRPr="00E15C14">
                              <w:rPr>
                                <w:rFonts w:ascii="Times New Roman" w:hAnsi="Times New Roman"/>
                                <w:bCs/>
                                <w:sz w:val="20"/>
                                <w:szCs w:val="18"/>
                              </w:rPr>
                              <w:t xml:space="preserve">(including blanked DMRS, if any) </w:t>
                            </w:r>
                            <w:r w:rsidRPr="00E15C14">
                              <w:rPr>
                                <w:rFonts w:ascii="Times New Roman" w:hAnsi="Times New Roman"/>
                                <w:sz w:val="20"/>
                                <w:szCs w:val="18"/>
                              </w:rPr>
                              <w:t>for OCC is the same as for Rel-17</w:t>
                            </w:r>
                          </w:p>
                        </w:txbxContent>
                      </wps:txbx>
                      <wps:bodyPr rot="0" vert="horz" wrap="square" lIns="91440" tIns="45720" rIns="91440" bIns="45720" anchor="t" anchorCtr="0">
                        <a:spAutoFit/>
                      </wps:bodyPr>
                    </wps:wsp>
                  </a:graphicData>
                </a:graphic>
              </wp:inline>
            </w:drawing>
          </mc:Choice>
          <mc:Fallback>
            <w:pict>
              <v:shapetype w14:anchorId="5D05CAB6" id="_x0000_t202" coordsize="21600,21600" o:spt="202" path="m,l,21600r21600,l21600,xe">
                <v:stroke joinstyle="miter"/>
                <v:path gradientshapeok="t" o:connecttype="rect"/>
              </v:shapetype>
              <v:shape id="Text Box 2" o:spid="_x0000_s1026" type="#_x0000_t202" style="width:455.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">
                <v:textbox style="mso-fit-shape-to-text:t">
                  <w:txbxContent>
                    <w:p w14:paraId="5E0D85A0" w14:textId="77777777" w:rsidR="00E15C14" w:rsidRPr="00E15C14" w:rsidRDefault="00E15C14" w:rsidP="00E15C14">
                      <w:pPr>
                        <w:rPr>
                          <w:bCs/>
                          <w:sz w:val="20"/>
                          <w:szCs w:val="20"/>
                        </w:rPr>
                      </w:pPr>
                      <w:r w:rsidRPr="00E15C14">
                        <w:rPr>
                          <w:bCs/>
                          <w:sz w:val="20"/>
                          <w:szCs w:val="20"/>
                          <w:highlight w:val="green"/>
                        </w:rPr>
                        <w:t>Agreement</w:t>
                      </w:r>
                    </w:p>
                    <w:p w14:paraId="47CC421C" w14:textId="77777777" w:rsidR="00E15C14" w:rsidRPr="00E15C14" w:rsidRDefault="00E15C14" w:rsidP="00E15C14">
                      <w:pPr>
                        <w:rPr>
                          <w:bCs/>
                          <w:sz w:val="20"/>
                          <w:szCs w:val="20"/>
                        </w:rPr>
                      </w:pPr>
                      <w:r w:rsidRPr="00E15C14">
                        <w:rPr>
                          <w:bCs/>
                          <w:sz w:val="20"/>
                          <w:szCs w:val="20"/>
                        </w:rPr>
                        <w:t>For 3.75kHz single-tone OCC for NPUSCH format 1, RAN1 supports either symbol-level OCC or slot-level OCC. Other OCC schemes are not pursued.</w:t>
                      </w:r>
                    </w:p>
                    <w:p w14:paraId="35A536E5" w14:textId="6DF2C6C2" w:rsidR="00E15C14" w:rsidRPr="00E15C14" w:rsidRDefault="00E15C14" w:rsidP="00E15C14">
                      <w:pPr>
                        <w:rPr>
                          <w:bCs/>
                          <w:sz w:val="20"/>
                          <w:szCs w:val="20"/>
                        </w:rPr>
                      </w:pPr>
                      <w:r w:rsidRPr="00E15C14">
                        <w:rPr>
                          <w:bCs/>
                          <w:sz w:val="20"/>
                          <w:szCs w:val="20"/>
                        </w:rPr>
                        <w:t>For 15kHz single-tone OCC for NPUSCH format 1, RAN1 supports either symbol-level OCC or slot-level OCC. Other OCC schemes are not pursued.</w:t>
                      </w:r>
                    </w:p>
                    <w:p w14:paraId="1E37B494" w14:textId="77777777" w:rsidR="00E15C14" w:rsidRPr="00E15C14" w:rsidRDefault="00E15C14" w:rsidP="00E15C14">
                      <w:pPr>
                        <w:rPr>
                          <w:bCs/>
                          <w:sz w:val="20"/>
                          <w:szCs w:val="20"/>
                        </w:rPr>
                      </w:pPr>
                      <w:r w:rsidRPr="00E15C14">
                        <w:rPr>
                          <w:bCs/>
                          <w:sz w:val="20"/>
                          <w:szCs w:val="20"/>
                          <w:highlight w:val="green"/>
                        </w:rPr>
                        <w:t>Agreement</w:t>
                      </w:r>
                    </w:p>
                    <w:p w14:paraId="5A174CE2" w14:textId="77777777" w:rsidR="00E15C14" w:rsidRPr="00E15C14" w:rsidRDefault="00E15C14" w:rsidP="00E15C14">
                      <w:pPr>
                        <w:rPr>
                          <w:bCs/>
                          <w:sz w:val="20"/>
                          <w:szCs w:val="18"/>
                        </w:rPr>
                      </w:pPr>
                      <w:r w:rsidRPr="00E15C14">
                        <w:rPr>
                          <w:bCs/>
                          <w:sz w:val="20"/>
                          <w:szCs w:val="18"/>
                        </w:rPr>
                        <w:t>Inter-repetition OCC for NPRACH is not studied further in RAN1.</w:t>
                      </w:r>
                    </w:p>
                    <w:p w14:paraId="4AED6001" w14:textId="77777777" w:rsidR="00E15C14" w:rsidRPr="00E15C14" w:rsidRDefault="00E15C14" w:rsidP="00E15C14">
                      <w:pPr>
                        <w:rPr>
                          <w:sz w:val="20"/>
                          <w:szCs w:val="20"/>
                          <w:lang w:eastAsia="x-none"/>
                        </w:rPr>
                      </w:pPr>
                    </w:p>
                    <w:p w14:paraId="0F88E168" w14:textId="77777777" w:rsidR="00E15C14" w:rsidRPr="00E15C14" w:rsidRDefault="00E15C14" w:rsidP="00E15C14">
                      <w:pPr>
                        <w:rPr>
                          <w:bCs/>
                          <w:sz w:val="20"/>
                          <w:szCs w:val="20"/>
                        </w:rPr>
                      </w:pPr>
                      <w:r w:rsidRPr="00E15C14">
                        <w:rPr>
                          <w:bCs/>
                          <w:sz w:val="20"/>
                          <w:szCs w:val="20"/>
                          <w:highlight w:val="green"/>
                        </w:rPr>
                        <w:t>Agreement</w:t>
                      </w:r>
                    </w:p>
                    <w:p w14:paraId="113BFA7F" w14:textId="77777777" w:rsidR="00E15C14" w:rsidRPr="00E15C14" w:rsidRDefault="00E15C14" w:rsidP="00E15C14">
                      <w:pPr>
                        <w:pStyle w:val="ListParagraph"/>
                        <w:numPr>
                          <w:ilvl w:val="0"/>
                          <w:numId w:val="16"/>
                        </w:numPr>
                        <w:snapToGrid/>
                        <w:spacing w:after="160" w:line="259" w:lineRule="auto"/>
                        <w:ind w:left="465" w:hanging="465"/>
                        <w:contextualSpacing/>
                        <w:jc w:val="both"/>
                        <w:rPr>
                          <w:rFonts w:ascii="Times New Roman" w:hAnsi="Times New Roman"/>
                          <w:bCs/>
                          <w:sz w:val="20"/>
                          <w:szCs w:val="18"/>
                        </w:rPr>
                      </w:pPr>
                      <w:r w:rsidRPr="00E15C14">
                        <w:rPr>
                          <w:rFonts w:ascii="Times New Roman" w:hAnsi="Times New Roman"/>
                          <w:bCs/>
                          <w:sz w:val="20"/>
                          <w:szCs w:val="18"/>
                        </w:rPr>
                        <w:t>For the time-domain DMRS pattern (including blanked DMRS, if any):</w:t>
                      </w:r>
                    </w:p>
                    <w:p w14:paraId="450597F4" w14:textId="77777777" w:rsidR="00E15C14" w:rsidRPr="00E15C14" w:rsidRDefault="00E15C14" w:rsidP="00E15C14">
                      <w:pPr>
                        <w:pStyle w:val="ListParagraph"/>
                        <w:numPr>
                          <w:ilvl w:val="1"/>
                          <w:numId w:val="16"/>
                        </w:numPr>
                        <w:snapToGrid/>
                        <w:spacing w:after="160" w:line="259" w:lineRule="auto"/>
                        <w:ind w:left="465" w:hanging="465"/>
                        <w:contextualSpacing/>
                        <w:jc w:val="both"/>
                        <w:rPr>
                          <w:rFonts w:ascii="Times New Roman" w:hAnsi="Times New Roman"/>
                          <w:bCs/>
                          <w:sz w:val="20"/>
                          <w:szCs w:val="18"/>
                        </w:rPr>
                      </w:pPr>
                      <w:r w:rsidRPr="00E15C14">
                        <w:rPr>
                          <w:rFonts w:ascii="Times New Roman" w:hAnsi="Times New Roman"/>
                          <w:bCs/>
                          <w:sz w:val="20"/>
                          <w:szCs w:val="18"/>
                        </w:rPr>
                        <w:t>For 15kHz single-tone, RAN1 strives to reuse the Rel-17 DMRS pattern</w:t>
                      </w:r>
                    </w:p>
                    <w:p w14:paraId="02A33FDD" w14:textId="77777777" w:rsidR="00E15C14" w:rsidRPr="00E15C14" w:rsidRDefault="00E15C14" w:rsidP="00E15C14">
                      <w:pPr>
                        <w:pStyle w:val="ListParagraph"/>
                        <w:numPr>
                          <w:ilvl w:val="1"/>
                          <w:numId w:val="16"/>
                        </w:numPr>
                        <w:snapToGrid/>
                        <w:spacing w:after="160" w:line="259" w:lineRule="auto"/>
                        <w:ind w:left="465" w:hanging="465"/>
                        <w:contextualSpacing/>
                        <w:jc w:val="both"/>
                        <w:rPr>
                          <w:rFonts w:ascii="Times New Roman" w:hAnsi="Times New Roman"/>
                          <w:bCs/>
                          <w:sz w:val="20"/>
                          <w:szCs w:val="18"/>
                        </w:rPr>
                      </w:pPr>
                      <w:r w:rsidRPr="00E15C14">
                        <w:rPr>
                          <w:rFonts w:ascii="Times New Roman" w:hAnsi="Times New Roman"/>
                          <w:bCs/>
                          <w:sz w:val="20"/>
                          <w:szCs w:val="18"/>
                        </w:rPr>
                        <w:t xml:space="preserve">For 3.75kHz </w:t>
                      </w:r>
                      <w:proofErr w:type="gramStart"/>
                      <w:r w:rsidRPr="00E15C14">
                        <w:rPr>
                          <w:rFonts w:ascii="Times New Roman" w:hAnsi="Times New Roman"/>
                          <w:bCs/>
                          <w:sz w:val="20"/>
                          <w:szCs w:val="18"/>
                        </w:rPr>
                        <w:t>single-tone</w:t>
                      </w:r>
                      <w:proofErr w:type="gramEnd"/>
                    </w:p>
                    <w:p w14:paraId="4BD5BB0E" w14:textId="77777777" w:rsidR="00E15C14" w:rsidRPr="00E15C14" w:rsidRDefault="00E15C14" w:rsidP="00E15C14">
                      <w:pPr>
                        <w:pStyle w:val="ListParagraph"/>
                        <w:numPr>
                          <w:ilvl w:val="2"/>
                          <w:numId w:val="16"/>
                        </w:numPr>
                        <w:snapToGrid/>
                        <w:spacing w:after="160" w:line="259" w:lineRule="auto"/>
                        <w:ind w:left="720" w:hanging="720"/>
                        <w:contextualSpacing/>
                        <w:jc w:val="both"/>
                        <w:rPr>
                          <w:rFonts w:ascii="Times New Roman" w:hAnsi="Times New Roman"/>
                          <w:bCs/>
                          <w:sz w:val="20"/>
                          <w:szCs w:val="18"/>
                        </w:rPr>
                      </w:pPr>
                      <w:r w:rsidRPr="00E15C14">
                        <w:rPr>
                          <w:rFonts w:ascii="Times New Roman" w:hAnsi="Times New Roman"/>
                          <w:bCs/>
                          <w:sz w:val="20"/>
                          <w:szCs w:val="18"/>
                        </w:rPr>
                        <w:t xml:space="preserve"> RAN1 studies</w:t>
                      </w:r>
                    </w:p>
                    <w:p w14:paraId="6175E3A6" w14:textId="77777777" w:rsidR="00E15C14" w:rsidRPr="00E15C14" w:rsidRDefault="00E15C14" w:rsidP="00E15C14">
                      <w:pPr>
                        <w:pStyle w:val="ListParagraph"/>
                        <w:numPr>
                          <w:ilvl w:val="3"/>
                          <w:numId w:val="16"/>
                        </w:numPr>
                        <w:snapToGrid/>
                        <w:spacing w:after="160" w:line="259" w:lineRule="auto"/>
                        <w:ind w:left="1080" w:hanging="1080"/>
                        <w:contextualSpacing/>
                        <w:jc w:val="both"/>
                        <w:rPr>
                          <w:rFonts w:ascii="Times New Roman" w:hAnsi="Times New Roman"/>
                          <w:bCs/>
                          <w:sz w:val="20"/>
                          <w:szCs w:val="18"/>
                        </w:rPr>
                      </w:pPr>
                      <w:r w:rsidRPr="00E15C14">
                        <w:rPr>
                          <w:rFonts w:ascii="Times New Roman" w:hAnsi="Times New Roman"/>
                          <w:bCs/>
                          <w:sz w:val="20"/>
                          <w:szCs w:val="18"/>
                        </w:rPr>
                        <w:t>Rel-17 DMRS pattern</w:t>
                      </w:r>
                    </w:p>
                    <w:p w14:paraId="02AB46CD" w14:textId="77777777" w:rsidR="00E15C14" w:rsidRPr="00E15C14" w:rsidRDefault="00E15C14" w:rsidP="00E15C14">
                      <w:pPr>
                        <w:pStyle w:val="ListParagraph"/>
                        <w:numPr>
                          <w:ilvl w:val="3"/>
                          <w:numId w:val="16"/>
                        </w:numPr>
                        <w:snapToGrid/>
                        <w:spacing w:after="160" w:line="259" w:lineRule="auto"/>
                        <w:ind w:left="1080" w:hanging="1080"/>
                        <w:contextualSpacing/>
                        <w:jc w:val="both"/>
                        <w:rPr>
                          <w:rFonts w:ascii="Times New Roman" w:hAnsi="Times New Roman"/>
                          <w:bCs/>
                          <w:sz w:val="20"/>
                          <w:szCs w:val="18"/>
                        </w:rPr>
                      </w:pPr>
                      <w:r w:rsidRPr="00E15C14">
                        <w:rPr>
                          <w:rFonts w:ascii="Times New Roman" w:hAnsi="Times New Roman"/>
                          <w:bCs/>
                          <w:sz w:val="20"/>
                          <w:szCs w:val="18"/>
                        </w:rPr>
                        <w:t>A new DMRS pattern</w:t>
                      </w:r>
                    </w:p>
                    <w:p w14:paraId="329EFE54" w14:textId="3A7479A5" w:rsidR="00E15C14" w:rsidRPr="00E15C14" w:rsidRDefault="00E15C14" w:rsidP="00204647">
                      <w:pPr>
                        <w:pStyle w:val="ListParagraph"/>
                        <w:numPr>
                          <w:ilvl w:val="1"/>
                          <w:numId w:val="16"/>
                        </w:numPr>
                        <w:snapToGrid/>
                        <w:spacing w:after="160" w:line="259" w:lineRule="auto"/>
                        <w:ind w:left="465" w:hanging="465"/>
                        <w:contextualSpacing/>
                        <w:jc w:val="both"/>
                        <w:rPr>
                          <w:rFonts w:ascii="Times New Roman" w:hAnsi="Times New Roman"/>
                          <w:sz w:val="20"/>
                          <w:szCs w:val="20"/>
                        </w:rPr>
                      </w:pPr>
                      <w:r w:rsidRPr="00E15C14">
                        <w:rPr>
                          <w:rFonts w:ascii="Times New Roman" w:hAnsi="Times New Roman"/>
                          <w:sz w:val="20"/>
                          <w:szCs w:val="18"/>
                        </w:rPr>
                        <w:t xml:space="preserve">The DMRS overhead </w:t>
                      </w:r>
                      <w:r w:rsidRPr="00E15C14">
                        <w:rPr>
                          <w:rFonts w:ascii="Times New Roman" w:hAnsi="Times New Roman"/>
                          <w:bCs/>
                          <w:sz w:val="20"/>
                          <w:szCs w:val="18"/>
                        </w:rPr>
                        <w:t xml:space="preserve">(including blanked DMRS, if any) </w:t>
                      </w:r>
                      <w:r w:rsidRPr="00E15C14">
                        <w:rPr>
                          <w:rFonts w:ascii="Times New Roman" w:hAnsi="Times New Roman"/>
                          <w:sz w:val="20"/>
                          <w:szCs w:val="18"/>
                        </w:rPr>
                        <w:t>for OCC is the same as for Rel-17</w:t>
                      </w:r>
                    </w:p>
                  </w:txbxContent>
                </v:textbox>
                <w10:anchorlock/>
              </v:shape>
            </w:pict>
          </mc:Fallback>
        </mc:AlternateContent>
      </w:r>
    </w:p>
    <w:p w14:paraId="31759CC3" w14:textId="77777777" w:rsidR="00E15C14" w:rsidRDefault="00E15C14" w:rsidP="001D56B2">
      <w:pPr>
        <w:rPr>
          <w:lang w:eastAsia="zh-CN"/>
        </w:rPr>
      </w:pPr>
    </w:p>
    <w:p w14:paraId="41747ADD" w14:textId="0812271F" w:rsidR="00E15C14" w:rsidRDefault="00E15C14" w:rsidP="001D56B2">
      <w:pPr>
        <w:rPr>
          <w:lang w:eastAsia="zh-CN"/>
        </w:rPr>
      </w:pPr>
      <w:r>
        <w:rPr>
          <w:lang w:eastAsia="zh-CN"/>
        </w:rPr>
        <w:t xml:space="preserve">In this paper we present </w:t>
      </w:r>
      <w:proofErr w:type="spellStart"/>
      <w:r>
        <w:rPr>
          <w:lang w:eastAsia="zh-CN"/>
        </w:rPr>
        <w:t>Viasat’s</w:t>
      </w:r>
      <w:proofErr w:type="spellEnd"/>
      <w:r>
        <w:rPr>
          <w:lang w:eastAsia="zh-CN"/>
        </w:rPr>
        <w:t xml:space="preserve"> views on UL Capacity Enhancements for IoT NTN, as an NTN operator with live NB-IoT NTN networks deployed in the field.</w:t>
      </w:r>
    </w:p>
    <w:p w14:paraId="123FA8EE" w14:textId="5422D9CB" w:rsidR="00E852DE" w:rsidRDefault="00E852DE" w:rsidP="001D56B2">
      <w:pPr>
        <w:rPr>
          <w:lang w:eastAsia="zh-CN"/>
        </w:rPr>
      </w:pPr>
      <w:r>
        <w:rPr>
          <w:lang w:eastAsia="zh-CN"/>
        </w:rPr>
        <w:t xml:space="preserve">It should be noted that there are </w:t>
      </w:r>
      <w:proofErr w:type="gramStart"/>
      <w:r>
        <w:rPr>
          <w:lang w:eastAsia="zh-CN"/>
        </w:rPr>
        <w:t>a number of</w:t>
      </w:r>
      <w:proofErr w:type="gramEnd"/>
      <w:r>
        <w:rPr>
          <w:lang w:eastAsia="zh-CN"/>
        </w:rPr>
        <w:t xml:space="preserve"> commonalities in observations that can be made about </w:t>
      </w:r>
      <w:r w:rsidR="00981A92">
        <w:rPr>
          <w:lang w:eastAsia="zh-CN"/>
        </w:rPr>
        <w:t xml:space="preserve">OCC for IoT NTN and NR NTN at least in light of upcoming high-performance NGSO systems.  Thus, </w:t>
      </w:r>
      <w:r w:rsidR="00092A86">
        <w:rPr>
          <w:lang w:eastAsia="zh-CN"/>
        </w:rPr>
        <w:t xml:space="preserve">this paper shares </w:t>
      </w:r>
      <w:proofErr w:type="gramStart"/>
      <w:r w:rsidR="00092A86">
        <w:rPr>
          <w:lang w:eastAsia="zh-CN"/>
        </w:rPr>
        <w:t>a number of</w:t>
      </w:r>
      <w:proofErr w:type="gramEnd"/>
      <w:r w:rsidR="00092A86">
        <w:rPr>
          <w:lang w:eastAsia="zh-CN"/>
        </w:rPr>
        <w:t xml:space="preserve"> observations with our corresponding paper on NR NTN (</w:t>
      </w:r>
      <w:r w:rsidR="00883971" w:rsidRPr="00883971">
        <w:rPr>
          <w:lang w:eastAsia="zh-CN"/>
        </w:rPr>
        <w:t>R1-2407139</w:t>
      </w:r>
      <w:r w:rsidR="00883971">
        <w:rPr>
          <w:lang w:eastAsia="zh-CN"/>
        </w:rPr>
        <w:t>)</w:t>
      </w:r>
      <w:r w:rsidR="00B702E4">
        <w:rPr>
          <w:lang w:eastAsia="zh-CN"/>
        </w:rPr>
        <w:t>.</w:t>
      </w:r>
    </w:p>
    <w:p w14:paraId="566C8F00" w14:textId="77777777" w:rsidR="00E15C14" w:rsidRPr="001D56B2" w:rsidRDefault="00E15C14" w:rsidP="001D56B2">
      <w:pPr>
        <w:rPr>
          <w:lang w:eastAsia="zh-CN"/>
        </w:rPr>
      </w:pPr>
    </w:p>
    <w:p w14:paraId="5C444470" w14:textId="47961B32" w:rsidR="001D56B2" w:rsidRDefault="001D56B2" w:rsidP="00883971">
      <w:pPr>
        <w:pStyle w:val="Heading1"/>
      </w:pPr>
      <w:r>
        <w:t>Discussion</w:t>
      </w:r>
    </w:p>
    <w:p w14:paraId="1E1EE49A" w14:textId="1849EF36" w:rsidR="00306BBB" w:rsidRPr="00306BBB" w:rsidRDefault="002E725D" w:rsidP="00306BBB">
      <w:pPr>
        <w:pStyle w:val="Heading2"/>
        <w:rPr>
          <w:lang w:eastAsia="zh-CN"/>
        </w:rPr>
      </w:pPr>
      <w:r>
        <w:rPr>
          <w:lang w:eastAsia="zh-CN"/>
        </w:rPr>
        <w:t>Background</w:t>
      </w:r>
    </w:p>
    <w:p w14:paraId="58780801" w14:textId="0D3168C1" w:rsidR="00E15C14" w:rsidRDefault="007850D4" w:rsidP="00E15C14">
      <w:pPr>
        <w:rPr>
          <w:lang w:eastAsia="zh-CN"/>
        </w:rPr>
      </w:pPr>
      <w:r>
        <w:rPr>
          <w:lang w:eastAsia="zh-CN"/>
        </w:rPr>
        <w:t>During RAN</w:t>
      </w:r>
      <w:r w:rsidR="00FE54A4">
        <w:rPr>
          <w:lang w:eastAsia="zh-CN"/>
        </w:rPr>
        <w:t>1</w:t>
      </w:r>
      <w:r>
        <w:rPr>
          <w:lang w:eastAsia="zh-CN"/>
        </w:rPr>
        <w:t>#117</w:t>
      </w:r>
      <w:r w:rsidR="00FE54A4">
        <w:rPr>
          <w:lang w:eastAsia="zh-CN"/>
        </w:rPr>
        <w:t xml:space="preserve"> and preceding RAN1 meetings, as well as during the scope revision discussions at RAN#104, whether to include support for both 3.75 kHz and 15 kHz SCS was the subject of heavy discussions.</w:t>
      </w:r>
    </w:p>
    <w:p w14:paraId="1363898F" w14:textId="0353F385" w:rsidR="00FE54A4" w:rsidRDefault="00FE54A4" w:rsidP="00E15C14">
      <w:pPr>
        <w:rPr>
          <w:lang w:eastAsia="zh-CN"/>
        </w:rPr>
      </w:pPr>
      <w:r>
        <w:rPr>
          <w:lang w:eastAsia="zh-CN"/>
        </w:rPr>
        <w:t>Sim</w:t>
      </w:r>
      <w:r w:rsidR="00973BF9">
        <w:rPr>
          <w:lang w:eastAsia="zh-CN"/>
        </w:rPr>
        <w:t>ilarly, whether the scope should include support for multi-tone, as well as single tone, was also the subject of heavy discussions.</w:t>
      </w:r>
    </w:p>
    <w:p w14:paraId="3378B732" w14:textId="02DD6C8D" w:rsidR="00973BF9" w:rsidRDefault="008A65A4" w:rsidP="00E15C14">
      <w:pPr>
        <w:rPr>
          <w:lang w:eastAsia="zh-CN"/>
        </w:rPr>
      </w:pPr>
      <w:r>
        <w:rPr>
          <w:lang w:eastAsia="zh-CN"/>
        </w:rPr>
        <w:lastRenderedPageBreak/>
        <w:t>In this paper, we would like to provide an NTN operator’s perspective on the importance of including support for both SCS, as well as both single-tone and multi-tone transmission schemes</w:t>
      </w:r>
      <w:r w:rsidR="00362348">
        <w:rPr>
          <w:lang w:eastAsia="zh-CN"/>
        </w:rPr>
        <w:t xml:space="preserve"> and their applicability to current GEO/GSO systems already deployed and operational as well as applicability to future upcoming NGSO systems.</w:t>
      </w:r>
    </w:p>
    <w:p w14:paraId="4ACCBA30" w14:textId="77777777" w:rsidR="00362348" w:rsidRDefault="00362348" w:rsidP="00E15C14">
      <w:pPr>
        <w:rPr>
          <w:lang w:eastAsia="zh-CN"/>
        </w:rPr>
      </w:pPr>
    </w:p>
    <w:p w14:paraId="5061CB64" w14:textId="77777777" w:rsidR="00EB1F01" w:rsidRPr="00EB1F01" w:rsidRDefault="00EB1F01" w:rsidP="00E15C14">
      <w:pPr>
        <w:rPr>
          <w:b/>
          <w:bCs/>
          <w:lang w:eastAsia="zh-CN"/>
        </w:rPr>
      </w:pPr>
    </w:p>
    <w:p w14:paraId="2C7629D2" w14:textId="77777777" w:rsidR="00EB1F01" w:rsidRPr="00E15C14" w:rsidRDefault="00EB1F01" w:rsidP="00E15C14">
      <w:pPr>
        <w:rPr>
          <w:lang w:eastAsia="zh-CN"/>
        </w:rPr>
      </w:pPr>
    </w:p>
    <w:p w14:paraId="676A97DF" w14:textId="6BB97240" w:rsidR="002E725D" w:rsidRDefault="0038575B">
      <w:pPr>
        <w:pStyle w:val="Heading2"/>
      </w:pPr>
      <w:r>
        <w:t>Current GEO systems and 3.75 kHz and 15 kHz SCS support</w:t>
      </w:r>
    </w:p>
    <w:p w14:paraId="60420DD0" w14:textId="77777777" w:rsidR="00362348" w:rsidRDefault="00362348" w:rsidP="00362348"/>
    <w:p w14:paraId="5DEDBB69" w14:textId="18E4DD56" w:rsidR="002F3A6E" w:rsidRDefault="00362348" w:rsidP="00362348">
      <w:pPr>
        <w:rPr>
          <w:lang w:eastAsia="zh-CN"/>
        </w:rPr>
      </w:pPr>
      <w:r>
        <w:rPr>
          <w:lang w:eastAsia="zh-CN"/>
        </w:rPr>
        <w:t xml:space="preserve">NB-IoT NTN has been the first NTN technology to be deployed to the market, even before Rel-17 work had been completed, over existing </w:t>
      </w:r>
      <w:r w:rsidR="00414E61">
        <w:rPr>
          <w:lang w:eastAsia="zh-CN"/>
        </w:rPr>
        <w:t>GEO/GSO space segment infrastructure in FR1.</w:t>
      </w:r>
      <w:r w:rsidR="002F3A6E">
        <w:rPr>
          <w:lang w:eastAsia="zh-CN"/>
        </w:rPr>
        <w:t xml:space="preserve">  These systems are currently already deployed </w:t>
      </w:r>
      <w:proofErr w:type="gramStart"/>
      <w:r w:rsidR="002F3A6E">
        <w:rPr>
          <w:lang w:eastAsia="zh-CN"/>
        </w:rPr>
        <w:t>live, and</w:t>
      </w:r>
      <w:proofErr w:type="gramEnd"/>
      <w:r w:rsidR="002F3A6E">
        <w:rPr>
          <w:lang w:eastAsia="zh-CN"/>
        </w:rPr>
        <w:t xml:space="preserve"> support real traffic.</w:t>
      </w:r>
    </w:p>
    <w:p w14:paraId="42927F39" w14:textId="3FF7FF83" w:rsidR="00414E61" w:rsidRDefault="00414E61" w:rsidP="00362348">
      <w:pPr>
        <w:rPr>
          <w:lang w:eastAsia="zh-CN"/>
        </w:rPr>
      </w:pPr>
      <w:r>
        <w:rPr>
          <w:lang w:eastAsia="zh-CN"/>
        </w:rPr>
        <w:t>The systems currently deployed support applications ranging from smartphone emergency SOS, beacon, tracking and messaging, to IoT, dedicated satellite phones</w:t>
      </w:r>
      <w:r w:rsidR="00D060AE">
        <w:rPr>
          <w:lang w:eastAsia="zh-CN"/>
        </w:rPr>
        <w:t xml:space="preserve">, UAV </w:t>
      </w:r>
      <w:proofErr w:type="gramStart"/>
      <w:r w:rsidR="00D060AE">
        <w:rPr>
          <w:lang w:eastAsia="zh-CN"/>
        </w:rPr>
        <w:t>tracking ,</w:t>
      </w:r>
      <w:proofErr w:type="gramEnd"/>
      <w:r w:rsidR="00D060AE">
        <w:rPr>
          <w:lang w:eastAsia="zh-CN"/>
        </w:rPr>
        <w:t xml:space="preserve"> command and telemetry and many more</w:t>
      </w:r>
      <w:r w:rsidR="006348E7">
        <w:rPr>
          <w:lang w:eastAsia="zh-CN"/>
        </w:rPr>
        <w:t>, in both mobile, semi-mobile and fixed scenarios</w:t>
      </w:r>
      <w:r w:rsidR="00D060AE">
        <w:rPr>
          <w:lang w:eastAsia="zh-CN"/>
        </w:rPr>
        <w:t>.</w:t>
      </w:r>
    </w:p>
    <w:p w14:paraId="7611DFFD" w14:textId="200624E8" w:rsidR="00D060AE" w:rsidRDefault="00D060AE" w:rsidP="00362348">
      <w:pPr>
        <w:rPr>
          <w:lang w:eastAsia="zh-CN"/>
        </w:rPr>
      </w:pPr>
      <w:r>
        <w:rPr>
          <w:lang w:eastAsia="zh-CN"/>
        </w:rPr>
        <w:t xml:space="preserve">These applications are characterized by UE of different types, different antenna </w:t>
      </w:r>
      <w:r w:rsidR="002F3A6E">
        <w:rPr>
          <w:lang w:eastAsia="zh-CN"/>
        </w:rPr>
        <w:t xml:space="preserve">performance and </w:t>
      </w:r>
      <w:r>
        <w:rPr>
          <w:lang w:eastAsia="zh-CN"/>
        </w:rPr>
        <w:t>characteristics, different behaviors</w:t>
      </w:r>
      <w:r w:rsidR="003C116C">
        <w:rPr>
          <w:lang w:eastAsia="zh-CN"/>
        </w:rPr>
        <w:t xml:space="preserve"> and dynamic link conditions, experiencing very different patterns of link fading and multipath.</w:t>
      </w:r>
      <w:r w:rsidR="00171B47">
        <w:rPr>
          <w:lang w:eastAsia="zh-CN"/>
        </w:rPr>
        <w:t xml:space="preserve">  This diversity of applications, including the support of Smartphone devices, is </w:t>
      </w:r>
      <w:r w:rsidR="00813130">
        <w:rPr>
          <w:lang w:eastAsia="zh-CN"/>
        </w:rPr>
        <w:t>unprecedented for NB-IoT networks, and has required a different approach to the deployment and operation of</w:t>
      </w:r>
      <w:r w:rsidR="00BE6939">
        <w:rPr>
          <w:lang w:eastAsia="zh-CN"/>
        </w:rPr>
        <w:t xml:space="preserve"> the</w:t>
      </w:r>
      <w:r w:rsidR="00813130">
        <w:rPr>
          <w:lang w:eastAsia="zh-CN"/>
        </w:rPr>
        <w:t xml:space="preserve"> NB-IoT system</w:t>
      </w:r>
      <w:r w:rsidR="00BE6939">
        <w:rPr>
          <w:lang w:eastAsia="zh-CN"/>
        </w:rPr>
        <w:t>.</w:t>
      </w:r>
    </w:p>
    <w:p w14:paraId="66C1DB80" w14:textId="73FC77CA" w:rsidR="00362348" w:rsidRDefault="00BE6939" w:rsidP="00362348">
      <w:pPr>
        <w:rPr>
          <w:lang w:eastAsia="zh-CN"/>
        </w:rPr>
      </w:pPr>
      <w:r>
        <w:rPr>
          <w:lang w:eastAsia="zh-CN"/>
        </w:rPr>
        <w:t>Different NB-IoT Uplink transmission schemes and sub-carrier spacings, such as 3.75 kHz</w:t>
      </w:r>
      <w:r w:rsidR="003C1900">
        <w:rPr>
          <w:lang w:eastAsia="zh-CN"/>
        </w:rPr>
        <w:t xml:space="preserve"> single tone, 15 kHz single tone and 15 kHz multi-tone offer different advantages and disadvantages, that </w:t>
      </w:r>
      <w:proofErr w:type="gramStart"/>
      <w:r w:rsidR="003C1900">
        <w:rPr>
          <w:lang w:eastAsia="zh-CN"/>
        </w:rPr>
        <w:t>have to</w:t>
      </w:r>
      <w:proofErr w:type="gramEnd"/>
      <w:r w:rsidR="003C1900">
        <w:rPr>
          <w:lang w:eastAsia="zh-CN"/>
        </w:rPr>
        <w:t xml:space="preserve"> often be mixed together in order to achieve optimal user performance and efficient system utilization.</w:t>
      </w:r>
    </w:p>
    <w:p w14:paraId="416DF81B" w14:textId="4597C650" w:rsidR="0077064D" w:rsidRDefault="00F158FD" w:rsidP="00362348">
      <w:pPr>
        <w:rPr>
          <w:lang w:eastAsia="zh-CN"/>
        </w:rPr>
      </w:pPr>
      <w:r>
        <w:rPr>
          <w:lang w:eastAsia="zh-CN"/>
        </w:rPr>
        <w:t>For example, 3.75 kHz transmission schemes offer very good link UL link budget and higher channel multiplexing capacity (up to 48 users</w:t>
      </w:r>
      <w:proofErr w:type="gramStart"/>
      <w:r>
        <w:rPr>
          <w:lang w:eastAsia="zh-CN"/>
        </w:rPr>
        <w:t>), but</w:t>
      </w:r>
      <w:proofErr w:type="gramEnd"/>
      <w:r>
        <w:rPr>
          <w:lang w:eastAsia="zh-CN"/>
        </w:rPr>
        <w:t xml:space="preserve"> </w:t>
      </w:r>
      <w:r w:rsidR="006348E7">
        <w:rPr>
          <w:lang w:eastAsia="zh-CN"/>
        </w:rPr>
        <w:t xml:space="preserve">require significantly longer transmission times due to the longer Resource Unit (RU) duration.   This makes them very well suited for </w:t>
      </w:r>
      <w:r w:rsidR="004D0C1A">
        <w:rPr>
          <w:lang w:eastAsia="zh-CN"/>
        </w:rPr>
        <w:t xml:space="preserve">challenging link budgets of </w:t>
      </w:r>
      <w:proofErr w:type="gramStart"/>
      <w:r w:rsidR="004D0C1A">
        <w:rPr>
          <w:lang w:eastAsia="zh-CN"/>
        </w:rPr>
        <w:t>low-power</w:t>
      </w:r>
      <w:proofErr w:type="gramEnd"/>
      <w:r w:rsidR="004D0C1A">
        <w:rPr>
          <w:lang w:eastAsia="zh-CN"/>
        </w:rPr>
        <w:t>, bursty and massive IoT applications</w:t>
      </w:r>
      <w:r w:rsidR="00BE3B7F">
        <w:rPr>
          <w:lang w:eastAsia="zh-CN"/>
        </w:rPr>
        <w:t>, especially for fixed IoT devices, but can present issues when adopted in more dynamic environments, such as mobile assets</w:t>
      </w:r>
      <w:r w:rsidR="0077064D">
        <w:rPr>
          <w:lang w:eastAsia="zh-CN"/>
        </w:rPr>
        <w:t xml:space="preserve">, due to the high probability of channel fading </w:t>
      </w:r>
      <w:r w:rsidR="00D62048">
        <w:rPr>
          <w:lang w:eastAsia="zh-CN"/>
        </w:rPr>
        <w:t>affecting the link during the duration of the UL transmission.</w:t>
      </w:r>
    </w:p>
    <w:p w14:paraId="746268D7" w14:textId="77777777" w:rsidR="000612D5" w:rsidRDefault="00D62048" w:rsidP="00362348">
      <w:pPr>
        <w:rPr>
          <w:lang w:eastAsia="zh-CN"/>
        </w:rPr>
      </w:pPr>
      <w:r>
        <w:rPr>
          <w:lang w:eastAsia="zh-CN"/>
        </w:rPr>
        <w:t xml:space="preserve">15 kHz SCS, on the other </w:t>
      </w:r>
      <w:r w:rsidR="00E84417">
        <w:rPr>
          <w:lang w:eastAsia="zh-CN"/>
        </w:rPr>
        <w:t>hand, are better suited to higher power devices</w:t>
      </w:r>
      <w:r w:rsidR="00D640FB">
        <w:rPr>
          <w:lang w:eastAsia="zh-CN"/>
        </w:rPr>
        <w:t xml:space="preserve"> </w:t>
      </w:r>
      <w:r w:rsidR="000612D5">
        <w:rPr>
          <w:lang w:eastAsia="zh-CN"/>
        </w:rPr>
        <w:t>and mobile environments where the link might experience fast intermittent fading.</w:t>
      </w:r>
    </w:p>
    <w:p w14:paraId="11204343" w14:textId="3D4A812A" w:rsidR="00D62048" w:rsidRDefault="000612D5" w:rsidP="00362348">
      <w:pPr>
        <w:rPr>
          <w:lang w:eastAsia="zh-CN"/>
        </w:rPr>
      </w:pPr>
      <w:r>
        <w:rPr>
          <w:lang w:eastAsia="zh-CN"/>
        </w:rPr>
        <w:t xml:space="preserve">Current live NB-IoT NTN systems implement both schemes.  The </w:t>
      </w:r>
      <w:r w:rsidR="00111635">
        <w:rPr>
          <w:lang w:eastAsia="zh-CN"/>
        </w:rPr>
        <w:t>cell capacity advantages gained by the a</w:t>
      </w:r>
      <w:r>
        <w:rPr>
          <w:lang w:eastAsia="zh-CN"/>
        </w:rPr>
        <w:t xml:space="preserve">pplication of OCC should be </w:t>
      </w:r>
      <w:r w:rsidR="00111635">
        <w:rPr>
          <w:lang w:eastAsia="zh-CN"/>
        </w:rPr>
        <w:t>applicable to both schemes, to allow operators the freedom to configure the network to maximize the user experience and efficient system utilization.</w:t>
      </w:r>
      <w:r w:rsidR="00E84417">
        <w:rPr>
          <w:lang w:eastAsia="zh-CN"/>
        </w:rPr>
        <w:t xml:space="preserve"> </w:t>
      </w:r>
    </w:p>
    <w:p w14:paraId="30311D6B" w14:textId="2C8A14D4" w:rsidR="00111635" w:rsidRDefault="00111635" w:rsidP="00362348">
      <w:pPr>
        <w:rPr>
          <w:lang w:eastAsia="zh-CN"/>
        </w:rPr>
      </w:pPr>
      <w:r>
        <w:rPr>
          <w:lang w:eastAsia="zh-CN"/>
        </w:rPr>
        <w:t xml:space="preserve">In both cases, single-tone schemes are </w:t>
      </w:r>
      <w:r w:rsidR="0038575B">
        <w:rPr>
          <w:lang w:eastAsia="zh-CN"/>
        </w:rPr>
        <w:t xml:space="preserve">very well suited for GEO deployments, due to the </w:t>
      </w:r>
      <w:r w:rsidR="009B6E1A">
        <w:rPr>
          <w:lang w:eastAsia="zh-CN"/>
        </w:rPr>
        <w:t xml:space="preserve">high multiplexing capacity in the frequency domain and the narrow bandwidth, maximizing power spectral density of the UE transmission, which can effectively counteract the UE transmit power limitations and the </w:t>
      </w:r>
      <w:r w:rsidR="00707EA2">
        <w:rPr>
          <w:lang w:eastAsia="zh-CN"/>
        </w:rPr>
        <w:t>challenging link budget.</w:t>
      </w:r>
    </w:p>
    <w:p w14:paraId="360EA92C" w14:textId="51EA41C3" w:rsidR="00362348" w:rsidRDefault="00362348" w:rsidP="00362348">
      <w:pPr>
        <w:rPr>
          <w:lang w:eastAsia="zh-CN"/>
        </w:rPr>
      </w:pPr>
    </w:p>
    <w:p w14:paraId="6B7CD77F" w14:textId="77777777" w:rsidR="00362348" w:rsidRDefault="00362348" w:rsidP="00362348">
      <w:pPr>
        <w:rPr>
          <w:lang w:eastAsia="zh-CN"/>
        </w:rPr>
      </w:pPr>
      <w:r>
        <w:rPr>
          <w:b/>
          <w:bCs/>
          <w:lang w:eastAsia="zh-CN"/>
        </w:rPr>
        <w:t xml:space="preserve">Observation 1: Both </w:t>
      </w:r>
      <w:r w:rsidRPr="0085517E">
        <w:rPr>
          <w:b/>
          <w:bCs/>
          <w:lang w:eastAsia="zh-CN"/>
        </w:rPr>
        <w:t>3.75kHz SCS and 15 kHz are currently deployed in NB-IoT</w:t>
      </w:r>
      <w:r>
        <w:rPr>
          <w:b/>
          <w:bCs/>
          <w:lang w:eastAsia="zh-CN"/>
        </w:rPr>
        <w:t xml:space="preserve"> </w:t>
      </w:r>
      <w:r w:rsidRPr="0085517E">
        <w:rPr>
          <w:b/>
          <w:bCs/>
          <w:lang w:eastAsia="zh-CN"/>
        </w:rPr>
        <w:t>NTN with actual</w:t>
      </w:r>
      <w:r>
        <w:rPr>
          <w:b/>
          <w:bCs/>
          <w:lang w:eastAsia="zh-CN"/>
        </w:rPr>
        <w:t xml:space="preserve"> live</w:t>
      </w:r>
      <w:r w:rsidRPr="0085517E">
        <w:rPr>
          <w:b/>
          <w:bCs/>
          <w:lang w:eastAsia="zh-CN"/>
        </w:rPr>
        <w:t xml:space="preserve"> networks using these SCS.</w:t>
      </w:r>
      <w:r>
        <w:rPr>
          <w:lang w:eastAsia="zh-CN"/>
        </w:rPr>
        <w:t xml:space="preserve">  </w:t>
      </w:r>
    </w:p>
    <w:p w14:paraId="2F640D29" w14:textId="77777777" w:rsidR="00362348" w:rsidRPr="001E7AA4" w:rsidRDefault="00362348" w:rsidP="00362348">
      <w:pPr>
        <w:rPr>
          <w:b/>
          <w:bCs/>
          <w:lang w:eastAsia="zh-CN"/>
        </w:rPr>
      </w:pPr>
      <w:r w:rsidRPr="001E7AA4">
        <w:rPr>
          <w:b/>
          <w:bCs/>
          <w:lang w:eastAsia="zh-CN"/>
        </w:rPr>
        <w:t>Proposal 1: Include support for both 3.75kHz and 15kHz SCS, based on real-world operator deployments.</w:t>
      </w:r>
    </w:p>
    <w:p w14:paraId="2C59B8A2" w14:textId="77777777" w:rsidR="00362348" w:rsidRDefault="00362348" w:rsidP="00362348">
      <w:pPr>
        <w:rPr>
          <w:lang w:eastAsia="zh-CN"/>
        </w:rPr>
      </w:pPr>
    </w:p>
    <w:p w14:paraId="11B9D423" w14:textId="77777777" w:rsidR="00362348" w:rsidRPr="00362348" w:rsidRDefault="00362348" w:rsidP="00362348"/>
    <w:p w14:paraId="1AC4A8FC" w14:textId="38D9C7BC" w:rsidR="002E725D" w:rsidRDefault="0038575B">
      <w:pPr>
        <w:pStyle w:val="Heading2"/>
      </w:pPr>
      <w:r>
        <w:lastRenderedPageBreak/>
        <w:t>Single tone vs multi-tone and u</w:t>
      </w:r>
      <w:r w:rsidR="002E725D">
        <w:t>pcoming NGSO systems</w:t>
      </w:r>
    </w:p>
    <w:p w14:paraId="02659EA8" w14:textId="77777777" w:rsidR="007248BF" w:rsidRDefault="00495557" w:rsidP="002E725D">
      <w:pPr>
        <w:rPr>
          <w:lang w:eastAsia="zh-CN"/>
        </w:rPr>
      </w:pPr>
      <w:r>
        <w:rPr>
          <w:lang w:eastAsia="zh-CN"/>
        </w:rPr>
        <w:t>While single tone techniques are extremely versatile and can provide effective multiplexing and efficient system capacity across both GEO and NGSO systems</w:t>
      </w:r>
      <w:r w:rsidR="007248BF">
        <w:rPr>
          <w:lang w:eastAsia="zh-CN"/>
        </w:rPr>
        <w:t>, they still rely on longer transmission durations, which can be sub-optimal in scenarios with fast dynamic fading and multipath.</w:t>
      </w:r>
    </w:p>
    <w:p w14:paraId="18202607" w14:textId="30332877" w:rsidR="00B85FAE" w:rsidRDefault="007248BF" w:rsidP="002E725D">
      <w:pPr>
        <w:rPr>
          <w:lang w:eastAsia="zh-CN"/>
        </w:rPr>
      </w:pPr>
      <w:r>
        <w:rPr>
          <w:lang w:eastAsia="zh-CN"/>
        </w:rPr>
        <w:t xml:space="preserve">For example, for </w:t>
      </w:r>
      <w:r w:rsidR="008A032E">
        <w:rPr>
          <w:lang w:eastAsia="zh-CN"/>
        </w:rPr>
        <w:t>devices such as smartphones or animal trackers, which experience fast deep fading and multipath during their normal usage scenarios, the transmission durations required by single tone techniques can often be too long.  Furthermore, they increase the overall transmission latency</w:t>
      </w:r>
      <w:r w:rsidR="00B85FAE">
        <w:rPr>
          <w:lang w:eastAsia="zh-CN"/>
        </w:rPr>
        <w:t>, especially in half duplex systems such as NB-IoT.</w:t>
      </w:r>
    </w:p>
    <w:p w14:paraId="7DFCADCD" w14:textId="037B5124" w:rsidR="002E725D" w:rsidRDefault="00495557" w:rsidP="002E725D">
      <w:r>
        <w:rPr>
          <w:lang w:eastAsia="zh-CN"/>
        </w:rPr>
        <w:t>Multi-tone schemes using 15 kHz sub-carrier spacing</w:t>
      </w:r>
      <w:r w:rsidR="00B85FAE">
        <w:rPr>
          <w:lang w:eastAsia="zh-CN"/>
        </w:rPr>
        <w:t>, on the other hand,</w:t>
      </w:r>
      <w:r>
        <w:rPr>
          <w:lang w:eastAsia="zh-CN"/>
        </w:rPr>
        <w:t xml:space="preserve"> are well suited to maximize fast release of the radio channel and optimized scheduling, which would make them even better suited to </w:t>
      </w:r>
      <w:proofErr w:type="gramStart"/>
      <w:r>
        <w:rPr>
          <w:lang w:eastAsia="zh-CN"/>
        </w:rPr>
        <w:t>highly-mobile</w:t>
      </w:r>
      <w:proofErr w:type="gramEnd"/>
      <w:r>
        <w:rPr>
          <w:lang w:eastAsia="zh-CN"/>
        </w:rPr>
        <w:t xml:space="preserve"> environments with lots of dynamic fading, however their use in GEO is often limited by the tight link budget.</w:t>
      </w:r>
    </w:p>
    <w:p w14:paraId="376707B2" w14:textId="0D9F618A" w:rsidR="004449AD" w:rsidRDefault="004449AD" w:rsidP="002E725D">
      <w:pPr>
        <w:rPr>
          <w:lang w:eastAsia="zh-CN"/>
        </w:rPr>
      </w:pPr>
      <w:r>
        <w:rPr>
          <w:lang w:eastAsia="zh-CN"/>
        </w:rPr>
        <w:t>F</w:t>
      </w:r>
      <w:r w:rsidR="002E725D">
        <w:rPr>
          <w:lang w:eastAsia="zh-CN"/>
        </w:rPr>
        <w:t xml:space="preserve">or upcoming high-performance FR1 NGSO systems, </w:t>
      </w:r>
      <w:r>
        <w:rPr>
          <w:lang w:eastAsia="zh-CN"/>
        </w:rPr>
        <w:t xml:space="preserve">on the other hand, </w:t>
      </w:r>
      <w:r w:rsidR="002E725D">
        <w:rPr>
          <w:lang w:eastAsia="zh-CN"/>
        </w:rPr>
        <w:t xml:space="preserve">and </w:t>
      </w:r>
      <w:r w:rsidR="00111635">
        <w:rPr>
          <w:lang w:eastAsia="zh-CN"/>
        </w:rPr>
        <w:t xml:space="preserve">for both NGSO and GSO systems </w:t>
      </w:r>
      <w:r w:rsidR="002E725D">
        <w:rPr>
          <w:lang w:eastAsia="zh-CN"/>
        </w:rPr>
        <w:t xml:space="preserve">with the introduction of higher </w:t>
      </w:r>
      <w:r w:rsidR="00111635">
        <w:rPr>
          <w:lang w:eastAsia="zh-CN"/>
        </w:rPr>
        <w:t xml:space="preserve">transmit power </w:t>
      </w:r>
      <w:r w:rsidR="002E725D">
        <w:rPr>
          <w:lang w:eastAsia="zh-CN"/>
        </w:rPr>
        <w:t>classes</w:t>
      </w:r>
      <w:r w:rsidR="00111635">
        <w:rPr>
          <w:lang w:eastAsia="zh-CN"/>
        </w:rPr>
        <w:t xml:space="preserve"> (e.g. HPUE)</w:t>
      </w:r>
      <w:r w:rsidR="002E725D">
        <w:rPr>
          <w:lang w:eastAsia="zh-CN"/>
        </w:rPr>
        <w:t>, it is expected that the use of multi-tone will become more and more viable</w:t>
      </w:r>
      <w:r>
        <w:rPr>
          <w:lang w:eastAsia="zh-CN"/>
        </w:rPr>
        <w:t>.</w:t>
      </w:r>
    </w:p>
    <w:p w14:paraId="24B5AC01" w14:textId="5305910C" w:rsidR="004449AD" w:rsidRDefault="004449AD" w:rsidP="002E725D">
      <w:pPr>
        <w:rPr>
          <w:lang w:eastAsia="zh-CN"/>
        </w:rPr>
      </w:pPr>
      <w:r>
        <w:rPr>
          <w:lang w:eastAsia="zh-CN"/>
        </w:rPr>
        <w:t xml:space="preserve">In the case of NGSO systems, </w:t>
      </w:r>
      <w:r w:rsidR="00C94012">
        <w:rPr>
          <w:lang w:eastAsia="zh-CN"/>
        </w:rPr>
        <w:t>many of these</w:t>
      </w:r>
      <w:r w:rsidR="00C94012" w:rsidRPr="14615DAE">
        <w:rPr>
          <w:lang w:eastAsia="zh-CN"/>
        </w:rPr>
        <w:t xml:space="preserve"> systems rely on fast beam hopping</w:t>
      </w:r>
      <w:r w:rsidR="00C94012">
        <w:rPr>
          <w:lang w:eastAsia="zh-CN"/>
        </w:rPr>
        <w:t xml:space="preserve"> </w:t>
      </w:r>
      <w:proofErr w:type="gramStart"/>
      <w:r w:rsidR="00C94012">
        <w:rPr>
          <w:lang w:eastAsia="zh-CN"/>
        </w:rPr>
        <w:t>in order to</w:t>
      </w:r>
      <w:proofErr w:type="gramEnd"/>
      <w:r w:rsidR="00C94012">
        <w:rPr>
          <w:lang w:eastAsia="zh-CN"/>
        </w:rPr>
        <w:t xml:space="preserve"> maximize the tradeoff between satellite payload power </w:t>
      </w:r>
      <w:r w:rsidR="00BE37F5">
        <w:rPr>
          <w:lang w:eastAsia="zh-CN"/>
        </w:rPr>
        <w:t>and coverage efficiency</w:t>
      </w:r>
      <w:r w:rsidR="00C94012" w:rsidRPr="14615DAE">
        <w:rPr>
          <w:lang w:eastAsia="zh-CN"/>
        </w:rPr>
        <w:t>.  In these systems</w:t>
      </w:r>
      <w:r w:rsidR="00BE37F5">
        <w:rPr>
          <w:lang w:eastAsia="zh-CN"/>
        </w:rPr>
        <w:t>,</w:t>
      </w:r>
      <w:r w:rsidR="00C94012" w:rsidRPr="14615DAE">
        <w:rPr>
          <w:lang w:eastAsia="zh-CN"/>
        </w:rPr>
        <w:t xml:space="preserve"> beams may be switched on/off rapidly and on schedule th</w:t>
      </w:r>
      <w:r w:rsidR="00BE37F5">
        <w:rPr>
          <w:lang w:eastAsia="zh-CN"/>
        </w:rPr>
        <w:t>at may or may not be aligned with</w:t>
      </w:r>
      <w:r w:rsidR="00C94012" w:rsidRPr="14615DAE">
        <w:rPr>
          <w:lang w:eastAsia="zh-CN"/>
        </w:rPr>
        <w:t xml:space="preserve"> the </w:t>
      </w:r>
      <w:r w:rsidR="008D147C">
        <w:rPr>
          <w:lang w:eastAsia="zh-CN"/>
        </w:rPr>
        <w:t xml:space="preserve">traffic </w:t>
      </w:r>
      <w:r w:rsidR="00C94012" w:rsidRPr="14615DAE">
        <w:rPr>
          <w:lang w:eastAsia="zh-CN"/>
        </w:rPr>
        <w:t>scheduler.  These schedules are typically based on cell/beam demand, overall traffic flow, congestion needs,</w:t>
      </w:r>
      <w:r w:rsidR="008D147C">
        <w:rPr>
          <w:lang w:eastAsia="zh-CN"/>
        </w:rPr>
        <w:t xml:space="preserve"> coverage control signal requirements and </w:t>
      </w:r>
      <w:r w:rsidR="00C94012" w:rsidRPr="14615DAE">
        <w:rPr>
          <w:lang w:eastAsia="zh-CN"/>
        </w:rPr>
        <w:t>satellite power constraints.  Any</w:t>
      </w:r>
      <w:r w:rsidR="008D147C">
        <w:rPr>
          <w:lang w:eastAsia="zh-CN"/>
        </w:rPr>
        <w:t xml:space="preserve"> transmission scheme or link enhancement</w:t>
      </w:r>
      <w:r w:rsidR="00C94012" w:rsidRPr="14615DAE">
        <w:rPr>
          <w:lang w:eastAsia="zh-CN"/>
        </w:rPr>
        <w:t xml:space="preserve"> technique that relies on </w:t>
      </w:r>
      <w:r w:rsidR="008D147C">
        <w:rPr>
          <w:lang w:eastAsia="zh-CN"/>
        </w:rPr>
        <w:t xml:space="preserve">long transmission durations and </w:t>
      </w:r>
      <w:r w:rsidR="00C94012" w:rsidRPr="14615DAE">
        <w:rPr>
          <w:lang w:eastAsia="zh-CN"/>
        </w:rPr>
        <w:t xml:space="preserve">multiple temporal repetitions </w:t>
      </w:r>
      <w:r w:rsidR="008D147C">
        <w:rPr>
          <w:lang w:eastAsia="zh-CN"/>
        </w:rPr>
        <w:t xml:space="preserve">will </w:t>
      </w:r>
      <w:r w:rsidR="00C94012" w:rsidRPr="14615DAE">
        <w:rPr>
          <w:lang w:eastAsia="zh-CN"/>
        </w:rPr>
        <w:t xml:space="preserve">impose </w:t>
      </w:r>
      <w:r w:rsidR="008D147C">
        <w:rPr>
          <w:lang w:eastAsia="zh-CN"/>
        </w:rPr>
        <w:t xml:space="preserve">significant and unnecessary </w:t>
      </w:r>
      <w:r w:rsidR="00C94012" w:rsidRPr="14615DAE">
        <w:rPr>
          <w:lang w:eastAsia="zh-CN"/>
        </w:rPr>
        <w:t>constraint</w:t>
      </w:r>
      <w:r w:rsidR="008D147C">
        <w:rPr>
          <w:lang w:eastAsia="zh-CN"/>
        </w:rPr>
        <w:t>s</w:t>
      </w:r>
      <w:r w:rsidR="00C94012" w:rsidRPr="14615DAE">
        <w:rPr>
          <w:lang w:eastAsia="zh-CN"/>
        </w:rPr>
        <w:t xml:space="preserve"> on </w:t>
      </w:r>
      <w:r w:rsidR="008D147C">
        <w:rPr>
          <w:lang w:eastAsia="zh-CN"/>
        </w:rPr>
        <w:t xml:space="preserve">the </w:t>
      </w:r>
      <w:r w:rsidR="00C94012" w:rsidRPr="14615DAE">
        <w:rPr>
          <w:lang w:eastAsia="zh-CN"/>
        </w:rPr>
        <w:t>beam hopping schedule</w:t>
      </w:r>
      <w:r w:rsidR="008D147C">
        <w:rPr>
          <w:lang w:eastAsia="zh-CN"/>
        </w:rPr>
        <w:t xml:space="preserve">r, thus </w:t>
      </w:r>
      <w:r w:rsidR="00C94012" w:rsidRPr="14615DAE">
        <w:rPr>
          <w:lang w:eastAsia="zh-CN"/>
        </w:rPr>
        <w:t>causing system inefficiencies</w:t>
      </w:r>
      <w:r w:rsidR="008D147C">
        <w:rPr>
          <w:lang w:eastAsia="zh-CN"/>
        </w:rPr>
        <w:t>.</w:t>
      </w:r>
    </w:p>
    <w:p w14:paraId="2DA5E3CF" w14:textId="0E30D6DA" w:rsidR="008D147C" w:rsidRDefault="00CB2B52" w:rsidP="002E725D">
      <w:pPr>
        <w:rPr>
          <w:lang w:eastAsia="zh-CN"/>
        </w:rPr>
      </w:pPr>
      <w:r>
        <w:rPr>
          <w:lang w:eastAsia="zh-CN"/>
        </w:rPr>
        <w:t>It expected that</w:t>
      </w:r>
      <w:r w:rsidR="00FA10BD">
        <w:rPr>
          <w:lang w:eastAsia="zh-CN"/>
        </w:rPr>
        <w:t xml:space="preserve"> all</w:t>
      </w:r>
      <w:r>
        <w:rPr>
          <w:lang w:eastAsia="zh-CN"/>
        </w:rPr>
        <w:t xml:space="preserve"> future </w:t>
      </w:r>
      <w:r w:rsidR="00FA10BD">
        <w:rPr>
          <w:lang w:eastAsia="zh-CN"/>
        </w:rPr>
        <w:t xml:space="preserve">NB-IoT NTN </w:t>
      </w:r>
      <w:r>
        <w:rPr>
          <w:lang w:eastAsia="zh-CN"/>
        </w:rPr>
        <w:t>systems will employ OCC</w:t>
      </w:r>
      <w:r w:rsidR="00FA10BD">
        <w:rPr>
          <w:lang w:eastAsia="zh-CN"/>
        </w:rPr>
        <w:t xml:space="preserve"> in order to leverage the significant capacity gains</w:t>
      </w:r>
      <w:r w:rsidR="008D147C">
        <w:rPr>
          <w:lang w:eastAsia="zh-CN"/>
        </w:rPr>
        <w:t xml:space="preserve">, </w:t>
      </w:r>
      <w:r w:rsidR="003F042D">
        <w:rPr>
          <w:lang w:eastAsia="zh-CN"/>
        </w:rPr>
        <w:t>the</w:t>
      </w:r>
      <w:r w:rsidR="00FA10BD">
        <w:rPr>
          <w:lang w:eastAsia="zh-CN"/>
        </w:rPr>
        <w:t>refore the</w:t>
      </w:r>
      <w:r w:rsidR="003F042D">
        <w:rPr>
          <w:lang w:eastAsia="zh-CN"/>
        </w:rPr>
        <w:t xml:space="preserve"> limitation to single-tone transmission schemes would severely limit the </w:t>
      </w:r>
      <w:r w:rsidR="00FA10BD">
        <w:rPr>
          <w:lang w:eastAsia="zh-CN"/>
        </w:rPr>
        <w:t>scheduler choices and efficient multiplexing, potentially rendering multi-</w:t>
      </w:r>
      <w:proofErr w:type="gramStart"/>
      <w:r w:rsidR="00FA10BD">
        <w:rPr>
          <w:lang w:eastAsia="zh-CN"/>
        </w:rPr>
        <w:t>tone based</w:t>
      </w:r>
      <w:proofErr w:type="gramEnd"/>
      <w:r w:rsidR="00FA10BD">
        <w:rPr>
          <w:lang w:eastAsia="zh-CN"/>
        </w:rPr>
        <w:t xml:space="preserve"> scheduling completely unusable. This would be very undesirable.</w:t>
      </w:r>
    </w:p>
    <w:p w14:paraId="1F95394D" w14:textId="77777777" w:rsidR="002E725D" w:rsidRDefault="002E725D" w:rsidP="002E725D">
      <w:pPr>
        <w:rPr>
          <w:b/>
          <w:bCs/>
          <w:lang w:eastAsia="zh-CN"/>
        </w:rPr>
      </w:pPr>
      <w:r w:rsidRPr="00EB1F01">
        <w:rPr>
          <w:b/>
          <w:bCs/>
          <w:lang w:eastAsia="zh-CN"/>
        </w:rPr>
        <w:t>Observation</w:t>
      </w:r>
      <w:r>
        <w:rPr>
          <w:b/>
          <w:bCs/>
          <w:lang w:eastAsia="zh-CN"/>
        </w:rPr>
        <w:t xml:space="preserve"> 2</w:t>
      </w:r>
      <w:r w:rsidRPr="00EB1F01">
        <w:rPr>
          <w:b/>
          <w:bCs/>
          <w:lang w:eastAsia="zh-CN"/>
        </w:rPr>
        <w:t xml:space="preserve">: In the presence of fast beam hopping, techniques that rely on time domain repetitions put significantly harder constraints on the scheduler. </w:t>
      </w:r>
    </w:p>
    <w:p w14:paraId="6E9F53FF" w14:textId="57C6E0FD" w:rsidR="008D147C" w:rsidRDefault="008D147C" w:rsidP="002E725D">
      <w:pPr>
        <w:rPr>
          <w:b/>
          <w:bCs/>
          <w:lang w:eastAsia="zh-CN"/>
        </w:rPr>
      </w:pPr>
      <w:r>
        <w:rPr>
          <w:b/>
          <w:bCs/>
          <w:lang w:eastAsia="zh-CN"/>
        </w:rPr>
        <w:t xml:space="preserve">Observation 3:  Discarding of </w:t>
      </w:r>
      <w:r w:rsidR="000F1C93">
        <w:rPr>
          <w:b/>
          <w:bCs/>
          <w:lang w:eastAsia="zh-CN"/>
        </w:rPr>
        <w:t>frequency-domain OCC techniques for NB-IoT multi-tone may have been premature.</w:t>
      </w:r>
    </w:p>
    <w:p w14:paraId="3C699859" w14:textId="037DA588" w:rsidR="00FA10BD" w:rsidRDefault="00FA10BD" w:rsidP="002E725D">
      <w:pPr>
        <w:rPr>
          <w:b/>
          <w:bCs/>
          <w:lang w:eastAsia="zh-CN"/>
        </w:rPr>
      </w:pPr>
      <w:r>
        <w:rPr>
          <w:b/>
          <w:bCs/>
          <w:lang w:eastAsia="zh-CN"/>
        </w:rPr>
        <w:t>Observation 4: Lack of multi-tone support would severely limit implementation of future systems, in particular high performance FR1 NGSO.</w:t>
      </w:r>
    </w:p>
    <w:p w14:paraId="00C3339E" w14:textId="6D098DE0" w:rsidR="002E725D" w:rsidRPr="003F042D" w:rsidRDefault="002E725D" w:rsidP="002E725D">
      <w:pPr>
        <w:rPr>
          <w:b/>
          <w:bCs/>
          <w:lang w:eastAsia="zh-CN"/>
        </w:rPr>
      </w:pPr>
      <w:r w:rsidRPr="001E7AA4">
        <w:rPr>
          <w:b/>
          <w:bCs/>
          <w:lang w:eastAsia="zh-CN"/>
        </w:rPr>
        <w:t>Proposal 2: Specify both single-tone OCC and multi-tone OCC</w:t>
      </w:r>
      <w:r w:rsidR="00FA10BD">
        <w:rPr>
          <w:b/>
          <w:bCs/>
          <w:lang w:eastAsia="zh-CN"/>
        </w:rPr>
        <w:t xml:space="preserve">.  </w:t>
      </w:r>
    </w:p>
    <w:p w14:paraId="5DCD7B04" w14:textId="77777777" w:rsidR="002E725D" w:rsidRPr="002E725D" w:rsidRDefault="002E725D" w:rsidP="002E725D"/>
    <w:p w14:paraId="1570B54D" w14:textId="6EA96D44" w:rsidR="00A1361D" w:rsidRDefault="001D56B2" w:rsidP="00883971">
      <w:pPr>
        <w:pStyle w:val="Heading1"/>
      </w:pPr>
      <w:r>
        <w:t>Conclusion</w:t>
      </w:r>
    </w:p>
    <w:p w14:paraId="7867B81A" w14:textId="77777777" w:rsidR="001A1A4C" w:rsidRDefault="001A1A4C" w:rsidP="001A1A4C">
      <w:pPr>
        <w:rPr>
          <w:lang w:eastAsia="zh-CN"/>
        </w:rPr>
      </w:pPr>
    </w:p>
    <w:p w14:paraId="60F5E0AF" w14:textId="77777777" w:rsidR="0085517E" w:rsidRDefault="0085517E" w:rsidP="0085517E">
      <w:pPr>
        <w:rPr>
          <w:lang w:eastAsia="zh-CN"/>
        </w:rPr>
      </w:pPr>
    </w:p>
    <w:p w14:paraId="4C888368" w14:textId="67C4C31C" w:rsidR="0085517E" w:rsidRDefault="0085517E" w:rsidP="0085517E">
      <w:pPr>
        <w:rPr>
          <w:lang w:eastAsia="zh-CN"/>
        </w:rPr>
      </w:pPr>
      <w:r>
        <w:rPr>
          <w:b/>
          <w:bCs/>
          <w:lang w:eastAsia="zh-CN"/>
        </w:rPr>
        <w:t xml:space="preserve">Observation 1: Both </w:t>
      </w:r>
      <w:r w:rsidRPr="0085517E">
        <w:rPr>
          <w:b/>
          <w:bCs/>
          <w:lang w:eastAsia="zh-CN"/>
        </w:rPr>
        <w:t>3.75kHz SCS and 15 kHz are currently deployed in NB-IoT</w:t>
      </w:r>
      <w:r>
        <w:rPr>
          <w:b/>
          <w:bCs/>
          <w:lang w:eastAsia="zh-CN"/>
        </w:rPr>
        <w:t xml:space="preserve"> </w:t>
      </w:r>
      <w:r w:rsidRPr="0085517E">
        <w:rPr>
          <w:b/>
          <w:bCs/>
          <w:lang w:eastAsia="zh-CN"/>
        </w:rPr>
        <w:t>NTN with actual</w:t>
      </w:r>
      <w:r>
        <w:rPr>
          <w:b/>
          <w:bCs/>
          <w:lang w:eastAsia="zh-CN"/>
        </w:rPr>
        <w:t xml:space="preserve"> live</w:t>
      </w:r>
      <w:r w:rsidRPr="0085517E">
        <w:rPr>
          <w:b/>
          <w:bCs/>
          <w:lang w:eastAsia="zh-CN"/>
        </w:rPr>
        <w:t xml:space="preserve"> networks using these SCS.</w:t>
      </w:r>
      <w:r>
        <w:rPr>
          <w:lang w:eastAsia="zh-CN"/>
        </w:rPr>
        <w:t xml:space="preserve">  </w:t>
      </w:r>
    </w:p>
    <w:p w14:paraId="69BCE4F2" w14:textId="77777777" w:rsidR="00FA10BD" w:rsidRPr="001E7AA4" w:rsidRDefault="00FA10BD" w:rsidP="00FA10BD">
      <w:pPr>
        <w:rPr>
          <w:b/>
          <w:bCs/>
          <w:lang w:eastAsia="zh-CN"/>
        </w:rPr>
      </w:pPr>
      <w:r w:rsidRPr="001E7AA4">
        <w:rPr>
          <w:b/>
          <w:bCs/>
          <w:lang w:eastAsia="zh-CN"/>
        </w:rPr>
        <w:t>Proposal 1: Include support for both 3.75kHz and 15kHz SCS, based on real-world operator deployments.</w:t>
      </w:r>
    </w:p>
    <w:p w14:paraId="7F642782" w14:textId="77777777" w:rsidR="00B93587" w:rsidRDefault="00B93587" w:rsidP="0085517E">
      <w:pPr>
        <w:rPr>
          <w:lang w:eastAsia="zh-CN"/>
        </w:rPr>
      </w:pPr>
    </w:p>
    <w:p w14:paraId="4330422D" w14:textId="77777777" w:rsidR="00FA10BD" w:rsidRDefault="00FA10BD" w:rsidP="00FA10BD">
      <w:pPr>
        <w:rPr>
          <w:b/>
          <w:bCs/>
          <w:lang w:eastAsia="zh-CN"/>
        </w:rPr>
      </w:pPr>
      <w:r w:rsidRPr="00EB1F01">
        <w:rPr>
          <w:b/>
          <w:bCs/>
          <w:lang w:eastAsia="zh-CN"/>
        </w:rPr>
        <w:t>Observation</w:t>
      </w:r>
      <w:r>
        <w:rPr>
          <w:b/>
          <w:bCs/>
          <w:lang w:eastAsia="zh-CN"/>
        </w:rPr>
        <w:t xml:space="preserve"> 2</w:t>
      </w:r>
      <w:r w:rsidRPr="00EB1F01">
        <w:rPr>
          <w:b/>
          <w:bCs/>
          <w:lang w:eastAsia="zh-CN"/>
        </w:rPr>
        <w:t xml:space="preserve">: In the presence of fast beam hopping, techniques that rely on time domain repetitions put significantly harder constraints on the scheduler. </w:t>
      </w:r>
    </w:p>
    <w:p w14:paraId="2D67999B" w14:textId="77777777" w:rsidR="00FA10BD" w:rsidRDefault="00FA10BD" w:rsidP="00FA10BD">
      <w:pPr>
        <w:rPr>
          <w:b/>
          <w:bCs/>
          <w:lang w:eastAsia="zh-CN"/>
        </w:rPr>
      </w:pPr>
      <w:r>
        <w:rPr>
          <w:b/>
          <w:bCs/>
          <w:lang w:eastAsia="zh-CN"/>
        </w:rPr>
        <w:lastRenderedPageBreak/>
        <w:t>Observation 3:  Discarding of frequency-domain OCC techniques for NB-IoT multi-tone may have been premature.</w:t>
      </w:r>
    </w:p>
    <w:p w14:paraId="7A7CA04E" w14:textId="77777777" w:rsidR="00FA10BD" w:rsidRDefault="00FA10BD" w:rsidP="00FA10BD">
      <w:pPr>
        <w:rPr>
          <w:b/>
          <w:bCs/>
          <w:lang w:eastAsia="zh-CN"/>
        </w:rPr>
      </w:pPr>
      <w:r>
        <w:rPr>
          <w:b/>
          <w:bCs/>
          <w:lang w:eastAsia="zh-CN"/>
        </w:rPr>
        <w:t>Observation 4: Lack of multi-tone support would severely limit implementation of future systems, in particular high performance FR1 NGSO.</w:t>
      </w:r>
    </w:p>
    <w:p w14:paraId="1A1EB7BD" w14:textId="77777777" w:rsidR="00FA10BD" w:rsidRPr="003F042D" w:rsidRDefault="00FA10BD" w:rsidP="00FA10BD">
      <w:pPr>
        <w:rPr>
          <w:b/>
          <w:bCs/>
          <w:lang w:eastAsia="zh-CN"/>
        </w:rPr>
      </w:pPr>
      <w:r w:rsidRPr="001E7AA4">
        <w:rPr>
          <w:b/>
          <w:bCs/>
          <w:lang w:eastAsia="zh-CN"/>
        </w:rPr>
        <w:t>Proposal 2: Specify both single-tone OCC and multi-tone OCC</w:t>
      </w:r>
      <w:r>
        <w:rPr>
          <w:b/>
          <w:bCs/>
          <w:lang w:eastAsia="zh-CN"/>
        </w:rPr>
        <w:t xml:space="preserve">.  </w:t>
      </w:r>
    </w:p>
    <w:p w14:paraId="7193DD75" w14:textId="1EDED086" w:rsidR="001A1A4C" w:rsidRPr="001A1A4C" w:rsidRDefault="001A1A4C" w:rsidP="005920EB">
      <w:pPr>
        <w:rPr>
          <w:lang w:eastAsia="zh-CN"/>
        </w:rPr>
      </w:pPr>
    </w:p>
    <w:p w14:paraId="27B78D1F" w14:textId="77777777" w:rsidR="001A1A4C" w:rsidRPr="001A1A4C" w:rsidRDefault="001A1A4C" w:rsidP="001A1A4C">
      <w:pPr>
        <w:rPr>
          <w:lang w:eastAsia="zh-CN"/>
        </w:rPr>
      </w:pPr>
    </w:p>
    <w:p w14:paraId="6D064163" w14:textId="23CA3EF3" w:rsidR="00883971" w:rsidRDefault="00883971" w:rsidP="00883971">
      <w:pPr>
        <w:pStyle w:val="Heading1"/>
      </w:pPr>
      <w:r>
        <w:t>References</w:t>
      </w:r>
    </w:p>
    <w:p w14:paraId="5F31E3C0" w14:textId="39DFA752" w:rsidR="00883971" w:rsidRPr="00883971" w:rsidRDefault="00883971" w:rsidP="00883971">
      <w:pPr>
        <w:pStyle w:val="ListParagraph"/>
        <w:numPr>
          <w:ilvl w:val="0"/>
          <w:numId w:val="17"/>
        </w:numPr>
        <w:rPr>
          <w:lang w:eastAsia="zh-CN"/>
        </w:rPr>
      </w:pPr>
      <w:r w:rsidRPr="00883971">
        <w:rPr>
          <w:lang w:eastAsia="zh-CN"/>
        </w:rPr>
        <w:t>R1-2407139</w:t>
      </w:r>
      <w:r>
        <w:rPr>
          <w:lang w:eastAsia="zh-CN"/>
        </w:rPr>
        <w:t xml:space="preserve"> - </w:t>
      </w:r>
      <w:r w:rsidR="00B702E4" w:rsidRPr="00B702E4">
        <w:rPr>
          <w:lang w:eastAsia="zh-CN"/>
        </w:rPr>
        <w:t>Views on uplink capacity enhancement for NR NTN</w:t>
      </w:r>
      <w:r w:rsidR="00B702E4">
        <w:rPr>
          <w:lang w:eastAsia="zh-CN"/>
        </w:rPr>
        <w:t xml:space="preserve"> (Viasat, Inmarsat)</w:t>
      </w:r>
    </w:p>
    <w:sectPr w:rsidR="00883971" w:rsidRPr="008839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689FA" w14:textId="77777777" w:rsidR="004914FE" w:rsidRDefault="004914FE">
      <w:r>
        <w:separator/>
      </w:r>
    </w:p>
  </w:endnote>
  <w:endnote w:type="continuationSeparator" w:id="0">
    <w:p w14:paraId="0B65968E" w14:textId="77777777" w:rsidR="004914FE" w:rsidRDefault="004914FE">
      <w:r>
        <w:continuationSeparator/>
      </w:r>
    </w:p>
  </w:endnote>
  <w:endnote w:type="continuationNotice" w:id="1">
    <w:p w14:paraId="5C166469" w14:textId="77777777" w:rsidR="004914FE" w:rsidRDefault="00491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83F78" w14:textId="77777777" w:rsidR="004914FE" w:rsidRDefault="004914FE">
      <w:r>
        <w:separator/>
      </w:r>
    </w:p>
  </w:footnote>
  <w:footnote w:type="continuationSeparator" w:id="0">
    <w:p w14:paraId="4F185752" w14:textId="77777777" w:rsidR="004914FE" w:rsidRDefault="004914FE">
      <w:r>
        <w:continuationSeparator/>
      </w:r>
    </w:p>
  </w:footnote>
  <w:footnote w:type="continuationNotice" w:id="1">
    <w:p w14:paraId="29AA99D8" w14:textId="77777777" w:rsidR="004914FE" w:rsidRDefault="004914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A97C83"/>
    <w:multiLevelType w:val="hybridMultilevel"/>
    <w:tmpl w:val="E982BE06"/>
    <w:lvl w:ilvl="0" w:tplc="B08EB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E254A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04F7B86"/>
    <w:multiLevelType w:val="hybridMultilevel"/>
    <w:tmpl w:val="B328ACD4"/>
    <w:lvl w:ilvl="0" w:tplc="A0E023C4">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6"/>
  </w:num>
  <w:num w:numId="2" w16cid:durableId="1853717706">
    <w:abstractNumId w:val="15"/>
  </w:num>
  <w:num w:numId="3" w16cid:durableId="1014697147">
    <w:abstractNumId w:val="13"/>
  </w:num>
  <w:num w:numId="4" w16cid:durableId="356465126">
    <w:abstractNumId w:val="11"/>
  </w:num>
  <w:num w:numId="5" w16cid:durableId="1316181647">
    <w:abstractNumId w:val="9"/>
  </w:num>
  <w:num w:numId="6" w16cid:durableId="2081948719">
    <w:abstractNumId w:val="16"/>
  </w:num>
  <w:num w:numId="7" w16cid:durableId="1364984217">
    <w:abstractNumId w:val="10"/>
  </w:num>
  <w:num w:numId="8" w16cid:durableId="624044451">
    <w:abstractNumId w:val="8"/>
  </w:num>
  <w:num w:numId="9" w16cid:durableId="819162">
    <w:abstractNumId w:val="14"/>
  </w:num>
  <w:num w:numId="10" w16cid:durableId="2128158486">
    <w:abstractNumId w:val="7"/>
  </w:num>
  <w:num w:numId="11" w16cid:durableId="398938486">
    <w:abstractNumId w:val="5"/>
  </w:num>
  <w:num w:numId="12" w16cid:durableId="378826495">
    <w:abstractNumId w:val="2"/>
  </w:num>
  <w:num w:numId="13" w16cid:durableId="1379474361">
    <w:abstractNumId w:val="1"/>
  </w:num>
  <w:num w:numId="14" w16cid:durableId="1514683785">
    <w:abstractNumId w:val="12"/>
  </w:num>
  <w:num w:numId="15" w16cid:durableId="2032871197">
    <w:abstractNumId w:val="17"/>
  </w:num>
  <w:num w:numId="16" w16cid:durableId="1554855087">
    <w:abstractNumId w:val="3"/>
  </w:num>
  <w:num w:numId="17" w16cid:durableId="1343707649">
    <w:abstractNumId w:val="0"/>
  </w:num>
  <w:num w:numId="18" w16cid:durableId="13159111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425"/>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CF6"/>
    <w:rsid w:val="00052E89"/>
    <w:rsid w:val="00052EA8"/>
    <w:rsid w:val="000530DF"/>
    <w:rsid w:val="000530E6"/>
    <w:rsid w:val="00053273"/>
    <w:rsid w:val="0005338E"/>
    <w:rsid w:val="00053569"/>
    <w:rsid w:val="00053624"/>
    <w:rsid w:val="0005388A"/>
    <w:rsid w:val="00053C26"/>
    <w:rsid w:val="00053F64"/>
    <w:rsid w:val="00054006"/>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D5"/>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6BC9"/>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A86"/>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BA"/>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C93"/>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635"/>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56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6050"/>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B47"/>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4C"/>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6B2"/>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AA4"/>
    <w:rsid w:val="001E7BED"/>
    <w:rsid w:val="001F03CF"/>
    <w:rsid w:val="001F053E"/>
    <w:rsid w:val="001F0566"/>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0"/>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25D"/>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00B"/>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A6E"/>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685"/>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BBB"/>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DCF"/>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3DDE"/>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117"/>
    <w:rsid w:val="00361227"/>
    <w:rsid w:val="0036130E"/>
    <w:rsid w:val="00361539"/>
    <w:rsid w:val="00361624"/>
    <w:rsid w:val="00361928"/>
    <w:rsid w:val="00361E81"/>
    <w:rsid w:val="00361FD8"/>
    <w:rsid w:val="0036208A"/>
    <w:rsid w:val="003621F9"/>
    <w:rsid w:val="00362252"/>
    <w:rsid w:val="003622FF"/>
    <w:rsid w:val="00362348"/>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1A"/>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B8"/>
    <w:rsid w:val="003852FB"/>
    <w:rsid w:val="00385378"/>
    <w:rsid w:val="003853B8"/>
    <w:rsid w:val="003853F4"/>
    <w:rsid w:val="00385403"/>
    <w:rsid w:val="00385429"/>
    <w:rsid w:val="003856AC"/>
    <w:rsid w:val="0038575B"/>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00"/>
    <w:rsid w:val="003B7E70"/>
    <w:rsid w:val="003B7F9C"/>
    <w:rsid w:val="003B7FE0"/>
    <w:rsid w:val="003C0050"/>
    <w:rsid w:val="003C0186"/>
    <w:rsid w:val="003C0581"/>
    <w:rsid w:val="003C0759"/>
    <w:rsid w:val="003C0FB5"/>
    <w:rsid w:val="003C1012"/>
    <w:rsid w:val="003C116C"/>
    <w:rsid w:val="003C11C9"/>
    <w:rsid w:val="003C1212"/>
    <w:rsid w:val="003C1229"/>
    <w:rsid w:val="003C137E"/>
    <w:rsid w:val="003C14CF"/>
    <w:rsid w:val="003C14F2"/>
    <w:rsid w:val="003C1578"/>
    <w:rsid w:val="003C1737"/>
    <w:rsid w:val="003C186E"/>
    <w:rsid w:val="003C1900"/>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B15"/>
    <w:rsid w:val="003D6FBC"/>
    <w:rsid w:val="003D7294"/>
    <w:rsid w:val="003D72AF"/>
    <w:rsid w:val="003D7426"/>
    <w:rsid w:val="003D780C"/>
    <w:rsid w:val="003E00A7"/>
    <w:rsid w:val="003E0181"/>
    <w:rsid w:val="003E018A"/>
    <w:rsid w:val="003E0587"/>
    <w:rsid w:val="003E07AE"/>
    <w:rsid w:val="003E0991"/>
    <w:rsid w:val="003E0BF3"/>
    <w:rsid w:val="003E120D"/>
    <w:rsid w:val="003E12E5"/>
    <w:rsid w:val="003E13E5"/>
    <w:rsid w:val="003E149A"/>
    <w:rsid w:val="003E14FC"/>
    <w:rsid w:val="003E17C1"/>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2D"/>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571"/>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E61"/>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9AD"/>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2C8"/>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1"/>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4FE"/>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57"/>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79"/>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42E"/>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307"/>
    <w:rsid w:val="004D0433"/>
    <w:rsid w:val="004D0482"/>
    <w:rsid w:val="004D04A5"/>
    <w:rsid w:val="004D0690"/>
    <w:rsid w:val="004D07C8"/>
    <w:rsid w:val="004D0A00"/>
    <w:rsid w:val="004D0B75"/>
    <w:rsid w:val="004D0C1A"/>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74"/>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A38"/>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EB"/>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8DC"/>
    <w:rsid w:val="005B4A1C"/>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2E62"/>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CAE"/>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51C"/>
    <w:rsid w:val="005E560D"/>
    <w:rsid w:val="005E5617"/>
    <w:rsid w:val="005E56E0"/>
    <w:rsid w:val="005E598D"/>
    <w:rsid w:val="005E59D3"/>
    <w:rsid w:val="005E5B3B"/>
    <w:rsid w:val="005E5E7A"/>
    <w:rsid w:val="005E5FBA"/>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8E7"/>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866"/>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BA"/>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3"/>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A2"/>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8BF"/>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64D"/>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0D4"/>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30"/>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7E"/>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71"/>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32E"/>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5A4"/>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47C"/>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824"/>
    <w:rsid w:val="00913CD0"/>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ACD"/>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997"/>
    <w:rsid w:val="009339A2"/>
    <w:rsid w:val="00933BB7"/>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0"/>
    <w:rsid w:val="009542B4"/>
    <w:rsid w:val="00954353"/>
    <w:rsid w:val="00954470"/>
    <w:rsid w:val="009544CF"/>
    <w:rsid w:val="009546A6"/>
    <w:rsid w:val="009549A6"/>
    <w:rsid w:val="00954EA3"/>
    <w:rsid w:val="00954FFA"/>
    <w:rsid w:val="0095507A"/>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47F"/>
    <w:rsid w:val="009644E9"/>
    <w:rsid w:val="0096471A"/>
    <w:rsid w:val="00964C4A"/>
    <w:rsid w:val="00964EC8"/>
    <w:rsid w:val="00964ED4"/>
    <w:rsid w:val="00964FD0"/>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BF9"/>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1445"/>
    <w:rsid w:val="00981571"/>
    <w:rsid w:val="009815ED"/>
    <w:rsid w:val="0098172F"/>
    <w:rsid w:val="0098194F"/>
    <w:rsid w:val="009819D1"/>
    <w:rsid w:val="00981A69"/>
    <w:rsid w:val="00981A92"/>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6C3"/>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CF5"/>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1A"/>
    <w:rsid w:val="009B6E55"/>
    <w:rsid w:val="009B6F59"/>
    <w:rsid w:val="009B7204"/>
    <w:rsid w:val="009B7476"/>
    <w:rsid w:val="009B74F3"/>
    <w:rsid w:val="009B75CA"/>
    <w:rsid w:val="009B7AFC"/>
    <w:rsid w:val="009B7C51"/>
    <w:rsid w:val="009B7C67"/>
    <w:rsid w:val="009B7CC2"/>
    <w:rsid w:val="009C0074"/>
    <w:rsid w:val="009C0259"/>
    <w:rsid w:val="009C047F"/>
    <w:rsid w:val="009C055C"/>
    <w:rsid w:val="009C0564"/>
    <w:rsid w:val="009C06C6"/>
    <w:rsid w:val="009C07D5"/>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333"/>
    <w:rsid w:val="00A304E2"/>
    <w:rsid w:val="00A30519"/>
    <w:rsid w:val="00A306A7"/>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7FE"/>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C6E"/>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6C4"/>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A9F"/>
    <w:rsid w:val="00AC6CCE"/>
    <w:rsid w:val="00AC6F94"/>
    <w:rsid w:val="00AC74DA"/>
    <w:rsid w:val="00AC77BC"/>
    <w:rsid w:val="00AC7A2B"/>
    <w:rsid w:val="00AC7B90"/>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2E4"/>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5FAE"/>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587"/>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34"/>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A37"/>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7F5"/>
    <w:rsid w:val="00BE3B7F"/>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939"/>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3F0"/>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32"/>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9CA"/>
    <w:rsid w:val="00C60A5F"/>
    <w:rsid w:val="00C60B99"/>
    <w:rsid w:val="00C60C12"/>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66"/>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012"/>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8A5"/>
    <w:rsid w:val="00CB290E"/>
    <w:rsid w:val="00CB29B3"/>
    <w:rsid w:val="00CB2AEE"/>
    <w:rsid w:val="00CB2B52"/>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ABF"/>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4C7"/>
    <w:rsid w:val="00CE1515"/>
    <w:rsid w:val="00CE1656"/>
    <w:rsid w:val="00CE192D"/>
    <w:rsid w:val="00CE1972"/>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09"/>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0AE"/>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D39"/>
    <w:rsid w:val="00D61DCC"/>
    <w:rsid w:val="00D61DD4"/>
    <w:rsid w:val="00D61FF0"/>
    <w:rsid w:val="00D62048"/>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0FB"/>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1CA"/>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B42"/>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B0"/>
    <w:rsid w:val="00DF2553"/>
    <w:rsid w:val="00DF2A35"/>
    <w:rsid w:val="00DF2B3A"/>
    <w:rsid w:val="00DF2BDC"/>
    <w:rsid w:val="00DF2D4A"/>
    <w:rsid w:val="00DF2E9F"/>
    <w:rsid w:val="00DF2F1A"/>
    <w:rsid w:val="00DF3625"/>
    <w:rsid w:val="00DF3677"/>
    <w:rsid w:val="00DF386F"/>
    <w:rsid w:val="00DF41F5"/>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5C14"/>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17"/>
    <w:rsid w:val="00E84478"/>
    <w:rsid w:val="00E845AF"/>
    <w:rsid w:val="00E84875"/>
    <w:rsid w:val="00E848D1"/>
    <w:rsid w:val="00E84A5A"/>
    <w:rsid w:val="00E84B9E"/>
    <w:rsid w:val="00E8519F"/>
    <w:rsid w:val="00E851CB"/>
    <w:rsid w:val="00E852DE"/>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1F01"/>
    <w:rsid w:val="00EB2447"/>
    <w:rsid w:val="00EB2560"/>
    <w:rsid w:val="00EB2874"/>
    <w:rsid w:val="00EB28F2"/>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3B3"/>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0A"/>
    <w:rsid w:val="00EE6231"/>
    <w:rsid w:val="00EE6534"/>
    <w:rsid w:val="00EE66D9"/>
    <w:rsid w:val="00EE68A0"/>
    <w:rsid w:val="00EE6915"/>
    <w:rsid w:val="00EE6F1E"/>
    <w:rsid w:val="00EE708E"/>
    <w:rsid w:val="00EE718B"/>
    <w:rsid w:val="00EE7482"/>
    <w:rsid w:val="00EE7964"/>
    <w:rsid w:val="00EE7E29"/>
    <w:rsid w:val="00EF0348"/>
    <w:rsid w:val="00EF03EF"/>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8FD"/>
    <w:rsid w:val="00F15E6E"/>
    <w:rsid w:val="00F1637B"/>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3F5A"/>
    <w:rsid w:val="00F242C2"/>
    <w:rsid w:val="00F244F9"/>
    <w:rsid w:val="00F2457B"/>
    <w:rsid w:val="00F24660"/>
    <w:rsid w:val="00F24788"/>
    <w:rsid w:val="00F2478A"/>
    <w:rsid w:val="00F249B6"/>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0BD"/>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E2C"/>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A4"/>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B31"/>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883971"/>
    <w:pPr>
      <w:keepNext/>
      <w:numPr>
        <w:numId w:val="18"/>
      </w:numPr>
      <w:spacing w:before="120"/>
      <w:outlineLvl w:val="0"/>
    </w:pPr>
    <w:rPr>
      <w:rFonts w:ascii="Arial" w:hAnsi="Arial" w:cs="Arial"/>
      <w:b/>
      <w:bCs/>
      <w:sz w:val="28"/>
      <w:szCs w:val="28"/>
      <w:lang w:eastAsia="zh-CN"/>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8"/>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8"/>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8"/>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8"/>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8"/>
      </w:numPr>
      <w:spacing w:before="240" w:after="60"/>
      <w:outlineLvl w:val="5"/>
    </w:pPr>
    <w:rPr>
      <w:b/>
      <w:bCs/>
    </w:rPr>
  </w:style>
  <w:style w:type="paragraph" w:styleId="Heading7">
    <w:name w:val="heading 7"/>
    <w:basedOn w:val="Normal"/>
    <w:next w:val="Normal"/>
    <w:link w:val="Heading7Char"/>
    <w:qFormat/>
    <w:rsid w:val="00A03961"/>
    <w:pPr>
      <w:numPr>
        <w:ilvl w:val="6"/>
        <w:numId w:val="18"/>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8"/>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8"/>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883971"/>
    <w:rPr>
      <w:rFonts w:ascii="Arial" w:hAnsi="Arial" w:cs="Arial"/>
      <w:b/>
      <w:bCs/>
      <w:sz w:val="28"/>
      <w:szCs w:val="28"/>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1"/>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SimSun"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2"/>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13"/>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15"/>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SimSun"/>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4671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489454">
      <w:bodyDiv w:val="1"/>
      <w:marLeft w:val="0"/>
      <w:marRight w:val="0"/>
      <w:marTop w:val="0"/>
      <w:marBottom w:val="0"/>
      <w:divBdr>
        <w:top w:val="none" w:sz="0" w:space="0" w:color="auto"/>
        <w:left w:val="none" w:sz="0" w:space="0" w:color="auto"/>
        <w:bottom w:val="none" w:sz="0" w:space="0" w:color="auto"/>
        <w:right w:val="none" w:sz="0" w:space="0" w:color="auto"/>
      </w:divBdr>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customXml/itemProps2.xml><?xml version="1.0" encoding="utf-8"?>
<ds:datastoreItem xmlns:ds="http://schemas.openxmlformats.org/officeDocument/2006/customXml" ds:itemID="{B9D57064-7524-420B-8222-EF2B83CE17E9}">
  <ds:schemaRefs>
    <ds:schemaRef ds:uri="http://schemas.microsoft.com/sharepoint/v3/contenttype/forms"/>
  </ds:schemaRefs>
</ds:datastoreItem>
</file>

<file path=customXml/itemProps3.xml><?xml version="1.0" encoding="utf-8"?>
<ds:datastoreItem xmlns:ds="http://schemas.openxmlformats.org/officeDocument/2006/customXml" ds:itemID="{09D2B95B-AA2B-401F-B2E7-7FB6DD74D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FA831C-678A-4383-9966-6EBF3FD2FE2D}">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1188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Luca Lodigiani</cp:lastModifiedBy>
  <cp:revision>69</cp:revision>
  <cp:lastPrinted>2015-09-18T07:21:00Z</cp:lastPrinted>
  <dcterms:created xsi:type="dcterms:W3CDTF">2024-08-09T15:44:00Z</dcterms:created>
  <dcterms:modified xsi:type="dcterms:W3CDTF">2024-08-10T14:16:00Z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ContentTypeId">
    <vt:lpwstr>0x010100B98573469650B343AF314866C5FCEB84</vt:lpwstr>
  </property>
  <property fmtid="{D5CDD505-2E9C-101B-9397-08002B2CF9AE}" pid="30" name="MediaServiceImageTags">
    <vt:lpwstr/>
  </property>
</Properties>
</file>