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#116</w:t>
      </w:r>
      <w:r>
        <w:tab/>
      </w:r>
      <w:r>
        <w:rPr>
          <w:sz w:val="32"/>
          <w:szCs w:val="32"/>
          <w:highlight w:val="yellow"/>
        </w:rPr>
        <w:t>R1-24xxxxx</w:t>
      </w:r>
    </w:p>
    <w:p>
      <w:pPr>
        <w:pStyle w:val="47"/>
        <w:rPr>
          <w:rFonts w:ascii="Arial" w:hAnsi="Arial" w:cs="Arial"/>
          <w:b/>
          <w:bCs/>
          <w:szCs w:val="20"/>
          <w:lang w:val="en-GB" w:eastAsia="en-US"/>
        </w:rPr>
      </w:pPr>
      <w:r>
        <w:rPr>
          <w:rFonts w:ascii="Arial" w:hAnsi="Arial" w:eastAsia="MS Mincho" w:cs="Arial"/>
          <w:b/>
          <w:bCs/>
        </w:rPr>
        <w:t>Athens, Greece, February 26</w:t>
      </w:r>
      <w:r>
        <w:rPr>
          <w:rFonts w:ascii="Arial" w:hAnsi="Arial" w:eastAsia="MS Mincho" w:cs="Arial"/>
          <w:b/>
          <w:bCs/>
          <w:vertAlign w:val="superscript"/>
        </w:rPr>
        <w:t>th</w:t>
      </w:r>
      <w:r>
        <w:rPr>
          <w:rFonts w:ascii="Arial" w:hAnsi="Arial" w:eastAsia="MS Mincho" w:cs="Arial"/>
          <w:b/>
          <w:bCs/>
        </w:rPr>
        <w:t xml:space="preserve"> – March 1</w:t>
      </w:r>
      <w:r>
        <w:rPr>
          <w:rFonts w:ascii="Arial" w:hAnsi="Arial" w:eastAsia="MS Mincho" w:cs="Arial"/>
          <w:b/>
          <w:bCs/>
          <w:vertAlign w:val="superscript"/>
        </w:rPr>
        <w:t>st</w:t>
      </w:r>
      <w:r>
        <w:rPr>
          <w:rFonts w:ascii="Arial" w:hAnsi="Arial" w:cs="Arial"/>
          <w:b/>
          <w:bCs/>
          <w:lang w:val="en-US"/>
        </w:rPr>
        <w:t>, 2024</w:t>
      </w:r>
    </w:p>
    <w:p>
      <w:pPr>
        <w:pStyle w:val="64"/>
      </w:pPr>
    </w:p>
    <w:p>
      <w:pPr>
        <w:pStyle w:val="64"/>
        <w:rPr>
          <w:sz w:val="22"/>
        </w:rPr>
      </w:pPr>
      <w:r>
        <w:rPr>
          <w:sz w:val="22"/>
        </w:rPr>
        <w:t>Agenda Item:</w:t>
      </w:r>
      <w:r>
        <w:rPr>
          <w:sz w:val="22"/>
        </w:rPr>
        <w:tab/>
      </w:r>
      <w:r>
        <w:rPr>
          <w:sz w:val="22"/>
        </w:rPr>
        <w:t>8.11</w:t>
      </w:r>
    </w:p>
    <w:p>
      <w:pPr>
        <w:pStyle w:val="64"/>
        <w:rPr>
          <w:sz w:val="22"/>
        </w:rPr>
      </w:pPr>
      <w:r>
        <w:rPr>
          <w:sz w:val="22"/>
        </w:rPr>
        <w:t>WI:</w:t>
      </w:r>
      <w:r>
        <w:rPr>
          <w:sz w:val="22"/>
        </w:rPr>
        <w:tab/>
      </w:r>
      <w:r>
        <w:rPr>
          <w:sz w:val="22"/>
        </w:rPr>
        <w:t>NR_XR_enh-Core</w:t>
      </w:r>
    </w:p>
    <w:p>
      <w:pPr>
        <w:pStyle w:val="64"/>
        <w:rPr>
          <w:sz w:val="22"/>
        </w:rPr>
      </w:pPr>
      <w:r>
        <w:rPr>
          <w:sz w:val="22"/>
        </w:rPr>
        <w:t>Source:</w:t>
      </w:r>
      <w:r>
        <w:rPr>
          <w:sz w:val="22"/>
        </w:rPr>
        <w:tab/>
      </w:r>
      <w:r>
        <w:rPr>
          <w:sz w:val="22"/>
        </w:rPr>
        <w:t>Moderator (Ericsson)</w:t>
      </w:r>
    </w:p>
    <w:p>
      <w:pPr>
        <w:pStyle w:val="64"/>
        <w:rPr>
          <w:sz w:val="22"/>
        </w:rPr>
      </w:pPr>
      <w:r>
        <w:rPr>
          <w:sz w:val="22"/>
        </w:rPr>
        <w:t>Title:</w:t>
      </w:r>
      <w:r>
        <w:rPr>
          <w:sz w:val="22"/>
        </w:rPr>
        <w:tab/>
      </w:r>
      <w:r>
        <w:rPr>
          <w:sz w:val="22"/>
        </w:rPr>
        <w:t>Moderator Summary#1 – Maintenance of XR Enhancements</w:t>
      </w:r>
    </w:p>
    <w:p>
      <w:pPr>
        <w:pStyle w:val="64"/>
        <w:rPr>
          <w:sz w:val="22"/>
        </w:rPr>
      </w:pPr>
      <w:r>
        <w:rPr>
          <w:sz w:val="22"/>
        </w:rPr>
        <w:t>Document for:</w:t>
      </w:r>
      <w:r>
        <w:rPr>
          <w:sz w:val="22"/>
        </w:rPr>
        <w:tab/>
      </w:r>
      <w:r>
        <w:rPr>
          <w:sz w:val="22"/>
        </w:rPr>
        <w:t>Discussion, Decision</w:t>
      </w:r>
    </w:p>
    <w:p>
      <w:pPr>
        <w:pStyle w:val="2"/>
      </w:pPr>
      <w:r>
        <w:t>1</w:t>
      </w:r>
      <w:r>
        <w:tab/>
      </w:r>
      <w:r>
        <w:t>Introduction</w:t>
      </w:r>
    </w:p>
    <w:p>
      <w:pPr>
        <w:pStyle w:val="15"/>
        <w:rPr>
          <w:rFonts w:cs="Arial"/>
          <w:szCs w:val="20"/>
          <w:lang w:eastAsia="zh-CN"/>
        </w:rPr>
      </w:pPr>
      <w:r>
        <w:rPr>
          <w:rFonts w:cs="Arial"/>
          <w:szCs w:val="20"/>
          <w:lang w:eastAsia="ja-JP"/>
        </w:rPr>
        <w:t xml:space="preserve">This document provides a summary of the contributions submitted to RAN1#116 under Agenda item 8.11 for maintenance issues for Rel-18 XR WI. </w:t>
      </w:r>
      <w:r>
        <w:rPr>
          <w:rFonts w:cs="Arial"/>
          <w:szCs w:val="20"/>
          <w:lang w:eastAsia="zh-CN"/>
        </w:rPr>
        <w:t>It is also intended to facilitate the discussions regarding the topics with respect to the following assignment by the RAN1 Chair: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w:hAnsi="Times" w:eastAsia="Batang" w:cs="Times New Roman"/>
                <w:sz w:val="22"/>
                <w:szCs w:val="24"/>
                <w:highlight w:val="cyan"/>
                <w:lang w:val="en-GB" w:eastAsia="zh-CN"/>
              </w:rPr>
            </w:pPr>
            <w:r>
              <w:rPr>
                <w:sz w:val="22"/>
                <w:highlight w:val="cyan"/>
                <w:lang w:eastAsia="zh-CN"/>
              </w:rPr>
              <w:t>[116-R18-Other_WIs] Email discussion on other Rel-18 WIs – Xiaodong (Vice Chair)</w:t>
            </w:r>
          </w:p>
          <w:p>
            <w:pPr>
              <w:numPr>
                <w:ilvl w:val="0"/>
                <w:numId w:val="17"/>
              </w:numPr>
              <w:spacing w:after="0" w:line="240" w:lineRule="auto"/>
              <w:rPr>
                <w:sz w:val="22"/>
                <w:lang w:eastAsia="zh-CN"/>
              </w:rPr>
            </w:pPr>
            <w:r>
              <w:rPr>
                <w:sz w:val="22"/>
                <w:highlight w:val="cyan"/>
                <w:lang w:eastAsia="zh-CN"/>
              </w:rPr>
              <w:t>To be used for sharing updates on online/offline schedule, details on what is to be discussed in online/offline sessions, tdoc number of the moderator summary for online session, etc</w:t>
            </w:r>
          </w:p>
          <w:p>
            <w:pPr>
              <w:pStyle w:val="15"/>
              <w:rPr>
                <w:rFonts w:cs="Arial"/>
                <w:sz w:val="22"/>
                <w:szCs w:val="20"/>
                <w:lang w:eastAsia="zh-CN"/>
              </w:rPr>
            </w:pPr>
          </w:p>
          <w:p>
            <w:pPr>
              <w:spacing w:after="0" w:line="240" w:lineRule="auto"/>
              <w:rPr>
                <w:rFonts w:ascii="Times" w:hAnsi="Times" w:eastAsia="Batang" w:cs="Times New Roman"/>
                <w:b/>
                <w:sz w:val="22"/>
                <w:szCs w:val="24"/>
                <w:lang w:val="en-GB" w:eastAsia="zh-CN"/>
              </w:rPr>
            </w:pPr>
            <w:r>
              <w:rPr>
                <w:rFonts w:ascii="Times" w:hAnsi="Times" w:eastAsia="Batang" w:cs="Times New Roman"/>
                <w:b/>
                <w:sz w:val="22"/>
                <w:szCs w:val="24"/>
                <w:lang w:val="en-GB" w:eastAsia="zh-CN"/>
              </w:rPr>
              <w:t>XR</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R1-2400594</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DraftCR on CG-PUSCH grant validation</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OPPO</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R1-2400595</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Draft CR on time-domain resource allocation for multi-PUSCH CG configuration</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OPPO</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R1-2401098</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Remaining issues on UTO-UCI indication for XR</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NTT DOCOMO, INC.</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R1-2401099</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Draft CR on UTO-UCI indication for same CG configuration</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NTT DOCOMO, INC.</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R1-2401343</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Correction of RRC parameter names for XR in TS 38.212</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Nokia, Nokia Shanghai Bell</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R1-2401344</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Correction of RRC parameter names for XR in TS 38.213</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Nokia, Nokia Shanghai Bell</w:t>
            </w:r>
          </w:p>
          <w:p>
            <w:pPr>
              <w:spacing w:after="0" w:line="240" w:lineRule="auto"/>
              <w:rPr>
                <w:rFonts w:ascii="Times" w:hAnsi="Times" w:eastAsia="Batang" w:cs="Times New Roman"/>
                <w:sz w:val="22"/>
                <w:szCs w:val="24"/>
                <w:lang w:val="en-GB" w:eastAsia="zh-CN"/>
              </w:rPr>
            </w:pPr>
            <w:r>
              <w:rPr>
                <w:rFonts w:ascii="Times" w:hAnsi="Times" w:eastAsia="Batang" w:cs="Times New Roman"/>
                <w:sz w:val="22"/>
                <w:szCs w:val="24"/>
                <w:lang w:val="en-GB" w:eastAsia="zh-CN"/>
              </w:rPr>
              <w:t>R1-2401345</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Correction of RRC parameter names for XR in TS 38.214</w:t>
            </w:r>
            <w:r>
              <w:rPr>
                <w:rFonts w:ascii="Times" w:hAnsi="Times" w:eastAsia="Batang" w:cs="Times New Roman"/>
                <w:sz w:val="22"/>
                <w:szCs w:val="24"/>
                <w:lang w:val="en-GB" w:eastAsia="zh-CN"/>
              </w:rPr>
              <w:tab/>
            </w:r>
            <w:r>
              <w:rPr>
                <w:rFonts w:ascii="Times" w:hAnsi="Times" w:eastAsia="Batang" w:cs="Times New Roman"/>
                <w:sz w:val="22"/>
                <w:szCs w:val="24"/>
                <w:lang w:val="en-GB" w:eastAsia="zh-CN"/>
              </w:rPr>
              <w:t>Nokia, Nokia Shanghai Bell</w:t>
            </w:r>
          </w:p>
          <w:p>
            <w:pPr>
              <w:spacing w:after="0" w:line="240" w:lineRule="auto"/>
              <w:rPr>
                <w:rFonts w:ascii="Times" w:hAnsi="Times" w:eastAsia="Batang" w:cs="Times New Roman"/>
                <w:sz w:val="22"/>
                <w:szCs w:val="24"/>
                <w:highlight w:val="yellow"/>
                <w:lang w:val="en-GB" w:eastAsia="zh-CN"/>
              </w:rPr>
            </w:pPr>
            <w:r>
              <w:rPr>
                <w:rFonts w:ascii="Times" w:hAnsi="Times" w:eastAsia="Batang" w:cs="Times New Roman"/>
                <w:sz w:val="22"/>
                <w:szCs w:val="24"/>
                <w:highlight w:val="yellow"/>
                <w:lang w:val="en-GB" w:eastAsia="zh-CN"/>
              </w:rPr>
              <w:t>To be moderated by Sorour (Ericsson)</w:t>
            </w:r>
          </w:p>
        </w:tc>
      </w:tr>
    </w:tbl>
    <w:p>
      <w:pPr>
        <w:spacing w:after="0" w:line="240" w:lineRule="auto"/>
        <w:rPr>
          <w:rFonts w:ascii="Times New Roman" w:hAnsi="Times New Roman" w:cs="Times New Roman"/>
          <w:lang w:eastAsia="zh-CN"/>
        </w:rPr>
      </w:pPr>
    </w:p>
    <w:p>
      <w:pPr>
        <w:pStyle w:val="2"/>
      </w:pPr>
      <w:bookmarkStart w:id="0" w:name="_Ref178064866"/>
      <w:r>
        <w:t>2</w:t>
      </w:r>
      <w:r>
        <w:tab/>
      </w:r>
      <w:bookmarkEnd w:id="0"/>
      <w:r>
        <w:t>Maintenance issues</w:t>
      </w:r>
    </w:p>
    <w:p>
      <w:pPr>
        <w:rPr>
          <w:lang w:val="en-GB" w:eastAsia="ja-JP"/>
        </w:rPr>
      </w:pPr>
      <w:r>
        <w:rPr>
          <w:lang w:val="en-GB" w:eastAsia="ja-JP"/>
        </w:rPr>
        <w:t>The following maintenance issues are raised by companies in the submissions at this meeting.</w:t>
      </w:r>
    </w:p>
    <w:p>
      <w:pPr>
        <w:pStyle w:val="3"/>
        <w:rPr>
          <w:lang w:val="en-US"/>
        </w:rPr>
      </w:pPr>
      <w:r>
        <w:t>2.1</w:t>
      </w:r>
      <w:r>
        <w:tab/>
      </w:r>
      <w:r>
        <w:t xml:space="preserve">Issue#1: On </w:t>
      </w:r>
      <w:r>
        <w:rPr>
          <w:lang w:val="en-US"/>
        </w:rPr>
        <w:t>CG-PUSCH grant validation (OPPO)</w:t>
      </w:r>
    </w:p>
    <w:p>
      <w:pPr>
        <w:rPr>
          <w:lang w:eastAsia="ja-JP"/>
        </w:rPr>
      </w:pPr>
      <w:r>
        <w:rPr>
          <w:lang w:eastAsia="ja-JP"/>
        </w:rPr>
        <w:t xml:space="preserve">OPPO has raised the following issue in </w:t>
      </w:r>
      <w:r>
        <w:rPr>
          <w:lang w:eastAsia="ja-JP"/>
        </w:rPr>
        <w:fldChar w:fldCharType="begin"/>
      </w:r>
      <w:r>
        <w:rPr>
          <w:lang w:eastAsia="ja-JP"/>
        </w:rPr>
        <w:instrText xml:space="preserve"> REF _Ref159687762 \n \h </w:instrText>
      </w:r>
      <w:r>
        <w:rPr>
          <w:lang w:eastAsia="ja-JP"/>
        </w:rPr>
        <w:fldChar w:fldCharType="separate"/>
      </w:r>
      <w:r>
        <w:rPr>
          <w:lang w:eastAsia="ja-JP"/>
        </w:rPr>
        <w:t>[1]</w:t>
      </w:r>
      <w:r>
        <w:rPr>
          <w:lang w:eastAsia="ja-JP"/>
        </w:rPr>
        <w:fldChar w:fldCharType="end"/>
      </w:r>
    </w:p>
    <w:tbl>
      <w:tblPr>
        <w:tblStyle w:val="13"/>
        <w:tblW w:w="9640" w:type="dxa"/>
        <w:tblInd w:w="42" w:type="dxa"/>
        <w:tblLayout w:type="fixed"/>
        <w:tblCellMar>
          <w:top w:w="0" w:type="dxa"/>
          <w:left w:w="42" w:type="dxa"/>
          <w:bottom w:w="0" w:type="dxa"/>
          <w:right w:w="42" w:type="dxa"/>
        </w:tblCellMar>
      </w:tblPr>
      <w:tblGrid>
        <w:gridCol w:w="1843"/>
        <w:gridCol w:w="851"/>
        <w:gridCol w:w="6946"/>
      </w:tblGrid>
      <w:tr>
        <w:tblPrEx>
          <w:tblCellMar>
            <w:top w:w="0" w:type="dxa"/>
            <w:left w:w="42" w:type="dxa"/>
            <w:bottom w:w="0" w:type="dxa"/>
            <w:right w:w="42" w:type="dxa"/>
          </w:tblCellMar>
        </w:tblPrEx>
        <w:tc>
          <w:tcPr>
            <w:tcW w:w="1843" w:type="dxa"/>
          </w:tcPr>
          <w:p>
            <w:pPr>
              <w:pStyle w:val="112"/>
              <w:spacing w:after="0"/>
              <w:rPr>
                <w:b/>
                <w:i/>
                <w:sz w:val="8"/>
                <w:szCs w:val="8"/>
              </w:rPr>
            </w:pPr>
          </w:p>
        </w:tc>
        <w:tc>
          <w:tcPr>
            <w:tcW w:w="7797" w:type="dxa"/>
            <w:gridSpan w:val="2"/>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2"/>
              <w:spacing w:after="0"/>
              <w:ind w:left="100"/>
              <w:rPr>
                <w:lang w:val="en-US"/>
              </w:rPr>
            </w:pPr>
            <w:r>
              <w:rPr>
                <w:rFonts w:ascii="Times New Roman" w:hAnsi="Times New Roman"/>
                <w:lang w:val="en-US"/>
              </w:rPr>
              <w:t>RAN1 #115 agreed that</w:t>
            </w:r>
            <w:r>
              <w:rPr>
                <w:lang w:val="en-US"/>
              </w:rPr>
              <w:t xml:space="preserve"> “</w:t>
            </w:r>
            <w:r>
              <w:rPr>
                <w:rFonts w:ascii="Times New Roman" w:hAnsi="Times New Roman"/>
                <w:i/>
                <w:iCs/>
              </w:rPr>
              <w:t xml:space="preserve">a valid configured PUSCH grant is the configured PUSCH grant that is not collided with the DL symbol(s) </w:t>
            </w:r>
            <w:r>
              <w:rPr>
                <w:rFonts w:ascii="Times New Roman" w:hAnsi="Times New Roman"/>
                <w:i/>
                <w:iCs/>
                <w:lang w:val="en-US"/>
              </w:rPr>
              <w:t>.....</w:t>
            </w:r>
            <w:r>
              <w:rPr>
                <w:rFonts w:ascii="Times New Roman" w:hAnsi="Times New Roman"/>
                <w:i/>
                <w:iCs/>
              </w:rPr>
              <w:t xml:space="preserve">, and is not collided with a symbol(s) of an SS/PBCH block </w:t>
            </w:r>
            <w:r>
              <w:rPr>
                <w:rFonts w:ascii="Times New Roman" w:hAnsi="Times New Roman"/>
                <w:i/>
                <w:iCs/>
                <w:lang w:val="en-US"/>
              </w:rPr>
              <w:t>......</w:t>
            </w:r>
            <w:r>
              <w:rPr>
                <w:rFonts w:ascii="Times New Roman" w:hAnsi="Times New Roman"/>
                <w:lang w:val="en-US"/>
              </w:rPr>
              <w:t>”</w:t>
            </w:r>
            <w:r>
              <w:rPr>
                <w:rFonts w:ascii="Times New Roman" w:hAnsi="Times New Roman"/>
              </w:rPr>
              <w:t>.</w:t>
            </w:r>
            <w:r>
              <w:rPr>
                <w:lang w:val="en-US"/>
              </w:rPr>
              <w:t xml:space="preserve"> </w:t>
            </w:r>
          </w:p>
          <w:p>
            <w:pPr>
              <w:pStyle w:val="112"/>
              <w:spacing w:after="0"/>
              <w:ind w:left="100"/>
              <w:rPr>
                <w:rFonts w:ascii="Times New Roman" w:hAnsi="Times New Roman"/>
                <w:lang w:val="en-US"/>
              </w:rPr>
            </w:pPr>
            <w:r>
              <w:rPr>
                <w:rFonts w:ascii="Times New Roman" w:hAnsi="Times New Roman"/>
                <w:lang w:val="en-US"/>
              </w:rPr>
              <w:t xml:space="preserve">In this agreement, both “is not collided with DL symbol” and “is not collided with SSB” are modifiers of “the configured PUSCH grant”, and therefore are both contained in definition of CG validation. In comparison, the current specification text in 38.214 says the following: </w:t>
            </w:r>
          </w:p>
          <w:p>
            <w:pPr>
              <w:pStyle w:val="112"/>
              <w:spacing w:after="0"/>
              <w:ind w:left="100"/>
              <w:rPr>
                <w:rFonts w:ascii="Times New Roman" w:hAnsi="Times New Roman"/>
                <w:lang w:val="en-US"/>
              </w:rPr>
            </w:pPr>
            <w:r>
              <w:rPr>
                <w:rFonts w:ascii="Times New Roman" w:hAnsi="Times New Roman"/>
                <w:lang w:val="en-US"/>
              </w:rPr>
              <w:t>“</w:t>
            </w:r>
            <w:r>
              <w:rPr>
                <w:rFonts w:ascii="Times New Roman" w:hAnsi="Times New Roman"/>
                <w:i/>
                <w:iCs/>
              </w:rPr>
              <w:t xml:space="preserve">a valid configured PUSCH grant is the one not colliding with the DL symbol(s) </w:t>
            </w:r>
            <w:r>
              <w:rPr>
                <w:rFonts w:ascii="Times New Roman" w:hAnsi="Times New Roman"/>
                <w:i/>
                <w:iCs/>
                <w:lang w:val="en-US"/>
              </w:rPr>
              <w:t>......</w:t>
            </w:r>
            <w:r>
              <w:rPr>
                <w:rFonts w:ascii="Times New Roman" w:hAnsi="Times New Roman"/>
                <w:i/>
                <w:iCs/>
              </w:rPr>
              <w:t>, and is not colliding with a symbol(s)</w:t>
            </w:r>
            <w:r>
              <w:rPr>
                <w:rFonts w:ascii="Times New Roman" w:hAnsi="Times New Roman"/>
                <w:i/>
                <w:iCs/>
                <w:lang w:val="en-US"/>
              </w:rPr>
              <w:t xml:space="preserve"> </w:t>
            </w:r>
            <w:r>
              <w:rPr>
                <w:rFonts w:ascii="Times New Roman" w:hAnsi="Times New Roman"/>
                <w:i/>
                <w:iCs/>
              </w:rPr>
              <w:t xml:space="preserve">of an SS/PBCH block </w:t>
            </w:r>
            <w:r>
              <w:rPr>
                <w:rFonts w:ascii="Times New Roman" w:hAnsi="Times New Roman"/>
                <w:i/>
                <w:iCs/>
                <w:lang w:val="en-US"/>
              </w:rPr>
              <w:t>......</w:t>
            </w:r>
            <w:r>
              <w:rPr>
                <w:rFonts w:ascii="Times New Roman" w:hAnsi="Times New Roman"/>
                <w:lang w:val="en-US"/>
              </w:rPr>
              <w:t xml:space="preserve">”, which can be interpreted in a different way: </w:t>
            </w:r>
          </w:p>
          <w:p>
            <w:pPr>
              <w:pStyle w:val="112"/>
              <w:numPr>
                <w:ilvl w:val="0"/>
                <w:numId w:val="18"/>
              </w:numPr>
              <w:spacing w:after="0"/>
              <w:rPr>
                <w:lang w:val="en-US"/>
              </w:rPr>
            </w:pPr>
            <w:r>
              <w:rPr>
                <w:rFonts w:ascii="Times New Roman" w:hAnsi="Times New Roman"/>
                <w:lang w:val="en-US"/>
              </w:rPr>
              <w:t>On one hand, “</w:t>
            </w:r>
            <w:r>
              <w:rPr>
                <w:rFonts w:ascii="Times New Roman" w:hAnsi="Times New Roman"/>
                <w:i/>
                <w:iCs/>
              </w:rPr>
              <w:t>not colliding with the DL symbol(s)</w:t>
            </w:r>
            <w:r>
              <w:rPr>
                <w:rFonts w:ascii="Times New Roman" w:hAnsi="Times New Roman"/>
                <w:lang w:val="en-US"/>
              </w:rPr>
              <w:t>” is the modifier of “the one [i.e., the valid CG]”.</w:t>
            </w:r>
          </w:p>
          <w:p>
            <w:pPr>
              <w:pStyle w:val="112"/>
              <w:numPr>
                <w:ilvl w:val="0"/>
                <w:numId w:val="18"/>
              </w:numPr>
              <w:spacing w:after="0"/>
              <w:rPr>
                <w:lang w:val="en-US"/>
              </w:rPr>
            </w:pPr>
            <w:r>
              <w:rPr>
                <w:rFonts w:ascii="Times New Roman" w:hAnsi="Times New Roman"/>
                <w:lang w:val="en-US"/>
              </w:rPr>
              <w:t>On the other hand, “</w:t>
            </w:r>
            <w:r>
              <w:rPr>
                <w:rFonts w:ascii="Times New Roman" w:hAnsi="Times New Roman"/>
                <w:i/>
                <w:iCs/>
              </w:rPr>
              <w:t xml:space="preserve">is not colliding with </w:t>
            </w:r>
            <w:r>
              <w:rPr>
                <w:rFonts w:ascii="Times New Roman" w:hAnsi="Times New Roman"/>
                <w:i/>
                <w:iCs/>
                <w:lang w:val="en-US"/>
              </w:rPr>
              <w:t>SSB</w:t>
            </w:r>
            <w:r>
              <w:rPr>
                <w:rFonts w:ascii="Times New Roman" w:hAnsi="Times New Roman"/>
                <w:lang w:val="en-US"/>
              </w:rPr>
              <w:t xml:space="preserve">” does not read as the modifier of “the one [i.e., the valid CG]” (it is in parallel to “is the one” in English reading). This SSB-related description sounds more like a separate restriction that is applied to gNB configuration, rather than a part of definition of CG validation. </w:t>
            </w:r>
          </w:p>
          <w:p>
            <w:pPr>
              <w:pStyle w:val="112"/>
              <w:spacing w:after="0"/>
              <w:rPr>
                <w:lang w:val="en-US"/>
              </w:rPr>
            </w:pPr>
            <w:r>
              <w:rPr>
                <w:rFonts w:ascii="Times New Roman" w:hAnsi="Times New Roman"/>
                <w:lang w:val="en-US"/>
              </w:rPr>
              <w:t xml:space="preserve">The above text description does not exactly match RAN1#115-agreed TP, and may cause misaligned definition of “valid CG-PUSCH grant” between RAN1 and RAN2, given RAN2 specification refers to clause 6.1 for the definition of “valid grant/TO”. To be noted, RAN1 specifications (e.g., clause 9.3.1 in TS38.214) already take both semi-statically configured DL symbol and SSB symbol into the definition of valid CG-PUSCH grant/TO. </w:t>
            </w:r>
            <w:r>
              <w:rPr>
                <w:lang w:val="en-US"/>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2"/>
              <w:spacing w:after="0"/>
              <w:rPr>
                <w:rFonts w:ascii="Times New Roman" w:hAnsi="Times New Roman"/>
              </w:rPr>
            </w:pPr>
            <w:r>
              <w:rPr>
                <w:rFonts w:ascii="Times New Roman" w:hAnsi="Times New Roman"/>
                <w:lang w:val="en-US"/>
              </w:rPr>
              <w:t>Remove “is” in “</w:t>
            </w:r>
            <w:r>
              <w:rPr>
                <w:rFonts w:ascii="Times New Roman" w:hAnsi="Times New Roman"/>
                <w:i/>
                <w:iCs/>
              </w:rPr>
              <w:t xml:space="preserve">and </w:t>
            </w:r>
            <w:r>
              <w:rPr>
                <w:rFonts w:ascii="Times New Roman" w:hAnsi="Times New Roman"/>
                <w:b/>
                <w:bCs/>
                <w:i/>
                <w:iCs/>
                <w:u w:val="single"/>
              </w:rPr>
              <w:t>is</w:t>
            </w:r>
            <w:r>
              <w:rPr>
                <w:rFonts w:ascii="Times New Roman" w:hAnsi="Times New Roman"/>
                <w:i/>
                <w:iCs/>
              </w:rPr>
              <w:t xml:space="preserve"> not colliding with a symbol(s)</w:t>
            </w:r>
            <w:r>
              <w:rPr>
                <w:rFonts w:ascii="Times New Roman" w:hAnsi="Times New Roman"/>
                <w:i/>
                <w:iCs/>
                <w:lang w:val="en-US"/>
              </w:rPr>
              <w:t xml:space="preserve"> </w:t>
            </w:r>
            <w:r>
              <w:rPr>
                <w:rFonts w:ascii="Times New Roman" w:hAnsi="Times New Roman"/>
                <w:i/>
                <w:iCs/>
              </w:rPr>
              <w:t xml:space="preserve">of an SS/PBCH block </w:t>
            </w:r>
            <w:r>
              <w:rPr>
                <w:rFonts w:ascii="Times New Roman" w:hAnsi="Times New Roman"/>
                <w:i/>
                <w:iCs/>
                <w:lang w:val="en-US"/>
              </w:rPr>
              <w:t>...</w:t>
            </w:r>
            <w:r>
              <w:rPr>
                <w:rFonts w:ascii="Times New Roman" w:hAnsi="Times New Roman"/>
                <w:lang w:val="en-US"/>
              </w:rPr>
              <w:t xml:space="preserve">” so that “not colliding with SSB” becomes a part of definition of valid CG-PUSCH grant/TO. </w:t>
            </w:r>
            <w:r>
              <w:rPr>
                <w:rFonts w:ascii="Times New Roman" w:hAnsi="Times New Roman"/>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rFonts w:ascii="Times New Roman" w:hAnsi="Times New Roman"/>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2"/>
              <w:spacing w:after="0"/>
              <w:ind w:left="100"/>
              <w:rPr>
                <w:rFonts w:ascii="Times New Roman" w:hAnsi="Times New Roman"/>
                <w:lang w:val="en-US"/>
              </w:rPr>
            </w:pPr>
            <w:r>
              <w:rPr>
                <w:rFonts w:ascii="Times New Roman" w:hAnsi="Times New Roman"/>
                <w:lang w:val="en-US"/>
              </w:rPr>
              <w:t xml:space="preserve">The definition of valid CG-PUSCH grant/TO in TS38.214 does not match the RAN1 agreement as well as the existing spec description in TS38.213, and provides misaligned reference to RAN2 specification. </w:t>
            </w:r>
          </w:p>
        </w:tc>
      </w:tr>
    </w:tbl>
    <w:p/>
    <w:p>
      <w:r>
        <w:t>The following TP is provided accordingly: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rFonts w:eastAsia="Calibri"/>
                <w:color w:val="000000"/>
                <w:szCs w:val="22"/>
                <w:lang w:val="de-DE"/>
              </w:rPr>
            </w:pPr>
            <w:bookmarkStart w:id="1" w:name="_Toc27299926"/>
            <w:bookmarkStart w:id="2" w:name="_Toc36645563"/>
            <w:bookmarkStart w:id="3" w:name="_Toc29674333"/>
            <w:bookmarkStart w:id="4" w:name="_Toc45810608"/>
            <w:bookmarkStart w:id="5" w:name="_Toc29673199"/>
            <w:bookmarkStart w:id="6" w:name="_Toc29673340"/>
            <w:bookmarkStart w:id="7" w:name="_Toc11352138"/>
            <w:bookmarkStart w:id="8" w:name="_Toc20318028"/>
            <w:bookmarkStart w:id="9" w:name="_Toc155777397"/>
            <w:r>
              <w:rPr>
                <w:rFonts w:eastAsia="Calibri"/>
                <w:color w:val="000000"/>
                <w:szCs w:val="22"/>
                <w:highlight w:val="yellow"/>
                <w:lang w:val="de-DE"/>
              </w:rPr>
              <w:t>TP for 38.214</w:t>
            </w:r>
          </w:p>
          <w:p>
            <w:pPr>
              <w:pStyle w:val="3"/>
              <w:rPr>
                <w:rFonts w:eastAsia="Calibri"/>
                <w:color w:val="000000"/>
                <w:szCs w:val="22"/>
                <w:lang w:val="de-DE"/>
              </w:rPr>
            </w:pPr>
            <w:r>
              <w:rPr>
                <w:rFonts w:eastAsia="Calibri"/>
                <w:color w:val="000000"/>
                <w:szCs w:val="22"/>
                <w:lang w:val="de-DE"/>
              </w:rPr>
              <w:t>6.1</w:t>
            </w:r>
            <w:r>
              <w:rPr>
                <w:rFonts w:eastAsia="Calibri"/>
                <w:color w:val="000000"/>
                <w:szCs w:val="22"/>
                <w:lang w:val="de-DE"/>
              </w:rPr>
              <w:tab/>
            </w:r>
            <w:r>
              <w:rPr>
                <w:rFonts w:eastAsia="Calibri"/>
                <w:color w:val="000000"/>
                <w:szCs w:val="22"/>
                <w:lang w:val="de-DE"/>
              </w:rPr>
              <w:t>UE procedure for transmitting the physical uplink shared channel</w:t>
            </w:r>
            <w:bookmarkEnd w:id="1"/>
            <w:bookmarkEnd w:id="2"/>
            <w:bookmarkEnd w:id="3"/>
            <w:bookmarkEnd w:id="4"/>
            <w:bookmarkEnd w:id="5"/>
            <w:bookmarkEnd w:id="6"/>
            <w:bookmarkEnd w:id="7"/>
            <w:bookmarkEnd w:id="8"/>
            <w:bookmarkEnd w:id="9"/>
          </w:p>
          <w:p>
            <w:pPr>
              <w:keepNext/>
              <w:keepLines/>
              <w:spacing w:before="180"/>
              <w:ind w:left="1134" w:hanging="1134"/>
              <w:jc w:val="center"/>
              <w:outlineLvl w:val="1"/>
              <w:rPr>
                <w:color w:val="000000" w:themeColor="text1"/>
                <w:sz w:val="22"/>
                <w14:textFill>
                  <w14:solidFill>
                    <w14:schemeClr w14:val="tx1"/>
                  </w14:solidFill>
                </w14:textFill>
              </w:rPr>
            </w:pPr>
            <w:r>
              <w:rPr>
                <w:color w:val="FF0000"/>
                <w:sz w:val="22"/>
                <w:lang w:eastAsia="zh-CN"/>
              </w:rPr>
              <w:t xml:space="preserve">*** </w:t>
            </w:r>
            <w:r>
              <w:rPr>
                <w:color w:val="FF0000"/>
                <w:sz w:val="22"/>
              </w:rPr>
              <w:t>Unchanged parts are omitted</w:t>
            </w:r>
            <w:r>
              <w:rPr>
                <w:color w:val="FF0000"/>
                <w:sz w:val="22"/>
                <w:lang w:eastAsia="zh-CN"/>
              </w:rPr>
              <w:t xml:space="preserve"> ***</w:t>
            </w:r>
          </w:p>
          <w:p>
            <w:pPr>
              <w:rPr>
                <w:sz w:val="22"/>
              </w:rPr>
            </w:pPr>
            <w:r>
              <w:rPr>
                <w:color w:val="000000" w:themeColor="text1"/>
                <w:sz w:val="22"/>
                <w14:textFill>
                  <w14:solidFill>
                    <w14:schemeClr w14:val="tx1"/>
                  </w14:solidFill>
                </w14:textFill>
              </w:rPr>
              <w:t xml:space="preserve">When </w:t>
            </w:r>
            <w:r>
              <w:rPr>
                <w:sz w:val="22"/>
              </w:rPr>
              <w:t xml:space="preserve">the UE is configured </w:t>
            </w:r>
            <w:r>
              <w:rPr>
                <w:i/>
                <w:iCs/>
                <w:color w:val="000000"/>
                <w:sz w:val="22"/>
              </w:rPr>
              <w:t>dl-OrJointTCI-StateList</w:t>
            </w:r>
            <w:r>
              <w:rPr>
                <w:i/>
                <w:iCs/>
                <w:color w:val="000000" w:themeColor="text1"/>
                <w:sz w:val="22"/>
                <w14:textFill>
                  <w14:solidFill>
                    <w14:schemeClr w14:val="tx1"/>
                  </w14:solidFill>
                </w14:textFill>
              </w:rPr>
              <w:t xml:space="preserve"> </w:t>
            </w:r>
            <w:r>
              <w:rPr>
                <w:color w:val="000000" w:themeColor="text1"/>
                <w:sz w:val="22"/>
                <w14:textFill>
                  <w14:solidFill>
                    <w14:schemeClr w14:val="tx1"/>
                  </w14:solidFill>
                </w14:textFill>
              </w:rPr>
              <w:t>or</w:t>
            </w:r>
            <w:r>
              <w:rPr>
                <w:i/>
                <w:iCs/>
                <w:color w:val="000000" w:themeColor="text1"/>
                <w:sz w:val="22"/>
                <w14:textFill>
                  <w14:solidFill>
                    <w14:schemeClr w14:val="tx1"/>
                  </w14:solidFill>
                </w14:textFill>
              </w:rPr>
              <w:t xml:space="preserve"> ul-TCI-StateList</w:t>
            </w:r>
            <w:r>
              <w:rPr>
                <w:sz w:val="22"/>
              </w:rPr>
              <w:t xml:space="preserve">, the UE shall perform </w:t>
            </w:r>
            <w:r>
              <w:rPr>
                <w:color w:val="000000"/>
                <w:sz w:val="22"/>
              </w:rPr>
              <w:t xml:space="preserve">PUSCH transmission corresponding to a Type 1 configured grant or a Type 2 configured grant or a dynamic grant </w:t>
            </w:r>
            <w:r>
              <w:rPr>
                <w:sz w:val="22"/>
              </w:rPr>
              <w:t xml:space="preserve">according to the spatial relation, if applicable, with a reference to the RS for determining UL Tx spatial filter. The RS </w:t>
            </w:r>
            <w:r>
              <w:rPr>
                <w:rFonts w:hint="eastAsia"/>
                <w:sz w:val="22"/>
                <w:lang w:eastAsia="zh-CN"/>
              </w:rPr>
              <w:t>is determined based on an RS</w:t>
            </w:r>
            <w:r>
              <w:rPr>
                <w:sz w:val="22"/>
              </w:rPr>
              <w:t xml:space="preserve"> configured with </w:t>
            </w:r>
            <w:r>
              <w:rPr>
                <w:i/>
                <w:iCs/>
                <w:sz w:val="22"/>
              </w:rPr>
              <w:t>qcl-Type</w:t>
            </w:r>
            <w:r>
              <w:rPr>
                <w:sz w:val="22"/>
              </w:rPr>
              <w:t xml:space="preserve"> set to 'typeD' of the indicated </w:t>
            </w:r>
            <w:r>
              <w:rPr>
                <w:i/>
                <w:iCs/>
                <w:color w:val="000000" w:themeColor="text1"/>
                <w:sz w:val="22"/>
                <w14:textFill>
                  <w14:solidFill>
                    <w14:schemeClr w14:val="tx1"/>
                  </w14:solidFill>
                </w14:textFill>
              </w:rPr>
              <w:t xml:space="preserve">TCI-State </w:t>
            </w:r>
            <w:r>
              <w:rPr>
                <w:color w:val="000000" w:themeColor="text1"/>
                <w:sz w:val="22"/>
                <w14:textFill>
                  <w14:solidFill>
                    <w14:schemeClr w14:val="tx1"/>
                  </w14:solidFill>
                </w14:textFill>
              </w:rPr>
              <w:t xml:space="preserve">or </w:t>
            </w:r>
            <w:r>
              <w:rPr>
                <w:rFonts w:hint="eastAsia"/>
                <w:sz w:val="22"/>
                <w:lang w:eastAsia="zh-CN"/>
              </w:rPr>
              <w:t>an RS in the indicated</w:t>
            </w:r>
            <w:r>
              <w:rPr>
                <w:i/>
                <w:iCs/>
                <w:color w:val="000000" w:themeColor="text1"/>
                <w:sz w:val="22"/>
                <w14:textFill>
                  <w14:solidFill>
                    <w14:schemeClr w14:val="tx1"/>
                  </w14:solidFill>
                </w14:textFill>
              </w:rPr>
              <w:t xml:space="preserve"> TCI-UL-State</w:t>
            </w:r>
            <w:r>
              <w:rPr>
                <w:sz w:val="22"/>
              </w:rPr>
              <w:t xml:space="preserve">. The reference RS in the indicated </w:t>
            </w:r>
            <w:r>
              <w:rPr>
                <w:i/>
                <w:iCs/>
                <w:color w:val="000000" w:themeColor="text1"/>
                <w:sz w:val="22"/>
                <w14:textFill>
                  <w14:solidFill>
                    <w14:schemeClr w14:val="tx1"/>
                  </w14:solidFill>
                </w14:textFill>
              </w:rPr>
              <w:t>TCI-State</w:t>
            </w:r>
            <w:r>
              <w:rPr>
                <w:sz w:val="22"/>
              </w:rPr>
              <w:t xml:space="preserve"> can be a CSI-RS resource in a </w:t>
            </w:r>
            <w:r>
              <w:rPr>
                <w:i/>
                <w:color w:val="000000"/>
                <w:sz w:val="22"/>
              </w:rPr>
              <w:t>NZP-CSI-RS-ResourceSet</w:t>
            </w:r>
            <w:r>
              <w:rPr>
                <w:sz w:val="22"/>
              </w:rPr>
              <w:t xml:space="preserve"> configured with higher layer parameter </w:t>
            </w:r>
            <w:r>
              <w:rPr>
                <w:i/>
                <w:color w:val="000000"/>
                <w:sz w:val="22"/>
              </w:rPr>
              <w:t>repetition</w:t>
            </w:r>
            <w:r>
              <w:rPr>
                <w:sz w:val="22"/>
              </w:rPr>
              <w:t xml:space="preserve">, or a CSI-RS resource in an </w:t>
            </w:r>
            <w:r>
              <w:rPr>
                <w:i/>
                <w:color w:val="000000"/>
                <w:sz w:val="22"/>
              </w:rPr>
              <w:t xml:space="preserve">NZP-CSI-RS-ResourceSet </w:t>
            </w:r>
            <w:r>
              <w:rPr>
                <w:sz w:val="22"/>
              </w:rPr>
              <w:t xml:space="preserve">configured with higher layer parameter </w:t>
            </w:r>
            <w:r>
              <w:rPr>
                <w:i/>
                <w:sz w:val="22"/>
              </w:rPr>
              <w:t xml:space="preserve">trs-Info. </w:t>
            </w:r>
            <w:r>
              <w:rPr>
                <w:sz w:val="22"/>
              </w:rPr>
              <w:t xml:space="preserve">The reference RS in the indicated </w:t>
            </w:r>
            <w:r>
              <w:rPr>
                <w:i/>
                <w:iCs/>
                <w:color w:val="000000" w:themeColor="text1"/>
                <w:sz w:val="22"/>
                <w14:textFill>
                  <w14:solidFill>
                    <w14:schemeClr w14:val="tx1"/>
                  </w14:solidFill>
                </w14:textFill>
              </w:rPr>
              <w:t>TCI-UL-State</w:t>
            </w:r>
            <w:r>
              <w:rPr>
                <w:sz w:val="22"/>
              </w:rPr>
              <w:t xml:space="preserve"> can be a CSI-RS resource in a </w:t>
            </w:r>
            <w:r>
              <w:rPr>
                <w:i/>
                <w:color w:val="000000"/>
                <w:sz w:val="22"/>
              </w:rPr>
              <w:t>NZP-CSI-RS-ResourceSet</w:t>
            </w:r>
            <w:r>
              <w:rPr>
                <w:sz w:val="22"/>
              </w:rPr>
              <w:t xml:space="preserve"> configured with higher layer parameter </w:t>
            </w:r>
            <w:r>
              <w:rPr>
                <w:i/>
                <w:color w:val="000000"/>
                <w:sz w:val="22"/>
              </w:rPr>
              <w:t>repetition</w:t>
            </w:r>
            <w:r>
              <w:rPr>
                <w:sz w:val="22"/>
              </w:rPr>
              <w:t xml:space="preserve">, a CSI-RS resource in an </w:t>
            </w:r>
            <w:r>
              <w:rPr>
                <w:i/>
                <w:color w:val="000000"/>
                <w:sz w:val="22"/>
              </w:rPr>
              <w:t xml:space="preserve">NZP-CSI-RS-ResourceSet </w:t>
            </w:r>
            <w:r>
              <w:rPr>
                <w:sz w:val="22"/>
              </w:rPr>
              <w:t xml:space="preserve">configured with higher layer parameter </w:t>
            </w:r>
            <w:r>
              <w:rPr>
                <w:i/>
                <w:sz w:val="22"/>
              </w:rPr>
              <w:t>trs-Info</w:t>
            </w:r>
            <w:r>
              <w:rPr>
                <w:sz w:val="22"/>
              </w:rPr>
              <w:t xml:space="preserve">, an SRS resource in an SRS resource set with </w:t>
            </w:r>
            <w:r>
              <w:rPr>
                <w:color w:val="000000"/>
                <w:sz w:val="22"/>
              </w:rPr>
              <w:t>the higher layer parameter</w:t>
            </w:r>
            <w:r>
              <w:rPr>
                <w:i/>
                <w:color w:val="000000"/>
                <w:sz w:val="22"/>
              </w:rPr>
              <w:t xml:space="preserve"> usage </w:t>
            </w:r>
            <w:r>
              <w:rPr>
                <w:color w:val="000000"/>
                <w:sz w:val="22"/>
              </w:rPr>
              <w:t>set to 'beamManagem</w:t>
            </w:r>
            <w:r>
              <w:rPr>
                <w:color w:val="000000" w:themeColor="text1"/>
                <w:sz w:val="22"/>
                <w14:textFill>
                  <w14:solidFill>
                    <w14:schemeClr w14:val="tx1"/>
                  </w14:solidFill>
                </w14:textFill>
              </w:rPr>
              <w:t xml:space="preserve">ent', or SS/PBCH block associated with the same or different PCI from the PCI of the serving cell. </w:t>
            </w:r>
            <w:r>
              <w:rPr>
                <w:sz w:val="22"/>
              </w:rPr>
              <w:t xml:space="preserve">When </w:t>
            </w:r>
            <w:r>
              <w:rPr>
                <w:i/>
                <w:iCs/>
                <w:sz w:val="22"/>
              </w:rPr>
              <w:t xml:space="preserve">[nrofSlots_InCGperiod] </w:t>
            </w:r>
            <w:r>
              <w:rPr>
                <w:sz w:val="22"/>
              </w:rPr>
              <w:t xml:space="preserve">is configured for Type 1 configured grant or Type 2 configured grant, HARQ process ID for the </w:t>
            </w:r>
            <w:r>
              <w:rPr>
                <w:sz w:val="22"/>
                <w:lang w:eastAsia="ko-KR"/>
              </w:rPr>
              <w:t xml:space="preserve">first configured PUSCH grant and each subsequent valid configured PUSCH grant within a </w:t>
            </w:r>
            <w:r>
              <w:rPr>
                <w:i/>
                <w:iCs/>
                <w:sz w:val="22"/>
                <w:lang w:eastAsia="ko-KR"/>
              </w:rPr>
              <w:t>periodicity</w:t>
            </w:r>
            <w:r>
              <w:rPr>
                <w:sz w:val="22"/>
                <w:lang w:eastAsia="ko-KR"/>
              </w:rPr>
              <w:t xml:space="preserve"> of the configuration </w:t>
            </w:r>
            <w:r>
              <w:rPr>
                <w:sz w:val="22"/>
              </w:rPr>
              <w:t xml:space="preserve">is determined as in clause 5.4.1 of [10, TS 38.321], where a valid configured PUSCH grant is the one not colliding with the DL symbol(s) indicated by </w:t>
            </w:r>
            <w:r>
              <w:rPr>
                <w:i/>
                <w:iCs/>
                <w:sz w:val="22"/>
              </w:rPr>
              <w:t>tdd-UL-DL-ConfigurationCommon</w:t>
            </w:r>
            <w:r>
              <w:rPr>
                <w:sz w:val="22"/>
              </w:rPr>
              <w:t xml:space="preserve"> or </w:t>
            </w:r>
            <w:r>
              <w:rPr>
                <w:i/>
                <w:iCs/>
                <w:sz w:val="22"/>
              </w:rPr>
              <w:t>tdd-UL-DL-ConfigurationDedicated</w:t>
            </w:r>
            <w:r>
              <w:rPr>
                <w:sz w:val="22"/>
              </w:rPr>
              <w:t xml:space="preserve"> if provided, and </w:t>
            </w:r>
            <w:r>
              <w:rPr>
                <w:strike/>
                <w:color w:val="FF0000"/>
                <w:sz w:val="22"/>
              </w:rPr>
              <w:t xml:space="preserve">is </w:t>
            </w:r>
            <w:r>
              <w:rPr>
                <w:sz w:val="22"/>
              </w:rPr>
              <w:t xml:space="preserve">not colliding with a symbol(s) of an SS/PBCH block with index provided by </w:t>
            </w:r>
            <w:r>
              <w:rPr>
                <w:i/>
                <w:iCs/>
                <w:sz w:val="22"/>
              </w:rPr>
              <w:t>ssb-PositionsInBurst</w:t>
            </w:r>
            <w:r>
              <w:rPr>
                <w:sz w:val="22"/>
              </w:rPr>
              <w:t xml:space="preserve"> as described in clause 11.1 of [6, TS 38.213].</w:t>
            </w:r>
          </w:p>
          <w:p>
            <w:pPr>
              <w:keepNext/>
              <w:keepLines/>
              <w:spacing w:before="180"/>
              <w:ind w:left="1134" w:hanging="1134"/>
              <w:jc w:val="center"/>
              <w:outlineLvl w:val="1"/>
              <w:rPr>
                <w:color w:val="FF0000"/>
                <w:sz w:val="22"/>
                <w:lang w:eastAsia="zh-CN"/>
              </w:rPr>
            </w:pPr>
            <w:r>
              <w:rPr>
                <w:color w:val="FF0000"/>
                <w:sz w:val="22"/>
                <w:lang w:eastAsia="zh-CN"/>
              </w:rPr>
              <w:t xml:space="preserve">*** </w:t>
            </w:r>
            <w:r>
              <w:rPr>
                <w:color w:val="FF0000"/>
                <w:sz w:val="22"/>
              </w:rPr>
              <w:t>Unchanged parts are omitted</w:t>
            </w:r>
            <w:r>
              <w:rPr>
                <w:color w:val="FF0000"/>
                <w:sz w:val="22"/>
                <w:lang w:eastAsia="zh-CN"/>
              </w:rPr>
              <w:t xml:space="preserve"> ***</w:t>
            </w:r>
          </w:p>
        </w:tc>
      </w:tr>
    </w:tbl>
    <w:p/>
    <w:p>
      <w:r>
        <w:rPr>
          <w:b/>
          <w:bCs/>
          <w:highlight w:val="cyan"/>
        </w:rPr>
        <w:t>Moderator’s observation:</w:t>
      </w:r>
      <w:r>
        <w:t xml:space="preserve"> At first, it seemed to Moderator that the current description should be clear. After careful reading Moderator realized that the point raised by OPPO is valid, although it seems unlikely to misunderstand the intention of the description to be misinterpreted. </w:t>
      </w:r>
    </w:p>
    <w:p>
      <w:r>
        <w:t>It is helpful to understand companies’ interpretations.</w:t>
      </w:r>
    </w:p>
    <w:p>
      <w:pPr>
        <w:rPr>
          <w:b/>
        </w:rPr>
      </w:pPr>
    </w:p>
    <w:p>
      <w:pPr>
        <w:pStyle w:val="4"/>
      </w:pPr>
      <w:r>
        <w:t>2.1.1</w:t>
      </w:r>
      <w:r>
        <w:tab/>
      </w:r>
      <w:r>
        <w:t>Initial discussion</w:t>
      </w:r>
    </w:p>
    <w:p>
      <w:pPr>
        <w:rPr>
          <w:lang w:val="en-GB" w:eastAsia="ja-JP"/>
        </w:rPr>
      </w:pPr>
      <w:r>
        <w:rPr>
          <w:b/>
          <w:bCs/>
          <w:lang w:val="en-GB" w:eastAsia="ja-JP"/>
        </w:rPr>
        <w:t>Question:</w:t>
      </w:r>
      <w:r>
        <w:rPr>
          <w:lang w:val="en-GB" w:eastAsia="ja-JP"/>
        </w:rPr>
        <w:t xml:space="preserve"> What is your view about the issue raised above? Do you support adopting the proposed draft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 w:val="22"/>
                <w:lang w:val="en-US" w:eastAsia="ja-JP"/>
              </w:rPr>
            </w:pPr>
            <w:r>
              <w:rPr>
                <w:rFonts w:hint="default"/>
                <w:sz w:val="22"/>
                <w:lang w:val="en-US" w:eastAsia="ja-JP"/>
              </w:rPr>
              <w:t>OPPO</w:t>
            </w:r>
          </w:p>
        </w:tc>
        <w:tc>
          <w:tcPr>
            <w:tcW w:w="7791" w:type="dxa"/>
          </w:tcPr>
          <w:p>
            <w:pPr>
              <w:rPr>
                <w:rFonts w:hint="default"/>
                <w:sz w:val="22"/>
                <w:lang w:val="en-US" w:eastAsia="ja-JP"/>
              </w:rPr>
            </w:pPr>
            <w:r>
              <w:rPr>
                <w:rFonts w:hint="default"/>
                <w:sz w:val="22"/>
                <w:lang w:val="en-US" w:eastAsia="ja-JP"/>
              </w:rPr>
              <w:t xml:space="preserve">This is basically an editorial issue that could lead to misunderstanding upon  the exact definition of valid/invalid TOs. We certainly support the proposed draft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3"/>
        <w:ind w:left="0" w:firstLine="0"/>
        <w:rPr>
          <w:lang w:val="en-US"/>
        </w:rPr>
      </w:pPr>
      <w:r>
        <w:t>2.2</w:t>
      </w:r>
      <w:r>
        <w:tab/>
      </w:r>
      <w:r>
        <w:t xml:space="preserve">Issue#2: Multi-PUSCH CG resource allocation </w:t>
      </w:r>
      <w:r>
        <w:rPr>
          <w:lang w:val="en-US"/>
        </w:rPr>
        <w:t>(OPPO)</w:t>
      </w:r>
    </w:p>
    <w:p>
      <w:pPr>
        <w:rPr>
          <w:lang w:eastAsia="ja-JP"/>
        </w:rPr>
      </w:pPr>
      <w:r>
        <w:rPr>
          <w:lang w:eastAsia="ja-JP"/>
        </w:rPr>
        <w:t xml:space="preserve">OPPO has raised the following as the first issue in </w:t>
      </w:r>
      <w:r>
        <w:rPr>
          <w:lang w:eastAsia="ja-JP"/>
        </w:rPr>
        <w:fldChar w:fldCharType="begin"/>
      </w:r>
      <w:r>
        <w:rPr>
          <w:lang w:eastAsia="ja-JP"/>
        </w:rPr>
        <w:instrText xml:space="preserve"> REF _Ref159687772 \n \h </w:instrText>
      </w:r>
      <w:r>
        <w:rPr>
          <w:lang w:eastAsia="ja-JP"/>
        </w:rPr>
        <w:fldChar w:fldCharType="separate"/>
      </w:r>
      <w:r>
        <w:rPr>
          <w:lang w:eastAsia="ja-JP"/>
        </w:rPr>
        <w:t>[2]</w:t>
      </w:r>
      <w:r>
        <w:rPr>
          <w:lang w:eastAsia="ja-JP"/>
        </w:rPr>
        <w:fldChar w:fldCharType="end"/>
      </w:r>
      <w:r>
        <w:rPr>
          <w:lang w:eastAsia="ja-JP"/>
        </w:rPr>
        <w:t>.</w:t>
      </w:r>
    </w:p>
    <w:tbl>
      <w:tblPr>
        <w:tblStyle w:val="13"/>
        <w:tblW w:w="9640" w:type="dxa"/>
        <w:tblInd w:w="-5"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2"/>
              <w:numPr>
                <w:ilvl w:val="0"/>
                <w:numId w:val="19"/>
              </w:numPr>
              <w:rPr>
                <w:lang w:val="en-US"/>
              </w:rPr>
            </w:pPr>
            <w:r>
              <w:rPr>
                <w:rFonts w:ascii="Times" w:hAnsi="Times" w:eastAsia="Batang"/>
                <w:color w:val="000000"/>
                <w:lang w:val="en-US" w:eastAsia="ja-JP"/>
              </w:rPr>
              <w:t>Although RAN1 agrees that the PUSCH repetition (both Type-A and Type-B) is not supported with Rel-18 multi-PUSCH CG, the PUSCH CG resource allocation is currently described in TS38.214 in a way either for Type-A repetition or Type-B repetition. RAN1 #113 agreement contains the following notes to indicate that the time-domain resource allocation for Rel-18 multi-PUSCH CG assumes Type-A repetition:</w:t>
            </w:r>
          </w:p>
          <w:p>
            <w:pPr>
              <w:pStyle w:val="112"/>
              <w:ind w:left="800" w:leftChars="400"/>
              <w:rPr>
                <w:rFonts w:ascii="Times New Roman" w:hAnsi="Times New Roman"/>
                <w:i/>
                <w:iCs/>
                <w:color w:val="000000"/>
                <w:lang w:val="en-US"/>
              </w:rPr>
            </w:pPr>
            <w:r>
              <w:rPr>
                <w:rFonts w:ascii="Times New Roman" w:hAnsi="Times New Roman"/>
                <w:i/>
                <w:iCs/>
                <w:color w:val="000000"/>
                <w:lang w:val="en-US"/>
              </w:rPr>
              <w:t>Note(for Type-1): To determine the configuration of TDRA, PUSCH repetition type A is assumed according to description in 6.1.2.3 in 38.214.</w:t>
            </w:r>
          </w:p>
          <w:p>
            <w:pPr>
              <w:pStyle w:val="112"/>
              <w:ind w:left="800" w:leftChars="400"/>
              <w:rPr>
                <w:rFonts w:ascii="Times New Roman" w:hAnsi="Times New Roman"/>
                <w:i/>
                <w:iCs/>
                <w:lang w:val="en-US"/>
              </w:rPr>
            </w:pPr>
            <w:r>
              <w:rPr>
                <w:rFonts w:ascii="Times New Roman" w:hAnsi="Times New Roman"/>
                <w:i/>
                <w:iCs/>
                <w:color w:val="000000"/>
                <w:lang w:val="en-US"/>
              </w:rPr>
              <w:t xml:space="preserve">Note(for Type-2): The DCI format for activation DCI with </w:t>
            </w:r>
            <w:r>
              <w:rPr>
                <w:rFonts w:ascii="Times New Roman" w:hAnsi="Times New Roman"/>
                <w:i/>
                <w:iCs/>
                <w:color w:val="000000"/>
              </w:rPr>
              <w:t>pusch-RepTypeA</w:t>
            </w:r>
            <w:r>
              <w:rPr>
                <w:rFonts w:ascii="Times New Roman" w:hAnsi="Times New Roman"/>
                <w:i/>
                <w:iCs/>
                <w:color w:val="000000"/>
                <w:lang w:val="en-US"/>
              </w:rPr>
              <w:t xml:space="preserve"> is applicable.</w:t>
            </w:r>
            <w:r>
              <w:rPr>
                <w:rFonts w:ascii="Times New Roman" w:hAnsi="Times New Roman" w:eastAsia="Batang"/>
                <w:i/>
                <w:iCs/>
                <w:color w:val="000000"/>
                <w:lang w:val="en-US" w:eastAsia="ja-JP"/>
              </w:rPr>
              <w:t xml:space="preserve"> </w:t>
            </w:r>
          </w:p>
          <w:p>
            <w:pPr>
              <w:pStyle w:val="112"/>
              <w:ind w:left="400" w:leftChars="200"/>
              <w:rPr>
                <w:lang w:val="en-US"/>
              </w:rPr>
            </w:pPr>
            <w:r>
              <w:rPr>
                <w:rFonts w:ascii="Times" w:hAnsi="Times" w:eastAsia="Batang"/>
                <w:color w:val="000000"/>
                <w:lang w:val="en-US" w:eastAsia="ja-JP"/>
              </w:rPr>
              <w:t>There was no further agreement to amend for Type-B repetition. In fact, the PUSCH resource allocation with repetition Type-B allows cross-slot resource allocation (at least ref. Table 6.1.2.1-1 in TS38.214), which has been agreed not to be supported in Rel-18 multi-PUSCH CG</w:t>
            </w:r>
            <w:r>
              <w:rPr>
                <w:rFonts w:ascii="Times" w:hAnsi="Times" w:eastAsiaTheme="minorEastAsia"/>
                <w:color w:val="000000"/>
                <w:lang w:val="en-US" w:eastAsia="zh-CN"/>
              </w:rPr>
              <w:t xml:space="preserve">. It is too late in RAN1 maintenance phase now to make new functional agreement to selectively support some of resource allocations within Type-B repetition (e.g.,the ones restricted to single slot) but not all. So a simple fix is to limit the PUSCH resource allocation in multi-PUSCH CG to assume Type-A repetition only (Note: this does not mean Type-A repetition is supported).     </w:t>
            </w:r>
          </w:p>
          <w:p>
            <w:pPr>
              <w:pStyle w:val="112"/>
              <w:numPr>
                <w:ilvl w:val="0"/>
                <w:numId w:val="19"/>
              </w:numPr>
              <w:rPr>
                <w:lang w:val="en-US"/>
              </w:rPr>
            </w:pPr>
            <w:r>
              <w:rPr>
                <w:rFonts w:ascii="Times" w:hAnsi="Times" w:eastAsiaTheme="minorEastAsia"/>
                <w:color w:val="000000"/>
                <w:lang w:val="en-US" w:eastAsia="zh-CN"/>
              </w:rPr>
              <w:t xml:space="preserve">According to the current description in TS38.214, whatever PUSCH resource allocation happening in the first PUSCH occasion/slot in a multi-PUSCH CG period also applies to the remaining PUSCH occasions in the same CG period. Such text unexpectedly includes K2, which creates a faulty suggestion that the same K2 is applied individually in every consecutive PUSCH slot. This is not an expected UE behavior. </w:t>
            </w:r>
          </w:p>
        </w:tc>
      </w:tr>
      <w:tr>
        <w:tblPrEx>
          <w:tblCellMar>
            <w:top w:w="0" w:type="dxa"/>
            <w:left w:w="42" w:type="dxa"/>
            <w:bottom w:w="0" w:type="dxa"/>
            <w:right w:w="42" w:type="dxa"/>
          </w:tblCellMar>
        </w:tblPrEx>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2"/>
              <w:numPr>
                <w:ilvl w:val="0"/>
                <w:numId w:val="20"/>
              </w:numPr>
              <w:ind w:left="459" w:hanging="357"/>
              <w:rPr>
                <w:rFonts w:ascii="Times" w:hAnsi="Times" w:eastAsiaTheme="minorEastAsia"/>
                <w:color w:val="000000"/>
                <w:lang w:val="en-US" w:eastAsia="zh-CN"/>
              </w:rPr>
            </w:pPr>
            <w:r>
              <w:rPr>
                <w:rFonts w:ascii="Times" w:hAnsi="Times" w:eastAsiaTheme="minorEastAsia"/>
                <w:color w:val="000000"/>
                <w:lang w:val="en-US" w:eastAsia="zh-CN"/>
              </w:rPr>
              <w:t>Clarify that UE does not expect to be configured with PUSCH repetition Type-</w:t>
            </w:r>
            <w:r>
              <w:rPr>
                <w:rFonts w:hint="eastAsia" w:ascii="Times" w:hAnsi="Times" w:eastAsiaTheme="minorEastAsia"/>
                <w:color w:val="000000"/>
                <w:lang w:val="en-US" w:eastAsia="zh-CN"/>
              </w:rPr>
              <w:t>B</w:t>
            </w:r>
            <w:r>
              <w:rPr>
                <w:rFonts w:ascii="Times" w:hAnsi="Times" w:eastAsiaTheme="minorEastAsia"/>
                <w:color w:val="000000"/>
                <w:lang w:val="en-US" w:eastAsia="zh-CN"/>
              </w:rPr>
              <w:t xml:space="preserve"> for resource allocation with multi-PUSCH CG. </w:t>
            </w:r>
          </w:p>
          <w:p>
            <w:pPr>
              <w:pStyle w:val="112"/>
              <w:numPr>
                <w:ilvl w:val="0"/>
                <w:numId w:val="20"/>
              </w:numPr>
              <w:ind w:left="459" w:hanging="357"/>
              <w:rPr>
                <w:rFonts w:ascii="Times" w:hAnsi="Times" w:eastAsiaTheme="minorEastAsia"/>
                <w:color w:val="000000"/>
                <w:lang w:val="en-US" w:eastAsia="zh-CN"/>
              </w:rPr>
            </w:pPr>
            <w:r>
              <w:rPr>
                <w:rFonts w:ascii="Times" w:hAnsi="Times" w:eastAsiaTheme="minorEastAsia"/>
                <w:color w:val="000000"/>
                <w:lang w:val="en-US" w:eastAsia="zh-CN"/>
              </w:rPr>
              <w:t>Clarify that the derivation from</w:t>
            </w:r>
            <w:r>
              <w:rPr>
                <w:rFonts w:ascii="Times New Roman" w:hAnsi="Times New Roman" w:eastAsiaTheme="minorEastAsia"/>
                <w:color w:val="000000"/>
                <w:lang w:val="en-US" w:eastAsia="zh-CN"/>
              </w:rPr>
              <w:t xml:space="preserve"> </w:t>
            </w:r>
            <w:r>
              <w:rPr>
                <w:rFonts w:ascii="Times New Roman" w:hAnsi="Times New Roman" w:eastAsia="SimSun"/>
                <w:i/>
                <w:iCs/>
                <w:color w:val="000000"/>
                <w:lang w:eastAsia="zh-CN"/>
              </w:rPr>
              <w:t>timeDomainAllocation</w:t>
            </w:r>
            <w:r>
              <w:rPr>
                <w:rFonts w:ascii="Times New Roman" w:hAnsi="Times New Roman" w:eastAsiaTheme="minorEastAsia"/>
                <w:color w:val="000000"/>
                <w:lang w:val="en-US" w:eastAsia="zh-CN"/>
              </w:rPr>
              <w:t xml:space="preserve"> applies to the</w:t>
            </w:r>
            <w:r>
              <w:rPr>
                <w:rFonts w:ascii="Times" w:hAnsi="Times" w:eastAsiaTheme="minorEastAsia"/>
                <w:color w:val="000000"/>
                <w:lang w:val="en-US" w:eastAsia="zh-CN"/>
              </w:rPr>
              <w:t xml:space="preserve"> first PUSCH occasion per multi-PUSCH CG period, i.e., the same behavior as in NRU description.</w:t>
            </w:r>
          </w:p>
        </w:tc>
      </w:tr>
      <w:tr>
        <w:tblPrEx>
          <w:tblCellMar>
            <w:top w:w="0" w:type="dxa"/>
            <w:left w:w="42" w:type="dxa"/>
            <w:bottom w:w="0" w:type="dxa"/>
            <w:right w:w="42" w:type="dxa"/>
          </w:tblCellMar>
        </w:tblPrEx>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rFonts w:ascii="Times New Roman" w:hAnsi="Times New Roman"/>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2"/>
              <w:spacing w:after="0"/>
              <w:ind w:left="100"/>
              <w:rPr>
                <w:rFonts w:ascii="Times New Roman" w:hAnsi="Times New Roman"/>
                <w:lang w:val="en-US"/>
              </w:rPr>
            </w:pPr>
            <w:r>
              <w:rPr>
                <w:rFonts w:ascii="Times New Roman" w:hAnsi="Times New Roman"/>
                <w:lang w:val="en-US"/>
              </w:rPr>
              <w:t>The specification does not prevent UE from receiving a configuration resulting in unsupported function; gNB and UE can have inconsistent understanding of symbols/slots being used for multi-PUSCH CG transmission.</w:t>
            </w:r>
          </w:p>
        </w:tc>
      </w:tr>
    </w:tbl>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rFonts w:eastAsia="Calibri"/>
                <w:color w:val="000000"/>
                <w:szCs w:val="22"/>
                <w:lang w:val="de-DE"/>
              </w:rPr>
            </w:pPr>
            <w:r>
              <w:rPr>
                <w:rFonts w:eastAsia="Calibri"/>
                <w:color w:val="000000"/>
                <w:szCs w:val="22"/>
                <w:highlight w:val="yellow"/>
                <w:lang w:val="de-DE"/>
              </w:rPr>
              <w:t>TP for 38.214</w:t>
            </w:r>
          </w:p>
          <w:p>
            <w:pPr>
              <w:keepNext/>
              <w:keepLines/>
              <w:spacing w:before="120"/>
              <w:ind w:left="1418" w:hanging="1418"/>
              <w:outlineLvl w:val="3"/>
              <w:rPr>
                <w:rFonts w:eastAsia="SimSun"/>
                <w:sz w:val="24"/>
              </w:rPr>
            </w:pPr>
            <w:bookmarkStart w:id="10" w:name="_Toc20318038"/>
            <w:bookmarkStart w:id="11" w:name="_Toc45810619"/>
            <w:bookmarkStart w:id="12" w:name="_Toc155777408"/>
            <w:bookmarkStart w:id="13" w:name="_Toc36645574"/>
            <w:bookmarkStart w:id="14" w:name="_Toc11352148"/>
            <w:bookmarkStart w:id="15" w:name="_Toc29673351"/>
            <w:bookmarkStart w:id="16" w:name="_Toc27299936"/>
            <w:bookmarkStart w:id="17" w:name="_Toc29673210"/>
            <w:bookmarkStart w:id="18" w:name="_Toc29674344"/>
            <w:r>
              <w:rPr>
                <w:rFonts w:eastAsia="SimSun"/>
                <w:sz w:val="24"/>
              </w:rPr>
              <w:t>6.1.2.3</w:t>
            </w:r>
            <w:r>
              <w:rPr>
                <w:rFonts w:eastAsia="SimSun"/>
                <w:sz w:val="24"/>
              </w:rPr>
              <w:tab/>
            </w:r>
            <w:r>
              <w:rPr>
                <w:rFonts w:eastAsia="SimSun"/>
                <w:sz w:val="24"/>
              </w:rPr>
              <w:t>Resource allocation for uplink transmission with configured grant</w:t>
            </w:r>
            <w:bookmarkEnd w:id="10"/>
            <w:bookmarkEnd w:id="11"/>
            <w:bookmarkEnd w:id="12"/>
            <w:bookmarkEnd w:id="13"/>
            <w:bookmarkEnd w:id="14"/>
            <w:bookmarkEnd w:id="15"/>
            <w:bookmarkEnd w:id="16"/>
            <w:bookmarkEnd w:id="17"/>
            <w:bookmarkEnd w:id="18"/>
          </w:p>
          <w:p>
            <w:pPr>
              <w:widowControl w:val="0"/>
              <w:tabs>
                <w:tab w:val="left" w:pos="6521"/>
              </w:tabs>
              <w:spacing w:after="120"/>
              <w:jc w:val="center"/>
              <w:rPr>
                <w:color w:val="0000FF"/>
                <w:sz w:val="22"/>
              </w:rPr>
            </w:pPr>
            <w:r>
              <w:rPr>
                <w:color w:val="0000FF"/>
                <w:sz w:val="22"/>
                <w:lang w:eastAsia="zh-CN"/>
              </w:rPr>
              <w:t xml:space="preserve">*** </w:t>
            </w:r>
            <w:r>
              <w:rPr>
                <w:color w:val="0000FF"/>
                <w:sz w:val="22"/>
              </w:rPr>
              <w:t>Unchanged parts are omitted</w:t>
            </w:r>
            <w:r>
              <w:rPr>
                <w:color w:val="0000FF"/>
                <w:sz w:val="22"/>
                <w:lang w:eastAsia="zh-CN"/>
              </w:rPr>
              <w:t xml:space="preserve"> ***</w:t>
            </w:r>
          </w:p>
          <w:p>
            <w:pPr>
              <w:rPr>
                <w:rFonts w:eastAsia="SimSun"/>
                <w:color w:val="000000"/>
                <w:sz w:val="22"/>
                <w:lang w:eastAsia="zh-CN"/>
              </w:rPr>
            </w:pPr>
            <w:r>
              <w:rPr>
                <w:rFonts w:eastAsia="SimSun"/>
                <w:color w:val="000000"/>
                <w:sz w:val="22"/>
              </w:rPr>
              <w:t xml:space="preserve">A set of allowed periodicities </w:t>
            </w:r>
            <w:r>
              <w:rPr>
                <w:rFonts w:eastAsia="SimSun"/>
                <w:i/>
                <w:color w:val="000000"/>
                <w:sz w:val="22"/>
              </w:rPr>
              <w:t xml:space="preserve">P </w:t>
            </w:r>
            <w:r>
              <w:rPr>
                <w:rFonts w:eastAsia="SimSun"/>
                <w:color w:val="000000"/>
                <w:sz w:val="22"/>
              </w:rPr>
              <w:t xml:space="preserve">are defined in [12, TS 38.331]. </w:t>
            </w:r>
            <w:r>
              <w:rPr>
                <w:rFonts w:eastAsia="SimSun"/>
                <w:color w:val="000000"/>
                <w:sz w:val="22"/>
                <w:lang w:eastAsia="zh-CN"/>
              </w:rPr>
              <w:t xml:space="preserve">The higher layer parameter </w:t>
            </w:r>
            <w:r>
              <w:rPr>
                <w:rFonts w:eastAsia="SimSun"/>
                <w:i/>
                <w:color w:val="000000"/>
                <w:sz w:val="22"/>
                <w:lang w:eastAsia="zh-CN"/>
              </w:rPr>
              <w:t>cg-nrofSlots</w:t>
            </w:r>
            <w:r>
              <w:rPr>
                <w:rFonts w:eastAsia="SimSun"/>
                <w:color w:val="000000"/>
                <w:sz w:val="22"/>
                <w:lang w:eastAsia="zh-CN"/>
              </w:rPr>
              <w:t xml:space="preserve">, provides the number of consecutive slots allocated within a configured grant period. The higher layer parameter </w:t>
            </w:r>
            <w:r>
              <w:rPr>
                <w:rFonts w:eastAsia="SimSun"/>
                <w:i/>
                <w:color w:val="000000"/>
                <w:sz w:val="22"/>
                <w:lang w:eastAsia="zh-CN"/>
              </w:rPr>
              <w:t>cg-nrofPUSCH-InSlot</w:t>
            </w:r>
            <w:r>
              <w:rPr>
                <w:rFonts w:eastAsia="SimSun"/>
                <w:color w:val="000000"/>
                <w:sz w:val="22"/>
                <w:lang w:eastAsia="zh-CN"/>
              </w:rPr>
              <w:t xml:space="preserve"> provides the number of consecutive PUSCH allocations within a slot, where</w:t>
            </w:r>
            <w:r>
              <w:rPr>
                <w:rFonts w:eastAsia="SimSun"/>
                <w:color w:val="000000"/>
                <w:sz w:val="22"/>
                <w:highlight w:val="yellow"/>
                <w:lang w:eastAsia="zh-CN"/>
              </w:rPr>
              <w:t xml:space="preserve"> the first PUSCH allocation</w:t>
            </w:r>
            <w:r>
              <w:rPr>
                <w:rFonts w:eastAsia="SimSun"/>
                <w:color w:val="000000"/>
                <w:sz w:val="22"/>
                <w:lang w:eastAsia="zh-CN"/>
              </w:rPr>
              <w:t xml:space="preserve"> follows the higher layer parameter </w:t>
            </w:r>
            <w:r>
              <w:rPr>
                <w:rFonts w:eastAsia="SimSun"/>
                <w:i/>
                <w:color w:val="000000"/>
                <w:sz w:val="22"/>
                <w:lang w:eastAsia="zh-CN"/>
              </w:rPr>
              <w:t xml:space="preserve">timeDomainAllocation </w:t>
            </w:r>
            <w:r>
              <w:rPr>
                <w:rFonts w:eastAsia="SimSun"/>
                <w:color w:val="000000"/>
                <w:sz w:val="22"/>
                <w:lang w:eastAsia="zh-CN"/>
              </w:rPr>
              <w:t xml:space="preserve">for Type 1 PUSCH transmission or </w:t>
            </w:r>
            <w:r>
              <w:rPr>
                <w:rFonts w:eastAsia="SimSun"/>
                <w:color w:val="000000"/>
                <w:sz w:val="22"/>
              </w:rPr>
              <w:t>the higher layer configuration according to [10, TS 38.321], and UL grant received on the DCI for Type 2 PUSCH transmissions</w:t>
            </w:r>
            <w:r>
              <w:rPr>
                <w:rFonts w:eastAsia="SimSun"/>
                <w:color w:val="000000"/>
                <w:sz w:val="22"/>
                <w:lang w:eastAsia="zh-CN"/>
              </w:rPr>
              <w:t xml:space="preserve">, and the remaining PUSCH allocations have the same length and PUSCH mapping type, and are appended following the previous allocations without any gaps. The higher layer parameter </w:t>
            </w:r>
            <w:r>
              <w:rPr>
                <w:rFonts w:eastAsia="SimSun"/>
                <w:i/>
                <w:color w:val="000000"/>
                <w:sz w:val="22"/>
                <w:lang w:eastAsia="zh-CN"/>
              </w:rPr>
              <w:t>[nrofSlots_InCGperiod]</w:t>
            </w:r>
            <w:r>
              <w:rPr>
                <w:rFonts w:eastAsia="SimSun"/>
                <w:color w:val="000000"/>
                <w:sz w:val="22"/>
                <w:lang w:eastAsia="zh-CN"/>
              </w:rPr>
              <w:t xml:space="preserve"> provides the number of consecutive slots allocated within a configured grant period. </w:t>
            </w:r>
            <w:r>
              <w:rPr>
                <w:rFonts w:eastAsia="SimSun"/>
                <w:color w:val="000000"/>
                <w:sz w:val="22"/>
                <w:highlight w:val="yellow"/>
                <w:lang w:eastAsia="zh-CN"/>
              </w:rPr>
              <w:t xml:space="preserve">The same combination of start symbol and length and PUSCH mapping type repeats over the consecutively allocated slots if </w:t>
            </w:r>
            <w:r>
              <w:rPr>
                <w:rFonts w:eastAsia="SimSun"/>
                <w:i/>
                <w:iCs/>
                <w:color w:val="000000"/>
                <w:sz w:val="22"/>
                <w:highlight w:val="yellow"/>
                <w:lang w:eastAsia="zh-CN"/>
              </w:rPr>
              <w:t>cg-nrofSlots</w:t>
            </w:r>
            <w:r>
              <w:rPr>
                <w:rFonts w:eastAsia="SimSun"/>
                <w:color w:val="000000"/>
                <w:sz w:val="22"/>
                <w:highlight w:val="yellow"/>
                <w:lang w:eastAsia="zh-CN"/>
              </w:rPr>
              <w:t xml:space="preserve"> or [</w:t>
            </w:r>
            <w:r>
              <w:rPr>
                <w:rFonts w:eastAsia="SimSun"/>
                <w:i/>
                <w:iCs/>
                <w:color w:val="000000"/>
                <w:sz w:val="22"/>
                <w:highlight w:val="yellow"/>
                <w:lang w:eastAsia="zh-CN"/>
              </w:rPr>
              <w:t>nrofSlots_InCGperiod</w:t>
            </w:r>
            <w:r>
              <w:rPr>
                <w:rFonts w:eastAsia="SimSun"/>
                <w:color w:val="000000"/>
                <w:sz w:val="22"/>
                <w:highlight w:val="yellow"/>
                <w:lang w:eastAsia="zh-CN"/>
              </w:rPr>
              <w:t>] is configured.</w:t>
            </w:r>
            <w:r>
              <w:rPr>
                <w:rFonts w:eastAsia="SimSun"/>
                <w:color w:val="000000"/>
                <w:sz w:val="22"/>
                <w:lang w:eastAsia="zh-CN"/>
              </w:rPr>
              <w:t xml:space="preserve"> If [</w:t>
            </w:r>
            <w:r>
              <w:rPr>
                <w:rFonts w:eastAsia="SimSun"/>
                <w:i/>
                <w:iCs/>
                <w:color w:val="000000"/>
                <w:sz w:val="22"/>
                <w:lang w:eastAsia="zh-CN"/>
              </w:rPr>
              <w:t>nrofSlots_InCGperiod</w:t>
            </w:r>
            <w:r>
              <w:rPr>
                <w:rFonts w:eastAsia="SimSun"/>
                <w:color w:val="000000"/>
                <w:sz w:val="22"/>
                <w:lang w:eastAsia="zh-CN"/>
              </w:rPr>
              <w:t>] is configured, the</w:t>
            </w:r>
            <w:r>
              <w:rPr>
                <w:rFonts w:eastAsia="SimSun"/>
                <w:color w:val="FF0000"/>
                <w:sz w:val="22"/>
                <w:lang w:eastAsia="zh-CN"/>
              </w:rPr>
              <w:t xml:space="preserve"> </w:t>
            </w:r>
            <w:r>
              <w:rPr>
                <w:rFonts w:eastAsia="SimSun"/>
                <w:color w:val="FF0000"/>
                <w:sz w:val="22"/>
                <w:u w:val="single"/>
                <w:lang w:eastAsia="zh-CN"/>
              </w:rPr>
              <w:t>first</w:t>
            </w:r>
            <w:r>
              <w:rPr>
                <w:rFonts w:eastAsia="SimSun"/>
                <w:color w:val="000000"/>
                <w:sz w:val="22"/>
                <w:lang w:eastAsia="zh-CN"/>
              </w:rPr>
              <w:t xml:space="preserve"> PUSCH allocation </w:t>
            </w:r>
            <w:r>
              <w:rPr>
                <w:rFonts w:eastAsia="SimSun"/>
                <w:strike/>
                <w:color w:val="FF0000"/>
                <w:sz w:val="22"/>
                <w:lang w:eastAsia="zh-CN"/>
              </w:rPr>
              <w:t xml:space="preserve">in each consecutive slot </w:t>
            </w:r>
            <w:r>
              <w:rPr>
                <w:rFonts w:eastAsia="SimSun"/>
                <w:color w:val="000000"/>
                <w:sz w:val="22"/>
                <w:lang w:eastAsia="zh-CN"/>
              </w:rPr>
              <w:t xml:space="preserve">follows the higher layer parameter </w:t>
            </w:r>
            <w:r>
              <w:rPr>
                <w:rFonts w:eastAsia="SimSun"/>
                <w:i/>
                <w:iCs/>
                <w:color w:val="000000"/>
                <w:sz w:val="22"/>
                <w:lang w:eastAsia="zh-CN"/>
              </w:rPr>
              <w:t>timeDomainAllocation</w:t>
            </w:r>
            <w:r>
              <w:rPr>
                <w:rFonts w:eastAsia="SimSun"/>
                <w:color w:val="000000"/>
                <w:sz w:val="22"/>
                <w:lang w:eastAsia="zh-CN"/>
              </w:rPr>
              <w:t xml:space="preserve"> for Type 1 PUSCH transmission or the higher layer configuration according to [10, TS 38.321], and UL grant received in the DCI for Type 2 PUSCH transmissions. If a UE is configured with higher layer parameter [</w:t>
            </w:r>
            <w:r>
              <w:rPr>
                <w:rFonts w:eastAsia="SimSun"/>
                <w:i/>
                <w:iCs/>
                <w:color w:val="000000"/>
                <w:sz w:val="22"/>
                <w:lang w:eastAsia="zh-CN"/>
              </w:rPr>
              <w:t>nrofSlots_InCGperiod</w:t>
            </w:r>
            <w:r>
              <w:rPr>
                <w:rFonts w:eastAsia="SimSun"/>
                <w:color w:val="000000"/>
                <w:sz w:val="22"/>
                <w:lang w:eastAsia="zh-CN"/>
              </w:rPr>
              <w:t xml:space="preserve">] </w:t>
            </w:r>
            <w:r>
              <w:rPr>
                <w:rFonts w:eastAsia="SimSun"/>
                <w:iCs/>
                <w:color w:val="000000"/>
                <w:sz w:val="22"/>
                <w:u w:val="single"/>
                <w:lang w:eastAsia="zh-CN"/>
              </w:rPr>
              <w:t xml:space="preserve">in a </w:t>
            </w:r>
            <w:r>
              <w:rPr>
                <w:rFonts w:eastAsia="SimSun"/>
                <w:i/>
                <w:color w:val="000000"/>
                <w:sz w:val="22"/>
                <w:u w:val="single"/>
                <w:lang w:eastAsia="zh-CN"/>
              </w:rPr>
              <w:t>configuredGrantConfig</w:t>
            </w:r>
            <w:r>
              <w:rPr>
                <w:rFonts w:eastAsia="SimSun"/>
                <w:color w:val="000000"/>
                <w:sz w:val="22"/>
                <w:lang w:eastAsia="zh-CN"/>
              </w:rPr>
              <w:t xml:space="preserve">, the UE does not expect to be configured with </w:t>
            </w:r>
            <w:r>
              <w:rPr>
                <w:rFonts w:eastAsia="SimSun"/>
                <w:i/>
                <w:iCs/>
                <w:color w:val="000000"/>
                <w:sz w:val="22"/>
                <w:lang w:eastAsia="zh-CN"/>
              </w:rPr>
              <w:t>cg-nrofSlots</w:t>
            </w:r>
            <w:r>
              <w:rPr>
                <w:rFonts w:eastAsia="SimSun"/>
                <w:color w:val="000000"/>
                <w:sz w:val="22"/>
                <w:lang w:eastAsia="zh-CN"/>
              </w:rPr>
              <w:t xml:space="preserve"> and </w:t>
            </w:r>
            <w:r>
              <w:rPr>
                <w:rFonts w:eastAsia="SimSun"/>
                <w:i/>
                <w:iCs/>
                <w:color w:val="000000"/>
                <w:sz w:val="22"/>
                <w:lang w:eastAsia="zh-CN"/>
              </w:rPr>
              <w:t xml:space="preserve">cg-nrofPUSCH-InSlot </w:t>
            </w:r>
            <w:r>
              <w:rPr>
                <w:rFonts w:eastAsia="SimSun"/>
                <w:iCs/>
                <w:color w:val="000000"/>
                <w:sz w:val="22"/>
                <w:u w:val="single"/>
                <w:lang w:eastAsia="zh-CN"/>
              </w:rPr>
              <w:t xml:space="preserve">in the </w:t>
            </w:r>
            <w:r>
              <w:rPr>
                <w:rFonts w:eastAsia="SimSun"/>
                <w:i/>
                <w:color w:val="000000"/>
                <w:sz w:val="22"/>
                <w:u w:val="single"/>
                <w:lang w:eastAsia="zh-CN"/>
              </w:rPr>
              <w:t>configuredGrantConfig</w:t>
            </w:r>
            <w:r>
              <w:rPr>
                <w:rFonts w:eastAsia="SimSun"/>
                <w:color w:val="FF0000"/>
                <w:sz w:val="22"/>
                <w:u w:val="single"/>
              </w:rPr>
              <w:t xml:space="preserve">, and the UE does not expect to be configured with </w:t>
            </w:r>
            <w:r>
              <w:rPr>
                <w:rFonts w:eastAsia="SimSun"/>
                <w:i/>
                <w:color w:val="FF0000"/>
                <w:sz w:val="22"/>
                <w:u w:val="single"/>
              </w:rPr>
              <w:t>pusch-RepTypeIndicator</w:t>
            </w:r>
            <w:r>
              <w:rPr>
                <w:rFonts w:eastAsia="SimSun"/>
                <w:color w:val="FF0000"/>
                <w:sz w:val="22"/>
                <w:u w:val="single"/>
              </w:rPr>
              <w:t xml:space="preserve"> in </w:t>
            </w:r>
            <w:r>
              <w:rPr>
                <w:rFonts w:hint="eastAsia" w:eastAsia="DengXian"/>
                <w:i/>
                <w:color w:val="FF0000"/>
                <w:sz w:val="22"/>
                <w:u w:val="single"/>
              </w:rPr>
              <w:t>rrc-ConfiguredUplinkGrant</w:t>
            </w:r>
            <w:r>
              <w:rPr>
                <w:rFonts w:eastAsia="SimSun"/>
                <w:color w:val="FF0000"/>
                <w:sz w:val="22"/>
                <w:u w:val="single"/>
              </w:rPr>
              <w:t xml:space="preserve"> being set to 'pusch-RepTypeB'</w:t>
            </w:r>
            <w:r>
              <w:rPr>
                <w:rFonts w:eastAsia="SimSun"/>
                <w:color w:val="000000"/>
                <w:sz w:val="22"/>
                <w:lang w:eastAsia="zh-CN"/>
              </w:rPr>
              <w:t>.</w:t>
            </w:r>
          </w:p>
          <w:p>
            <w:pPr>
              <w:widowControl w:val="0"/>
              <w:tabs>
                <w:tab w:val="left" w:pos="6521"/>
              </w:tabs>
              <w:spacing w:after="120"/>
              <w:jc w:val="center"/>
              <w:rPr>
                <w:color w:val="0000FF"/>
                <w:sz w:val="22"/>
                <w:lang w:eastAsia="zh-CN"/>
              </w:rPr>
            </w:pPr>
            <w:r>
              <w:rPr>
                <w:color w:val="0000FF"/>
                <w:sz w:val="22"/>
                <w:lang w:eastAsia="zh-CN"/>
              </w:rPr>
              <w:t>*** Unchanged parts are omitted ***</w:t>
            </w:r>
          </w:p>
        </w:tc>
      </w:tr>
    </w:tbl>
    <w:p>
      <w:pPr>
        <w:rPr>
          <w:lang w:eastAsia="ja-JP"/>
        </w:rPr>
      </w:pPr>
    </w:p>
    <w:p>
      <w:r>
        <w:rPr>
          <w:b/>
          <w:bCs/>
          <w:highlight w:val="cyan"/>
        </w:rPr>
        <w:t>Moderator’s observation:</w:t>
      </w:r>
      <w:r>
        <w:t xml:space="preserve"> </w:t>
      </w:r>
    </w:p>
    <w:p>
      <w:r>
        <w:rPr>
          <w:b/>
          <w:bCs/>
        </w:rPr>
        <w:t>Change 1)</w:t>
      </w:r>
      <w:r>
        <w:t xml:space="preserve"> If Moderator understands correctly, OPPO refers to the case that an instant of Type-B repetition configuration can effectively become like Type A due to cross-slot repetition.</w:t>
      </w:r>
    </w:p>
    <w:p>
      <w:r>
        <w:t>The specification clearly states that repetition in not supported. That means that repetition factor, if it is configured, should be set to one. If Moderator understands correctly, OPPO raises the case that repetition Type B is configured by repetition factor is set to one. However, enabling Type-B repetition, even with repetition factor equal to one, is not allowed according to the agreement.</w:t>
      </w:r>
    </w:p>
    <w:p>
      <w:r>
        <w:rPr>
          <w:b/>
          <w:bCs/>
        </w:rPr>
        <w:t xml:space="preserve">Change 2) </w:t>
      </w:r>
      <w:r>
        <w:t xml:space="preserve">Moderator understands the issue that is raised, but it seems if one reads the whole paragraph it is clear that the start symbol and length and mapping type are meant. Therefore, although K2 is provided by timeDomainAllocation the description is not applicable to that parameter. </w:t>
      </w:r>
    </w:p>
    <w:p>
      <w:r>
        <w:t>On one hand, the proposed changes make the specification clear and improves the accuracy of specification. On the other hand, it is not clear to Moderator if the suggested corrections make any difference in practice, or there is a risk for ambiguity in operation.</w:t>
      </w:r>
    </w:p>
    <w:p>
      <w:r>
        <w:t>It is helpful to understand companies’ interpretations.</w:t>
      </w:r>
    </w:p>
    <w:p/>
    <w:p>
      <w:pPr>
        <w:pStyle w:val="4"/>
      </w:pPr>
      <w:r>
        <w:t>2.2.1</w:t>
      </w:r>
      <w:r>
        <w:tab/>
      </w:r>
      <w:r>
        <w:t>Initial discussion</w:t>
      </w:r>
    </w:p>
    <w:p>
      <w:pPr>
        <w:rPr>
          <w:lang w:val="en-GB" w:eastAsia="ja-JP"/>
        </w:rPr>
      </w:pPr>
      <w:r>
        <w:rPr>
          <w:b/>
          <w:bCs/>
          <w:lang w:val="en-GB" w:eastAsia="ja-JP"/>
        </w:rPr>
        <w:t>Question:</w:t>
      </w:r>
      <w:r>
        <w:rPr>
          <w:lang w:val="en-GB" w:eastAsia="ja-JP"/>
        </w:rPr>
        <w:t xml:space="preserve"> What is your view about the two issues raised above? Do you support adopting the proposed draft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 w:val="22"/>
                <w:lang w:val="en-US" w:eastAsia="ja-JP"/>
              </w:rPr>
            </w:pPr>
            <w:r>
              <w:rPr>
                <w:rFonts w:hint="default"/>
                <w:sz w:val="22"/>
                <w:lang w:val="en-US" w:eastAsia="ja-JP"/>
              </w:rPr>
              <w:t>OPPO</w:t>
            </w:r>
          </w:p>
        </w:tc>
        <w:tc>
          <w:tcPr>
            <w:tcW w:w="7791" w:type="dxa"/>
          </w:tcPr>
          <w:p>
            <w:pPr>
              <w:rPr>
                <w:rFonts w:hint="default"/>
                <w:sz w:val="22"/>
                <w:lang w:val="en-US" w:eastAsia="ja-JP"/>
              </w:rPr>
            </w:pPr>
            <w:r>
              <w:rPr>
                <w:rFonts w:hint="default"/>
                <w:sz w:val="22"/>
                <w:lang w:val="en-US" w:eastAsia="ja-JP"/>
              </w:rPr>
              <w:t xml:space="preserve">For “Change 1”:  </w:t>
            </w:r>
          </w:p>
          <w:p>
            <w:pPr>
              <w:rPr>
                <w:rFonts w:hint="default"/>
                <w:sz w:val="22"/>
                <w:lang w:val="en-US" w:eastAsia="ja-JP"/>
              </w:rPr>
            </w:pPr>
            <w:r>
              <w:rPr>
                <w:rFonts w:hint="default"/>
                <w:sz w:val="22"/>
                <w:lang w:val="en-US" w:eastAsia="ja-JP"/>
              </w:rPr>
              <w:t>It is not our intention to say “</w:t>
            </w:r>
            <w:r>
              <w:rPr>
                <w:sz w:val="22"/>
              </w:rPr>
              <w:t>Type-B repetition configuration can effectively become like Type A</w:t>
            </w:r>
            <w:r>
              <w:rPr>
                <w:rFonts w:hint="default"/>
                <w:sz w:val="22"/>
                <w:lang w:val="en-US" w:eastAsia="ja-JP"/>
              </w:rPr>
              <w:t xml:space="preserve">”. In fact, we believe our “reason for change” clearly says we prefer to let resource allocation to “assume Type-A repetition only” (i.e., no Type-B!). Note that what we focuses here is about the resource allocation, not just repetition (we well know repetition factor can be only 1 for R18 XR). The existing CG-PUSCH resource allocation is formulated in such a way that has to depend on one of {Type-A repetition, Type-B repetition}. There is no such choice that it is neither Type-A not Type-B, due to the following 38.214 text: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5" w:type="dxa"/>
                </w:tcPr>
                <w:p>
                  <w:pPr>
                    <w:pStyle w:val="71"/>
                    <w:rPr>
                      <w:sz w:val="22"/>
                      <w:lang w:eastAsia="zh-CN"/>
                    </w:rPr>
                  </w:pPr>
                  <w:r>
                    <w:rPr>
                      <w:sz w:val="22"/>
                      <w:lang w:eastAsia="zh-CN"/>
                    </w:rPr>
                    <w:t>-</w:t>
                  </w:r>
                  <w:r>
                    <w:rPr>
                      <w:sz w:val="22"/>
                      <w:lang w:eastAsia="zh-CN"/>
                    </w:rPr>
                    <w:tab/>
                  </w:r>
                  <w:r>
                    <w:rPr>
                      <w:sz w:val="22"/>
                      <w:lang w:eastAsia="zh-CN"/>
                    </w:rPr>
                    <w:t xml:space="preserve">For the determination of </w:t>
                  </w:r>
                  <w:r>
                    <w:rPr>
                      <w:sz w:val="22"/>
                    </w:rPr>
                    <w:t xml:space="preserve">the </w:t>
                  </w:r>
                  <w:r>
                    <w:rPr>
                      <w:color w:val="000000"/>
                      <w:sz w:val="22"/>
                    </w:rPr>
                    <w:t>PUSCH repetition type</w:t>
                  </w:r>
                  <w:r>
                    <w:rPr>
                      <w:sz w:val="22"/>
                    </w:rPr>
                    <w:t xml:space="preserve">, if the higher layer parameter </w:t>
                  </w:r>
                  <w:r>
                    <w:rPr>
                      <w:i/>
                      <w:sz w:val="22"/>
                    </w:rPr>
                    <w:t>pusch-RepTypeIndicator</w:t>
                  </w:r>
                  <w:r>
                    <w:rPr>
                      <w:sz w:val="22"/>
                    </w:rPr>
                    <w:t xml:space="preserve"> in </w:t>
                  </w:r>
                  <w:r>
                    <w:rPr>
                      <w:rFonts w:hint="eastAsia" w:eastAsia="DengXian"/>
                      <w:i/>
                      <w:color w:val="000000"/>
                      <w:sz w:val="22"/>
                      <w:lang w:eastAsia="zh-CN"/>
                    </w:rPr>
                    <w:t>rrc-ConfiguredUplinkGrant</w:t>
                  </w:r>
                  <w:r>
                    <w:rPr>
                      <w:sz w:val="22"/>
                    </w:rPr>
                    <w:t xml:space="preserve"> is configured and set to </w:t>
                  </w:r>
                  <w:r>
                    <w:rPr>
                      <w:color w:val="000000"/>
                      <w:sz w:val="22"/>
                    </w:rPr>
                    <w:t>'pusch-RepTypeB',</w:t>
                  </w:r>
                  <w:r>
                    <w:rPr>
                      <w:sz w:val="22"/>
                    </w:rPr>
                    <w:t xml:space="preserve"> PUSCH repetition type B is applied; otherwise, PUSCH repetition type A is applied;  </w:t>
                  </w:r>
                </w:p>
                <w:p>
                  <w:pPr>
                    <w:pStyle w:val="71"/>
                    <w:rPr>
                      <w:sz w:val="22"/>
                      <w:lang w:val="en-US" w:eastAsia="zh-CN"/>
                    </w:rPr>
                  </w:pPr>
                  <w:r>
                    <w:rPr>
                      <w:sz w:val="22"/>
                    </w:rPr>
                    <w:t>-</w:t>
                  </w:r>
                  <w:r>
                    <w:rPr>
                      <w:sz w:val="22"/>
                    </w:rPr>
                    <w:tab/>
                  </w:r>
                  <w:r>
                    <w:rPr>
                      <w:sz w:val="22"/>
                    </w:rPr>
                    <w:t xml:space="preserve">For PUSCH repetition type A, the selection of the time domain resource allocation table follows </w:t>
                  </w:r>
                  <w:r>
                    <w:rPr>
                      <w:rFonts w:hint="default"/>
                      <w:sz w:val="22"/>
                      <w:lang w:val="en-US"/>
                    </w:rPr>
                    <w:t>......</w:t>
                  </w:r>
                  <w:r>
                    <w:rPr>
                      <w:sz w:val="22"/>
                      <w:lang w:val="en-US" w:eastAsia="zh-CN"/>
                    </w:rPr>
                    <w:t>.</w:t>
                  </w:r>
                </w:p>
                <w:p>
                  <w:pPr>
                    <w:pStyle w:val="71"/>
                    <w:rPr>
                      <w:rFonts w:hint="default"/>
                      <w:sz w:val="22"/>
                      <w:vertAlign w:val="baseline"/>
                      <w:lang w:val="en-US" w:eastAsia="ja-JP"/>
                    </w:rPr>
                  </w:pPr>
                  <w:r>
                    <w:rPr>
                      <w:sz w:val="22"/>
                    </w:rPr>
                    <w:t>-</w:t>
                  </w:r>
                  <w:r>
                    <w:rPr>
                      <w:sz w:val="22"/>
                    </w:rPr>
                    <w:tab/>
                  </w:r>
                  <w:r>
                    <w:rPr>
                      <w:sz w:val="22"/>
                    </w:rPr>
                    <w:t>For PUSCH repetition type B, the selection of the time domain resource allocation table is as follows</w:t>
                  </w:r>
                  <w:r>
                    <w:rPr>
                      <w:rFonts w:hint="default"/>
                      <w:sz w:val="22"/>
                      <w:lang w:val="en-US"/>
                    </w:rPr>
                    <w:t xml:space="preserve"> ......</w:t>
                  </w:r>
                </w:p>
              </w:tc>
            </w:tr>
          </w:tbl>
          <w:p>
            <w:pPr>
              <w:rPr>
                <w:rFonts w:hint="default"/>
                <w:sz w:val="22"/>
                <w:lang w:val="en-US" w:eastAsia="ja-JP"/>
              </w:rPr>
            </w:pPr>
            <w:r>
              <w:rPr>
                <w:rFonts w:hint="default"/>
                <w:sz w:val="22"/>
                <w:lang w:val="en-US" w:eastAsia="ja-JP"/>
              </w:rPr>
              <w:t xml:space="preserve">  Then the concern with Type-B repetition is that the Type-B allows cross-slot repetition, which is not something R19 XR can be compatible with. That is also partially why RAN1 #113 agreement contains a note saying to assume Type-A repetition. However, the current R19 CR package does not explicitly reflect this restriction (i.e., not to use Type-B) and therefore needs a correction. This is the motivation of our proposed draft CR. </w:t>
            </w:r>
          </w:p>
          <w:p>
            <w:pPr>
              <w:rPr>
                <w:rFonts w:hint="default"/>
                <w:sz w:val="22"/>
                <w:lang w:val="en-US" w:eastAsia="ja-JP"/>
              </w:rPr>
            </w:pPr>
            <w:r>
              <w:rPr>
                <w:rFonts w:hint="default"/>
                <w:sz w:val="22"/>
                <w:lang w:val="en-US" w:eastAsia="ja-JP"/>
              </w:rPr>
              <w:t xml:space="preserve">For “Change 2”: </w:t>
            </w:r>
          </w:p>
          <w:p>
            <w:pPr>
              <w:rPr>
                <w:rFonts w:hint="default"/>
                <w:sz w:val="22"/>
                <w:lang w:val="en-US" w:eastAsia="ja-JP"/>
              </w:rPr>
            </w:pPr>
            <w:r>
              <w:rPr>
                <w:rFonts w:hint="default"/>
                <w:sz w:val="22"/>
                <w:lang w:val="en-US" w:eastAsia="ja-JP"/>
              </w:rPr>
              <w:t xml:space="preserve">The current R18 CR says following: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5" w:type="dxa"/>
                </w:tcPr>
                <w:p>
                  <w:pPr>
                    <w:rPr>
                      <w:rFonts w:hint="default"/>
                      <w:sz w:val="22"/>
                      <w:vertAlign w:val="baseline"/>
                      <w:lang w:val="en-US" w:eastAsia="ja-JP"/>
                    </w:rPr>
                  </w:pPr>
                  <w:r>
                    <w:rPr>
                      <w:color w:val="000000" w:themeColor="text1"/>
                      <w:sz w:val="22"/>
                      <w:highlight w:val="yellow"/>
                      <w:lang w:eastAsia="zh-CN"/>
                      <w14:textFill>
                        <w14:solidFill>
                          <w14:schemeClr w14:val="tx1"/>
                        </w14:solidFill>
                      </w14:textFill>
                    </w:rPr>
                    <w:t xml:space="preserve">The same combination of start symbol and length and PUSCH mapping type repeats over the consecutively allocated slots if </w:t>
                  </w:r>
                  <w:r>
                    <w:rPr>
                      <w:i/>
                      <w:iCs/>
                      <w:color w:val="000000" w:themeColor="text1"/>
                      <w:sz w:val="22"/>
                      <w:highlight w:val="yellow"/>
                      <w:lang w:eastAsia="zh-CN"/>
                      <w14:textFill>
                        <w14:solidFill>
                          <w14:schemeClr w14:val="tx1"/>
                        </w14:solidFill>
                      </w14:textFill>
                    </w:rPr>
                    <w:t>cg-nrofSlots</w:t>
                  </w:r>
                  <w:r>
                    <w:rPr>
                      <w:color w:val="000000" w:themeColor="text1"/>
                      <w:sz w:val="22"/>
                      <w:highlight w:val="yellow"/>
                      <w:lang w:eastAsia="zh-CN"/>
                      <w14:textFill>
                        <w14:solidFill>
                          <w14:schemeClr w14:val="tx1"/>
                        </w14:solidFill>
                      </w14:textFill>
                    </w:rPr>
                    <w:t xml:space="preserve"> or [</w:t>
                  </w:r>
                  <w:r>
                    <w:rPr>
                      <w:i/>
                      <w:iCs/>
                      <w:color w:val="000000" w:themeColor="text1"/>
                      <w:sz w:val="22"/>
                      <w:highlight w:val="yellow"/>
                      <w:lang w:eastAsia="zh-CN"/>
                      <w14:textFill>
                        <w14:solidFill>
                          <w14:schemeClr w14:val="tx1"/>
                        </w14:solidFill>
                      </w14:textFill>
                    </w:rPr>
                    <w:t>nrofSlots_InCGperiod</w:t>
                  </w:r>
                  <w:r>
                    <w:rPr>
                      <w:color w:val="000000" w:themeColor="text1"/>
                      <w:sz w:val="22"/>
                      <w:highlight w:val="yellow"/>
                      <w:lang w:eastAsia="zh-CN"/>
                      <w14:textFill>
                        <w14:solidFill>
                          <w14:schemeClr w14:val="tx1"/>
                        </w14:solidFill>
                      </w14:textFill>
                    </w:rPr>
                    <w:t>] is configured.</w:t>
                  </w:r>
                  <w:r>
                    <w:rPr>
                      <w:color w:val="000000" w:themeColor="text1"/>
                      <w:sz w:val="22"/>
                      <w:lang w:eastAsia="zh-CN"/>
                      <w14:textFill>
                        <w14:solidFill>
                          <w14:schemeClr w14:val="tx1"/>
                        </w14:solidFill>
                      </w14:textFill>
                    </w:rPr>
                    <w:t xml:space="preserve"> If [</w:t>
                  </w:r>
                  <w:r>
                    <w:rPr>
                      <w:i/>
                      <w:iCs/>
                      <w:color w:val="000000" w:themeColor="text1"/>
                      <w:sz w:val="22"/>
                      <w:lang w:eastAsia="zh-CN"/>
                      <w14:textFill>
                        <w14:solidFill>
                          <w14:schemeClr w14:val="tx1"/>
                        </w14:solidFill>
                      </w14:textFill>
                    </w:rPr>
                    <w:t>nrofSlots_InCGperiod</w:t>
                  </w:r>
                  <w:r>
                    <w:rPr>
                      <w:color w:val="000000" w:themeColor="text1"/>
                      <w:sz w:val="22"/>
                      <w:lang w:eastAsia="zh-CN"/>
                      <w14:textFill>
                        <w14:solidFill>
                          <w14:schemeClr w14:val="tx1"/>
                        </w14:solidFill>
                      </w14:textFill>
                    </w:rPr>
                    <w:t xml:space="preserve">] is configured, the PUSCH allocation in each consecutive slot follows the higher layer parameter </w:t>
                  </w:r>
                  <w:r>
                    <w:rPr>
                      <w:i/>
                      <w:iCs/>
                      <w:color w:val="000000" w:themeColor="text1"/>
                      <w:sz w:val="22"/>
                      <w:lang w:eastAsia="zh-CN"/>
                      <w14:textFill>
                        <w14:solidFill>
                          <w14:schemeClr w14:val="tx1"/>
                        </w14:solidFill>
                      </w14:textFill>
                    </w:rPr>
                    <w:t>timeDomainAllocation</w:t>
                  </w:r>
                  <w:r>
                    <w:rPr>
                      <w:color w:val="000000" w:themeColor="text1"/>
                      <w:sz w:val="22"/>
                      <w:lang w:eastAsia="zh-CN"/>
                      <w14:textFill>
                        <w14:solidFill>
                          <w14:schemeClr w14:val="tx1"/>
                        </w14:solidFill>
                      </w14:textFill>
                    </w:rPr>
                    <w:t xml:space="preserve"> for Type 1 PUSCH transmission or the higher layer configuration according to [10, TS 38.321], and UL grant received in the DCI for Type 2 PUSCH transmissions.</w:t>
                  </w:r>
                </w:p>
              </w:tc>
            </w:tr>
          </w:tbl>
          <w:p>
            <w:pPr>
              <w:rPr>
                <w:rFonts w:hint="default"/>
                <w:sz w:val="22"/>
                <w:lang w:val="en-US" w:eastAsia="ja-JP"/>
              </w:rPr>
            </w:pPr>
            <w:r>
              <w:rPr>
                <w:rFonts w:hint="default"/>
                <w:sz w:val="22"/>
                <w:lang w:val="en-US" w:eastAsia="ja-JP"/>
              </w:rPr>
              <w:t>What we see here is:</w:t>
            </w:r>
          </w:p>
          <w:p>
            <w:pPr>
              <w:numPr>
                <w:ilvl w:val="0"/>
                <w:numId w:val="21"/>
              </w:numPr>
              <w:rPr>
                <w:rFonts w:hint="default"/>
                <w:sz w:val="22"/>
                <w:lang w:val="en-US" w:eastAsia="ja-JP"/>
              </w:rPr>
            </w:pPr>
            <w:r>
              <w:rPr>
                <w:rFonts w:hint="default"/>
                <w:sz w:val="22"/>
                <w:lang w:val="en-US" w:eastAsia="ja-JP"/>
              </w:rPr>
              <w:t xml:space="preserve">The same &lt;start symbol, length, mapping type&gt; is applied over slots, for both NRU case and R18 XR case.  </w:t>
            </w:r>
          </w:p>
          <w:p>
            <w:pPr>
              <w:numPr>
                <w:ilvl w:val="0"/>
                <w:numId w:val="22"/>
              </w:numPr>
              <w:rPr>
                <w:rFonts w:hint="default"/>
                <w:sz w:val="22"/>
                <w:lang w:val="en-US" w:eastAsia="ja-JP"/>
              </w:rPr>
            </w:pPr>
            <w:r>
              <w:rPr>
                <w:rFonts w:hint="default"/>
                <w:sz w:val="22"/>
                <w:lang w:val="en-US" w:eastAsia="ja-JP"/>
              </w:rPr>
              <w:t>For R18 XR case, there is something additional, saying “</w:t>
            </w:r>
            <w:r>
              <w:rPr>
                <w:rFonts w:eastAsia="SimSun"/>
                <w:color w:val="000000"/>
                <w:sz w:val="22"/>
                <w:lang w:eastAsia="zh-CN"/>
              </w:rPr>
              <w:t>If [</w:t>
            </w:r>
            <w:r>
              <w:rPr>
                <w:rFonts w:eastAsia="SimSun"/>
                <w:i/>
                <w:iCs/>
                <w:color w:val="000000"/>
                <w:sz w:val="22"/>
                <w:lang w:eastAsia="zh-CN"/>
              </w:rPr>
              <w:t>nrofSlots_InCGperiod</w:t>
            </w:r>
            <w:r>
              <w:rPr>
                <w:rFonts w:eastAsia="SimSun"/>
                <w:color w:val="000000"/>
                <w:sz w:val="22"/>
                <w:lang w:eastAsia="zh-CN"/>
              </w:rPr>
              <w:t>] is configured, the</w:t>
            </w:r>
            <w:r>
              <w:rPr>
                <w:rFonts w:hint="default" w:eastAsia="SimSun"/>
                <w:color w:val="000000"/>
                <w:sz w:val="22"/>
                <w:lang w:val="en-US" w:eastAsia="zh-CN"/>
              </w:rPr>
              <w:t xml:space="preserve"> </w:t>
            </w:r>
            <w:r>
              <w:rPr>
                <w:rFonts w:eastAsia="SimSun"/>
                <w:b/>
                <w:bCs/>
                <w:color w:val="000000"/>
                <w:sz w:val="22"/>
                <w:lang w:eastAsia="zh-CN"/>
              </w:rPr>
              <w:t>PUSCH allocation</w:t>
            </w:r>
            <w:r>
              <w:rPr>
                <w:rFonts w:eastAsia="SimSun"/>
                <w:color w:val="000000"/>
                <w:sz w:val="22"/>
                <w:lang w:eastAsia="zh-CN"/>
              </w:rPr>
              <w:t xml:space="preserve"> </w:t>
            </w:r>
            <w:r>
              <w:rPr>
                <w:rFonts w:eastAsia="SimSun"/>
                <w:strike w:val="0"/>
                <w:color w:val="auto"/>
                <w:sz w:val="22"/>
                <w:lang w:eastAsia="zh-CN"/>
              </w:rPr>
              <w:t xml:space="preserve">in each consecutive slot </w:t>
            </w:r>
            <w:r>
              <w:rPr>
                <w:rFonts w:eastAsia="SimSun"/>
                <w:color w:val="000000"/>
                <w:sz w:val="22"/>
                <w:lang w:eastAsia="zh-CN"/>
              </w:rPr>
              <w:t xml:space="preserve">follows </w:t>
            </w:r>
            <w:r>
              <w:rPr>
                <w:rFonts w:hint="default" w:eastAsia="SimSun"/>
                <w:color w:val="000000"/>
                <w:sz w:val="22"/>
                <w:lang w:val="en-US" w:eastAsia="zh-CN"/>
              </w:rPr>
              <w:t>....</w:t>
            </w:r>
            <w:r>
              <w:rPr>
                <w:rFonts w:hint="default"/>
                <w:sz w:val="22"/>
                <w:lang w:val="en-US" w:eastAsia="ja-JP"/>
              </w:rPr>
              <w:t xml:space="preserve">”, where “PUSCH allocation” requires K2 in Type-2 CG, which is the trouble-maker here. There is no text suggesting the “PUSCH allocation” added here specifically for R19 XR case does not include K2.  </w:t>
            </w:r>
          </w:p>
          <w:p>
            <w:pPr>
              <w:rPr>
                <w:rFonts w:hint="default"/>
                <w:sz w:val="22"/>
                <w:lang w:val="en-US" w:eastAsia="ja-JP"/>
              </w:rPr>
            </w:pPr>
            <w:r>
              <w:rPr>
                <w:rFonts w:hint="default"/>
                <w:sz w:val="22"/>
                <w:lang w:val="en-US" w:eastAsia="ja-JP"/>
              </w:rPr>
              <w:t xml:space="preserve">So we think the proposed “Change 2”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eastAsia="ja-JP"/>
        </w:rPr>
      </w:pPr>
    </w:p>
    <w:p>
      <w:pPr>
        <w:pStyle w:val="3"/>
        <w:rPr>
          <w:lang w:val="en-US"/>
        </w:rPr>
      </w:pPr>
      <w:r>
        <w:t>2.3</w:t>
      </w:r>
      <w:r>
        <w:tab/>
      </w:r>
      <w:r>
        <w:t xml:space="preserve">Issue#3: UTO-UCI indication </w:t>
      </w:r>
      <w:r>
        <w:rPr>
          <w:lang w:val="en-US"/>
        </w:rPr>
        <w:t>(DOCOMO)</w:t>
      </w:r>
    </w:p>
    <w:p>
      <w:pPr>
        <w:rPr>
          <w:lang w:eastAsia="ja-JP"/>
        </w:rPr>
      </w:pPr>
      <w:r>
        <w:rPr>
          <w:lang w:eastAsia="ja-JP"/>
        </w:rPr>
        <w:t xml:space="preserve">DOCOMO has raised the following as the first issue in </w:t>
      </w:r>
      <w:r>
        <w:rPr>
          <w:lang w:eastAsia="ja-JP"/>
        </w:rPr>
        <w:fldChar w:fldCharType="begin"/>
      </w:r>
      <w:r>
        <w:rPr>
          <w:lang w:eastAsia="ja-JP"/>
        </w:rPr>
        <w:instrText xml:space="preserve"> REF _Ref159687786 \n \h </w:instrText>
      </w:r>
      <w:r>
        <w:rPr>
          <w:lang w:eastAsia="ja-JP"/>
        </w:rPr>
        <w:fldChar w:fldCharType="separate"/>
      </w:r>
      <w:r>
        <w:rPr>
          <w:lang w:eastAsia="ja-JP"/>
        </w:rPr>
        <w:t>[3]</w:t>
      </w:r>
      <w:r>
        <w:rPr>
          <w:lang w:eastAsia="ja-JP"/>
        </w:rPr>
        <w:fldChar w:fldCharType="end"/>
      </w:r>
      <w:r>
        <w:rPr>
          <w:lang w:eastAsia="ja-JP"/>
        </w:rPr>
        <w:fldChar w:fldCharType="begin"/>
      </w:r>
      <w:r>
        <w:rPr>
          <w:lang w:eastAsia="ja-JP"/>
        </w:rPr>
        <w:instrText xml:space="preserve"> REF _Ref159687790 \n \h </w:instrText>
      </w:r>
      <w:r>
        <w:rPr>
          <w:lang w:eastAsia="ja-JP"/>
        </w:rPr>
        <w:fldChar w:fldCharType="separate"/>
      </w:r>
      <w:r>
        <w:rPr>
          <w:lang w:eastAsia="ja-JP"/>
        </w:rPr>
        <w:t>[4]</w:t>
      </w:r>
      <w:r>
        <w:rPr>
          <w:lang w:eastAsia="ja-JP"/>
        </w:rPr>
        <w:fldChar w:fldCharType="end"/>
      </w:r>
      <w:r>
        <w:rPr>
          <w:lang w:eastAsia="ja-JP"/>
        </w:rPr>
        <w:t>.</w:t>
      </w:r>
    </w:p>
    <w:tbl>
      <w:tblPr>
        <w:tblStyle w:val="13"/>
        <w:tblW w:w="9640" w:type="dxa"/>
        <w:tblInd w:w="42" w:type="dxa"/>
        <w:tblLayout w:type="fixed"/>
        <w:tblCellMar>
          <w:top w:w="0" w:type="dxa"/>
          <w:left w:w="42" w:type="dxa"/>
          <w:bottom w:w="0" w:type="dxa"/>
          <w:right w:w="42" w:type="dxa"/>
        </w:tblCellMar>
      </w:tblPr>
      <w:tblGrid>
        <w:gridCol w:w="1843"/>
        <w:gridCol w:w="851"/>
        <w:gridCol w:w="6946"/>
      </w:tblGrid>
      <w:tr>
        <w:tblPrEx>
          <w:tblCellMar>
            <w:top w:w="0" w:type="dxa"/>
            <w:left w:w="42" w:type="dxa"/>
            <w:bottom w:w="0" w:type="dxa"/>
            <w:right w:w="42" w:type="dxa"/>
          </w:tblCellMar>
        </w:tblPrEx>
        <w:tc>
          <w:tcPr>
            <w:tcW w:w="1843" w:type="dxa"/>
          </w:tcPr>
          <w:p>
            <w:pPr>
              <w:rPr>
                <w:rFonts w:eastAsia="Malgun Gothic" w:cs="Times New Roman"/>
                <w:b/>
                <w:i/>
                <w:sz w:val="8"/>
                <w:szCs w:val="8"/>
                <w:lang w:val="en-GB"/>
              </w:rPr>
            </w:pPr>
          </w:p>
        </w:tc>
        <w:tc>
          <w:tcPr>
            <w:tcW w:w="7797" w:type="dxa"/>
            <w:gridSpan w:val="2"/>
          </w:tcPr>
          <w:p>
            <w:pPr>
              <w:rPr>
                <w:rFonts w:eastAsia="Malgun Gothic" w:cs="Times New Roman"/>
                <w:sz w:val="8"/>
                <w:szCs w:val="8"/>
                <w:lang w:val="en-GB"/>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rPr>
                <w:rFonts w:eastAsia="Malgun Gothic" w:cs="Times New Roman"/>
                <w:b/>
                <w:i/>
                <w:szCs w:val="20"/>
                <w:lang w:val="en-GB"/>
              </w:rPr>
            </w:pPr>
            <w:r>
              <w:rPr>
                <w:rFonts w:eastAsia="Malgun Gothic" w:cs="Times New Roman"/>
                <w:b/>
                <w:i/>
                <w:szCs w:val="20"/>
                <w:lang w:val="en-GB"/>
              </w:rPr>
              <w:t>Reason for change:</w:t>
            </w:r>
          </w:p>
        </w:tc>
        <w:tc>
          <w:tcPr>
            <w:tcW w:w="6946" w:type="dxa"/>
            <w:tcBorders>
              <w:top w:val="single" w:color="auto" w:sz="4" w:space="0"/>
              <w:right w:val="single" w:color="auto" w:sz="4" w:space="0"/>
            </w:tcBorders>
            <w:shd w:val="pct30" w:color="FFFF00" w:fill="auto"/>
          </w:tcPr>
          <w:p>
            <w:pPr>
              <w:ind w:left="100"/>
              <w:rPr>
                <w:rFonts w:eastAsia="Malgun Gothic" w:cs="Times New Roman"/>
                <w:szCs w:val="20"/>
                <w:lang w:val="en-GB"/>
              </w:rPr>
            </w:pPr>
            <w:r>
              <w:rPr>
                <w:rFonts w:eastAsia="Malgun Gothic" w:cs="Times New Roman"/>
                <w:szCs w:val="20"/>
              </w:rPr>
              <w:t xml:space="preserve">In RAN1#114, it was concluded that the UTO-UCI indication for CG PUSCHs of other CG configuration(s) is not supported. The current spec describes that the </w:t>
            </w:r>
            <w:r>
              <w:rPr>
                <w:rFonts w:eastAsia="Malgun Gothic" w:cs="Times New Roman"/>
                <w:szCs w:val="20"/>
                <w:lang w:val="en-GB"/>
              </w:rPr>
              <w:t xml:space="preserve"> </w:t>
            </w:r>
            <m:oMath>
              <m:sSup>
                <m:sSupPr>
                  <m:ctrlPr>
                    <w:rPr>
                      <w:rFonts w:ascii="Cambria Math" w:hAnsi="Cambria Math" w:eastAsia="Malgun Gothic" w:cs="Times New Roman"/>
                      <w:szCs w:val="20"/>
                      <w:lang w:val="en-GB"/>
                    </w:rPr>
                  </m:ctrlPr>
                </m:sSupPr>
                <m:e>
                  <m:r>
                    <m:rPr/>
                    <w:rPr>
                      <w:rFonts w:ascii="Cambria Math" w:hAnsi="Cambria Math" w:eastAsia="Malgun Gothic" w:cs="Times New Roman"/>
                      <w:szCs w:val="20"/>
                      <w:lang w:val="en-GB"/>
                    </w:rPr>
                    <m:t>O</m:t>
                  </m:r>
                  <m:ctrlPr>
                    <w:rPr>
                      <w:rFonts w:ascii="Cambria Math" w:hAnsi="Cambria Math" w:eastAsia="Malgun Gothic" w:cs="Times New Roman"/>
                      <w:szCs w:val="20"/>
                      <w:lang w:val="en-GB"/>
                    </w:rPr>
                  </m:ctrlPr>
                </m:e>
                <m:sup>
                  <m:r>
                    <m:rPr/>
                    <w:rPr>
                      <w:rFonts w:ascii="Cambria Math" w:hAnsi="Cambria Math" w:eastAsia="Malgun Gothic" w:cs="Times New Roman"/>
                      <w:szCs w:val="20"/>
                      <w:lang w:val="en-GB"/>
                    </w:rPr>
                    <m:t>UTO</m:t>
                  </m:r>
                  <m:r>
                    <m:rPr>
                      <m:sty m:val="p"/>
                    </m:rPr>
                    <w:rPr>
                      <w:rFonts w:ascii="Cambria Math" w:hAnsi="Cambria Math" w:eastAsia="Malgun Gothic" w:cs="Times New Roman"/>
                      <w:szCs w:val="20"/>
                      <w:lang w:val="en-GB"/>
                    </w:rPr>
                    <m:t>−</m:t>
                  </m:r>
                  <m:r>
                    <m:rPr/>
                    <w:rPr>
                      <w:rFonts w:ascii="Cambria Math" w:hAnsi="Cambria Math" w:eastAsia="Malgun Gothic" w:cs="Times New Roman"/>
                      <w:szCs w:val="20"/>
                      <w:lang w:val="en-GB"/>
                    </w:rPr>
                    <m:t>UCI</m:t>
                  </m:r>
                  <m:ctrlPr>
                    <w:rPr>
                      <w:rFonts w:ascii="Cambria Math" w:hAnsi="Cambria Math" w:eastAsia="Malgun Gothic" w:cs="Times New Roman"/>
                      <w:szCs w:val="20"/>
                      <w:lang w:val="en-GB"/>
                    </w:rPr>
                  </m:ctrlPr>
                </m:sup>
              </m:sSup>
            </m:oMath>
            <w:r>
              <w:rPr>
                <w:rFonts w:eastAsia="Malgun Gothic" w:cs="Times New Roman"/>
                <w:szCs w:val="20"/>
                <w:lang w:val="en-GB"/>
              </w:rPr>
              <w:t xml:space="preserve"> bits of UTO-UCI are mapped to subsequent CG PUSCH TOs. However, it doesn’t clarify that that subsequent CG PUSCH TOs are of the same CG configuration as the CG PUSCH on which the UTO-UCI is multiplexed.</w:t>
            </w:r>
          </w:p>
        </w:tc>
      </w:tr>
      <w:tr>
        <w:tblPrEx>
          <w:tblCellMar>
            <w:top w:w="0" w:type="dxa"/>
            <w:left w:w="42" w:type="dxa"/>
            <w:bottom w:w="0" w:type="dxa"/>
            <w:right w:w="42" w:type="dxa"/>
          </w:tblCellMar>
        </w:tblPrEx>
        <w:tc>
          <w:tcPr>
            <w:tcW w:w="2694" w:type="dxa"/>
            <w:gridSpan w:val="2"/>
            <w:tcBorders>
              <w:left w:val="single" w:color="auto" w:sz="4" w:space="0"/>
            </w:tcBorders>
          </w:tcPr>
          <w:p>
            <w:pPr>
              <w:rPr>
                <w:rFonts w:eastAsia="Malgun Gothic" w:cs="Times New Roman"/>
                <w:b/>
                <w:i/>
                <w:sz w:val="8"/>
                <w:szCs w:val="8"/>
                <w:lang w:val="en-GB"/>
              </w:rPr>
            </w:pPr>
          </w:p>
        </w:tc>
        <w:tc>
          <w:tcPr>
            <w:tcW w:w="6946" w:type="dxa"/>
            <w:tcBorders>
              <w:right w:val="single" w:color="auto" w:sz="4" w:space="0"/>
            </w:tcBorders>
          </w:tcPr>
          <w:p>
            <w:pPr>
              <w:rPr>
                <w:rFonts w:eastAsia="Malgun Gothic" w:cs="Times New Roman"/>
                <w:szCs w:val="20"/>
                <w:lang w:val="en-GB" w:eastAsia="ko-KR"/>
              </w:rPr>
            </w:pPr>
          </w:p>
        </w:tc>
      </w:tr>
      <w:tr>
        <w:tc>
          <w:tcPr>
            <w:tcW w:w="2694" w:type="dxa"/>
            <w:gridSpan w:val="2"/>
            <w:tcBorders>
              <w:left w:val="single" w:color="auto" w:sz="4" w:space="0"/>
            </w:tcBorders>
          </w:tcPr>
          <w:p>
            <w:pPr>
              <w:tabs>
                <w:tab w:val="right" w:pos="2184"/>
              </w:tabs>
              <w:rPr>
                <w:rFonts w:eastAsia="Malgun Gothic" w:cs="Times New Roman"/>
                <w:b/>
                <w:i/>
                <w:szCs w:val="20"/>
                <w:lang w:val="en-GB"/>
              </w:rPr>
            </w:pPr>
            <w:r>
              <w:rPr>
                <w:rFonts w:eastAsia="Malgun Gothic" w:cs="Times New Roman"/>
                <w:b/>
                <w:i/>
                <w:szCs w:val="20"/>
                <w:lang w:val="en-GB"/>
              </w:rPr>
              <w:t>Summary of change:</w:t>
            </w:r>
          </w:p>
        </w:tc>
        <w:tc>
          <w:tcPr>
            <w:tcW w:w="6946" w:type="dxa"/>
            <w:tcBorders>
              <w:right w:val="single" w:color="auto" w:sz="4" w:space="0"/>
            </w:tcBorders>
            <w:shd w:val="pct30" w:color="FFFF00" w:fill="auto"/>
          </w:tcPr>
          <w:p>
            <w:pPr>
              <w:ind w:left="100"/>
              <w:rPr>
                <w:rFonts w:eastAsia="Malgun Gothic" w:cs="Times New Roman"/>
                <w:szCs w:val="20"/>
                <w:lang w:val="en-GB" w:eastAsia="ko-KR"/>
              </w:rPr>
            </w:pPr>
            <w:r>
              <w:rPr>
                <w:rFonts w:eastAsia="Malgun Gothic" w:cs="Times New Roman"/>
                <w:szCs w:val="20"/>
                <w:lang w:val="en-GB" w:eastAsia="ko-KR"/>
              </w:rPr>
              <w:t>Clarify UTO-UCI bits are mapped to subsequent CG PUSCH TOs of the same CG configuration</w:t>
            </w:r>
            <w:r>
              <w:rPr>
                <w:rFonts w:eastAsia="Malgun Gothic" w:cs="Times New Roman"/>
                <w:szCs w:val="20"/>
                <w:lang w:val="en-GB"/>
              </w:rPr>
              <w:t>.</w:t>
            </w:r>
            <w:r>
              <w:rPr>
                <w:rFonts w:eastAsia="Malgun Gothic" w:cs="Times New Roman"/>
                <w:szCs w:val="20"/>
                <w:lang w:val="en-GB" w:eastAsia="ko-KR"/>
              </w:rP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rPr>
                <w:rFonts w:eastAsia="Malgun Gothic" w:cs="Times New Roman"/>
                <w:b/>
                <w:i/>
                <w:sz w:val="8"/>
                <w:szCs w:val="8"/>
                <w:lang w:val="en-GB"/>
              </w:rPr>
            </w:pPr>
          </w:p>
        </w:tc>
        <w:tc>
          <w:tcPr>
            <w:tcW w:w="6946" w:type="dxa"/>
            <w:tcBorders>
              <w:right w:val="single" w:color="auto" w:sz="4" w:space="0"/>
            </w:tcBorders>
          </w:tcPr>
          <w:p>
            <w:pPr>
              <w:rPr>
                <w:rFonts w:eastAsia="Malgun Gothic" w:cs="Times New Roman"/>
                <w:szCs w:val="20"/>
                <w:lang w:val="en-GB"/>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rPr>
                <w:rFonts w:eastAsia="Malgun Gothic" w:cs="Times New Roman"/>
                <w:b/>
                <w:i/>
                <w:szCs w:val="20"/>
                <w:lang w:val="en-GB"/>
              </w:rPr>
            </w:pPr>
            <w:r>
              <w:rPr>
                <w:rFonts w:eastAsia="Malgun Gothic" w:cs="Times New Roman"/>
                <w:b/>
                <w:i/>
                <w:szCs w:val="20"/>
                <w:lang w:val="en-GB"/>
              </w:rPr>
              <w:t>Consequences if not approved:</w:t>
            </w:r>
          </w:p>
        </w:tc>
        <w:tc>
          <w:tcPr>
            <w:tcW w:w="6946" w:type="dxa"/>
            <w:tcBorders>
              <w:bottom w:val="single" w:color="auto" w:sz="4" w:space="0"/>
              <w:right w:val="single" w:color="auto" w:sz="4" w:space="0"/>
            </w:tcBorders>
            <w:shd w:val="pct30" w:color="FFFF00" w:fill="auto"/>
          </w:tcPr>
          <w:p>
            <w:pPr>
              <w:ind w:left="100"/>
              <w:rPr>
                <w:rFonts w:eastAsia="Malgun Gothic" w:cs="Times New Roman"/>
                <w:szCs w:val="20"/>
                <w:lang w:val="en-GB" w:eastAsia="ko-KR"/>
              </w:rPr>
            </w:pPr>
            <w:r>
              <w:rPr>
                <w:rFonts w:eastAsia="Malgun Gothic" w:cs="Times New Roman"/>
                <w:szCs w:val="20"/>
              </w:rPr>
              <w:t>Understanding ambiguity on mapping the UTO-UCI bits to CG PUSCH TOs is possible.</w:t>
            </w:r>
          </w:p>
        </w:tc>
      </w:tr>
    </w:tbl>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3"/>
              <w:rPr>
                <w:rFonts w:eastAsia="Calibri"/>
                <w:color w:val="000000"/>
                <w:szCs w:val="22"/>
                <w:lang w:val="de-DE"/>
              </w:rPr>
            </w:pPr>
            <w:r>
              <w:rPr>
                <w:rFonts w:eastAsia="Calibri"/>
                <w:color w:val="000000"/>
                <w:szCs w:val="22"/>
                <w:highlight w:val="yellow"/>
                <w:lang w:val="de-DE"/>
              </w:rPr>
              <w:t>TP for 38.213</w:t>
            </w:r>
          </w:p>
          <w:p>
            <w:pPr>
              <w:keepNext/>
              <w:keepLines/>
              <w:spacing w:before="120"/>
              <w:ind w:left="1134" w:hanging="1134"/>
              <w:outlineLvl w:val="2"/>
              <w:rPr>
                <w:rFonts w:eastAsia="SimSun" w:cs="Times New Roman"/>
                <w:sz w:val="28"/>
                <w:szCs w:val="20"/>
                <w:lang w:val="en-GB"/>
              </w:rPr>
            </w:pPr>
            <w:bookmarkStart w:id="19" w:name="_Toc137056387"/>
            <w:bookmarkStart w:id="20" w:name="_Toc156237223"/>
            <w:r>
              <w:rPr>
                <w:rFonts w:eastAsia="SimSun" w:cs="Times New Roman"/>
                <w:sz w:val="28"/>
                <w:szCs w:val="20"/>
                <w:lang w:val="en-GB"/>
              </w:rPr>
              <w:t>9.3.1</w:t>
            </w:r>
            <w:r>
              <w:rPr>
                <w:rFonts w:eastAsia="SimSun" w:cs="Times New Roman"/>
                <w:sz w:val="28"/>
                <w:szCs w:val="20"/>
                <w:lang w:val="en-GB"/>
              </w:rPr>
              <w:tab/>
            </w:r>
            <w:r>
              <w:rPr>
                <w:rFonts w:eastAsia="SimSun" w:cs="Times New Roman"/>
                <w:sz w:val="28"/>
                <w:szCs w:val="20"/>
                <w:lang w:val="en-GB"/>
              </w:rPr>
              <w:t xml:space="preserve">UE procedure for reporting </w:t>
            </w:r>
            <w:bookmarkEnd w:id="19"/>
            <w:r>
              <w:rPr>
                <w:rFonts w:eastAsia="SimSun" w:cs="Times New Roman"/>
                <w:sz w:val="28"/>
                <w:szCs w:val="20"/>
                <w:lang w:val="en-GB"/>
              </w:rPr>
              <w:t>UTO-UCI</w:t>
            </w:r>
            <w:bookmarkEnd w:id="20"/>
          </w:p>
          <w:p>
            <w:pPr>
              <w:rPr>
                <w:rFonts w:ascii="Times New Roman" w:hAnsi="Times New Roman" w:eastAsia="SimSun" w:cs="Times New Roman"/>
                <w:sz w:val="20"/>
                <w:szCs w:val="20"/>
                <w:lang w:val="en-GB"/>
              </w:rPr>
            </w:pPr>
            <w:r>
              <w:rPr>
                <w:rFonts w:ascii="Times New Roman" w:hAnsi="Times New Roman" w:eastAsia="SimSun" w:cs="Times New Roman"/>
                <w:sz w:val="20"/>
                <w:szCs w:val="20"/>
                <w:lang w:val="en-GB"/>
              </w:rPr>
              <w:t xml:space="preserve">If the UE is provided </w:t>
            </w:r>
            <w:r>
              <w:rPr>
                <w:rFonts w:ascii="Times New Roman" w:hAnsi="Times New Roman" w:eastAsia="SimSun" w:cs="Times New Roman"/>
                <w:i/>
                <w:iCs/>
                <w:sz w:val="20"/>
                <w:szCs w:val="20"/>
                <w:lang w:val="en-GB"/>
              </w:rPr>
              <w:t>nrof_UTO_UCI</w:t>
            </w:r>
            <w:r>
              <w:rPr>
                <w:rFonts w:ascii="Times New Roman" w:hAnsi="Times New Roman" w:eastAsia="SimSun" w:cs="Times New Roman"/>
                <w:sz w:val="20"/>
                <w:szCs w:val="20"/>
                <w:lang w:val="en-GB"/>
              </w:rPr>
              <w:t xml:space="preserve"> with value equal to </w:t>
            </w:r>
            <m:oMath>
              <m:sSup>
                <m:sSupPr>
                  <m:ctrlPr>
                    <w:rPr>
                      <w:rFonts w:ascii="Cambria Math" w:hAnsi="Cambria Math" w:eastAsia="SimSun" w:cs="Times New Roman"/>
                      <w:sz w:val="20"/>
                      <w:szCs w:val="20"/>
                      <w:lang w:val="en-GB"/>
                    </w:rPr>
                  </m:ctrlPr>
                </m:sSup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p>
            </m:oMath>
            <w:r>
              <w:rPr>
                <w:rFonts w:ascii="Times New Roman" w:hAnsi="Times New Roman" w:eastAsia="SimSun" w:cs="Times New Roman"/>
                <w:sz w:val="20"/>
                <w:szCs w:val="20"/>
                <w:lang w:val="en-GB"/>
              </w:rPr>
              <w:t xml:space="preserve"> in </w:t>
            </w:r>
            <w:r>
              <w:rPr>
                <w:rFonts w:ascii="Times New Roman" w:hAnsi="Times New Roman" w:eastAsia="SimSun" w:cs="Times New Roman"/>
                <w:i/>
                <w:iCs/>
                <w:sz w:val="20"/>
                <w:szCs w:val="20"/>
                <w:lang w:val="en-GB"/>
              </w:rPr>
              <w:t>configuredGrantConfig</w:t>
            </w:r>
            <w:r>
              <w:rPr>
                <w:rFonts w:ascii="Times New Roman" w:hAnsi="Times New Roman" w:eastAsia="SimSun" w:cs="Times New Roman"/>
                <w:sz w:val="20"/>
                <w:szCs w:val="20"/>
                <w:lang w:val="en-GB"/>
              </w:rPr>
              <w:t xml:space="preserve"> of a CG-PUSCH configuration, the UE multiplexes UTO-UCI represented by a bitmap of </w:t>
            </w:r>
            <m:oMath>
              <m:sSup>
                <m:sSupPr>
                  <m:ctrlPr>
                    <w:rPr>
                      <w:rFonts w:ascii="Cambria Math" w:hAnsi="Cambria Math" w:eastAsia="SimSun" w:cs="Times New Roman"/>
                      <w:sz w:val="20"/>
                      <w:szCs w:val="20"/>
                      <w:lang w:val="en-GB"/>
                    </w:rPr>
                  </m:ctrlPr>
                </m:sSup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p>
            </m:oMath>
            <w:r>
              <w:rPr>
                <w:rFonts w:ascii="Times New Roman" w:hAnsi="Times New Roman" w:eastAsia="SimSun" w:cs="Times New Roman"/>
                <w:sz w:val="20"/>
                <w:szCs w:val="20"/>
                <w:lang w:val="en-GB"/>
              </w:rPr>
              <w:t xml:space="preserve"> bits in each CG-PUSCH transmission </w:t>
            </w:r>
            <w:r>
              <w:rPr>
                <w:rFonts w:ascii="Times New Roman" w:hAnsi="Times New Roman" w:eastAsia="SimSun" w:cs="Times New Roman"/>
                <w:sz w:val="20"/>
                <w:szCs w:val="20"/>
                <w:highlight w:val="yellow"/>
                <w:lang w:val="en-GB"/>
              </w:rPr>
              <w:t>for</w:t>
            </w:r>
            <w:r>
              <w:rPr>
                <w:rFonts w:ascii="Times New Roman" w:hAnsi="Times New Roman" w:eastAsia="SimSun" w:cs="Times New Roman"/>
                <w:sz w:val="20"/>
                <w:szCs w:val="20"/>
                <w:lang w:val="en-GB"/>
              </w:rPr>
              <w:t xml:space="preserve"> the CG-PUSCH configuration. </w:t>
            </w:r>
          </w:p>
          <w:p>
            <w:pPr>
              <w:rPr>
                <w:sz w:val="22"/>
                <w:lang w:val="en-GB"/>
              </w:rPr>
            </w:pPr>
            <w:r>
              <w:rPr>
                <w:rFonts w:ascii="Times New Roman" w:hAnsi="Times New Roman" w:eastAsia="SimSun" w:cs="Times New Roman"/>
                <w:sz w:val="20"/>
                <w:szCs w:val="20"/>
                <w:lang w:val="en-GB"/>
              </w:rPr>
              <w:t xml:space="preserve">The </w:t>
            </w:r>
            <m:oMath>
              <m:sSup>
                <m:sSupPr>
                  <m:ctrlPr>
                    <w:rPr>
                      <w:rFonts w:ascii="Cambria Math" w:hAnsi="Cambria Math" w:eastAsia="SimSun" w:cs="Times New Roman"/>
                      <w:sz w:val="20"/>
                      <w:szCs w:val="20"/>
                      <w:lang w:val="en-GB"/>
                    </w:rPr>
                  </m:ctrlPr>
                </m:sSup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p>
            </m:oMath>
            <w:r>
              <w:rPr>
                <w:rFonts w:ascii="Times New Roman" w:hAnsi="Times New Roman" w:eastAsia="SimSun" w:cs="Times New Roman"/>
                <w:sz w:val="20"/>
                <w:szCs w:val="20"/>
                <w:lang w:val="en-GB"/>
              </w:rPr>
              <w:t xml:space="preserve"> bits of UTO-UCI, </w:t>
            </w:r>
            <m:oMath>
              <m:sSubSup>
                <m:sSubSupPr>
                  <m:ctrlPr>
                    <w:rPr>
                      <w:rFonts w:ascii="Cambria Math" w:hAnsi="Cambria Math" w:eastAsia="SimSun" w:cs="Times New Roman"/>
                      <w:sz w:val="20"/>
                      <w:szCs w:val="20"/>
                      <w:lang w:val="en-GB"/>
                    </w:rPr>
                  </m:ctrlPr>
                </m:sSubSupPr>
                <m:e>
                  <m:acc>
                    <m:accPr>
                      <m:chr m:val="̃"/>
                      <m:ctrlPr>
                        <w:rPr>
                          <w:rFonts w:ascii="Cambria Math" w:hAnsi="Cambria Math" w:eastAsia="SimSun" w:cs="Times New Roman"/>
                          <w:sz w:val="20"/>
                          <w:szCs w:val="20"/>
                          <w:lang w:val="en-GB"/>
                        </w:rPr>
                      </m:ctrlPr>
                    </m:acc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acc>
                  <m:ctrlPr>
                    <w:rPr>
                      <w:rFonts w:ascii="Cambria Math" w:hAnsi="Cambria Math" w:eastAsia="SimSun" w:cs="Times New Roman"/>
                      <w:sz w:val="20"/>
                      <w:szCs w:val="20"/>
                      <w:lang w:val="en-GB"/>
                    </w:rPr>
                  </m:ctrlPr>
                </m:e>
                <m:sub>
                  <m:r>
                    <m:rPr>
                      <m:sty m:val="p"/>
                    </m:rPr>
                    <w:rPr>
                      <w:rFonts w:ascii="Cambria Math" w:hAnsi="Cambria Math" w:eastAsia="SimSun" w:cs="Times New Roman"/>
                      <w:sz w:val="20"/>
                      <w:szCs w:val="20"/>
                      <w:lang w:val="en-GB"/>
                    </w:rPr>
                    <m:t>0</m:t>
                  </m:r>
                  <m:ctrlPr>
                    <w:rPr>
                      <w:rFonts w:ascii="Cambria Math" w:hAnsi="Cambria Math" w:eastAsia="SimSun" w:cs="Times New Roman"/>
                      <w:sz w:val="20"/>
                      <w:szCs w:val="20"/>
                      <w:lang w:val="en-GB"/>
                    </w:rPr>
                  </m:ctrlPr>
                </m:sub>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bSup>
              <m:r>
                <m:rPr>
                  <m:sty m:val="p"/>
                </m:rPr>
                <w:rPr>
                  <w:rFonts w:ascii="Cambria Math" w:hAnsi="Cambria Math" w:eastAsia="SimSun" w:cs="Times New Roman"/>
                  <w:sz w:val="20"/>
                  <w:szCs w:val="20"/>
                  <w:lang w:val="en-GB"/>
                </w:rPr>
                <m:t xml:space="preserve">, </m:t>
              </m:r>
              <m:sSubSup>
                <m:sSubSupPr>
                  <m:ctrlPr>
                    <w:rPr>
                      <w:rFonts w:ascii="Cambria Math" w:hAnsi="Cambria Math" w:eastAsia="SimSun" w:cs="Times New Roman"/>
                      <w:sz w:val="20"/>
                      <w:szCs w:val="20"/>
                      <w:lang w:val="en-GB"/>
                    </w:rPr>
                  </m:ctrlPr>
                </m:sSubSupPr>
                <m:e>
                  <m:acc>
                    <m:accPr>
                      <m:chr m:val="̃"/>
                      <m:ctrlPr>
                        <w:rPr>
                          <w:rFonts w:ascii="Cambria Math" w:hAnsi="Cambria Math" w:eastAsia="SimSun" w:cs="Times New Roman"/>
                          <w:sz w:val="20"/>
                          <w:szCs w:val="20"/>
                          <w:lang w:val="en-GB"/>
                        </w:rPr>
                      </m:ctrlPr>
                    </m:acc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acc>
                  <m:ctrlPr>
                    <w:rPr>
                      <w:rFonts w:ascii="Cambria Math" w:hAnsi="Cambria Math" w:eastAsia="SimSun" w:cs="Times New Roman"/>
                      <w:sz w:val="20"/>
                      <w:szCs w:val="20"/>
                      <w:lang w:val="en-GB"/>
                    </w:rPr>
                  </m:ctrlPr>
                </m:e>
                <m:sub>
                  <m:r>
                    <m:rPr>
                      <m:sty m:val="p"/>
                    </m:rPr>
                    <w:rPr>
                      <w:rFonts w:ascii="Cambria Math" w:hAnsi="Cambria Math" w:eastAsia="SimSun" w:cs="Times New Roman"/>
                      <w:sz w:val="20"/>
                      <w:szCs w:val="20"/>
                      <w:lang w:val="en-GB"/>
                    </w:rPr>
                    <m:t>1</m:t>
                  </m:r>
                  <m:ctrlPr>
                    <w:rPr>
                      <w:rFonts w:ascii="Cambria Math" w:hAnsi="Cambria Math" w:eastAsia="SimSun" w:cs="Times New Roman"/>
                      <w:sz w:val="20"/>
                      <w:szCs w:val="20"/>
                      <w:lang w:val="en-GB"/>
                    </w:rPr>
                  </m:ctrlPr>
                </m:sub>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bSup>
              <m:r>
                <m:rPr>
                  <m:sty m:val="p"/>
                </m:rPr>
                <w:rPr>
                  <w:rFonts w:ascii="Cambria Math" w:hAnsi="Cambria Math" w:eastAsia="SimSun" w:cs="Times New Roman"/>
                  <w:sz w:val="20"/>
                  <w:szCs w:val="20"/>
                  <w:lang w:val="en-GB"/>
                </w:rPr>
                <m:t xml:space="preserve">, …, </m:t>
              </m:r>
              <m:sSubSup>
                <m:sSubSupPr>
                  <m:ctrlPr>
                    <w:rPr>
                      <w:rFonts w:ascii="Cambria Math" w:hAnsi="Cambria Math" w:eastAsia="SimSun" w:cs="Times New Roman"/>
                      <w:sz w:val="20"/>
                      <w:szCs w:val="20"/>
                      <w:lang w:val="en-GB"/>
                    </w:rPr>
                  </m:ctrlPr>
                </m:sSubSupPr>
                <m:e>
                  <m:acc>
                    <m:accPr>
                      <m:chr m:val="̃"/>
                      <m:ctrlPr>
                        <w:rPr>
                          <w:rFonts w:ascii="Cambria Math" w:hAnsi="Cambria Math" w:eastAsia="SimSun" w:cs="Times New Roman"/>
                          <w:sz w:val="20"/>
                          <w:szCs w:val="20"/>
                          <w:lang w:val="en-GB"/>
                        </w:rPr>
                      </m:ctrlPr>
                    </m:acc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acc>
                  <m:ctrlPr>
                    <w:rPr>
                      <w:rFonts w:ascii="Cambria Math" w:hAnsi="Cambria Math" w:eastAsia="SimSun" w:cs="Times New Roman"/>
                      <w:sz w:val="20"/>
                      <w:szCs w:val="20"/>
                      <w:lang w:val="en-GB"/>
                    </w:rPr>
                  </m:ctrlPr>
                </m:e>
                <m:sub>
                  <m:sSup>
                    <m:sSupPr>
                      <m:ctrlPr>
                        <w:rPr>
                          <w:rFonts w:ascii="Cambria Math" w:hAnsi="Cambria Math" w:eastAsia="SimSun" w:cs="Times New Roman"/>
                          <w:sz w:val="20"/>
                          <w:szCs w:val="20"/>
                          <w:lang w:val="en-GB"/>
                        </w:rPr>
                      </m:ctrlPr>
                    </m:sSup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p>
                  <m:r>
                    <m:rPr>
                      <m:sty m:val="p"/>
                    </m:rPr>
                    <w:rPr>
                      <w:rFonts w:ascii="Cambria Math" w:hAnsi="Cambria Math" w:eastAsia="SimSun" w:cs="Times New Roman"/>
                      <w:sz w:val="20"/>
                      <w:szCs w:val="20"/>
                      <w:lang w:val="en-GB"/>
                    </w:rPr>
                    <m:t>−1</m:t>
                  </m:r>
                  <m:ctrlPr>
                    <w:rPr>
                      <w:rFonts w:ascii="Cambria Math" w:hAnsi="Cambria Math" w:eastAsia="SimSun" w:cs="Times New Roman"/>
                      <w:sz w:val="20"/>
                      <w:szCs w:val="20"/>
                      <w:lang w:val="en-GB"/>
                    </w:rPr>
                  </m:ctrlPr>
                </m:sub>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bSup>
            </m:oMath>
            <w:r>
              <w:rPr>
                <w:rFonts w:ascii="Times New Roman" w:hAnsi="Times New Roman" w:eastAsia="SimSun" w:cs="Times New Roman"/>
                <w:sz w:val="20"/>
                <w:szCs w:val="20"/>
                <w:lang w:val="en-GB"/>
              </w:rPr>
              <w:t xml:space="preserve">, have a one-to-one mapping to </w:t>
            </w:r>
            <m:oMath>
              <m:sSup>
                <m:sSupPr>
                  <m:ctrlPr>
                    <w:rPr>
                      <w:rFonts w:ascii="Cambria Math" w:hAnsi="Cambria Math" w:eastAsia="SimSun" w:cs="Times New Roman"/>
                      <w:sz w:val="20"/>
                      <w:szCs w:val="20"/>
                      <w:lang w:val="en-GB"/>
                    </w:rPr>
                  </m:ctrlPr>
                </m:sSup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p>
            </m:oMath>
            <w:r>
              <w:rPr>
                <w:rFonts w:ascii="Times New Roman" w:hAnsi="Times New Roman" w:eastAsia="SimSun" w:cs="Times New Roman"/>
                <w:sz w:val="20"/>
                <w:szCs w:val="20"/>
                <w:lang w:val="en-GB"/>
              </w:rPr>
              <w:t xml:space="preserve"> subsequent CG-PUSCH TOs</w:t>
            </w:r>
            <w:ins w:id="0" w:author="NTT DOCOMO" w:date="2024-02-05T11:04:00Z">
              <w:r>
                <w:rPr>
                  <w:rFonts w:ascii="Times New Roman" w:hAnsi="Times New Roman" w:eastAsia="SimSun" w:cs="Times New Roman"/>
                  <w:sz w:val="20"/>
                  <w:szCs w:val="20"/>
                  <w:lang w:val="en-GB"/>
                </w:rPr>
                <w:t xml:space="preserve"> </w:t>
              </w:r>
            </w:ins>
            <w:ins w:id="1" w:author="NTT DOCOMO" w:date="2024-02-05T11:04:00Z">
              <w:r>
                <w:rPr>
                  <w:rFonts w:ascii="Times New Roman" w:hAnsi="Times New Roman" w:eastAsia="SimSun" w:cs="Times New Roman"/>
                  <w:color w:val="FF0000"/>
                  <w:sz w:val="20"/>
                  <w:szCs w:val="20"/>
                  <w:u w:val="single"/>
                  <w:lang w:val="en-GB"/>
                </w:rPr>
                <w:t>of the same CG configuration as the CG PUSCH on which the UTO-</w:t>
              </w:r>
            </w:ins>
            <w:ins w:id="2" w:author="NTT DOCOMO" w:date="2024-02-05T11:05:00Z">
              <w:r>
                <w:rPr>
                  <w:rFonts w:ascii="Times New Roman" w:hAnsi="Times New Roman" w:eastAsia="SimSun" w:cs="Times New Roman"/>
                  <w:color w:val="FF0000"/>
                  <w:sz w:val="20"/>
                  <w:szCs w:val="20"/>
                  <w:u w:val="single"/>
                  <w:lang w:val="en-GB"/>
                </w:rPr>
                <w:t>UCI is multiplexed</w:t>
              </w:r>
            </w:ins>
            <w:r>
              <w:rPr>
                <w:rFonts w:ascii="Times New Roman" w:hAnsi="Times New Roman" w:eastAsia="SimSun" w:cs="Times New Roman"/>
                <w:color w:val="FF0000"/>
                <w:sz w:val="20"/>
                <w:szCs w:val="20"/>
                <w:lang w:val="en-GB"/>
              </w:rPr>
              <w:t xml:space="preserve"> </w:t>
            </w:r>
            <w:r>
              <w:rPr>
                <w:rFonts w:ascii="Times New Roman" w:hAnsi="Times New Roman" w:eastAsia="SimSun" w:cs="Times New Roman"/>
                <w:sz w:val="20"/>
                <w:szCs w:val="20"/>
                <w:lang w:val="en-GB"/>
              </w:rPr>
              <w:t xml:space="preserve">in ascending order of start time. For unpaired spectrum operation, the </w:t>
            </w:r>
            <m:oMath>
              <m:sSup>
                <m:sSupPr>
                  <m:ctrlPr>
                    <w:rPr>
                      <w:rFonts w:ascii="Cambria Math" w:hAnsi="Cambria Math" w:eastAsia="SimSun" w:cs="Times New Roman"/>
                      <w:sz w:val="20"/>
                      <w:szCs w:val="20"/>
                      <w:lang w:val="en-GB"/>
                    </w:rPr>
                  </m:ctrlPr>
                </m:sSupPr>
                <m:e>
                  <m:r>
                    <m:rPr/>
                    <w:rPr>
                      <w:rFonts w:ascii="Cambria Math" w:hAnsi="Cambria Math" w:eastAsia="SimSun" w:cs="Times New Roman"/>
                      <w:sz w:val="20"/>
                      <w:szCs w:val="20"/>
                      <w:lang w:val="en-GB"/>
                    </w:rPr>
                    <m:t>O</m:t>
                  </m:r>
                  <m:ctrlPr>
                    <w:rPr>
                      <w:rFonts w:ascii="Cambria Math" w:hAnsi="Cambria Math" w:eastAsia="SimSun" w:cs="Times New Roman"/>
                      <w:sz w:val="20"/>
                      <w:szCs w:val="20"/>
                      <w:lang w:val="en-GB"/>
                    </w:rPr>
                  </m:ctrlPr>
                </m:e>
                <m:sup>
                  <m:r>
                    <m:rPr/>
                    <w:rPr>
                      <w:rFonts w:ascii="Cambria Math" w:hAnsi="Cambria Math" w:eastAsia="SimSun" w:cs="Times New Roman"/>
                      <w:sz w:val="20"/>
                      <w:szCs w:val="20"/>
                      <w:lang w:val="en-GB"/>
                    </w:rPr>
                    <m:t>UTO</m:t>
                  </m:r>
                  <m:r>
                    <m:rPr>
                      <m:sty m:val="p"/>
                    </m:rPr>
                    <w:rPr>
                      <w:rFonts w:ascii="Cambria Math" w:hAnsi="Cambria Math" w:eastAsia="SimSun" w:cs="Times New Roman"/>
                      <w:sz w:val="20"/>
                      <w:szCs w:val="20"/>
                      <w:lang w:val="en-GB"/>
                    </w:rPr>
                    <m:t>−</m:t>
                  </m:r>
                  <m:r>
                    <m:rPr/>
                    <w:rPr>
                      <w:rFonts w:ascii="Cambria Math" w:hAnsi="Cambria Math" w:eastAsia="SimSun" w:cs="Times New Roman"/>
                      <w:sz w:val="20"/>
                      <w:szCs w:val="20"/>
                      <w:lang w:val="en-GB"/>
                    </w:rPr>
                    <m:t>UCI</m:t>
                  </m:r>
                  <m:ctrlPr>
                    <w:rPr>
                      <w:rFonts w:ascii="Cambria Math" w:hAnsi="Cambria Math" w:eastAsia="SimSun" w:cs="Times New Roman"/>
                      <w:sz w:val="20"/>
                      <w:szCs w:val="20"/>
                      <w:lang w:val="en-GB"/>
                    </w:rPr>
                  </m:ctrlPr>
                </m:sup>
              </m:sSup>
            </m:oMath>
            <w:r>
              <w:rPr>
                <w:rFonts w:ascii="Times New Roman" w:hAnsi="Times New Roman" w:eastAsia="SimSun" w:cs="Times New Roman"/>
                <w:sz w:val="20"/>
                <w:szCs w:val="20"/>
                <w:lang w:val="en-GB"/>
              </w:rPr>
              <w:t xml:space="preserve"> subsequent CG-PUSCH TOs exclude invalid ones where a UE does not transmit a PUSCH due to collision of the PUSCH with DL symbol(s) indicated by </w:t>
            </w:r>
            <w:r>
              <w:rPr>
                <w:rFonts w:ascii="Times New Roman" w:hAnsi="Times New Roman" w:eastAsia="SimSun" w:cs="Times New Roman"/>
                <w:i/>
                <w:sz w:val="20"/>
                <w:szCs w:val="20"/>
                <w:lang w:val="en-GB"/>
              </w:rPr>
              <w:t>tdd-UL-DL-ConfigurationCommon</w:t>
            </w:r>
            <w:r>
              <w:rPr>
                <w:rFonts w:ascii="Times New Roman" w:hAnsi="Times New Roman" w:eastAsia="SimSun" w:cs="Times New Roman"/>
                <w:sz w:val="20"/>
                <w:szCs w:val="20"/>
                <w:lang w:val="en-GB"/>
              </w:rPr>
              <w:t xml:space="preserve"> or </w:t>
            </w:r>
            <w:r>
              <w:rPr>
                <w:rFonts w:ascii="Times New Roman" w:hAnsi="Times New Roman" w:eastAsia="SimSun" w:cs="Times New Roman"/>
                <w:i/>
                <w:sz w:val="20"/>
                <w:szCs w:val="20"/>
                <w:lang w:val="en-GB"/>
              </w:rPr>
              <w:t>tdd-UL-DL-ConfigurationDedicated</w:t>
            </w:r>
            <w:r>
              <w:rPr>
                <w:rFonts w:ascii="Times New Roman" w:hAnsi="Times New Roman" w:eastAsia="SimSun" w:cs="Times New Roman"/>
                <w:sz w:val="20"/>
                <w:szCs w:val="20"/>
                <w:lang w:val="en-GB"/>
              </w:rPr>
              <w:t xml:space="preserve"> if provided, or with symbol(s) of an SS/PBCH block with index provided by </w:t>
            </w:r>
            <w:r>
              <w:rPr>
                <w:rFonts w:ascii="Times New Roman" w:hAnsi="Times New Roman" w:eastAsia="SimSun" w:cs="Times New Roman"/>
                <w:i/>
                <w:sz w:val="20"/>
                <w:szCs w:val="20"/>
                <w:lang w:val="en-GB"/>
              </w:rPr>
              <w:t>ssb-PositionsInBurst</w:t>
            </w:r>
            <w:r>
              <w:rPr>
                <w:rFonts w:ascii="Times New Roman" w:hAnsi="Times New Roman" w:eastAsia="SimSun" w:cs="Times New Roman"/>
                <w:sz w:val="20"/>
                <w:szCs w:val="20"/>
                <w:lang w:val="en-GB"/>
              </w:rPr>
              <w:t>,</w:t>
            </w:r>
            <w:r>
              <w:rPr>
                <w:rFonts w:ascii="Times New Roman" w:hAnsi="Times New Roman" w:eastAsia="SimSun" w:cs="Times New Roman"/>
                <w:sz w:val="20"/>
                <w:szCs w:val="20"/>
                <w:u w:val="single"/>
                <w:lang w:val="en-GB"/>
              </w:rPr>
              <w:t xml:space="preserve"> </w:t>
            </w:r>
            <w:r>
              <w:rPr>
                <w:rFonts w:ascii="Times New Roman" w:hAnsi="Times New Roman" w:eastAsia="SimSun" w:cs="Times New Roman"/>
                <w:sz w:val="20"/>
                <w:szCs w:val="20"/>
                <w:lang w:val="en-GB"/>
              </w:rPr>
              <w:t>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pPr>
        <w:rPr>
          <w:lang w:eastAsia="ja-JP"/>
        </w:rPr>
      </w:pPr>
    </w:p>
    <w:p>
      <w:r>
        <w:rPr>
          <w:b/>
          <w:bCs/>
          <w:highlight w:val="cyan"/>
        </w:rPr>
        <w:t>Moderator’s observation:</w:t>
      </w:r>
      <w:r>
        <w:t xml:space="preserve"> Although Moderator understands the concern, but in Moderator’s understanding the applicability of UTO-UCI for the same configuration should be clear from the first paragraph (by highlighted </w:t>
      </w:r>
      <w:r>
        <w:rPr>
          <w:highlight w:val="yellow"/>
        </w:rPr>
        <w:t>“for”</w:t>
      </w:r>
      <w:r>
        <w:t>) which clarifies that the context is the same CG configuration. If one reads second paragraph without considering the context provided in the first paragraph, the clarification in second paragraph is helpful. At least Moderator reads the second paragraph considering the context provided in the first paragraph.</w:t>
      </w:r>
    </w:p>
    <w:p>
      <w:r>
        <w:t>It is helpful to understand companies interpretations.</w:t>
      </w:r>
    </w:p>
    <w:p>
      <w:pPr>
        <w:pStyle w:val="4"/>
      </w:pPr>
      <w:r>
        <w:t>2.3.1</w:t>
      </w:r>
      <w:r>
        <w:tab/>
      </w:r>
      <w:r>
        <w:t>Initial discussion</w:t>
      </w:r>
    </w:p>
    <w:p>
      <w:pPr>
        <w:rPr>
          <w:lang w:val="en-GB" w:eastAsia="ja-JP"/>
        </w:rPr>
      </w:pPr>
      <w:r>
        <w:rPr>
          <w:b/>
          <w:bCs/>
          <w:lang w:val="en-GB" w:eastAsia="ja-JP"/>
        </w:rPr>
        <w:t>Question:</w:t>
      </w:r>
      <w:r>
        <w:rPr>
          <w:lang w:val="en-GB" w:eastAsia="ja-JP"/>
        </w:rPr>
        <w:t xml:space="preserve"> What is your view about the issue raised above? Do you support adopting the proposed draft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 w:val="22"/>
                <w:lang w:val="en-US" w:eastAsia="ja-JP"/>
              </w:rPr>
            </w:pPr>
            <w:r>
              <w:rPr>
                <w:rFonts w:hint="default"/>
                <w:sz w:val="22"/>
                <w:lang w:val="en-US" w:eastAsia="ja-JP"/>
              </w:rPr>
              <w:t>OPPO</w:t>
            </w:r>
          </w:p>
        </w:tc>
        <w:tc>
          <w:tcPr>
            <w:tcW w:w="7791" w:type="dxa"/>
          </w:tcPr>
          <w:p>
            <w:pPr>
              <w:rPr>
                <w:rFonts w:hint="default"/>
                <w:sz w:val="22"/>
                <w:lang w:val="en-GB" w:eastAsia="ja-JP"/>
              </w:rPr>
            </w:pPr>
            <w:r>
              <w:rPr>
                <w:rFonts w:hint="default"/>
                <w:sz w:val="22"/>
                <w:lang w:val="en-US" w:eastAsia="ja-JP"/>
              </w:rPr>
              <w:t>In our reading, t</w:t>
            </w:r>
            <w:r>
              <w:rPr>
                <w:rFonts w:hint="default"/>
                <w:sz w:val="22"/>
                <w:lang w:val="en-GB" w:eastAsia="ja-JP"/>
              </w:rPr>
              <w:t xml:space="preserve">he first paragraph, where “for” is highlighted, is about where to send UTO-UCI, while the second paragraph talks about what UTO-UCI means for each bit in the bitmap. Therefore it is a bit broken when using the first paragraph to justify the second paragraph. Without the proposed CR, we agree the meaning in the second paragraph may differ from what it intends to </w:t>
            </w:r>
            <w:r>
              <w:rPr>
                <w:rFonts w:hint="default"/>
                <w:sz w:val="22"/>
                <w:lang w:val="en-US" w:eastAsia="ja-JP"/>
              </w:rPr>
              <w:t>mean</w:t>
            </w:r>
            <w:r>
              <w:rPr>
                <w:rFonts w:hint="default"/>
                <w:sz w:val="22"/>
                <w:lang w:val="en-GB" w:eastAsia="ja-JP"/>
              </w:rPr>
              <w:t xml:space="preserve">. </w:t>
            </w:r>
          </w:p>
          <w:p>
            <w:pPr>
              <w:rPr>
                <w:sz w:val="22"/>
                <w:lang w:val="en-GB" w:eastAsia="ja-JP"/>
              </w:rPr>
            </w:pPr>
            <w:r>
              <w:rPr>
                <w:rFonts w:hint="default"/>
                <w:sz w:val="22"/>
                <w:lang w:val="en-GB" w:eastAsia="ja-JP"/>
              </w:rPr>
              <w:t xml:space="preserve">So we support the proposed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
    <w:p>
      <w:pPr>
        <w:pStyle w:val="3"/>
      </w:pPr>
      <w:r>
        <w:t>2.4</w:t>
      </w:r>
      <w:r>
        <w:tab/>
      </w:r>
      <w:r>
        <w:t>Issue#4: Correction of RRC parameter name</w:t>
      </w:r>
    </w:p>
    <w:p>
      <w:pPr>
        <w:rPr>
          <w:highlight w:val="cyan"/>
          <w:lang w:val="en-GB" w:eastAsia="ja-JP"/>
        </w:rPr>
      </w:pPr>
      <w:r>
        <w:rPr>
          <w:lang w:eastAsia="ja-JP"/>
        </w:rPr>
        <w:t xml:space="preserve">Nokia has identified mismatch in an RRC parameter name as described below </w:t>
      </w:r>
      <w:r>
        <w:rPr>
          <w:lang w:eastAsia="ja-JP"/>
        </w:rPr>
        <w:fldChar w:fldCharType="begin"/>
      </w:r>
      <w:r>
        <w:rPr>
          <w:lang w:eastAsia="ja-JP"/>
        </w:rPr>
        <w:instrText xml:space="preserve"> REF _Ref159687804 \n \h </w:instrText>
      </w:r>
      <w:r>
        <w:rPr>
          <w:lang w:eastAsia="ja-JP"/>
        </w:rPr>
        <w:fldChar w:fldCharType="separate"/>
      </w:r>
      <w:r>
        <w:rPr>
          <w:lang w:eastAsia="ja-JP"/>
        </w:rPr>
        <w:t>[5]</w:t>
      </w:r>
      <w:r>
        <w:rPr>
          <w:lang w:eastAsia="ja-JP"/>
        </w:rPr>
        <w:fldChar w:fldCharType="end"/>
      </w:r>
      <w:r>
        <w:rPr>
          <w:lang w:eastAsia="ja-JP"/>
        </w:rPr>
        <w:fldChar w:fldCharType="begin"/>
      </w:r>
      <w:r>
        <w:rPr>
          <w:lang w:eastAsia="ja-JP"/>
        </w:rPr>
        <w:instrText xml:space="preserve"> REF _Ref159687806 \n \h </w:instrText>
      </w:r>
      <w:r>
        <w:rPr>
          <w:lang w:eastAsia="ja-JP"/>
        </w:rPr>
        <w:fldChar w:fldCharType="separate"/>
      </w:r>
      <w:r>
        <w:rPr>
          <w:lang w:eastAsia="ja-JP"/>
        </w:rPr>
        <w:t>[6]</w:t>
      </w:r>
      <w:r>
        <w:rPr>
          <w:lang w:eastAsia="ja-JP"/>
        </w:rPr>
        <w:fldChar w:fldCharType="end"/>
      </w:r>
      <w:r>
        <w:rPr>
          <w:lang w:eastAsia="ja-JP"/>
        </w:rPr>
        <w:fldChar w:fldCharType="begin"/>
      </w:r>
      <w:r>
        <w:rPr>
          <w:lang w:eastAsia="ja-JP"/>
        </w:rPr>
        <w:instrText xml:space="preserve"> REF _Ref159687808 \n \h </w:instrText>
      </w:r>
      <w:r>
        <w:rPr>
          <w:lang w:eastAsia="ja-JP"/>
        </w:rPr>
        <w:fldChar w:fldCharType="separate"/>
      </w:r>
      <w:r>
        <w:rPr>
          <w:lang w:eastAsia="ja-JP"/>
        </w:rPr>
        <w:t>[7]</w:t>
      </w:r>
      <w:r>
        <w:rPr>
          <w:lang w:eastAsia="ja-JP"/>
        </w:rPr>
        <w:fldChar w:fldCharType="end"/>
      </w:r>
      <w:r>
        <w:rPr>
          <w:lang w:eastAsia="ja-JP"/>
        </w:rPr>
        <w:t>.</w:t>
      </w:r>
    </w:p>
    <w:tbl>
      <w:tblPr>
        <w:tblStyle w:val="13"/>
        <w:tblW w:w="9645" w:type="dxa"/>
        <w:tblInd w:w="42" w:type="dxa"/>
        <w:tblLayout w:type="fixed"/>
        <w:tblCellMar>
          <w:top w:w="0" w:type="dxa"/>
          <w:left w:w="42" w:type="dxa"/>
          <w:bottom w:w="0" w:type="dxa"/>
          <w:right w:w="42" w:type="dxa"/>
        </w:tblCellMar>
      </w:tblPr>
      <w:tblGrid>
        <w:gridCol w:w="2695"/>
        <w:gridCol w:w="6950"/>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pStyle w:val="112"/>
              <w:tabs>
                <w:tab w:val="right" w:pos="2184"/>
              </w:tabs>
              <w:spacing w:after="0"/>
              <w:rPr>
                <w:b/>
                <w:i/>
                <w:lang w:eastAsia="en-US"/>
              </w:rPr>
            </w:pPr>
            <w:r>
              <w:rPr>
                <w:b/>
                <w:i/>
              </w:rPr>
              <w:t>Reason for change:</w:t>
            </w:r>
          </w:p>
        </w:tc>
        <w:tc>
          <w:tcPr>
            <w:tcW w:w="6946" w:type="dxa"/>
            <w:tcBorders>
              <w:top w:val="single" w:color="auto" w:sz="4" w:space="0"/>
              <w:left w:val="nil"/>
              <w:bottom w:val="nil"/>
              <w:right w:val="single" w:color="auto" w:sz="4" w:space="0"/>
            </w:tcBorders>
            <w:shd w:val="pct30" w:color="FFFF00" w:fill="auto"/>
          </w:tcPr>
          <w:p>
            <w:pPr>
              <w:pStyle w:val="112"/>
              <w:spacing w:after="0"/>
              <w:ind w:left="100"/>
            </w:pPr>
            <w:r>
              <w:t xml:space="preserve">The parameter name mismatch in Clauses 6.2.7, 6.3.2. RAN2 has chosen the parameter name </w:t>
            </w:r>
            <w:r>
              <w:rPr>
                <w:i/>
                <w:iCs/>
              </w:rPr>
              <w:t>nrofBitsInUTO-UCI</w:t>
            </w:r>
            <w:r>
              <w:t xml:space="preserve"> in their latest version of 38.331, while the current version of TS 38.212 uses </w:t>
            </w:r>
            <w:r>
              <w:rPr>
                <w:i/>
                <w:iCs/>
                <w:lang w:eastAsia="zh-CN"/>
              </w:rPr>
              <w:t>nrof_UTO_UCI.</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pStyle w:val="112"/>
              <w:spacing w:after="0"/>
              <w:rPr>
                <w:b/>
                <w:i/>
                <w:sz w:val="8"/>
                <w:szCs w:val="8"/>
              </w:rPr>
            </w:pPr>
          </w:p>
        </w:tc>
        <w:tc>
          <w:tcPr>
            <w:tcW w:w="6946" w:type="dxa"/>
            <w:tcBorders>
              <w:top w:val="nil"/>
              <w:left w:val="nil"/>
              <w:bottom w:val="nil"/>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pStyle w:val="112"/>
              <w:tabs>
                <w:tab w:val="right" w:pos="2184"/>
              </w:tabs>
              <w:spacing w:after="0"/>
              <w:rPr>
                <w:b/>
                <w:i/>
              </w:rPr>
            </w:pPr>
            <w:r>
              <w:rPr>
                <w:b/>
                <w:i/>
              </w:rPr>
              <w:t>Summary of change:</w:t>
            </w:r>
          </w:p>
        </w:tc>
        <w:tc>
          <w:tcPr>
            <w:tcW w:w="6946" w:type="dxa"/>
            <w:tcBorders>
              <w:top w:val="nil"/>
              <w:left w:val="nil"/>
              <w:bottom w:val="nil"/>
              <w:right w:val="single" w:color="auto" w:sz="4" w:space="0"/>
            </w:tcBorders>
            <w:shd w:val="pct30" w:color="FFFF00" w:fill="auto"/>
          </w:tcPr>
          <w:p>
            <w:pPr>
              <w:pStyle w:val="112"/>
              <w:spacing w:after="0"/>
              <w:ind w:left="100"/>
              <w:rPr>
                <w:rFonts w:cs="Arial"/>
              </w:rPr>
            </w:pPr>
            <w:r>
              <w:t xml:space="preserve">RRC parameter change from </w:t>
            </w:r>
            <w:r>
              <w:rPr>
                <w:i/>
                <w:iCs/>
                <w:lang w:eastAsia="zh-CN"/>
              </w:rPr>
              <w:t xml:space="preserve">nrof_UTO_UCI </w:t>
            </w:r>
            <w:r>
              <w:rPr>
                <w:lang w:eastAsia="zh-CN"/>
              </w:rPr>
              <w:t>to</w:t>
            </w:r>
            <w:r>
              <w:rPr>
                <w:i/>
                <w:iCs/>
                <w:lang w:eastAsia="zh-CN"/>
              </w:rPr>
              <w:t xml:space="preserve"> </w:t>
            </w:r>
            <w:r>
              <w:rPr>
                <w:i/>
                <w:iCs/>
              </w:rPr>
              <w:t>nrofBitsInUTO-UCI</w:t>
            </w:r>
            <w:r>
              <w:t>.</w:t>
            </w:r>
          </w:p>
        </w:tc>
      </w:tr>
      <w:tr>
        <w:tc>
          <w:tcPr>
            <w:tcW w:w="2694" w:type="dxa"/>
            <w:tcBorders>
              <w:top w:val="nil"/>
              <w:left w:val="single" w:color="auto" w:sz="4" w:space="0"/>
              <w:bottom w:val="nil"/>
              <w:right w:val="nil"/>
            </w:tcBorders>
          </w:tcPr>
          <w:p>
            <w:pPr>
              <w:pStyle w:val="112"/>
              <w:spacing w:after="0"/>
              <w:rPr>
                <w:b/>
                <w:i/>
                <w:sz w:val="8"/>
                <w:szCs w:val="8"/>
              </w:rPr>
            </w:pPr>
          </w:p>
        </w:tc>
        <w:tc>
          <w:tcPr>
            <w:tcW w:w="6946" w:type="dxa"/>
            <w:tcBorders>
              <w:top w:val="nil"/>
              <w:left w:val="nil"/>
              <w:bottom w:val="nil"/>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pStyle w:val="112"/>
              <w:tabs>
                <w:tab w:val="right" w:pos="2184"/>
              </w:tabs>
              <w:spacing w:after="0"/>
              <w:rPr>
                <w:b/>
                <w:i/>
              </w:rPr>
            </w:pPr>
            <w:r>
              <w:rPr>
                <w:b/>
                <w:i/>
              </w:rPr>
              <w:t>Consequences if not approved:</w:t>
            </w:r>
          </w:p>
        </w:tc>
        <w:tc>
          <w:tcPr>
            <w:tcW w:w="6946" w:type="dxa"/>
            <w:tcBorders>
              <w:top w:val="nil"/>
              <w:left w:val="nil"/>
              <w:bottom w:val="single" w:color="auto" w:sz="4" w:space="0"/>
              <w:right w:val="single" w:color="auto" w:sz="4" w:space="0"/>
            </w:tcBorders>
            <w:shd w:val="pct30" w:color="FFFF00" w:fill="auto"/>
          </w:tcPr>
          <w:p>
            <w:pPr>
              <w:pStyle w:val="112"/>
              <w:spacing w:after="0"/>
              <w:ind w:left="100"/>
            </w:pPr>
            <w:r>
              <w:t>Different names for the same RRC parameter in TS 38.331 and TS 38.212</w:t>
            </w:r>
          </w:p>
        </w:tc>
      </w:tr>
    </w:tbl>
    <w:p>
      <w:pPr>
        <w:rPr>
          <w:highlight w:val="cyan"/>
          <w:lang w:val="zh-CN" w:eastAsia="ja-JP"/>
        </w:rPr>
      </w:pPr>
    </w:p>
    <w:tbl>
      <w:tblPr>
        <w:tblStyle w:val="13"/>
        <w:tblW w:w="9645" w:type="dxa"/>
        <w:tblInd w:w="42" w:type="dxa"/>
        <w:tblLayout w:type="fixed"/>
        <w:tblCellMar>
          <w:top w:w="0" w:type="dxa"/>
          <w:left w:w="42" w:type="dxa"/>
          <w:bottom w:w="0" w:type="dxa"/>
          <w:right w:w="42" w:type="dxa"/>
        </w:tblCellMar>
      </w:tblPr>
      <w:tblGrid>
        <w:gridCol w:w="2695"/>
        <w:gridCol w:w="6950"/>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pStyle w:val="112"/>
              <w:tabs>
                <w:tab w:val="right" w:pos="2184"/>
              </w:tabs>
              <w:spacing w:after="0"/>
              <w:rPr>
                <w:b/>
                <w:i/>
                <w:lang w:eastAsia="en-US"/>
              </w:rPr>
            </w:pPr>
            <w:r>
              <w:rPr>
                <w:b/>
                <w:i/>
              </w:rPr>
              <w:t>Reason for change:</w:t>
            </w:r>
          </w:p>
        </w:tc>
        <w:tc>
          <w:tcPr>
            <w:tcW w:w="6946" w:type="dxa"/>
            <w:tcBorders>
              <w:top w:val="single" w:color="auto" w:sz="4" w:space="0"/>
              <w:left w:val="nil"/>
              <w:bottom w:val="nil"/>
              <w:right w:val="single" w:color="auto" w:sz="4" w:space="0"/>
            </w:tcBorders>
            <w:shd w:val="pct30" w:color="FFFF00" w:fill="auto"/>
          </w:tcPr>
          <w:p>
            <w:pPr>
              <w:pStyle w:val="112"/>
              <w:spacing w:after="0"/>
              <w:ind w:left="100"/>
            </w:pPr>
            <w:r>
              <w:t xml:space="preserve">The parameter name mismatch in Clause 9.3.1. RAN2 has chosen the parameter name </w:t>
            </w:r>
            <w:r>
              <w:rPr>
                <w:i/>
                <w:iCs/>
              </w:rPr>
              <w:t>nrofBitsInUTO-UCI</w:t>
            </w:r>
            <w:r>
              <w:t xml:space="preserve"> in their latest version of 38.331, while the current version of TS 38.213 uses </w:t>
            </w:r>
            <w:r>
              <w:rPr>
                <w:i/>
                <w:iCs/>
                <w:lang w:eastAsia="zh-CN"/>
              </w:rPr>
              <w:t>nrof_UTO_UCI.</w:t>
            </w: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pStyle w:val="112"/>
              <w:spacing w:after="0"/>
              <w:rPr>
                <w:b/>
                <w:i/>
                <w:sz w:val="8"/>
                <w:szCs w:val="8"/>
              </w:rPr>
            </w:pPr>
          </w:p>
        </w:tc>
        <w:tc>
          <w:tcPr>
            <w:tcW w:w="6946" w:type="dxa"/>
            <w:tcBorders>
              <w:top w:val="nil"/>
              <w:left w:val="nil"/>
              <w:bottom w:val="nil"/>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pStyle w:val="112"/>
              <w:tabs>
                <w:tab w:val="right" w:pos="2184"/>
              </w:tabs>
              <w:spacing w:after="0"/>
              <w:rPr>
                <w:b/>
                <w:i/>
              </w:rPr>
            </w:pPr>
            <w:r>
              <w:rPr>
                <w:b/>
                <w:i/>
              </w:rPr>
              <w:t>Summary of change:</w:t>
            </w:r>
          </w:p>
        </w:tc>
        <w:tc>
          <w:tcPr>
            <w:tcW w:w="6946" w:type="dxa"/>
            <w:tcBorders>
              <w:top w:val="nil"/>
              <w:left w:val="nil"/>
              <w:bottom w:val="nil"/>
              <w:right w:val="single" w:color="auto" w:sz="4" w:space="0"/>
            </w:tcBorders>
            <w:shd w:val="pct30" w:color="FFFF00" w:fill="auto"/>
          </w:tcPr>
          <w:p>
            <w:pPr>
              <w:pStyle w:val="112"/>
              <w:spacing w:after="0"/>
              <w:ind w:left="100"/>
              <w:rPr>
                <w:rFonts w:cs="Arial"/>
              </w:rPr>
            </w:pPr>
            <w:r>
              <w:t xml:space="preserve">RRC parameter change from </w:t>
            </w:r>
            <w:r>
              <w:rPr>
                <w:i/>
                <w:iCs/>
                <w:lang w:eastAsia="zh-CN"/>
              </w:rPr>
              <w:t xml:space="preserve">nrof_UTO_UCI </w:t>
            </w:r>
            <w:r>
              <w:rPr>
                <w:lang w:eastAsia="zh-CN"/>
              </w:rPr>
              <w:t>to</w:t>
            </w:r>
            <w:r>
              <w:rPr>
                <w:i/>
                <w:iCs/>
                <w:lang w:eastAsia="zh-CN"/>
              </w:rPr>
              <w:t xml:space="preserve"> </w:t>
            </w:r>
            <w:r>
              <w:rPr>
                <w:i/>
                <w:iCs/>
              </w:rPr>
              <w:t>nrofBitsInUTO-UCI</w:t>
            </w:r>
            <w:r>
              <w:t>.</w:t>
            </w:r>
          </w:p>
        </w:tc>
      </w:tr>
      <w:tr>
        <w:tc>
          <w:tcPr>
            <w:tcW w:w="2694" w:type="dxa"/>
            <w:tcBorders>
              <w:top w:val="nil"/>
              <w:left w:val="single" w:color="auto" w:sz="4" w:space="0"/>
              <w:bottom w:val="nil"/>
              <w:right w:val="nil"/>
            </w:tcBorders>
          </w:tcPr>
          <w:p>
            <w:pPr>
              <w:pStyle w:val="112"/>
              <w:spacing w:after="0"/>
              <w:rPr>
                <w:b/>
                <w:i/>
                <w:sz w:val="8"/>
                <w:szCs w:val="8"/>
              </w:rPr>
            </w:pPr>
          </w:p>
        </w:tc>
        <w:tc>
          <w:tcPr>
            <w:tcW w:w="6946" w:type="dxa"/>
            <w:tcBorders>
              <w:top w:val="nil"/>
              <w:left w:val="nil"/>
              <w:bottom w:val="nil"/>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pStyle w:val="112"/>
              <w:tabs>
                <w:tab w:val="right" w:pos="2184"/>
              </w:tabs>
              <w:spacing w:after="0"/>
              <w:rPr>
                <w:b/>
                <w:i/>
              </w:rPr>
            </w:pPr>
            <w:r>
              <w:rPr>
                <w:b/>
                <w:i/>
              </w:rPr>
              <w:t>Consequences if not approved:</w:t>
            </w:r>
          </w:p>
        </w:tc>
        <w:tc>
          <w:tcPr>
            <w:tcW w:w="6946" w:type="dxa"/>
            <w:tcBorders>
              <w:top w:val="nil"/>
              <w:left w:val="nil"/>
              <w:bottom w:val="single" w:color="auto" w:sz="4" w:space="0"/>
              <w:right w:val="single" w:color="auto" w:sz="4" w:space="0"/>
            </w:tcBorders>
            <w:shd w:val="pct30" w:color="FFFF00" w:fill="auto"/>
          </w:tcPr>
          <w:p>
            <w:pPr>
              <w:pStyle w:val="112"/>
              <w:spacing w:after="0"/>
              <w:ind w:left="100"/>
            </w:pPr>
            <w:r>
              <w:t>Different names for the same RRC parameter in TS 38.331 and TS 38.213</w:t>
            </w:r>
          </w:p>
        </w:tc>
      </w:tr>
    </w:tbl>
    <w:p>
      <w:pPr>
        <w:rPr>
          <w:highlight w:val="cyan"/>
          <w:lang w:val="zh-CN" w:eastAsia="ja-JP"/>
        </w:rPr>
      </w:pPr>
    </w:p>
    <w:tbl>
      <w:tblPr>
        <w:tblStyle w:val="13"/>
        <w:tblW w:w="9645" w:type="dxa"/>
        <w:tblInd w:w="42" w:type="dxa"/>
        <w:tblLayout w:type="fixed"/>
        <w:tblCellMar>
          <w:top w:w="0" w:type="dxa"/>
          <w:left w:w="42" w:type="dxa"/>
          <w:bottom w:w="0" w:type="dxa"/>
          <w:right w:w="42" w:type="dxa"/>
        </w:tblCellMar>
      </w:tblPr>
      <w:tblGrid>
        <w:gridCol w:w="2695"/>
        <w:gridCol w:w="6950"/>
      </w:tblGrid>
      <w:tr>
        <w:tblPrEx>
          <w:tblCellMar>
            <w:top w:w="0" w:type="dxa"/>
            <w:left w:w="42" w:type="dxa"/>
            <w:bottom w:w="0" w:type="dxa"/>
            <w:right w:w="42" w:type="dxa"/>
          </w:tblCellMar>
        </w:tblPrEx>
        <w:tc>
          <w:tcPr>
            <w:tcW w:w="2694" w:type="dxa"/>
            <w:tcBorders>
              <w:top w:val="single" w:color="auto" w:sz="4" w:space="0"/>
              <w:left w:val="single" w:color="auto" w:sz="4" w:space="0"/>
              <w:bottom w:val="nil"/>
              <w:right w:val="nil"/>
            </w:tcBorders>
          </w:tcPr>
          <w:p>
            <w:pPr>
              <w:pStyle w:val="112"/>
              <w:tabs>
                <w:tab w:val="right" w:pos="2184"/>
              </w:tabs>
              <w:spacing w:after="0"/>
              <w:rPr>
                <w:b/>
                <w:i/>
                <w:lang w:eastAsia="en-US"/>
              </w:rPr>
            </w:pPr>
            <w:r>
              <w:rPr>
                <w:b/>
                <w:i/>
              </w:rPr>
              <w:t>Reason for change:</w:t>
            </w:r>
          </w:p>
        </w:tc>
        <w:tc>
          <w:tcPr>
            <w:tcW w:w="6946" w:type="dxa"/>
            <w:tcBorders>
              <w:top w:val="single" w:color="auto" w:sz="4" w:space="0"/>
              <w:left w:val="nil"/>
              <w:bottom w:val="nil"/>
              <w:right w:val="single" w:color="auto" w:sz="4" w:space="0"/>
            </w:tcBorders>
            <w:shd w:val="pct30" w:color="FFFF00" w:fill="auto"/>
          </w:tcPr>
          <w:p>
            <w:pPr>
              <w:pStyle w:val="112"/>
              <w:spacing w:after="0"/>
              <w:ind w:left="100"/>
            </w:pPr>
            <w:r>
              <w:t xml:space="preserve">The parameters names mismatch in Clauses 5.2.3, 6.1, 6.1.2.3. </w:t>
            </w:r>
          </w:p>
          <w:p>
            <w:pPr>
              <w:pStyle w:val="112"/>
              <w:numPr>
                <w:ilvl w:val="0"/>
                <w:numId w:val="23"/>
              </w:numPr>
              <w:spacing w:after="0"/>
            </w:pPr>
            <w:r>
              <w:t xml:space="preserve">RAN2 has chosen the parameter name </w:t>
            </w:r>
            <w:r>
              <w:rPr>
                <w:i/>
                <w:iCs/>
              </w:rPr>
              <w:t>nrofBitsInUTO-UCI</w:t>
            </w:r>
            <w:r>
              <w:t xml:space="preserve"> in their latest version of 38.331, while the current version of TS 38.214 uses </w:t>
            </w:r>
            <w:r>
              <w:rPr>
                <w:i/>
                <w:iCs/>
                <w:lang w:eastAsia="zh-CN"/>
              </w:rPr>
              <w:t>nrof_UTO_UCI.</w:t>
            </w:r>
          </w:p>
          <w:p>
            <w:pPr>
              <w:pStyle w:val="112"/>
              <w:numPr>
                <w:ilvl w:val="0"/>
                <w:numId w:val="23"/>
              </w:numPr>
              <w:spacing w:after="0"/>
            </w:pPr>
            <w:r>
              <w:t xml:space="preserve">RAN2 has chosen the parameter name </w:t>
            </w:r>
            <w:r>
              <w:rPr>
                <w:i/>
                <w:iCs/>
                <w:lang w:val="en-US"/>
              </w:rPr>
              <w:t>nrofSlotsInCG-Period</w:t>
            </w:r>
            <w:r>
              <w:rPr>
                <w:lang w:val="en-US"/>
              </w:rPr>
              <w:t xml:space="preserve"> </w:t>
            </w:r>
            <w:r>
              <w:t xml:space="preserve">in their latest version of 38.331, while the current version of TS 38.214 uses </w:t>
            </w:r>
            <w:r>
              <w:rPr>
                <w:i/>
                <w:iCs/>
                <w:lang w:val="en-US"/>
              </w:rPr>
              <w:t>nrofSlots_InCGperiod</w:t>
            </w:r>
            <w:r>
              <w:rPr>
                <w:i/>
                <w:iCs/>
                <w:lang w:eastAsia="zh-CN"/>
              </w:rPr>
              <w:t>.</w:t>
            </w:r>
          </w:p>
          <w:p>
            <w:pPr>
              <w:pStyle w:val="112"/>
              <w:spacing w:after="0"/>
              <w:ind w:left="720"/>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pStyle w:val="112"/>
              <w:spacing w:after="0"/>
              <w:rPr>
                <w:b/>
                <w:i/>
                <w:sz w:val="8"/>
                <w:szCs w:val="8"/>
              </w:rPr>
            </w:pPr>
          </w:p>
        </w:tc>
        <w:tc>
          <w:tcPr>
            <w:tcW w:w="6946" w:type="dxa"/>
            <w:tcBorders>
              <w:top w:val="nil"/>
              <w:left w:val="nil"/>
              <w:bottom w:val="nil"/>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top w:val="nil"/>
              <w:left w:val="single" w:color="auto" w:sz="4" w:space="0"/>
              <w:bottom w:val="nil"/>
              <w:right w:val="nil"/>
            </w:tcBorders>
          </w:tcPr>
          <w:p>
            <w:pPr>
              <w:pStyle w:val="112"/>
              <w:tabs>
                <w:tab w:val="right" w:pos="2184"/>
              </w:tabs>
              <w:spacing w:after="0"/>
              <w:rPr>
                <w:b/>
                <w:i/>
              </w:rPr>
            </w:pPr>
            <w:r>
              <w:rPr>
                <w:b/>
                <w:i/>
              </w:rPr>
              <w:t>Summary of change:</w:t>
            </w:r>
          </w:p>
        </w:tc>
        <w:tc>
          <w:tcPr>
            <w:tcW w:w="6946" w:type="dxa"/>
            <w:tcBorders>
              <w:top w:val="nil"/>
              <w:left w:val="nil"/>
              <w:bottom w:val="nil"/>
              <w:right w:val="single" w:color="auto" w:sz="4" w:space="0"/>
            </w:tcBorders>
            <w:shd w:val="pct30" w:color="FFFF00" w:fill="auto"/>
          </w:tcPr>
          <w:p>
            <w:pPr>
              <w:pStyle w:val="112"/>
              <w:spacing w:after="0"/>
              <w:ind w:left="100"/>
            </w:pPr>
            <w:r>
              <w:t xml:space="preserve">1) RRC parameter change from </w:t>
            </w:r>
            <w:r>
              <w:rPr>
                <w:i/>
                <w:iCs/>
                <w:lang w:eastAsia="zh-CN"/>
              </w:rPr>
              <w:t xml:space="preserve">nrof_UTO_UCI </w:t>
            </w:r>
            <w:r>
              <w:rPr>
                <w:lang w:eastAsia="zh-CN"/>
              </w:rPr>
              <w:t>to</w:t>
            </w:r>
            <w:r>
              <w:rPr>
                <w:i/>
                <w:iCs/>
                <w:lang w:eastAsia="zh-CN"/>
              </w:rPr>
              <w:t xml:space="preserve"> </w:t>
            </w:r>
            <w:r>
              <w:rPr>
                <w:i/>
                <w:iCs/>
              </w:rPr>
              <w:t>nrofBitsInUTO-UCI</w:t>
            </w:r>
            <w:r>
              <w:t>.</w:t>
            </w:r>
          </w:p>
          <w:p>
            <w:pPr>
              <w:pStyle w:val="112"/>
              <w:spacing w:after="0"/>
              <w:ind w:left="100"/>
              <w:rPr>
                <w:rFonts w:cs="Arial"/>
              </w:rPr>
            </w:pPr>
            <w:r>
              <w:t xml:space="preserve">2) RRC parameter change from </w:t>
            </w:r>
            <w:r>
              <w:rPr>
                <w:i/>
                <w:iCs/>
                <w:lang w:val="en-US"/>
              </w:rPr>
              <w:t xml:space="preserve">nrofSlots_InCGperiod </w:t>
            </w:r>
            <w:r>
              <w:rPr>
                <w:lang w:val="en-US"/>
              </w:rPr>
              <w:t xml:space="preserve">to </w:t>
            </w:r>
            <w:r>
              <w:rPr>
                <w:i/>
                <w:iCs/>
                <w:lang w:val="en-US"/>
              </w:rPr>
              <w:t>nrofSlotsInCG-Period</w:t>
            </w:r>
          </w:p>
        </w:tc>
      </w:tr>
      <w:tr>
        <w:tc>
          <w:tcPr>
            <w:tcW w:w="2694" w:type="dxa"/>
            <w:tcBorders>
              <w:top w:val="nil"/>
              <w:left w:val="single" w:color="auto" w:sz="4" w:space="0"/>
              <w:bottom w:val="nil"/>
              <w:right w:val="nil"/>
            </w:tcBorders>
          </w:tcPr>
          <w:p>
            <w:pPr>
              <w:pStyle w:val="112"/>
              <w:spacing w:after="0"/>
              <w:rPr>
                <w:b/>
                <w:i/>
                <w:sz w:val="8"/>
                <w:szCs w:val="8"/>
              </w:rPr>
            </w:pPr>
          </w:p>
        </w:tc>
        <w:tc>
          <w:tcPr>
            <w:tcW w:w="6946" w:type="dxa"/>
            <w:tcBorders>
              <w:top w:val="nil"/>
              <w:left w:val="nil"/>
              <w:bottom w:val="nil"/>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top w:val="nil"/>
              <w:left w:val="single" w:color="auto" w:sz="4" w:space="0"/>
              <w:bottom w:val="single" w:color="auto" w:sz="4" w:space="0"/>
              <w:right w:val="nil"/>
            </w:tcBorders>
          </w:tcPr>
          <w:p>
            <w:pPr>
              <w:pStyle w:val="112"/>
              <w:tabs>
                <w:tab w:val="right" w:pos="2184"/>
              </w:tabs>
              <w:spacing w:after="0"/>
              <w:rPr>
                <w:b/>
                <w:i/>
              </w:rPr>
            </w:pPr>
            <w:r>
              <w:rPr>
                <w:b/>
                <w:i/>
              </w:rPr>
              <w:t>Consequences if not approved:</w:t>
            </w:r>
          </w:p>
        </w:tc>
        <w:tc>
          <w:tcPr>
            <w:tcW w:w="6946" w:type="dxa"/>
            <w:tcBorders>
              <w:top w:val="nil"/>
              <w:left w:val="nil"/>
              <w:bottom w:val="single" w:color="auto" w:sz="4" w:space="0"/>
              <w:right w:val="single" w:color="auto" w:sz="4" w:space="0"/>
            </w:tcBorders>
            <w:shd w:val="pct30" w:color="FFFF00" w:fill="auto"/>
          </w:tcPr>
          <w:p>
            <w:pPr>
              <w:pStyle w:val="112"/>
              <w:spacing w:after="0"/>
              <w:ind w:left="100"/>
            </w:pPr>
            <w:r>
              <w:t>Different names for the same RRC parameters in TS 38.331 and TS 38.214</w:t>
            </w:r>
          </w:p>
        </w:tc>
      </w:tr>
    </w:tbl>
    <w:p>
      <w:pPr>
        <w:rPr>
          <w:highlight w:val="cyan"/>
          <w:lang w:val="zh-CN" w:eastAsia="ja-JP"/>
        </w:rPr>
      </w:pPr>
    </w:p>
    <w:p>
      <w:r>
        <w:rPr>
          <w:b/>
          <w:bCs/>
          <w:highlight w:val="cyan"/>
        </w:rPr>
        <w:t>Moderator’s observation:</w:t>
      </w:r>
      <w:r>
        <w:t xml:space="preserve"> The names should be corrected to align with 38.331 spec.</w:t>
      </w:r>
    </w:p>
    <w:p>
      <w:pPr>
        <w:pStyle w:val="4"/>
      </w:pPr>
      <w:r>
        <w:t>2.4.1</w:t>
      </w:r>
      <w:r>
        <w:tab/>
      </w:r>
      <w:r>
        <w:t>Initial discussion</w:t>
      </w:r>
    </w:p>
    <w:p>
      <w:pPr>
        <w:rPr>
          <w:lang w:val="en-GB" w:eastAsia="ja-JP"/>
        </w:rPr>
      </w:pPr>
      <w:r>
        <w:rPr>
          <w:b/>
          <w:bCs/>
          <w:lang w:val="en-GB" w:eastAsia="ja-JP"/>
        </w:rPr>
        <w:t>Question:</w:t>
      </w:r>
      <w:r>
        <w:rPr>
          <w:lang w:val="en-GB" w:eastAsia="ja-JP"/>
        </w:rPr>
        <w:t xml:space="preserve"> What is your view about the issues raised above? Do you support adopting the proposed draft CR?</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hint="default"/>
                <w:sz w:val="22"/>
                <w:lang w:val="en-US" w:eastAsia="ja-JP"/>
              </w:rPr>
            </w:pPr>
            <w:r>
              <w:rPr>
                <w:rFonts w:hint="default"/>
                <w:sz w:val="22"/>
                <w:lang w:val="en-US" w:eastAsia="ja-JP"/>
              </w:rPr>
              <w:t>OPPO</w:t>
            </w:r>
          </w:p>
        </w:tc>
        <w:tc>
          <w:tcPr>
            <w:tcW w:w="7791" w:type="dxa"/>
          </w:tcPr>
          <w:p>
            <w:pPr>
              <w:rPr>
                <w:rFonts w:hint="default"/>
                <w:sz w:val="22"/>
                <w:lang w:val="en-US" w:eastAsia="ja-JP"/>
              </w:rPr>
            </w:pPr>
            <w:r>
              <w:rPr>
                <w:rFonts w:hint="default"/>
                <w:sz w:val="22"/>
                <w:lang w:val="en-US" w:eastAsia="ja-JP"/>
              </w:rPr>
              <w:t xml:space="preserve">We agree with the intention. Normally the parameter name alignment between RAN1 spec and RAN2 spec </w:t>
            </w:r>
            <w:bookmarkStart w:id="29" w:name="_GoBack"/>
            <w:bookmarkEnd w:id="29"/>
            <w:r>
              <w:rPr>
                <w:rFonts w:hint="default"/>
                <w:sz w:val="22"/>
                <w:lang w:val="en-US" w:eastAsia="ja-JP"/>
              </w:rPr>
              <w:t xml:space="preserve">is implemented by editor, even without a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rPr>
          <w:lang w:val="en-GB" w:eastAsia="ja-JP"/>
        </w:rPr>
      </w:pPr>
    </w:p>
    <w:p>
      <w:pPr>
        <w:pStyle w:val="2"/>
      </w:pPr>
      <w:r>
        <w:t>3</w:t>
      </w:r>
      <w:r>
        <w:tab/>
      </w:r>
      <w:r>
        <w:t>Conclusion</w:t>
      </w:r>
    </w:p>
    <w:p>
      <w:pPr>
        <w:rPr>
          <w:lang w:val="en-GB" w:eastAsia="ja-JP"/>
        </w:rPr>
      </w:pPr>
      <w:r>
        <w:rPr>
          <w:highlight w:val="yellow"/>
          <w:lang w:val="en-GB" w:eastAsia="ja-JP"/>
        </w:rPr>
        <w:t>TBD</w:t>
      </w:r>
    </w:p>
    <w:p>
      <w:pPr>
        <w:rPr>
          <w:lang w:val="en-GB" w:eastAsia="ja-JP"/>
        </w:rPr>
      </w:pPr>
    </w:p>
    <w:p>
      <w:pPr>
        <w:pStyle w:val="2"/>
        <w:ind w:left="0" w:firstLine="0"/>
        <w:jc w:val="both"/>
      </w:pPr>
      <w:bookmarkStart w:id="21" w:name="_In-sequence_SDU_delivery"/>
      <w:bookmarkEnd w:id="21"/>
      <w:r>
        <w:t>References</w:t>
      </w:r>
    </w:p>
    <w:p>
      <w:pPr>
        <w:pStyle w:val="183"/>
        <w:spacing w:before="120" w:after="120"/>
        <w:rPr>
          <w:rFonts w:ascii="Arial" w:hAnsi="Arial" w:cs="Arial"/>
          <w:sz w:val="20"/>
          <w:szCs w:val="20"/>
          <w:lang w:val="en-GB"/>
        </w:rPr>
      </w:pPr>
      <w:bookmarkStart w:id="22" w:name="_Ref159687762"/>
      <w:r>
        <w:rPr>
          <w:rFonts w:ascii="Arial" w:hAnsi="Arial" w:cs="Arial"/>
          <w:sz w:val="20"/>
          <w:szCs w:val="20"/>
        </w:rPr>
        <w:fldChar w:fldCharType="begin"/>
      </w:r>
      <w:r>
        <w:rPr>
          <w:rFonts w:ascii="Arial" w:hAnsi="Arial" w:cs="Arial"/>
          <w:sz w:val="20"/>
          <w:szCs w:val="20"/>
        </w:rPr>
        <w:instrText xml:space="preserve">HYPERLINK "https://www.3gpp.org/ftp/TSG_RAN/WG1_RL1/TSGR1_116/Docs/R1-2400594.zip"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R1-2400594</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DraftCR on CG-PUSCH grant validation</w:t>
      </w:r>
      <w:r>
        <w:rPr>
          <w:rFonts w:ascii="Arial" w:hAnsi="Arial" w:eastAsia="Times New Roman" w:cs="Arial"/>
          <w:sz w:val="20"/>
          <w:szCs w:val="20"/>
          <w:lang w:eastAsia="zh-CN"/>
        </w:rPr>
        <w:t>; OPPO</w:t>
      </w:r>
      <w:bookmarkEnd w:id="22"/>
    </w:p>
    <w:p>
      <w:pPr>
        <w:pStyle w:val="183"/>
        <w:spacing w:before="120" w:after="120"/>
        <w:rPr>
          <w:rFonts w:ascii="Arial" w:hAnsi="Arial" w:cs="Arial"/>
          <w:sz w:val="20"/>
          <w:szCs w:val="20"/>
          <w:lang w:val="en-GB"/>
        </w:rPr>
      </w:pPr>
      <w:bookmarkStart w:id="23" w:name="_Ref159687772"/>
      <w:r>
        <w:rPr>
          <w:rFonts w:ascii="Arial" w:hAnsi="Arial" w:cs="Arial"/>
          <w:sz w:val="20"/>
          <w:szCs w:val="20"/>
        </w:rPr>
        <w:fldChar w:fldCharType="begin"/>
      </w:r>
      <w:r>
        <w:rPr>
          <w:rFonts w:ascii="Arial" w:hAnsi="Arial" w:cs="Arial"/>
          <w:sz w:val="20"/>
          <w:szCs w:val="20"/>
        </w:rPr>
        <w:instrText xml:space="preserve">HYPERLINK "https://www.3gpp.org/ftp/TSG_RAN/WG1_RL1/TSGR1_116/Docs/R1-2400595.zip"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R1-2400595</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Draft CR on time-domain resource allocation for multi-PUSCH CG configuration</w:t>
      </w:r>
      <w:r>
        <w:rPr>
          <w:rFonts w:ascii="Arial" w:hAnsi="Arial" w:eastAsia="Times New Roman" w:cs="Arial"/>
          <w:sz w:val="20"/>
          <w:szCs w:val="20"/>
          <w:lang w:eastAsia="zh-CN"/>
        </w:rPr>
        <w:t>; OPPO</w:t>
      </w:r>
      <w:bookmarkEnd w:id="23"/>
    </w:p>
    <w:p>
      <w:pPr>
        <w:pStyle w:val="183"/>
        <w:spacing w:before="120" w:after="120"/>
        <w:rPr>
          <w:rFonts w:ascii="Arial" w:hAnsi="Arial" w:cs="Arial"/>
          <w:sz w:val="20"/>
          <w:szCs w:val="20"/>
          <w:lang w:val="en-GB"/>
        </w:rPr>
      </w:pPr>
      <w:bookmarkStart w:id="24" w:name="_Ref159687786"/>
      <w:r>
        <w:rPr>
          <w:rFonts w:ascii="Arial" w:hAnsi="Arial" w:cs="Arial"/>
          <w:sz w:val="20"/>
          <w:szCs w:val="20"/>
        </w:rPr>
        <w:fldChar w:fldCharType="begin"/>
      </w:r>
      <w:r>
        <w:rPr>
          <w:rFonts w:ascii="Arial" w:hAnsi="Arial" w:cs="Arial"/>
          <w:sz w:val="20"/>
          <w:szCs w:val="20"/>
        </w:rPr>
        <w:instrText xml:space="preserve">HYPERLINK "https://www.3gpp.org/ftp/TSG_RAN/WG1_RL1/TSGR1_116/Docs/R1-2401098.zip"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R1-2401098</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Remaining issues on UTO-UCI indication for XR</w:t>
      </w:r>
      <w:r>
        <w:rPr>
          <w:rFonts w:ascii="Arial" w:hAnsi="Arial" w:eastAsia="Times New Roman" w:cs="Arial"/>
          <w:sz w:val="20"/>
          <w:szCs w:val="20"/>
          <w:lang w:eastAsia="zh-CN"/>
        </w:rPr>
        <w:t xml:space="preserve">; </w:t>
      </w:r>
      <w:r>
        <w:rPr>
          <w:rFonts w:ascii="Arial" w:hAnsi="Arial" w:eastAsia="Times New Roman" w:cs="Arial"/>
          <w:sz w:val="20"/>
          <w:szCs w:val="20"/>
          <w:lang w:val="zh-CN" w:eastAsia="zh-CN"/>
        </w:rPr>
        <w:t>NTT DOCOMO, INC.</w:t>
      </w:r>
      <w:bookmarkEnd w:id="24"/>
    </w:p>
    <w:p>
      <w:pPr>
        <w:pStyle w:val="183"/>
        <w:spacing w:before="120" w:after="120"/>
        <w:rPr>
          <w:rFonts w:ascii="Arial" w:hAnsi="Arial" w:cs="Arial"/>
          <w:sz w:val="20"/>
          <w:szCs w:val="20"/>
          <w:lang w:val="en-GB"/>
        </w:rPr>
      </w:pPr>
      <w:bookmarkStart w:id="25" w:name="_Ref159687790"/>
      <w:r>
        <w:rPr>
          <w:rFonts w:ascii="Arial" w:hAnsi="Arial" w:cs="Arial"/>
          <w:sz w:val="20"/>
          <w:szCs w:val="20"/>
        </w:rPr>
        <w:fldChar w:fldCharType="begin"/>
      </w:r>
      <w:r>
        <w:rPr>
          <w:rFonts w:ascii="Arial" w:hAnsi="Arial" w:cs="Arial"/>
          <w:sz w:val="20"/>
          <w:szCs w:val="20"/>
        </w:rPr>
        <w:instrText xml:space="preserve">HYPERLINK "https://www.3gpp.org/ftp/TSG_RAN/WG1_RL1/TSGR1_116/Docs/R1-2401099.zip"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R1-2401099</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Draft CR on UTO-UCI indication for same CG configuration</w:t>
      </w:r>
      <w:r>
        <w:rPr>
          <w:rFonts w:ascii="Arial" w:hAnsi="Arial" w:eastAsia="Times New Roman" w:cs="Arial"/>
          <w:sz w:val="20"/>
          <w:szCs w:val="20"/>
          <w:lang w:eastAsia="zh-CN"/>
        </w:rPr>
        <w:t xml:space="preserve">; </w:t>
      </w:r>
      <w:r>
        <w:rPr>
          <w:rFonts w:ascii="Arial" w:hAnsi="Arial" w:eastAsia="Times New Roman" w:cs="Arial"/>
          <w:sz w:val="20"/>
          <w:szCs w:val="20"/>
          <w:lang w:val="zh-CN" w:eastAsia="zh-CN"/>
        </w:rPr>
        <w:t>NTT DOCOMO, INC.</w:t>
      </w:r>
      <w:bookmarkEnd w:id="25"/>
    </w:p>
    <w:p>
      <w:pPr>
        <w:pStyle w:val="183"/>
        <w:spacing w:before="120" w:after="120"/>
        <w:rPr>
          <w:rFonts w:ascii="Arial" w:hAnsi="Arial" w:cs="Arial"/>
          <w:sz w:val="20"/>
          <w:szCs w:val="20"/>
          <w:lang w:val="en-GB"/>
        </w:rPr>
      </w:pPr>
      <w:bookmarkStart w:id="26" w:name="_Ref159687804"/>
      <w:r>
        <w:rPr>
          <w:rFonts w:ascii="Arial" w:hAnsi="Arial" w:cs="Arial"/>
          <w:sz w:val="20"/>
          <w:szCs w:val="20"/>
        </w:rPr>
        <w:fldChar w:fldCharType="begin"/>
      </w:r>
      <w:r>
        <w:rPr>
          <w:rFonts w:ascii="Arial" w:hAnsi="Arial" w:cs="Arial"/>
          <w:sz w:val="20"/>
          <w:szCs w:val="20"/>
        </w:rPr>
        <w:instrText xml:space="preserve">HYPERLINK "https://www.3gpp.org/ftp/TSG_RAN/WG1_RL1/TSGR1_116/Docs/R1-2401343.zip"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R1-2401343</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Correction of RRC parameter names for XR in TS 38.212</w:t>
      </w:r>
      <w:r>
        <w:rPr>
          <w:rFonts w:ascii="Arial" w:hAnsi="Arial" w:eastAsia="Times New Roman" w:cs="Arial"/>
          <w:sz w:val="20"/>
          <w:szCs w:val="20"/>
          <w:lang w:eastAsia="zh-CN"/>
        </w:rPr>
        <w:t xml:space="preserve">; </w:t>
      </w:r>
      <w:r>
        <w:rPr>
          <w:rFonts w:ascii="Arial" w:hAnsi="Arial" w:eastAsia="Times New Roman" w:cs="Arial"/>
          <w:sz w:val="20"/>
          <w:szCs w:val="20"/>
          <w:lang w:val="zh-CN" w:eastAsia="zh-CN"/>
        </w:rPr>
        <w:t>Nokia, Nokia Shanghai Bell</w:t>
      </w:r>
      <w:bookmarkEnd w:id="26"/>
    </w:p>
    <w:p>
      <w:pPr>
        <w:pStyle w:val="183"/>
        <w:spacing w:before="120" w:after="120"/>
        <w:rPr>
          <w:rFonts w:ascii="Arial" w:hAnsi="Arial" w:cs="Arial"/>
          <w:sz w:val="20"/>
          <w:szCs w:val="20"/>
          <w:lang w:val="en-GB"/>
        </w:rPr>
      </w:pPr>
      <w:bookmarkStart w:id="27" w:name="_Ref159687806"/>
      <w:r>
        <w:rPr>
          <w:rFonts w:ascii="Arial" w:hAnsi="Arial" w:cs="Arial"/>
          <w:sz w:val="20"/>
          <w:szCs w:val="20"/>
        </w:rPr>
        <w:fldChar w:fldCharType="begin"/>
      </w:r>
      <w:r>
        <w:rPr>
          <w:rFonts w:ascii="Arial" w:hAnsi="Arial" w:cs="Arial"/>
          <w:sz w:val="20"/>
          <w:szCs w:val="20"/>
        </w:rPr>
        <w:instrText xml:space="preserve">HYPERLINK "https://www.3gpp.org/ftp/TSG_RAN/WG1_RL1/TSGR1_116/Docs/R1-2401344.zip"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R1-2401344</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Correction of RRC parameter names for XR in TS 38.21</w:t>
      </w:r>
      <w:r>
        <w:rPr>
          <w:rFonts w:ascii="Arial" w:hAnsi="Arial" w:eastAsia="Times New Roman" w:cs="Arial"/>
          <w:sz w:val="20"/>
          <w:szCs w:val="20"/>
          <w:lang w:eastAsia="zh-CN"/>
        </w:rPr>
        <w:t xml:space="preserve">3; </w:t>
      </w:r>
      <w:r>
        <w:rPr>
          <w:rFonts w:ascii="Arial" w:hAnsi="Arial" w:eastAsia="Times New Roman" w:cs="Arial"/>
          <w:sz w:val="20"/>
          <w:szCs w:val="20"/>
          <w:lang w:val="zh-CN" w:eastAsia="zh-CN"/>
        </w:rPr>
        <w:t>Nokia, Nokia Shanghai Bell</w:t>
      </w:r>
      <w:bookmarkEnd w:id="27"/>
    </w:p>
    <w:p>
      <w:pPr>
        <w:pStyle w:val="183"/>
        <w:spacing w:before="120" w:after="120"/>
        <w:rPr>
          <w:rFonts w:ascii="Arial" w:hAnsi="Arial" w:cs="Arial"/>
          <w:sz w:val="20"/>
          <w:szCs w:val="20"/>
          <w:lang w:val="en-GB"/>
        </w:rPr>
      </w:pPr>
      <w:bookmarkStart w:id="28" w:name="_Ref159687808"/>
      <w:r>
        <w:rPr>
          <w:rFonts w:ascii="Arial" w:hAnsi="Arial" w:cs="Arial"/>
          <w:sz w:val="20"/>
          <w:szCs w:val="20"/>
        </w:rPr>
        <w:fldChar w:fldCharType="begin"/>
      </w:r>
      <w:r>
        <w:rPr>
          <w:rFonts w:ascii="Arial" w:hAnsi="Arial" w:cs="Arial"/>
          <w:sz w:val="20"/>
          <w:szCs w:val="20"/>
        </w:rPr>
        <w:instrText xml:space="preserve">HYPERLINK "https://www.3gpp.org/ftp/TSG_RAN/WG1_RL1/TSGR1_116/Docs/R1-2401345.zip"</w:instrText>
      </w:r>
      <w:r>
        <w:rPr>
          <w:rFonts w:ascii="Arial" w:hAnsi="Arial" w:cs="Arial"/>
          <w:sz w:val="20"/>
          <w:szCs w:val="20"/>
        </w:rPr>
        <w:fldChar w:fldCharType="separate"/>
      </w:r>
      <w:r>
        <w:rPr>
          <w:rFonts w:ascii="Arial" w:hAnsi="Arial" w:eastAsia="Times New Roman" w:cs="Arial"/>
          <w:b/>
          <w:bCs/>
          <w:color w:val="0000FF"/>
          <w:sz w:val="20"/>
          <w:szCs w:val="20"/>
          <w:u w:val="single"/>
          <w:lang w:val="zh-CN" w:eastAsia="zh-CN"/>
        </w:rPr>
        <w:t>R1-2401345</w:t>
      </w:r>
      <w:r>
        <w:rPr>
          <w:rFonts w:ascii="Arial" w:hAnsi="Arial" w:eastAsia="Times New Roman" w:cs="Arial"/>
          <w:b/>
          <w:bCs/>
          <w:color w:val="0000FF"/>
          <w:sz w:val="20"/>
          <w:szCs w:val="20"/>
          <w:u w:val="single"/>
          <w:lang w:val="zh-CN" w:eastAsia="zh-CN"/>
        </w:rPr>
        <w:fldChar w:fldCharType="end"/>
      </w:r>
      <w:r>
        <w:rPr>
          <w:rFonts w:ascii="Arial" w:hAnsi="Arial" w:eastAsia="Times New Roman" w:cs="Arial"/>
          <w:color w:val="0000FF"/>
          <w:sz w:val="20"/>
          <w:szCs w:val="20"/>
          <w:lang w:val="zh-CN" w:eastAsia="zh-CN"/>
        </w:rPr>
        <w:tab/>
      </w:r>
      <w:r>
        <w:rPr>
          <w:rFonts w:ascii="Arial" w:hAnsi="Arial" w:eastAsia="Times New Roman" w:cs="Arial"/>
          <w:sz w:val="20"/>
          <w:szCs w:val="20"/>
          <w:lang w:val="zh-CN" w:eastAsia="zh-CN"/>
        </w:rPr>
        <w:t>Correction of RRC parameter names for XR in TS 38.21</w:t>
      </w:r>
      <w:r>
        <w:rPr>
          <w:rFonts w:ascii="Arial" w:hAnsi="Arial" w:eastAsia="Times New Roman" w:cs="Arial"/>
          <w:sz w:val="20"/>
          <w:szCs w:val="20"/>
          <w:lang w:eastAsia="zh-CN"/>
        </w:rPr>
        <w:t xml:space="preserve">4; </w:t>
      </w:r>
      <w:r>
        <w:rPr>
          <w:rFonts w:ascii="Arial" w:hAnsi="Arial" w:eastAsia="Times New Roman" w:cs="Arial"/>
          <w:sz w:val="20"/>
          <w:szCs w:val="20"/>
          <w:lang w:val="zh-CN" w:eastAsia="zh-CN"/>
        </w:rPr>
        <w:t>Nokia, Nokia Shanghai Bell</w:t>
      </w:r>
      <w:bookmarkEnd w:id="28"/>
    </w:p>
    <w:p>
      <w:pPr>
        <w:rPr>
          <w:lang w:val="en-GB" w:eastAsia="ja-JP"/>
        </w:rPr>
      </w:pPr>
    </w:p>
    <w:sectPr>
      <w:footnotePr>
        <w:numRestart w:val="eachSect"/>
      </w:footnotePr>
      <w:pgSz w:w="11907" w:h="16840"/>
      <w:pgMar w:top="1134" w:right="1134" w:bottom="1418"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Arial"/>
    <w:panose1 w:val="00000000000000000000"/>
    <w:charset w:val="00"/>
    <w:family w:val="roman"/>
    <w:pitch w:val="default"/>
    <w:sig w:usb0="00000000" w:usb1="00000000" w:usb2="00000000" w:usb3="00000000" w:csb0="00000000"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2"/>
    <w:family w:val="roman"/>
    <w:pitch w:val="default"/>
    <w:sig w:usb0="00000000" w:usb1="00000000" w:usb2="00000000" w:usb3="00000000" w:csb0="80000000" w:csb1="00000000"/>
  </w:font>
  <w:font w:name="游明朝">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S Mincho">
    <w:altName w:val="Times New Roman"/>
    <w:panose1 w:val="02020609040205080304"/>
    <w:charset w:val="80"/>
    <w:family w:val="modern"/>
    <w:pitch w:val="default"/>
    <w:sig w:usb0="00000000" w:usb1="00000000" w:usb2="08000012" w:usb3="00000000" w:csb0="0002009F" w:csb1="00000000"/>
  </w:font>
  <w:font w:name="Batang">
    <w:altName w:val="Times New Roman"/>
    <w:panose1 w:val="02030600000101010101"/>
    <w:charset w:val="81"/>
    <w:family w:val="roman"/>
    <w:pitch w:val="default"/>
    <w:sig w:usb0="00000000" w:usb1="00000000" w:usb2="00000030" w:usb3="00000000" w:csb0="0008009F" w:csb1="00000000"/>
  </w:font>
  <w:font w:name="Malgun Gothic">
    <w:altName w:val="Times New Roman"/>
    <w:panose1 w:val="020B0503020000020004"/>
    <w:charset w:val="81"/>
    <w:family w:val="swiss"/>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DengXian">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4B193"/>
    <w:multiLevelType w:val="singleLevel"/>
    <w:tmpl w:val="AB34B193"/>
    <w:lvl w:ilvl="0" w:tentative="0">
      <w:start w:val="1"/>
      <w:numFmt w:val="decimal"/>
      <w:pStyle w:val="180"/>
      <w:lvlText w:val="Observation %1: "/>
      <w:lvlJc w:val="left"/>
      <w:pPr>
        <w:tabs>
          <w:tab w:val="left" w:pos="0"/>
        </w:tabs>
        <w:ind w:left="0" w:firstLine="0"/>
      </w:pPr>
      <w:rPr>
        <w:rFonts w:hint="default" w:ascii="Times New Roman" w:hAnsi="Times New Roman" w:eastAsia="SimSun" w:cs="Times New Roman"/>
        <w:b/>
        <w:bCs/>
        <w:i/>
        <w:iCs/>
        <w:lang w:val="en-US"/>
      </w:rPr>
    </w:lvl>
  </w:abstractNum>
  <w:abstractNum w:abstractNumId="1">
    <w:nsid w:val="BD0CA652"/>
    <w:multiLevelType w:val="multilevel"/>
    <w:tmpl w:val="BD0CA652"/>
    <w:lvl w:ilvl="0" w:tentative="0">
      <w:start w:val="1"/>
      <w:numFmt w:val="decimal"/>
      <w:pStyle w:val="178"/>
      <w:lvlText w:val="Proposal %1:"/>
      <w:lvlJc w:val="left"/>
      <w:pPr>
        <w:tabs>
          <w:tab w:val="left" w:pos="0"/>
        </w:tabs>
        <w:ind w:left="0" w:firstLine="0"/>
      </w:pPr>
      <w:rPr>
        <w:rFonts w:hint="default" w:ascii="Times New Roman" w:hAnsi="Times New Roman" w:eastAsia="SimSun" w:cs="Times New Roman"/>
        <w:b/>
        <w:bCs/>
        <w:i/>
        <w:iCs/>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2">
    <w:nsid w:val="FCA68AE8"/>
    <w:multiLevelType w:val="singleLevel"/>
    <w:tmpl w:val="FCA68AE8"/>
    <w:lvl w:ilvl="0" w:tentative="0">
      <w:start w:val="1"/>
      <w:numFmt w:val="bullet"/>
      <w:lvlText w:val=""/>
      <w:lvlJc w:val="left"/>
      <w:pPr>
        <w:tabs>
          <w:tab w:val="left" w:pos="420"/>
        </w:tabs>
        <w:ind w:left="420" w:hanging="420"/>
      </w:pPr>
      <w:rPr>
        <w:rFonts w:hint="default" w:ascii="Wingdings" w:hAnsi="Wingdings"/>
      </w:rPr>
    </w:lvl>
  </w:abstractNum>
  <w:abstractNum w:abstractNumId="3">
    <w:nsid w:val="FDF70D6B"/>
    <w:multiLevelType w:val="singleLevel"/>
    <w:tmpl w:val="FDF70D6B"/>
    <w:lvl w:ilvl="0" w:tentative="0">
      <w:start w:val="1"/>
      <w:numFmt w:val="decimal"/>
      <w:suff w:val="space"/>
      <w:lvlText w:val="%1)"/>
      <w:lvlJc w:val="left"/>
    </w:lvl>
  </w:abstractNum>
  <w:abstractNum w:abstractNumId="4">
    <w:nsid w:val="FFFFFF7E"/>
    <w:multiLevelType w:val="singleLevel"/>
    <w:tmpl w:val="FFFFFF7E"/>
    <w:lvl w:ilvl="0" w:tentative="0">
      <w:start w:val="1"/>
      <w:numFmt w:val="lowerRoman"/>
      <w:pStyle w:val="46"/>
      <w:lvlText w:val="%1."/>
      <w:lvlJc w:val="right"/>
      <w:pPr>
        <w:ind w:left="926" w:hanging="360"/>
      </w:pPr>
    </w:lvl>
  </w:abstractNum>
  <w:abstractNum w:abstractNumId="5">
    <w:nsid w:val="FFFFFF83"/>
    <w:multiLevelType w:val="singleLevel"/>
    <w:tmpl w:val="FFFFFF83"/>
    <w:lvl w:ilvl="0" w:tentative="0">
      <w:start w:val="1"/>
      <w:numFmt w:val="bullet"/>
      <w:pStyle w:val="38"/>
      <w:lvlText w:val=""/>
      <w:lvlJc w:val="left"/>
      <w:pPr>
        <w:tabs>
          <w:tab w:val="left" w:pos="643"/>
        </w:tabs>
        <w:ind w:left="643" w:hanging="360"/>
      </w:pPr>
      <w:rPr>
        <w:rFonts w:hint="default" w:ascii="Symbol" w:hAnsi="Symbol"/>
      </w:rPr>
    </w:lvl>
  </w:abstractNum>
  <w:abstractNum w:abstractNumId="6">
    <w:nsid w:val="0F847706"/>
    <w:multiLevelType w:val="multilevel"/>
    <w:tmpl w:val="0F847706"/>
    <w:lvl w:ilvl="0" w:tentative="0">
      <w:start w:val="1"/>
      <w:numFmt w:val="bullet"/>
      <w:pStyle w:val="40"/>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7">
    <w:nsid w:val="17A65F20"/>
    <w:multiLevelType w:val="multilevel"/>
    <w:tmpl w:val="17A65F20"/>
    <w:lvl w:ilvl="0" w:tentative="0">
      <w:start w:val="1"/>
      <w:numFmt w:val="decimal"/>
      <w:lvlText w:val="%1．"/>
      <w:lvlJc w:val="left"/>
      <w:pPr>
        <w:ind w:left="4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5A7442"/>
    <w:multiLevelType w:val="multilevel"/>
    <w:tmpl w:val="275A7442"/>
    <w:lvl w:ilvl="0" w:tentative="0">
      <w:start w:val="1"/>
      <w:numFmt w:val="bullet"/>
      <w:pStyle w:val="3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9">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EA44FF"/>
    <w:multiLevelType w:val="multilevel"/>
    <w:tmpl w:val="33EA44FF"/>
    <w:lvl w:ilvl="0" w:tentative="0">
      <w:start w:val="1"/>
      <w:numFmt w:val="decimal"/>
      <w:pStyle w:val="4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12">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55ADF26A"/>
    <w:multiLevelType w:val="singleLevel"/>
    <w:tmpl w:val="55ADF26A"/>
    <w:lvl w:ilvl="0" w:tentative="0">
      <w:start w:val="1"/>
      <w:numFmt w:val="decimal"/>
      <w:lvlText w:val="%1."/>
      <w:lvlJc w:val="left"/>
      <w:pPr>
        <w:tabs>
          <w:tab w:val="left" w:pos="425"/>
        </w:tabs>
        <w:ind w:left="425" w:hanging="425"/>
      </w:pPr>
      <w:rPr>
        <w:rFonts w:hint="default"/>
      </w:rPr>
    </w:lvl>
  </w:abstractNum>
  <w:abstractNum w:abstractNumId="17">
    <w:nsid w:val="5BDE1D10"/>
    <w:multiLevelType w:val="multilevel"/>
    <w:tmpl w:val="5BDE1D10"/>
    <w:lvl w:ilvl="0" w:tentative="0">
      <w:start w:val="1"/>
      <w:numFmt w:val="bullet"/>
      <w:pStyle w:val="3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5C237AE5"/>
    <w:multiLevelType w:val="multilevel"/>
    <w:tmpl w:val="5C237A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F1912B1"/>
    <w:multiLevelType w:val="multilevel"/>
    <w:tmpl w:val="5F1912B1"/>
    <w:lvl w:ilvl="0" w:tentative="0">
      <w:start w:val="1"/>
      <w:numFmt w:val="bullet"/>
      <w:pStyle w:val="188"/>
      <w:lvlText w:val=""/>
      <w:lvlJc w:val="left"/>
      <w:pPr>
        <w:ind w:left="720" w:hanging="360"/>
      </w:pPr>
      <w:rPr>
        <w:rFonts w:hint="default" w:ascii="Symbol" w:hAnsi="Symbol"/>
      </w:rPr>
    </w:lvl>
    <w:lvl w:ilvl="1" w:tentative="0">
      <w:start w:val="1"/>
      <w:numFmt w:val="bullet"/>
      <w:pStyle w:val="189"/>
      <w:lvlText w:val="o"/>
      <w:lvlJc w:val="left"/>
      <w:pPr>
        <w:ind w:left="1440" w:hanging="360"/>
      </w:pPr>
      <w:rPr>
        <w:rFonts w:hint="default" w:ascii="Courier New" w:hAnsi="Courier New" w:cs="Courier New"/>
      </w:rPr>
    </w:lvl>
    <w:lvl w:ilvl="2" w:tentative="0">
      <w:start w:val="1"/>
      <w:numFmt w:val="bullet"/>
      <w:pStyle w:val="190"/>
      <w:lvlText w:val=""/>
      <w:lvlJc w:val="left"/>
      <w:pPr>
        <w:ind w:left="2160" w:hanging="360"/>
      </w:pPr>
      <w:rPr>
        <w:rFonts w:hint="default" w:ascii="Wingdings" w:hAnsi="Wingdings"/>
      </w:rPr>
    </w:lvl>
    <w:lvl w:ilvl="3" w:tentative="0">
      <w:start w:val="1"/>
      <w:numFmt w:val="bullet"/>
      <w:pStyle w:val="191"/>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4C234E"/>
    <w:multiLevelType w:val="multilevel"/>
    <w:tmpl w:val="6E4C234E"/>
    <w:lvl w:ilvl="0" w:tentative="0">
      <w:start w:val="1"/>
      <w:numFmt w:val="lowerLetter"/>
      <w:pStyle w:val="4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4FF1CEA"/>
    <w:multiLevelType w:val="multilevel"/>
    <w:tmpl w:val="74FF1CEA"/>
    <w:lvl w:ilvl="0" w:tentative="0">
      <w:start w:val="1"/>
      <w:numFmt w:val="bullet"/>
      <w:pStyle w:val="41"/>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BEB4332"/>
    <w:multiLevelType w:val="singleLevel"/>
    <w:tmpl w:val="7BEB4332"/>
    <w:lvl w:ilvl="0" w:tentative="0">
      <w:start w:val="2"/>
      <w:numFmt w:val="decimal"/>
      <w:suff w:val="space"/>
      <w:lvlText w:val="%1)"/>
      <w:lvlJc w:val="left"/>
    </w:lvl>
  </w:abstractNum>
  <w:num w:numId="1">
    <w:abstractNumId w:val="17"/>
  </w:num>
  <w:num w:numId="2">
    <w:abstractNumId w:val="5"/>
  </w:num>
  <w:num w:numId="3">
    <w:abstractNumId w:val="8"/>
  </w:num>
  <w:num w:numId="4">
    <w:abstractNumId w:val="6"/>
  </w:num>
  <w:num w:numId="5">
    <w:abstractNumId w:val="21"/>
  </w:num>
  <w:num w:numId="6">
    <w:abstractNumId w:val="10"/>
  </w:num>
  <w:num w:numId="7">
    <w:abstractNumId w:val="20"/>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15"/>
  </w:num>
  <w:num w:numId="13">
    <w:abstractNumId w:val="1"/>
  </w:num>
  <w:num w:numId="14">
    <w:abstractNumId w:val="0"/>
  </w:num>
  <w:num w:numId="15">
    <w:abstractNumId w:val="11"/>
  </w:num>
  <w:num w:numId="16">
    <w:abstractNumId w:val="19"/>
  </w:num>
  <w:num w:numId="17">
    <w:abstractNumId w:val="9"/>
  </w:num>
  <w:num w:numId="18">
    <w:abstractNumId w:val="2"/>
  </w:num>
  <w:num w:numId="19">
    <w:abstractNumId w:val="16"/>
  </w:num>
  <w:num w:numId="20">
    <w:abstractNumId w:val="7"/>
  </w:num>
  <w:num w:numId="21">
    <w:abstractNumId w:val="3"/>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5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0F3"/>
    <w:rsid w:val="0000414D"/>
    <w:rsid w:val="00004177"/>
    <w:rsid w:val="00004178"/>
    <w:rsid w:val="00004357"/>
    <w:rsid w:val="00004428"/>
    <w:rsid w:val="0000459A"/>
    <w:rsid w:val="000045E9"/>
    <w:rsid w:val="00004619"/>
    <w:rsid w:val="00004707"/>
    <w:rsid w:val="00004843"/>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76E"/>
    <w:rsid w:val="00006896"/>
    <w:rsid w:val="00006930"/>
    <w:rsid w:val="000069A9"/>
    <w:rsid w:val="00006CB8"/>
    <w:rsid w:val="00006CDE"/>
    <w:rsid w:val="00006D01"/>
    <w:rsid w:val="00006D08"/>
    <w:rsid w:val="00006D3B"/>
    <w:rsid w:val="00006D8F"/>
    <w:rsid w:val="00006E87"/>
    <w:rsid w:val="00007172"/>
    <w:rsid w:val="0000722C"/>
    <w:rsid w:val="0000731A"/>
    <w:rsid w:val="000074C6"/>
    <w:rsid w:val="0000751F"/>
    <w:rsid w:val="00007533"/>
    <w:rsid w:val="000075A5"/>
    <w:rsid w:val="00007748"/>
    <w:rsid w:val="0000778D"/>
    <w:rsid w:val="0000788E"/>
    <w:rsid w:val="00007A4E"/>
    <w:rsid w:val="00007C71"/>
    <w:rsid w:val="00007CA0"/>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1DE"/>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7C6"/>
    <w:rsid w:val="00012843"/>
    <w:rsid w:val="00012871"/>
    <w:rsid w:val="000128E9"/>
    <w:rsid w:val="00012929"/>
    <w:rsid w:val="00012979"/>
    <w:rsid w:val="000129AF"/>
    <w:rsid w:val="000129E7"/>
    <w:rsid w:val="00012FAA"/>
    <w:rsid w:val="00013001"/>
    <w:rsid w:val="00013176"/>
    <w:rsid w:val="0001328F"/>
    <w:rsid w:val="0001331C"/>
    <w:rsid w:val="000133A7"/>
    <w:rsid w:val="000134AB"/>
    <w:rsid w:val="000134C4"/>
    <w:rsid w:val="0001359E"/>
    <w:rsid w:val="000136F8"/>
    <w:rsid w:val="00013781"/>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BB4"/>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364"/>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957"/>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8BE"/>
    <w:rsid w:val="000359F3"/>
    <w:rsid w:val="00035BCE"/>
    <w:rsid w:val="00035CC1"/>
    <w:rsid w:val="00035D66"/>
    <w:rsid w:val="00035EDF"/>
    <w:rsid w:val="00035FB9"/>
    <w:rsid w:val="00036214"/>
    <w:rsid w:val="000362D8"/>
    <w:rsid w:val="000362F1"/>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B6B"/>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029"/>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766"/>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E26"/>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3F71"/>
    <w:rsid w:val="00053FD1"/>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1FB9"/>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0A4"/>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836"/>
    <w:rsid w:val="00070904"/>
    <w:rsid w:val="0007099D"/>
    <w:rsid w:val="00070AA4"/>
    <w:rsid w:val="00070BE5"/>
    <w:rsid w:val="0007109A"/>
    <w:rsid w:val="00071246"/>
    <w:rsid w:val="0007133C"/>
    <w:rsid w:val="0007134E"/>
    <w:rsid w:val="00071435"/>
    <w:rsid w:val="000714DD"/>
    <w:rsid w:val="000717A5"/>
    <w:rsid w:val="00071AB7"/>
    <w:rsid w:val="00071B57"/>
    <w:rsid w:val="00071EAC"/>
    <w:rsid w:val="00071EBC"/>
    <w:rsid w:val="00072348"/>
    <w:rsid w:val="00072353"/>
    <w:rsid w:val="0007237D"/>
    <w:rsid w:val="00072495"/>
    <w:rsid w:val="00072667"/>
    <w:rsid w:val="00072762"/>
    <w:rsid w:val="0007281B"/>
    <w:rsid w:val="00072914"/>
    <w:rsid w:val="0007293A"/>
    <w:rsid w:val="00072A1F"/>
    <w:rsid w:val="00072A76"/>
    <w:rsid w:val="00072BCB"/>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58B"/>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E97"/>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ABD"/>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3E"/>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37F"/>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DE0"/>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BD"/>
    <w:rsid w:val="000A06DF"/>
    <w:rsid w:val="000A08A9"/>
    <w:rsid w:val="000A08AA"/>
    <w:rsid w:val="000A0968"/>
    <w:rsid w:val="000A0A94"/>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88C"/>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8A7"/>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6C9"/>
    <w:rsid w:val="000C27DC"/>
    <w:rsid w:val="000C2996"/>
    <w:rsid w:val="000C2B18"/>
    <w:rsid w:val="000C2C00"/>
    <w:rsid w:val="000C2D14"/>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32D"/>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A67"/>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6B"/>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9F2"/>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571"/>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27"/>
    <w:rsid w:val="000D5795"/>
    <w:rsid w:val="000D58F2"/>
    <w:rsid w:val="000D592C"/>
    <w:rsid w:val="000D5961"/>
    <w:rsid w:val="000D5A19"/>
    <w:rsid w:val="000D5A7D"/>
    <w:rsid w:val="000D5A9B"/>
    <w:rsid w:val="000D5C1E"/>
    <w:rsid w:val="000D5C67"/>
    <w:rsid w:val="000D5D2F"/>
    <w:rsid w:val="000D61CD"/>
    <w:rsid w:val="000D6245"/>
    <w:rsid w:val="000D655D"/>
    <w:rsid w:val="000D6732"/>
    <w:rsid w:val="000D6980"/>
    <w:rsid w:val="000D6BD7"/>
    <w:rsid w:val="000D6CAD"/>
    <w:rsid w:val="000D6DE3"/>
    <w:rsid w:val="000D6E59"/>
    <w:rsid w:val="000D6E76"/>
    <w:rsid w:val="000D6EB5"/>
    <w:rsid w:val="000D6EFB"/>
    <w:rsid w:val="000D709E"/>
    <w:rsid w:val="000D70E4"/>
    <w:rsid w:val="000D7205"/>
    <w:rsid w:val="000D72F9"/>
    <w:rsid w:val="000D73DC"/>
    <w:rsid w:val="000D74BD"/>
    <w:rsid w:val="000D75FA"/>
    <w:rsid w:val="000D76A3"/>
    <w:rsid w:val="000D77CD"/>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A7F"/>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08"/>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89"/>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058"/>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9D"/>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CDA"/>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8E6"/>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B9F"/>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7BA"/>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513"/>
    <w:rsid w:val="00107611"/>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AC"/>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6F"/>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B20"/>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82D"/>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6D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89"/>
    <w:rsid w:val="00136ED0"/>
    <w:rsid w:val="00136FBF"/>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BD8"/>
    <w:rsid w:val="00143CF9"/>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BB9"/>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7C"/>
    <w:rsid w:val="00154EF3"/>
    <w:rsid w:val="00154F43"/>
    <w:rsid w:val="00154FC7"/>
    <w:rsid w:val="0015504E"/>
    <w:rsid w:val="001551B5"/>
    <w:rsid w:val="00155211"/>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4FA"/>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3E60"/>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5F81"/>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5A"/>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566"/>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A7"/>
    <w:rsid w:val="001807B7"/>
    <w:rsid w:val="00180810"/>
    <w:rsid w:val="00180870"/>
    <w:rsid w:val="001808BD"/>
    <w:rsid w:val="00180AE4"/>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76"/>
    <w:rsid w:val="001822BF"/>
    <w:rsid w:val="0018231F"/>
    <w:rsid w:val="00182385"/>
    <w:rsid w:val="001823E8"/>
    <w:rsid w:val="001825C9"/>
    <w:rsid w:val="00182721"/>
    <w:rsid w:val="0018275C"/>
    <w:rsid w:val="00182963"/>
    <w:rsid w:val="0018297F"/>
    <w:rsid w:val="001829DF"/>
    <w:rsid w:val="001829E2"/>
    <w:rsid w:val="00182BA1"/>
    <w:rsid w:val="00182D08"/>
    <w:rsid w:val="00182DFD"/>
    <w:rsid w:val="00182E53"/>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5D1"/>
    <w:rsid w:val="001846A9"/>
    <w:rsid w:val="00184865"/>
    <w:rsid w:val="00184B75"/>
    <w:rsid w:val="00184BC0"/>
    <w:rsid w:val="00184C18"/>
    <w:rsid w:val="00184FEC"/>
    <w:rsid w:val="001850C3"/>
    <w:rsid w:val="001851DD"/>
    <w:rsid w:val="00185210"/>
    <w:rsid w:val="00185298"/>
    <w:rsid w:val="001853DA"/>
    <w:rsid w:val="0018544B"/>
    <w:rsid w:val="00185601"/>
    <w:rsid w:val="001857D9"/>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44"/>
    <w:rsid w:val="001920B9"/>
    <w:rsid w:val="00192159"/>
    <w:rsid w:val="0019218F"/>
    <w:rsid w:val="00192216"/>
    <w:rsid w:val="00192415"/>
    <w:rsid w:val="00192468"/>
    <w:rsid w:val="0019247B"/>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53C"/>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4FF"/>
    <w:rsid w:val="001A36EF"/>
    <w:rsid w:val="001A3715"/>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B5D"/>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DB2"/>
    <w:rsid w:val="001A6F35"/>
    <w:rsid w:val="001A6F50"/>
    <w:rsid w:val="001A705F"/>
    <w:rsid w:val="001A710A"/>
    <w:rsid w:val="001A7285"/>
    <w:rsid w:val="001A7371"/>
    <w:rsid w:val="001A73D9"/>
    <w:rsid w:val="001A7527"/>
    <w:rsid w:val="001A7530"/>
    <w:rsid w:val="001A76A3"/>
    <w:rsid w:val="001A770D"/>
    <w:rsid w:val="001A7753"/>
    <w:rsid w:val="001A782B"/>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A0"/>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58"/>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362"/>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19C"/>
    <w:rsid w:val="001C0365"/>
    <w:rsid w:val="001C036D"/>
    <w:rsid w:val="001C0554"/>
    <w:rsid w:val="001C07A8"/>
    <w:rsid w:val="001C07B9"/>
    <w:rsid w:val="001C08E5"/>
    <w:rsid w:val="001C0A03"/>
    <w:rsid w:val="001C0A1A"/>
    <w:rsid w:val="001C1281"/>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8F"/>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1C5"/>
    <w:rsid w:val="001D1296"/>
    <w:rsid w:val="001D1990"/>
    <w:rsid w:val="001D1BC7"/>
    <w:rsid w:val="001D1D9B"/>
    <w:rsid w:val="001D1F39"/>
    <w:rsid w:val="001D207B"/>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8A6"/>
    <w:rsid w:val="001D6A53"/>
    <w:rsid w:val="001D6AF9"/>
    <w:rsid w:val="001D6B41"/>
    <w:rsid w:val="001D6B9A"/>
    <w:rsid w:val="001D6C99"/>
    <w:rsid w:val="001D6D53"/>
    <w:rsid w:val="001D6E1B"/>
    <w:rsid w:val="001D71C8"/>
    <w:rsid w:val="001D73B2"/>
    <w:rsid w:val="001D7420"/>
    <w:rsid w:val="001D7432"/>
    <w:rsid w:val="001D7469"/>
    <w:rsid w:val="001D7553"/>
    <w:rsid w:val="001D7643"/>
    <w:rsid w:val="001D785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DBB"/>
    <w:rsid w:val="001E14F2"/>
    <w:rsid w:val="001E163D"/>
    <w:rsid w:val="001E1705"/>
    <w:rsid w:val="001E18B8"/>
    <w:rsid w:val="001E18FF"/>
    <w:rsid w:val="001E19A8"/>
    <w:rsid w:val="001E1A24"/>
    <w:rsid w:val="001E1A2A"/>
    <w:rsid w:val="001E1B39"/>
    <w:rsid w:val="001E1B66"/>
    <w:rsid w:val="001E1BDA"/>
    <w:rsid w:val="001E1CAB"/>
    <w:rsid w:val="001E1D1E"/>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C2D"/>
    <w:rsid w:val="001E5D88"/>
    <w:rsid w:val="001E5E45"/>
    <w:rsid w:val="001E5F90"/>
    <w:rsid w:val="001E63AB"/>
    <w:rsid w:val="001E6486"/>
    <w:rsid w:val="001E65D5"/>
    <w:rsid w:val="001E6707"/>
    <w:rsid w:val="001E6922"/>
    <w:rsid w:val="001E6CCD"/>
    <w:rsid w:val="001E6CFB"/>
    <w:rsid w:val="001E6D81"/>
    <w:rsid w:val="001E7159"/>
    <w:rsid w:val="001E7252"/>
    <w:rsid w:val="001E7324"/>
    <w:rsid w:val="001E7466"/>
    <w:rsid w:val="001E7487"/>
    <w:rsid w:val="001E767F"/>
    <w:rsid w:val="001E7794"/>
    <w:rsid w:val="001E78DF"/>
    <w:rsid w:val="001E7991"/>
    <w:rsid w:val="001E7A3C"/>
    <w:rsid w:val="001E7AED"/>
    <w:rsid w:val="001E7C72"/>
    <w:rsid w:val="001E7D16"/>
    <w:rsid w:val="001E7E6D"/>
    <w:rsid w:val="001F0008"/>
    <w:rsid w:val="001F0045"/>
    <w:rsid w:val="001F0453"/>
    <w:rsid w:val="001F0456"/>
    <w:rsid w:val="001F04D2"/>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A20"/>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727"/>
    <w:rsid w:val="001F6A27"/>
    <w:rsid w:val="001F6AD0"/>
    <w:rsid w:val="001F6E87"/>
    <w:rsid w:val="001F6F32"/>
    <w:rsid w:val="001F7074"/>
    <w:rsid w:val="001F70D0"/>
    <w:rsid w:val="001F7162"/>
    <w:rsid w:val="001F7177"/>
    <w:rsid w:val="001F719D"/>
    <w:rsid w:val="001F719F"/>
    <w:rsid w:val="001F7274"/>
    <w:rsid w:val="001F7359"/>
    <w:rsid w:val="001F7387"/>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A2C"/>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96E"/>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72"/>
    <w:rsid w:val="00213AAA"/>
    <w:rsid w:val="00213BF2"/>
    <w:rsid w:val="00213C77"/>
    <w:rsid w:val="00213CA3"/>
    <w:rsid w:val="00213F65"/>
    <w:rsid w:val="00213FB0"/>
    <w:rsid w:val="00213FCC"/>
    <w:rsid w:val="002140FE"/>
    <w:rsid w:val="0021411D"/>
    <w:rsid w:val="002141AE"/>
    <w:rsid w:val="002141BF"/>
    <w:rsid w:val="002142C1"/>
    <w:rsid w:val="002143C3"/>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01"/>
    <w:rsid w:val="00221B32"/>
    <w:rsid w:val="00221BBF"/>
    <w:rsid w:val="00221C13"/>
    <w:rsid w:val="00221CA7"/>
    <w:rsid w:val="00221E5A"/>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11"/>
    <w:rsid w:val="00223278"/>
    <w:rsid w:val="00223565"/>
    <w:rsid w:val="00223648"/>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8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19"/>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259"/>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252"/>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934"/>
    <w:rsid w:val="00235AD7"/>
    <w:rsid w:val="00235AE8"/>
    <w:rsid w:val="00235C19"/>
    <w:rsid w:val="00235F18"/>
    <w:rsid w:val="0023605C"/>
    <w:rsid w:val="0023615B"/>
    <w:rsid w:val="002361DA"/>
    <w:rsid w:val="002362A0"/>
    <w:rsid w:val="0023661C"/>
    <w:rsid w:val="0023668F"/>
    <w:rsid w:val="002367A5"/>
    <w:rsid w:val="00236844"/>
    <w:rsid w:val="0023688C"/>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DB2"/>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BAA"/>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272"/>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9AB"/>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89"/>
    <w:rsid w:val="00250FA8"/>
    <w:rsid w:val="002511CE"/>
    <w:rsid w:val="0025122C"/>
    <w:rsid w:val="002512DF"/>
    <w:rsid w:val="0025136C"/>
    <w:rsid w:val="00251429"/>
    <w:rsid w:val="00251782"/>
    <w:rsid w:val="00251966"/>
    <w:rsid w:val="0025197F"/>
    <w:rsid w:val="002519D4"/>
    <w:rsid w:val="002519E5"/>
    <w:rsid w:val="002519F5"/>
    <w:rsid w:val="00251B3B"/>
    <w:rsid w:val="00251D0D"/>
    <w:rsid w:val="00251DB5"/>
    <w:rsid w:val="00251F05"/>
    <w:rsid w:val="00251F24"/>
    <w:rsid w:val="0025219B"/>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E2D"/>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26"/>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60"/>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5AC"/>
    <w:rsid w:val="0027160C"/>
    <w:rsid w:val="00271678"/>
    <w:rsid w:val="002716E2"/>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EA6"/>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C52"/>
    <w:rsid w:val="00274E92"/>
    <w:rsid w:val="00274EC0"/>
    <w:rsid w:val="00274EC9"/>
    <w:rsid w:val="00274ECA"/>
    <w:rsid w:val="00274F82"/>
    <w:rsid w:val="00274FDB"/>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9C0"/>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7EB"/>
    <w:rsid w:val="0028488F"/>
    <w:rsid w:val="002848FF"/>
    <w:rsid w:val="0028492E"/>
    <w:rsid w:val="00284B8E"/>
    <w:rsid w:val="00284CA6"/>
    <w:rsid w:val="00284D06"/>
    <w:rsid w:val="00284D99"/>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340"/>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07"/>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3F0"/>
    <w:rsid w:val="002A2437"/>
    <w:rsid w:val="002A25BA"/>
    <w:rsid w:val="002A2754"/>
    <w:rsid w:val="002A2817"/>
    <w:rsid w:val="002A2835"/>
    <w:rsid w:val="002A2869"/>
    <w:rsid w:val="002A28BF"/>
    <w:rsid w:val="002A2918"/>
    <w:rsid w:val="002A2DFC"/>
    <w:rsid w:val="002A2FA6"/>
    <w:rsid w:val="002A31D9"/>
    <w:rsid w:val="002A339E"/>
    <w:rsid w:val="002A350E"/>
    <w:rsid w:val="002A35AE"/>
    <w:rsid w:val="002A3658"/>
    <w:rsid w:val="002A37A7"/>
    <w:rsid w:val="002A38E8"/>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7F"/>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1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13A"/>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9A1"/>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147"/>
    <w:rsid w:val="002C23C8"/>
    <w:rsid w:val="002C245E"/>
    <w:rsid w:val="002C2488"/>
    <w:rsid w:val="002C256D"/>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0D"/>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DE5"/>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53"/>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0EE"/>
    <w:rsid w:val="002D4160"/>
    <w:rsid w:val="002D4308"/>
    <w:rsid w:val="002D4328"/>
    <w:rsid w:val="002D43CF"/>
    <w:rsid w:val="002D45E5"/>
    <w:rsid w:val="002D46AB"/>
    <w:rsid w:val="002D478F"/>
    <w:rsid w:val="002D48B0"/>
    <w:rsid w:val="002D48DF"/>
    <w:rsid w:val="002D4933"/>
    <w:rsid w:val="002D4970"/>
    <w:rsid w:val="002D49D8"/>
    <w:rsid w:val="002D4B54"/>
    <w:rsid w:val="002D4DCE"/>
    <w:rsid w:val="002D4EC0"/>
    <w:rsid w:val="002D505B"/>
    <w:rsid w:val="002D5154"/>
    <w:rsid w:val="002D5232"/>
    <w:rsid w:val="002D5296"/>
    <w:rsid w:val="002D5496"/>
    <w:rsid w:val="002D549C"/>
    <w:rsid w:val="002D551D"/>
    <w:rsid w:val="002D570E"/>
    <w:rsid w:val="002D573A"/>
    <w:rsid w:val="002D5760"/>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2E1"/>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03F"/>
    <w:rsid w:val="002F3171"/>
    <w:rsid w:val="002F31FD"/>
    <w:rsid w:val="002F32A7"/>
    <w:rsid w:val="002F37A9"/>
    <w:rsid w:val="002F37CE"/>
    <w:rsid w:val="002F380B"/>
    <w:rsid w:val="002F3873"/>
    <w:rsid w:val="002F38AE"/>
    <w:rsid w:val="002F3951"/>
    <w:rsid w:val="002F3999"/>
    <w:rsid w:val="002F39BF"/>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72B"/>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6C"/>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230"/>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2EC"/>
    <w:rsid w:val="00303396"/>
    <w:rsid w:val="00303449"/>
    <w:rsid w:val="0030378B"/>
    <w:rsid w:val="003037C7"/>
    <w:rsid w:val="00303A26"/>
    <w:rsid w:val="00303CC8"/>
    <w:rsid w:val="00303DB1"/>
    <w:rsid w:val="00303DD8"/>
    <w:rsid w:val="00303E5D"/>
    <w:rsid w:val="00303EE0"/>
    <w:rsid w:val="00303FF4"/>
    <w:rsid w:val="003040EE"/>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F9"/>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273"/>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CDE"/>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94"/>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5BB"/>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1E2"/>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BF8"/>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9C"/>
    <w:rsid w:val="00332FAE"/>
    <w:rsid w:val="00332FD6"/>
    <w:rsid w:val="003330B5"/>
    <w:rsid w:val="0033316C"/>
    <w:rsid w:val="00333442"/>
    <w:rsid w:val="0033345A"/>
    <w:rsid w:val="00333681"/>
    <w:rsid w:val="003336E4"/>
    <w:rsid w:val="0033375B"/>
    <w:rsid w:val="0033384C"/>
    <w:rsid w:val="00333A26"/>
    <w:rsid w:val="00333A75"/>
    <w:rsid w:val="00333BF8"/>
    <w:rsid w:val="00333FF9"/>
    <w:rsid w:val="003340CE"/>
    <w:rsid w:val="0033410E"/>
    <w:rsid w:val="00334140"/>
    <w:rsid w:val="0033442D"/>
    <w:rsid w:val="003344AB"/>
    <w:rsid w:val="003344BE"/>
    <w:rsid w:val="00334531"/>
    <w:rsid w:val="00334579"/>
    <w:rsid w:val="003345B4"/>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7B6"/>
    <w:rsid w:val="00340A8C"/>
    <w:rsid w:val="00340B9C"/>
    <w:rsid w:val="00340CA1"/>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B0"/>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71"/>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003"/>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39C"/>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AC4"/>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99"/>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1D"/>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52A"/>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D7"/>
    <w:rsid w:val="003633F1"/>
    <w:rsid w:val="00363493"/>
    <w:rsid w:val="003635EE"/>
    <w:rsid w:val="0036360F"/>
    <w:rsid w:val="00363798"/>
    <w:rsid w:val="0036384A"/>
    <w:rsid w:val="0036394D"/>
    <w:rsid w:val="00363A0F"/>
    <w:rsid w:val="00363AF7"/>
    <w:rsid w:val="00363B0E"/>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30"/>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5C1"/>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00"/>
    <w:rsid w:val="00367DC1"/>
    <w:rsid w:val="00367F50"/>
    <w:rsid w:val="0037021F"/>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25"/>
    <w:rsid w:val="00371786"/>
    <w:rsid w:val="00371EB7"/>
    <w:rsid w:val="0037207A"/>
    <w:rsid w:val="00372117"/>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808"/>
    <w:rsid w:val="003759F6"/>
    <w:rsid w:val="00375B5D"/>
    <w:rsid w:val="00375C50"/>
    <w:rsid w:val="00375CF1"/>
    <w:rsid w:val="00375EA4"/>
    <w:rsid w:val="00376050"/>
    <w:rsid w:val="00376054"/>
    <w:rsid w:val="003760C5"/>
    <w:rsid w:val="003762B3"/>
    <w:rsid w:val="003762B4"/>
    <w:rsid w:val="00376399"/>
    <w:rsid w:val="003765F5"/>
    <w:rsid w:val="00376612"/>
    <w:rsid w:val="00376684"/>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0"/>
    <w:rsid w:val="00383AF5"/>
    <w:rsid w:val="00383BC4"/>
    <w:rsid w:val="00383CA3"/>
    <w:rsid w:val="00383CCE"/>
    <w:rsid w:val="00383DAF"/>
    <w:rsid w:val="00383F86"/>
    <w:rsid w:val="00384133"/>
    <w:rsid w:val="0038416F"/>
    <w:rsid w:val="003841CD"/>
    <w:rsid w:val="0038436C"/>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AC8"/>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886"/>
    <w:rsid w:val="003909C5"/>
    <w:rsid w:val="003909CA"/>
    <w:rsid w:val="003909D2"/>
    <w:rsid w:val="00390A68"/>
    <w:rsid w:val="00391015"/>
    <w:rsid w:val="003910DA"/>
    <w:rsid w:val="0039111A"/>
    <w:rsid w:val="00391171"/>
    <w:rsid w:val="0039118E"/>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5F"/>
    <w:rsid w:val="0039416F"/>
    <w:rsid w:val="0039441B"/>
    <w:rsid w:val="00394470"/>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00"/>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5FB"/>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D9E"/>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52"/>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BE3"/>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5E7"/>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DF"/>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7B"/>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479"/>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08"/>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CF8"/>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91"/>
    <w:rsid w:val="003E41FB"/>
    <w:rsid w:val="003E42B6"/>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AEF"/>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CB6"/>
    <w:rsid w:val="003F4F8E"/>
    <w:rsid w:val="003F4FFF"/>
    <w:rsid w:val="003F519C"/>
    <w:rsid w:val="003F5201"/>
    <w:rsid w:val="003F5264"/>
    <w:rsid w:val="003F5493"/>
    <w:rsid w:val="003F55B1"/>
    <w:rsid w:val="003F55BD"/>
    <w:rsid w:val="003F5850"/>
    <w:rsid w:val="003F5A5B"/>
    <w:rsid w:val="003F5A68"/>
    <w:rsid w:val="003F5B31"/>
    <w:rsid w:val="003F5B49"/>
    <w:rsid w:val="003F5C0B"/>
    <w:rsid w:val="003F5F73"/>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C5F"/>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9A"/>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7A5"/>
    <w:rsid w:val="004068A2"/>
    <w:rsid w:val="00406C1F"/>
    <w:rsid w:val="00406CCB"/>
    <w:rsid w:val="00406D92"/>
    <w:rsid w:val="00406DCA"/>
    <w:rsid w:val="00406E53"/>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8F0"/>
    <w:rsid w:val="0041091A"/>
    <w:rsid w:val="00410B2D"/>
    <w:rsid w:val="00410B72"/>
    <w:rsid w:val="00410CDD"/>
    <w:rsid w:val="00410DB8"/>
    <w:rsid w:val="00410DCA"/>
    <w:rsid w:val="00410E24"/>
    <w:rsid w:val="00410F18"/>
    <w:rsid w:val="00410F70"/>
    <w:rsid w:val="00410FE2"/>
    <w:rsid w:val="00410FE3"/>
    <w:rsid w:val="004110CB"/>
    <w:rsid w:val="0041113D"/>
    <w:rsid w:val="004111CE"/>
    <w:rsid w:val="004111FA"/>
    <w:rsid w:val="00411298"/>
    <w:rsid w:val="00411309"/>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5EA5"/>
    <w:rsid w:val="004161CD"/>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9C3"/>
    <w:rsid w:val="00422A31"/>
    <w:rsid w:val="00422AA4"/>
    <w:rsid w:val="00422AE5"/>
    <w:rsid w:val="00422BA8"/>
    <w:rsid w:val="00422C83"/>
    <w:rsid w:val="00422CBE"/>
    <w:rsid w:val="00422E2F"/>
    <w:rsid w:val="00422EA0"/>
    <w:rsid w:val="00422EB8"/>
    <w:rsid w:val="004230F0"/>
    <w:rsid w:val="0042319A"/>
    <w:rsid w:val="004233BF"/>
    <w:rsid w:val="004233D1"/>
    <w:rsid w:val="004234DC"/>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5CC"/>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D8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B9"/>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B2"/>
    <w:rsid w:val="004310ED"/>
    <w:rsid w:val="0043112B"/>
    <w:rsid w:val="00431520"/>
    <w:rsid w:val="00431589"/>
    <w:rsid w:val="0043175E"/>
    <w:rsid w:val="0043179A"/>
    <w:rsid w:val="004318FE"/>
    <w:rsid w:val="0043193A"/>
    <w:rsid w:val="004319F5"/>
    <w:rsid w:val="00431A5F"/>
    <w:rsid w:val="00431A85"/>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DD"/>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0C6"/>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12"/>
    <w:rsid w:val="004431DC"/>
    <w:rsid w:val="00443207"/>
    <w:rsid w:val="004432BE"/>
    <w:rsid w:val="00443338"/>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6"/>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23"/>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B53"/>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11"/>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46"/>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7D"/>
    <w:rsid w:val="00476383"/>
    <w:rsid w:val="0047645F"/>
    <w:rsid w:val="0047666C"/>
    <w:rsid w:val="004766F5"/>
    <w:rsid w:val="00476783"/>
    <w:rsid w:val="00476886"/>
    <w:rsid w:val="00476896"/>
    <w:rsid w:val="00476A37"/>
    <w:rsid w:val="00476AFA"/>
    <w:rsid w:val="00476B28"/>
    <w:rsid w:val="00476C41"/>
    <w:rsid w:val="00476CBE"/>
    <w:rsid w:val="00476D1D"/>
    <w:rsid w:val="00476ED6"/>
    <w:rsid w:val="0047736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870"/>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1AB"/>
    <w:rsid w:val="00486286"/>
    <w:rsid w:val="00486406"/>
    <w:rsid w:val="00486695"/>
    <w:rsid w:val="004866A2"/>
    <w:rsid w:val="004867C1"/>
    <w:rsid w:val="00486859"/>
    <w:rsid w:val="00486A9F"/>
    <w:rsid w:val="00486AB3"/>
    <w:rsid w:val="00486AD6"/>
    <w:rsid w:val="00486B34"/>
    <w:rsid w:val="00486BD0"/>
    <w:rsid w:val="00486BD6"/>
    <w:rsid w:val="00486DE2"/>
    <w:rsid w:val="00486E0A"/>
    <w:rsid w:val="00486E14"/>
    <w:rsid w:val="0048705B"/>
    <w:rsid w:val="0048713C"/>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726"/>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1FE3"/>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E93"/>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39E"/>
    <w:rsid w:val="0049763D"/>
    <w:rsid w:val="0049774D"/>
    <w:rsid w:val="0049775B"/>
    <w:rsid w:val="00497840"/>
    <w:rsid w:val="00497874"/>
    <w:rsid w:val="0049790D"/>
    <w:rsid w:val="00497A13"/>
    <w:rsid w:val="00497B2A"/>
    <w:rsid w:val="00497B33"/>
    <w:rsid w:val="00497BA8"/>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06"/>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5A"/>
    <w:rsid w:val="004B2BDC"/>
    <w:rsid w:val="004B2C4E"/>
    <w:rsid w:val="004B2CEE"/>
    <w:rsid w:val="004B3093"/>
    <w:rsid w:val="004B309A"/>
    <w:rsid w:val="004B31C0"/>
    <w:rsid w:val="004B32FF"/>
    <w:rsid w:val="004B33A0"/>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785"/>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65"/>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0B1"/>
    <w:rsid w:val="004D6219"/>
    <w:rsid w:val="004D64FF"/>
    <w:rsid w:val="004D6520"/>
    <w:rsid w:val="004D6533"/>
    <w:rsid w:val="004D6597"/>
    <w:rsid w:val="004D6678"/>
    <w:rsid w:val="004D668E"/>
    <w:rsid w:val="004D6A79"/>
    <w:rsid w:val="004D6AF5"/>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90"/>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1FAF"/>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53"/>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7DB"/>
    <w:rsid w:val="004E68E1"/>
    <w:rsid w:val="004E68F1"/>
    <w:rsid w:val="004E694C"/>
    <w:rsid w:val="004E6D9F"/>
    <w:rsid w:val="004E6F26"/>
    <w:rsid w:val="004E6F73"/>
    <w:rsid w:val="004E6F8E"/>
    <w:rsid w:val="004E7118"/>
    <w:rsid w:val="004E71AE"/>
    <w:rsid w:val="004E74D1"/>
    <w:rsid w:val="004E758C"/>
    <w:rsid w:val="004E75FD"/>
    <w:rsid w:val="004E76F4"/>
    <w:rsid w:val="004E774F"/>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38E"/>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E00"/>
    <w:rsid w:val="00501F40"/>
    <w:rsid w:val="00502025"/>
    <w:rsid w:val="0050219D"/>
    <w:rsid w:val="00502267"/>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8DD"/>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D78"/>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A"/>
    <w:rsid w:val="0052187C"/>
    <w:rsid w:val="005218AD"/>
    <w:rsid w:val="0052193F"/>
    <w:rsid w:val="00521969"/>
    <w:rsid w:val="005219CF"/>
    <w:rsid w:val="00521A05"/>
    <w:rsid w:val="00521AFC"/>
    <w:rsid w:val="00521D29"/>
    <w:rsid w:val="00521D5F"/>
    <w:rsid w:val="00521F00"/>
    <w:rsid w:val="00521F6B"/>
    <w:rsid w:val="00521F77"/>
    <w:rsid w:val="00522073"/>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66C"/>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5BE"/>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6"/>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0D42"/>
    <w:rsid w:val="00540D81"/>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A0"/>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DA3"/>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20"/>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69"/>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BA"/>
    <w:rsid w:val="005679F2"/>
    <w:rsid w:val="00567AD1"/>
    <w:rsid w:val="00567BF2"/>
    <w:rsid w:val="00567DCD"/>
    <w:rsid w:val="00567F8D"/>
    <w:rsid w:val="005700E4"/>
    <w:rsid w:val="0057019D"/>
    <w:rsid w:val="00570344"/>
    <w:rsid w:val="00570531"/>
    <w:rsid w:val="005705E7"/>
    <w:rsid w:val="00570854"/>
    <w:rsid w:val="0057089A"/>
    <w:rsid w:val="00570A37"/>
    <w:rsid w:val="00570C4F"/>
    <w:rsid w:val="00570EB4"/>
    <w:rsid w:val="00570F80"/>
    <w:rsid w:val="0057108E"/>
    <w:rsid w:val="005711D4"/>
    <w:rsid w:val="0057124B"/>
    <w:rsid w:val="0057125D"/>
    <w:rsid w:val="005712FB"/>
    <w:rsid w:val="00571433"/>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12"/>
    <w:rsid w:val="0058287A"/>
    <w:rsid w:val="005828E2"/>
    <w:rsid w:val="00582A34"/>
    <w:rsid w:val="00582CAB"/>
    <w:rsid w:val="00583126"/>
    <w:rsid w:val="005831BC"/>
    <w:rsid w:val="00583391"/>
    <w:rsid w:val="0058341F"/>
    <w:rsid w:val="0058349E"/>
    <w:rsid w:val="005835D1"/>
    <w:rsid w:val="00583667"/>
    <w:rsid w:val="0058377F"/>
    <w:rsid w:val="00583855"/>
    <w:rsid w:val="0058389D"/>
    <w:rsid w:val="00583A83"/>
    <w:rsid w:val="00583AF1"/>
    <w:rsid w:val="00583D86"/>
    <w:rsid w:val="0058400B"/>
    <w:rsid w:val="00584076"/>
    <w:rsid w:val="005840C2"/>
    <w:rsid w:val="00584125"/>
    <w:rsid w:val="00584229"/>
    <w:rsid w:val="00584464"/>
    <w:rsid w:val="005844C6"/>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C0"/>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C6"/>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CCC"/>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51"/>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5C"/>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15C"/>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AA6"/>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C3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4BB"/>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7C1"/>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4"/>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72"/>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CD"/>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77"/>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6F70"/>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AF"/>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082"/>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0E5"/>
    <w:rsid w:val="005D51F6"/>
    <w:rsid w:val="005D5273"/>
    <w:rsid w:val="005D53B3"/>
    <w:rsid w:val="005D5444"/>
    <w:rsid w:val="005D5461"/>
    <w:rsid w:val="005D54C2"/>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A87"/>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764"/>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08"/>
    <w:rsid w:val="005F29AF"/>
    <w:rsid w:val="005F29C8"/>
    <w:rsid w:val="005F2A57"/>
    <w:rsid w:val="005F2A72"/>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0A7"/>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0D7"/>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4D9"/>
    <w:rsid w:val="00610587"/>
    <w:rsid w:val="00610809"/>
    <w:rsid w:val="00610814"/>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5D"/>
    <w:rsid w:val="00611D81"/>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99"/>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7"/>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AA5"/>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75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6F"/>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1D"/>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5D"/>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31"/>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1D"/>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31"/>
    <w:rsid w:val="006743F0"/>
    <w:rsid w:val="0067443B"/>
    <w:rsid w:val="006745BC"/>
    <w:rsid w:val="006746A5"/>
    <w:rsid w:val="00674921"/>
    <w:rsid w:val="006749FA"/>
    <w:rsid w:val="00674A5C"/>
    <w:rsid w:val="00674C0E"/>
    <w:rsid w:val="00674CC3"/>
    <w:rsid w:val="00674F11"/>
    <w:rsid w:val="00674F57"/>
    <w:rsid w:val="00675405"/>
    <w:rsid w:val="00675537"/>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61"/>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CF2"/>
    <w:rsid w:val="00687DCA"/>
    <w:rsid w:val="00687F1B"/>
    <w:rsid w:val="00687F47"/>
    <w:rsid w:val="006901BE"/>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57E"/>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3"/>
    <w:rsid w:val="006B25C9"/>
    <w:rsid w:val="006B2698"/>
    <w:rsid w:val="006B28E2"/>
    <w:rsid w:val="006B2A09"/>
    <w:rsid w:val="006B2A0F"/>
    <w:rsid w:val="006B2C14"/>
    <w:rsid w:val="006B2CB3"/>
    <w:rsid w:val="006B2DE0"/>
    <w:rsid w:val="006B2F33"/>
    <w:rsid w:val="006B2FBD"/>
    <w:rsid w:val="006B301C"/>
    <w:rsid w:val="006B302A"/>
    <w:rsid w:val="006B3143"/>
    <w:rsid w:val="006B3196"/>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860"/>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0E"/>
    <w:rsid w:val="006C0CEC"/>
    <w:rsid w:val="006C0D52"/>
    <w:rsid w:val="006C0DE8"/>
    <w:rsid w:val="006C1034"/>
    <w:rsid w:val="006C112C"/>
    <w:rsid w:val="006C119E"/>
    <w:rsid w:val="006C120E"/>
    <w:rsid w:val="006C128D"/>
    <w:rsid w:val="006C1672"/>
    <w:rsid w:val="006C16F7"/>
    <w:rsid w:val="006C17BD"/>
    <w:rsid w:val="006C17C2"/>
    <w:rsid w:val="006C1803"/>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635"/>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AB6"/>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EF1"/>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3F5B"/>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C7"/>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3DE"/>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05"/>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A7C"/>
    <w:rsid w:val="00700D5C"/>
    <w:rsid w:val="00700D8E"/>
    <w:rsid w:val="00700DA1"/>
    <w:rsid w:val="00700DEE"/>
    <w:rsid w:val="00700EF5"/>
    <w:rsid w:val="007010F4"/>
    <w:rsid w:val="00701128"/>
    <w:rsid w:val="00701272"/>
    <w:rsid w:val="0070130C"/>
    <w:rsid w:val="007013AC"/>
    <w:rsid w:val="007013DD"/>
    <w:rsid w:val="0070144E"/>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955"/>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ACC"/>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2EF6"/>
    <w:rsid w:val="00713066"/>
    <w:rsid w:val="00713376"/>
    <w:rsid w:val="007134AD"/>
    <w:rsid w:val="0071365F"/>
    <w:rsid w:val="0071382F"/>
    <w:rsid w:val="00713866"/>
    <w:rsid w:val="00713985"/>
    <w:rsid w:val="00713986"/>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9C1"/>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0F9F"/>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DA"/>
    <w:rsid w:val="00723AF1"/>
    <w:rsid w:val="00723C1E"/>
    <w:rsid w:val="00723DBB"/>
    <w:rsid w:val="00723DC4"/>
    <w:rsid w:val="00723EC5"/>
    <w:rsid w:val="007240AE"/>
    <w:rsid w:val="007241FA"/>
    <w:rsid w:val="007241FC"/>
    <w:rsid w:val="00724304"/>
    <w:rsid w:val="007243CD"/>
    <w:rsid w:val="007244A6"/>
    <w:rsid w:val="0072453F"/>
    <w:rsid w:val="007246B3"/>
    <w:rsid w:val="00724AF4"/>
    <w:rsid w:val="00724C6A"/>
    <w:rsid w:val="00724CBF"/>
    <w:rsid w:val="00724F69"/>
    <w:rsid w:val="007255C3"/>
    <w:rsid w:val="007257D0"/>
    <w:rsid w:val="00725801"/>
    <w:rsid w:val="007258A1"/>
    <w:rsid w:val="0072592B"/>
    <w:rsid w:val="00725993"/>
    <w:rsid w:val="00725ACB"/>
    <w:rsid w:val="00725B32"/>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A60"/>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2DC0"/>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BD7"/>
    <w:rsid w:val="00743C27"/>
    <w:rsid w:val="00743CEA"/>
    <w:rsid w:val="00743FD7"/>
    <w:rsid w:val="00744015"/>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1A7"/>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1A4"/>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3F4"/>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DF9"/>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226"/>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7F6"/>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9F6"/>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BC"/>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A37"/>
    <w:rsid w:val="00785BFA"/>
    <w:rsid w:val="00785C22"/>
    <w:rsid w:val="00785C30"/>
    <w:rsid w:val="00785C7F"/>
    <w:rsid w:val="00785E2B"/>
    <w:rsid w:val="00785E93"/>
    <w:rsid w:val="00785F56"/>
    <w:rsid w:val="0078600F"/>
    <w:rsid w:val="0078603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8B9"/>
    <w:rsid w:val="007919AB"/>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04"/>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0"/>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B4E"/>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65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1F"/>
    <w:rsid w:val="007A44B6"/>
    <w:rsid w:val="007A4519"/>
    <w:rsid w:val="007A4524"/>
    <w:rsid w:val="007A4723"/>
    <w:rsid w:val="007A475D"/>
    <w:rsid w:val="007A4BC4"/>
    <w:rsid w:val="007A4D97"/>
    <w:rsid w:val="007A4F6F"/>
    <w:rsid w:val="007A5187"/>
    <w:rsid w:val="007A5264"/>
    <w:rsid w:val="007A5370"/>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00"/>
    <w:rsid w:val="007A667B"/>
    <w:rsid w:val="007A697B"/>
    <w:rsid w:val="007A6BF2"/>
    <w:rsid w:val="007A6C23"/>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F2"/>
    <w:rsid w:val="007B0584"/>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4B"/>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4C6"/>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5A1"/>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AD2"/>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3ED"/>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03F"/>
    <w:rsid w:val="007E1147"/>
    <w:rsid w:val="007E1151"/>
    <w:rsid w:val="007E1229"/>
    <w:rsid w:val="007E14AD"/>
    <w:rsid w:val="007E1550"/>
    <w:rsid w:val="007E166D"/>
    <w:rsid w:val="007E16FF"/>
    <w:rsid w:val="007E18C6"/>
    <w:rsid w:val="007E1A49"/>
    <w:rsid w:val="007E1AE5"/>
    <w:rsid w:val="007E1C82"/>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820"/>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5B4"/>
    <w:rsid w:val="007E678E"/>
    <w:rsid w:val="007E6999"/>
    <w:rsid w:val="007E6C08"/>
    <w:rsid w:val="007E6C91"/>
    <w:rsid w:val="007E6CF2"/>
    <w:rsid w:val="007E6D62"/>
    <w:rsid w:val="007E6FB9"/>
    <w:rsid w:val="007E6FE4"/>
    <w:rsid w:val="007E7091"/>
    <w:rsid w:val="007E70D4"/>
    <w:rsid w:val="007E7107"/>
    <w:rsid w:val="007E7151"/>
    <w:rsid w:val="007E71CF"/>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65C"/>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3FAD"/>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54"/>
    <w:rsid w:val="00816693"/>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3B9"/>
    <w:rsid w:val="008215D1"/>
    <w:rsid w:val="0082165D"/>
    <w:rsid w:val="0082175A"/>
    <w:rsid w:val="00821804"/>
    <w:rsid w:val="008218B1"/>
    <w:rsid w:val="00821A13"/>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4C6"/>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1DE"/>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0"/>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BAB"/>
    <w:rsid w:val="00850D73"/>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2D"/>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61"/>
    <w:rsid w:val="008543D3"/>
    <w:rsid w:val="00854440"/>
    <w:rsid w:val="0085477E"/>
    <w:rsid w:val="0085499D"/>
    <w:rsid w:val="00854A6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4DE"/>
    <w:rsid w:val="008566BD"/>
    <w:rsid w:val="008567A3"/>
    <w:rsid w:val="008567E9"/>
    <w:rsid w:val="00856902"/>
    <w:rsid w:val="00856911"/>
    <w:rsid w:val="008569FF"/>
    <w:rsid w:val="00856C5B"/>
    <w:rsid w:val="00856D56"/>
    <w:rsid w:val="00856DFD"/>
    <w:rsid w:val="00856F45"/>
    <w:rsid w:val="00856F99"/>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985"/>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CC1"/>
    <w:rsid w:val="00865D0F"/>
    <w:rsid w:val="00865D75"/>
    <w:rsid w:val="00865F35"/>
    <w:rsid w:val="00865FC9"/>
    <w:rsid w:val="00866006"/>
    <w:rsid w:val="008661DC"/>
    <w:rsid w:val="00866368"/>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65F"/>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AA"/>
    <w:rsid w:val="008717F3"/>
    <w:rsid w:val="0087193F"/>
    <w:rsid w:val="008719A4"/>
    <w:rsid w:val="00871A63"/>
    <w:rsid w:val="00871C7F"/>
    <w:rsid w:val="00871CF7"/>
    <w:rsid w:val="00871D23"/>
    <w:rsid w:val="00871EDE"/>
    <w:rsid w:val="00871F71"/>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2E91"/>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708"/>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917"/>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08"/>
    <w:rsid w:val="00896958"/>
    <w:rsid w:val="00896A27"/>
    <w:rsid w:val="00896B4C"/>
    <w:rsid w:val="00896D62"/>
    <w:rsid w:val="00896EC2"/>
    <w:rsid w:val="00896FC9"/>
    <w:rsid w:val="0089707D"/>
    <w:rsid w:val="00897249"/>
    <w:rsid w:val="008972F2"/>
    <w:rsid w:val="00897344"/>
    <w:rsid w:val="00897367"/>
    <w:rsid w:val="008973EF"/>
    <w:rsid w:val="008976EA"/>
    <w:rsid w:val="0089777B"/>
    <w:rsid w:val="00897ABC"/>
    <w:rsid w:val="00897BFD"/>
    <w:rsid w:val="00897C63"/>
    <w:rsid w:val="00897EA7"/>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628"/>
    <w:rsid w:val="008A575E"/>
    <w:rsid w:val="008A5B37"/>
    <w:rsid w:val="008A5C27"/>
    <w:rsid w:val="008A5C73"/>
    <w:rsid w:val="008A5CDD"/>
    <w:rsid w:val="008A5CF3"/>
    <w:rsid w:val="008A5DEF"/>
    <w:rsid w:val="008A5DFB"/>
    <w:rsid w:val="008A5EBB"/>
    <w:rsid w:val="008A5EE4"/>
    <w:rsid w:val="008A5F1E"/>
    <w:rsid w:val="008A5F26"/>
    <w:rsid w:val="008A5F66"/>
    <w:rsid w:val="008A6052"/>
    <w:rsid w:val="008A60AC"/>
    <w:rsid w:val="008A6417"/>
    <w:rsid w:val="008A642A"/>
    <w:rsid w:val="008A654E"/>
    <w:rsid w:val="008A66F4"/>
    <w:rsid w:val="008A6798"/>
    <w:rsid w:val="008A69DB"/>
    <w:rsid w:val="008A6A7F"/>
    <w:rsid w:val="008A6D1B"/>
    <w:rsid w:val="008A6ED8"/>
    <w:rsid w:val="008A6FE2"/>
    <w:rsid w:val="008A7013"/>
    <w:rsid w:val="008A7042"/>
    <w:rsid w:val="008A7046"/>
    <w:rsid w:val="008A712A"/>
    <w:rsid w:val="008A7384"/>
    <w:rsid w:val="008A7420"/>
    <w:rsid w:val="008A742C"/>
    <w:rsid w:val="008A74D3"/>
    <w:rsid w:val="008A754B"/>
    <w:rsid w:val="008A77CC"/>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99"/>
    <w:rsid w:val="008B1CB0"/>
    <w:rsid w:val="008B1EF2"/>
    <w:rsid w:val="008B2024"/>
    <w:rsid w:val="008B2082"/>
    <w:rsid w:val="008B219C"/>
    <w:rsid w:val="008B2303"/>
    <w:rsid w:val="008B26F8"/>
    <w:rsid w:val="008B2718"/>
    <w:rsid w:val="008B2743"/>
    <w:rsid w:val="008B295D"/>
    <w:rsid w:val="008B2AC2"/>
    <w:rsid w:val="008B2FCA"/>
    <w:rsid w:val="008B30A7"/>
    <w:rsid w:val="008B3267"/>
    <w:rsid w:val="008B3289"/>
    <w:rsid w:val="008B32B6"/>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6F0"/>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B9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0E"/>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20E"/>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123"/>
    <w:rsid w:val="008C525C"/>
    <w:rsid w:val="008C535E"/>
    <w:rsid w:val="008C55FC"/>
    <w:rsid w:val="008C567A"/>
    <w:rsid w:val="008C5790"/>
    <w:rsid w:val="008C57A4"/>
    <w:rsid w:val="008C57A5"/>
    <w:rsid w:val="008C587D"/>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9AD"/>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8B8"/>
    <w:rsid w:val="008D19C0"/>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0F"/>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1ED2"/>
    <w:rsid w:val="008E2042"/>
    <w:rsid w:val="008E212A"/>
    <w:rsid w:val="008E2560"/>
    <w:rsid w:val="008E2695"/>
    <w:rsid w:val="008E26CA"/>
    <w:rsid w:val="008E2895"/>
    <w:rsid w:val="008E2A03"/>
    <w:rsid w:val="008E2A2C"/>
    <w:rsid w:val="008E2A72"/>
    <w:rsid w:val="008E2B2F"/>
    <w:rsid w:val="008E2B80"/>
    <w:rsid w:val="008E2CF3"/>
    <w:rsid w:val="008E2D3E"/>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72"/>
    <w:rsid w:val="008E43C7"/>
    <w:rsid w:val="008E43E9"/>
    <w:rsid w:val="008E4487"/>
    <w:rsid w:val="008E44B9"/>
    <w:rsid w:val="008E4584"/>
    <w:rsid w:val="008E45B2"/>
    <w:rsid w:val="008E4978"/>
    <w:rsid w:val="008E4BED"/>
    <w:rsid w:val="008E4CC4"/>
    <w:rsid w:val="008E4EAE"/>
    <w:rsid w:val="008E4F27"/>
    <w:rsid w:val="008E540A"/>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6E3"/>
    <w:rsid w:val="008E67D2"/>
    <w:rsid w:val="008E6856"/>
    <w:rsid w:val="008E6888"/>
    <w:rsid w:val="008E68FF"/>
    <w:rsid w:val="008E6959"/>
    <w:rsid w:val="008E69A5"/>
    <w:rsid w:val="008E6BFD"/>
    <w:rsid w:val="008E6EC6"/>
    <w:rsid w:val="008E6ED7"/>
    <w:rsid w:val="008E6FD2"/>
    <w:rsid w:val="008E6FF7"/>
    <w:rsid w:val="008E704D"/>
    <w:rsid w:val="008E7147"/>
    <w:rsid w:val="008E71F3"/>
    <w:rsid w:val="008E7398"/>
    <w:rsid w:val="008E767A"/>
    <w:rsid w:val="008E76C9"/>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133"/>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6D5"/>
    <w:rsid w:val="008F3C4C"/>
    <w:rsid w:val="008F3F5C"/>
    <w:rsid w:val="008F40E7"/>
    <w:rsid w:val="008F4350"/>
    <w:rsid w:val="008F44E9"/>
    <w:rsid w:val="008F452C"/>
    <w:rsid w:val="008F4536"/>
    <w:rsid w:val="008F45C9"/>
    <w:rsid w:val="008F4689"/>
    <w:rsid w:val="008F477F"/>
    <w:rsid w:val="008F47B4"/>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C"/>
    <w:rsid w:val="008F5E3F"/>
    <w:rsid w:val="008F5E44"/>
    <w:rsid w:val="008F5F57"/>
    <w:rsid w:val="008F5F70"/>
    <w:rsid w:val="008F5FA6"/>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53B"/>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6F"/>
    <w:rsid w:val="00903095"/>
    <w:rsid w:val="00903136"/>
    <w:rsid w:val="0090315B"/>
    <w:rsid w:val="00903161"/>
    <w:rsid w:val="009032D2"/>
    <w:rsid w:val="0090336B"/>
    <w:rsid w:val="00903376"/>
    <w:rsid w:val="00903533"/>
    <w:rsid w:val="00903563"/>
    <w:rsid w:val="009035C7"/>
    <w:rsid w:val="0090360B"/>
    <w:rsid w:val="00903675"/>
    <w:rsid w:val="0090377C"/>
    <w:rsid w:val="009038CE"/>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5E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9D8"/>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502"/>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528"/>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747"/>
    <w:rsid w:val="0092386B"/>
    <w:rsid w:val="00923878"/>
    <w:rsid w:val="009238B3"/>
    <w:rsid w:val="00923905"/>
    <w:rsid w:val="00923BE7"/>
    <w:rsid w:val="00923C91"/>
    <w:rsid w:val="00923D90"/>
    <w:rsid w:val="00923E2E"/>
    <w:rsid w:val="00923FDE"/>
    <w:rsid w:val="00924251"/>
    <w:rsid w:val="009243AD"/>
    <w:rsid w:val="009244C0"/>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47"/>
    <w:rsid w:val="009258B4"/>
    <w:rsid w:val="00925A79"/>
    <w:rsid w:val="00925CD8"/>
    <w:rsid w:val="00925CDF"/>
    <w:rsid w:val="00925D1C"/>
    <w:rsid w:val="00925F09"/>
    <w:rsid w:val="00925F19"/>
    <w:rsid w:val="00926093"/>
    <w:rsid w:val="00926176"/>
    <w:rsid w:val="00926263"/>
    <w:rsid w:val="00926449"/>
    <w:rsid w:val="00926477"/>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A93"/>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33"/>
    <w:rsid w:val="0093545D"/>
    <w:rsid w:val="00935464"/>
    <w:rsid w:val="0093553E"/>
    <w:rsid w:val="009355FD"/>
    <w:rsid w:val="0093565F"/>
    <w:rsid w:val="00935705"/>
    <w:rsid w:val="009357E8"/>
    <w:rsid w:val="009358C6"/>
    <w:rsid w:val="00935CA9"/>
    <w:rsid w:val="00935EF5"/>
    <w:rsid w:val="00935FBD"/>
    <w:rsid w:val="0093607F"/>
    <w:rsid w:val="00936274"/>
    <w:rsid w:val="009363EF"/>
    <w:rsid w:val="0093651E"/>
    <w:rsid w:val="00936589"/>
    <w:rsid w:val="009365C7"/>
    <w:rsid w:val="00936701"/>
    <w:rsid w:val="00936811"/>
    <w:rsid w:val="009368F3"/>
    <w:rsid w:val="00936974"/>
    <w:rsid w:val="009369BA"/>
    <w:rsid w:val="009369F9"/>
    <w:rsid w:val="00936A4D"/>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4CA"/>
    <w:rsid w:val="00945515"/>
    <w:rsid w:val="009455F5"/>
    <w:rsid w:val="009456EB"/>
    <w:rsid w:val="00945843"/>
    <w:rsid w:val="00945A70"/>
    <w:rsid w:val="00945AF9"/>
    <w:rsid w:val="00945B3E"/>
    <w:rsid w:val="00945C05"/>
    <w:rsid w:val="00945D75"/>
    <w:rsid w:val="009461DE"/>
    <w:rsid w:val="009465B3"/>
    <w:rsid w:val="00946671"/>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1E2"/>
    <w:rsid w:val="009533E7"/>
    <w:rsid w:val="0095340F"/>
    <w:rsid w:val="009534CF"/>
    <w:rsid w:val="009536EC"/>
    <w:rsid w:val="00953920"/>
    <w:rsid w:val="00953C43"/>
    <w:rsid w:val="00953D47"/>
    <w:rsid w:val="00953DD1"/>
    <w:rsid w:val="00953FB0"/>
    <w:rsid w:val="009540AE"/>
    <w:rsid w:val="0095414E"/>
    <w:rsid w:val="00954207"/>
    <w:rsid w:val="00954293"/>
    <w:rsid w:val="0095432B"/>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6B5"/>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3B"/>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B9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A88"/>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1E"/>
    <w:rsid w:val="0097112F"/>
    <w:rsid w:val="0097135C"/>
    <w:rsid w:val="009713C6"/>
    <w:rsid w:val="009713F3"/>
    <w:rsid w:val="0097141D"/>
    <w:rsid w:val="0097145F"/>
    <w:rsid w:val="00971460"/>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29"/>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165"/>
    <w:rsid w:val="00981389"/>
    <w:rsid w:val="00981534"/>
    <w:rsid w:val="0098162D"/>
    <w:rsid w:val="009816AB"/>
    <w:rsid w:val="0098179A"/>
    <w:rsid w:val="00981821"/>
    <w:rsid w:val="00981862"/>
    <w:rsid w:val="00981A2A"/>
    <w:rsid w:val="00981AFB"/>
    <w:rsid w:val="00981C2E"/>
    <w:rsid w:val="00981F0A"/>
    <w:rsid w:val="00981F60"/>
    <w:rsid w:val="00981FF0"/>
    <w:rsid w:val="00982066"/>
    <w:rsid w:val="00982242"/>
    <w:rsid w:val="00982300"/>
    <w:rsid w:val="0098236D"/>
    <w:rsid w:val="00982808"/>
    <w:rsid w:val="009828BD"/>
    <w:rsid w:val="00982A37"/>
    <w:rsid w:val="00982AA8"/>
    <w:rsid w:val="00982BCF"/>
    <w:rsid w:val="00982C45"/>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50E"/>
    <w:rsid w:val="00990630"/>
    <w:rsid w:val="00990640"/>
    <w:rsid w:val="0099069A"/>
    <w:rsid w:val="009909F4"/>
    <w:rsid w:val="00990A60"/>
    <w:rsid w:val="00990AD2"/>
    <w:rsid w:val="00990B2C"/>
    <w:rsid w:val="00990C69"/>
    <w:rsid w:val="00990D56"/>
    <w:rsid w:val="009910B6"/>
    <w:rsid w:val="0099133F"/>
    <w:rsid w:val="00991386"/>
    <w:rsid w:val="0099142C"/>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A04"/>
    <w:rsid w:val="00993B59"/>
    <w:rsid w:val="00993B69"/>
    <w:rsid w:val="00993C56"/>
    <w:rsid w:val="00993CF3"/>
    <w:rsid w:val="00993DA1"/>
    <w:rsid w:val="00993FD8"/>
    <w:rsid w:val="00994066"/>
    <w:rsid w:val="009944CD"/>
    <w:rsid w:val="00994524"/>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70"/>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D6"/>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469"/>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89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A62"/>
    <w:rsid w:val="009C1CBB"/>
    <w:rsid w:val="009C20FA"/>
    <w:rsid w:val="009C2231"/>
    <w:rsid w:val="009C225F"/>
    <w:rsid w:val="009C2263"/>
    <w:rsid w:val="009C2396"/>
    <w:rsid w:val="009C24A9"/>
    <w:rsid w:val="009C2669"/>
    <w:rsid w:val="009C27BF"/>
    <w:rsid w:val="009C2A87"/>
    <w:rsid w:val="009C2A9A"/>
    <w:rsid w:val="009C2AE6"/>
    <w:rsid w:val="009C2B53"/>
    <w:rsid w:val="009C2DCC"/>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687"/>
    <w:rsid w:val="009D1911"/>
    <w:rsid w:val="009D1977"/>
    <w:rsid w:val="009D19CB"/>
    <w:rsid w:val="009D1A43"/>
    <w:rsid w:val="009D1AE9"/>
    <w:rsid w:val="009D1D21"/>
    <w:rsid w:val="009D1D46"/>
    <w:rsid w:val="009D1D67"/>
    <w:rsid w:val="009D1D75"/>
    <w:rsid w:val="009D207D"/>
    <w:rsid w:val="009D21CE"/>
    <w:rsid w:val="009D22E8"/>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229"/>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22C"/>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148"/>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0C3"/>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E0D"/>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09"/>
    <w:rsid w:val="00A03484"/>
    <w:rsid w:val="00A0356C"/>
    <w:rsid w:val="00A03586"/>
    <w:rsid w:val="00A03615"/>
    <w:rsid w:val="00A03684"/>
    <w:rsid w:val="00A039B1"/>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6D"/>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77"/>
    <w:rsid w:val="00A11181"/>
    <w:rsid w:val="00A111B7"/>
    <w:rsid w:val="00A1148D"/>
    <w:rsid w:val="00A115E4"/>
    <w:rsid w:val="00A11884"/>
    <w:rsid w:val="00A119CD"/>
    <w:rsid w:val="00A11A14"/>
    <w:rsid w:val="00A11E00"/>
    <w:rsid w:val="00A11F43"/>
    <w:rsid w:val="00A11FA5"/>
    <w:rsid w:val="00A11FD6"/>
    <w:rsid w:val="00A1201D"/>
    <w:rsid w:val="00A12053"/>
    <w:rsid w:val="00A120AA"/>
    <w:rsid w:val="00A12158"/>
    <w:rsid w:val="00A12218"/>
    <w:rsid w:val="00A124AF"/>
    <w:rsid w:val="00A12A45"/>
    <w:rsid w:val="00A12A65"/>
    <w:rsid w:val="00A12BED"/>
    <w:rsid w:val="00A12C0E"/>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6C"/>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3C"/>
    <w:rsid w:val="00A2496F"/>
    <w:rsid w:val="00A24A6C"/>
    <w:rsid w:val="00A24B97"/>
    <w:rsid w:val="00A24BD5"/>
    <w:rsid w:val="00A24C29"/>
    <w:rsid w:val="00A24C41"/>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85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20"/>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81"/>
    <w:rsid w:val="00A3120A"/>
    <w:rsid w:val="00A31261"/>
    <w:rsid w:val="00A3126A"/>
    <w:rsid w:val="00A313D0"/>
    <w:rsid w:val="00A314E5"/>
    <w:rsid w:val="00A315BF"/>
    <w:rsid w:val="00A31719"/>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695"/>
    <w:rsid w:val="00A33808"/>
    <w:rsid w:val="00A3380B"/>
    <w:rsid w:val="00A338BF"/>
    <w:rsid w:val="00A33C3E"/>
    <w:rsid w:val="00A33C58"/>
    <w:rsid w:val="00A33D7C"/>
    <w:rsid w:val="00A33D9A"/>
    <w:rsid w:val="00A33E05"/>
    <w:rsid w:val="00A33F92"/>
    <w:rsid w:val="00A3402D"/>
    <w:rsid w:val="00A34043"/>
    <w:rsid w:val="00A34238"/>
    <w:rsid w:val="00A343AF"/>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4ED"/>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21"/>
    <w:rsid w:val="00A43F5D"/>
    <w:rsid w:val="00A44007"/>
    <w:rsid w:val="00A4425B"/>
    <w:rsid w:val="00A44420"/>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676"/>
    <w:rsid w:val="00A4569A"/>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755"/>
    <w:rsid w:val="00A47815"/>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D19"/>
    <w:rsid w:val="00A50F68"/>
    <w:rsid w:val="00A51630"/>
    <w:rsid w:val="00A5171B"/>
    <w:rsid w:val="00A519FE"/>
    <w:rsid w:val="00A51BB4"/>
    <w:rsid w:val="00A51BE0"/>
    <w:rsid w:val="00A51C78"/>
    <w:rsid w:val="00A51D5A"/>
    <w:rsid w:val="00A51FA1"/>
    <w:rsid w:val="00A52006"/>
    <w:rsid w:val="00A52253"/>
    <w:rsid w:val="00A5232F"/>
    <w:rsid w:val="00A527B3"/>
    <w:rsid w:val="00A527C1"/>
    <w:rsid w:val="00A52A0B"/>
    <w:rsid w:val="00A52B77"/>
    <w:rsid w:val="00A52BC5"/>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4F19"/>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07"/>
    <w:rsid w:val="00A57F15"/>
    <w:rsid w:val="00A57FA2"/>
    <w:rsid w:val="00A57FE1"/>
    <w:rsid w:val="00A60336"/>
    <w:rsid w:val="00A60390"/>
    <w:rsid w:val="00A6069C"/>
    <w:rsid w:val="00A60828"/>
    <w:rsid w:val="00A608B9"/>
    <w:rsid w:val="00A60979"/>
    <w:rsid w:val="00A60B44"/>
    <w:rsid w:val="00A60B59"/>
    <w:rsid w:val="00A60B89"/>
    <w:rsid w:val="00A60BD9"/>
    <w:rsid w:val="00A60C1D"/>
    <w:rsid w:val="00A60E3D"/>
    <w:rsid w:val="00A61333"/>
    <w:rsid w:val="00A61386"/>
    <w:rsid w:val="00A6139E"/>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43"/>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C52"/>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7E"/>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5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6CD"/>
    <w:rsid w:val="00A76823"/>
    <w:rsid w:val="00A76A80"/>
    <w:rsid w:val="00A76B9B"/>
    <w:rsid w:val="00A76BC3"/>
    <w:rsid w:val="00A76C97"/>
    <w:rsid w:val="00A76C9E"/>
    <w:rsid w:val="00A76DF2"/>
    <w:rsid w:val="00A76E33"/>
    <w:rsid w:val="00A770E5"/>
    <w:rsid w:val="00A77299"/>
    <w:rsid w:val="00A7735C"/>
    <w:rsid w:val="00A773CD"/>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21"/>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788"/>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4F7"/>
    <w:rsid w:val="00A86568"/>
    <w:rsid w:val="00A86581"/>
    <w:rsid w:val="00A8659B"/>
    <w:rsid w:val="00A86679"/>
    <w:rsid w:val="00A86709"/>
    <w:rsid w:val="00A86714"/>
    <w:rsid w:val="00A86A6E"/>
    <w:rsid w:val="00A86A9D"/>
    <w:rsid w:val="00A86BE9"/>
    <w:rsid w:val="00A86DA8"/>
    <w:rsid w:val="00A87072"/>
    <w:rsid w:val="00A8711E"/>
    <w:rsid w:val="00A871DE"/>
    <w:rsid w:val="00A872BA"/>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2F0"/>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591"/>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674"/>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A70"/>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7A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574"/>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C7"/>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E9"/>
    <w:rsid w:val="00AB181E"/>
    <w:rsid w:val="00AB1894"/>
    <w:rsid w:val="00AB18F3"/>
    <w:rsid w:val="00AB1A1A"/>
    <w:rsid w:val="00AB1C30"/>
    <w:rsid w:val="00AB1C3B"/>
    <w:rsid w:val="00AB1D49"/>
    <w:rsid w:val="00AB1E6C"/>
    <w:rsid w:val="00AB20B6"/>
    <w:rsid w:val="00AB20C6"/>
    <w:rsid w:val="00AB2215"/>
    <w:rsid w:val="00AB23DB"/>
    <w:rsid w:val="00AB2459"/>
    <w:rsid w:val="00AB2515"/>
    <w:rsid w:val="00AB2523"/>
    <w:rsid w:val="00AB252E"/>
    <w:rsid w:val="00AB26E1"/>
    <w:rsid w:val="00AB26FF"/>
    <w:rsid w:val="00AB286B"/>
    <w:rsid w:val="00AB2973"/>
    <w:rsid w:val="00AB29DD"/>
    <w:rsid w:val="00AB2A86"/>
    <w:rsid w:val="00AB2B4C"/>
    <w:rsid w:val="00AB2C29"/>
    <w:rsid w:val="00AB2C96"/>
    <w:rsid w:val="00AB2F4C"/>
    <w:rsid w:val="00AB30C8"/>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44"/>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9E8"/>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4B5"/>
    <w:rsid w:val="00AB7577"/>
    <w:rsid w:val="00AB758D"/>
    <w:rsid w:val="00AB758E"/>
    <w:rsid w:val="00AB7639"/>
    <w:rsid w:val="00AB76CF"/>
    <w:rsid w:val="00AB77F0"/>
    <w:rsid w:val="00AB7818"/>
    <w:rsid w:val="00AB786E"/>
    <w:rsid w:val="00AB7BFF"/>
    <w:rsid w:val="00AB7C7A"/>
    <w:rsid w:val="00AB7CB1"/>
    <w:rsid w:val="00AB7DC1"/>
    <w:rsid w:val="00AB7E0D"/>
    <w:rsid w:val="00AB7E78"/>
    <w:rsid w:val="00AB7ED9"/>
    <w:rsid w:val="00AB7F0F"/>
    <w:rsid w:val="00AB7FBF"/>
    <w:rsid w:val="00AC002D"/>
    <w:rsid w:val="00AC007F"/>
    <w:rsid w:val="00AC0188"/>
    <w:rsid w:val="00AC0358"/>
    <w:rsid w:val="00AC04B8"/>
    <w:rsid w:val="00AC061C"/>
    <w:rsid w:val="00AC06A5"/>
    <w:rsid w:val="00AC0729"/>
    <w:rsid w:val="00AC07C7"/>
    <w:rsid w:val="00AC0A1F"/>
    <w:rsid w:val="00AC0B90"/>
    <w:rsid w:val="00AC0BBA"/>
    <w:rsid w:val="00AC0C89"/>
    <w:rsid w:val="00AC0D00"/>
    <w:rsid w:val="00AC0E2C"/>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DA1"/>
    <w:rsid w:val="00AC2EC4"/>
    <w:rsid w:val="00AC2ECD"/>
    <w:rsid w:val="00AC30FE"/>
    <w:rsid w:val="00AC3119"/>
    <w:rsid w:val="00AC3163"/>
    <w:rsid w:val="00AC3259"/>
    <w:rsid w:val="00AC33D7"/>
    <w:rsid w:val="00AC33E9"/>
    <w:rsid w:val="00AC36BF"/>
    <w:rsid w:val="00AC371C"/>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153"/>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5D"/>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3D3"/>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A1E"/>
    <w:rsid w:val="00AE2B45"/>
    <w:rsid w:val="00AE2C1A"/>
    <w:rsid w:val="00AE2C30"/>
    <w:rsid w:val="00AE2C6C"/>
    <w:rsid w:val="00AE2CB7"/>
    <w:rsid w:val="00AE3034"/>
    <w:rsid w:val="00AE33F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57E"/>
    <w:rsid w:val="00AE47AC"/>
    <w:rsid w:val="00AE47E8"/>
    <w:rsid w:val="00AE4A9D"/>
    <w:rsid w:val="00AE4AE6"/>
    <w:rsid w:val="00AE4B6A"/>
    <w:rsid w:val="00AE4B6D"/>
    <w:rsid w:val="00AE4C27"/>
    <w:rsid w:val="00AE4CF5"/>
    <w:rsid w:val="00AE4D0A"/>
    <w:rsid w:val="00AE4DBA"/>
    <w:rsid w:val="00AE4E0D"/>
    <w:rsid w:val="00AE4F07"/>
    <w:rsid w:val="00AE4FC3"/>
    <w:rsid w:val="00AE4FE5"/>
    <w:rsid w:val="00AE5064"/>
    <w:rsid w:val="00AE509F"/>
    <w:rsid w:val="00AE50B0"/>
    <w:rsid w:val="00AE50DC"/>
    <w:rsid w:val="00AE514B"/>
    <w:rsid w:val="00AE52E3"/>
    <w:rsid w:val="00AE53A1"/>
    <w:rsid w:val="00AE5544"/>
    <w:rsid w:val="00AE57F5"/>
    <w:rsid w:val="00AE5827"/>
    <w:rsid w:val="00AE5963"/>
    <w:rsid w:val="00AE5ACD"/>
    <w:rsid w:val="00AE5B64"/>
    <w:rsid w:val="00AE5B9B"/>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595"/>
    <w:rsid w:val="00AE760D"/>
    <w:rsid w:val="00AE7734"/>
    <w:rsid w:val="00AE7927"/>
    <w:rsid w:val="00AE7945"/>
    <w:rsid w:val="00AE7BD3"/>
    <w:rsid w:val="00AE7C40"/>
    <w:rsid w:val="00AE7DCD"/>
    <w:rsid w:val="00AE7F41"/>
    <w:rsid w:val="00AF0111"/>
    <w:rsid w:val="00AF0187"/>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DFE"/>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2E8"/>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DB9"/>
    <w:rsid w:val="00B07E58"/>
    <w:rsid w:val="00B07F43"/>
    <w:rsid w:val="00B07F94"/>
    <w:rsid w:val="00B07FFC"/>
    <w:rsid w:val="00B10005"/>
    <w:rsid w:val="00B100FF"/>
    <w:rsid w:val="00B101D1"/>
    <w:rsid w:val="00B10214"/>
    <w:rsid w:val="00B10288"/>
    <w:rsid w:val="00B102BE"/>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98C"/>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52"/>
    <w:rsid w:val="00B314A3"/>
    <w:rsid w:val="00B314E1"/>
    <w:rsid w:val="00B31676"/>
    <w:rsid w:val="00B31859"/>
    <w:rsid w:val="00B31A1F"/>
    <w:rsid w:val="00B31A2E"/>
    <w:rsid w:val="00B31B89"/>
    <w:rsid w:val="00B31C51"/>
    <w:rsid w:val="00B31D8B"/>
    <w:rsid w:val="00B31EAF"/>
    <w:rsid w:val="00B3224A"/>
    <w:rsid w:val="00B327E7"/>
    <w:rsid w:val="00B32832"/>
    <w:rsid w:val="00B32988"/>
    <w:rsid w:val="00B329DD"/>
    <w:rsid w:val="00B32A29"/>
    <w:rsid w:val="00B32A4D"/>
    <w:rsid w:val="00B32B26"/>
    <w:rsid w:val="00B32CD5"/>
    <w:rsid w:val="00B32DB4"/>
    <w:rsid w:val="00B32DCC"/>
    <w:rsid w:val="00B32E6B"/>
    <w:rsid w:val="00B32EA4"/>
    <w:rsid w:val="00B32FCE"/>
    <w:rsid w:val="00B33230"/>
    <w:rsid w:val="00B33279"/>
    <w:rsid w:val="00B334E5"/>
    <w:rsid w:val="00B335A1"/>
    <w:rsid w:val="00B335C6"/>
    <w:rsid w:val="00B336C1"/>
    <w:rsid w:val="00B336F9"/>
    <w:rsid w:val="00B337B5"/>
    <w:rsid w:val="00B3392C"/>
    <w:rsid w:val="00B33DE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8B"/>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B7E"/>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704"/>
    <w:rsid w:val="00B428CA"/>
    <w:rsid w:val="00B42906"/>
    <w:rsid w:val="00B429E4"/>
    <w:rsid w:val="00B42AE6"/>
    <w:rsid w:val="00B42B59"/>
    <w:rsid w:val="00B42C66"/>
    <w:rsid w:val="00B42F08"/>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776"/>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0F6"/>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35"/>
    <w:rsid w:val="00B51DCD"/>
    <w:rsid w:val="00B51E32"/>
    <w:rsid w:val="00B51E58"/>
    <w:rsid w:val="00B51F26"/>
    <w:rsid w:val="00B51FBA"/>
    <w:rsid w:val="00B5203C"/>
    <w:rsid w:val="00B521D4"/>
    <w:rsid w:val="00B525BC"/>
    <w:rsid w:val="00B525C5"/>
    <w:rsid w:val="00B52643"/>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4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55B"/>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1B68"/>
    <w:rsid w:val="00B6209F"/>
    <w:rsid w:val="00B62780"/>
    <w:rsid w:val="00B628F5"/>
    <w:rsid w:val="00B62B74"/>
    <w:rsid w:val="00B62C89"/>
    <w:rsid w:val="00B62F50"/>
    <w:rsid w:val="00B62F52"/>
    <w:rsid w:val="00B630D9"/>
    <w:rsid w:val="00B631C5"/>
    <w:rsid w:val="00B631FD"/>
    <w:rsid w:val="00B633FB"/>
    <w:rsid w:val="00B633FD"/>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5"/>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30"/>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8C"/>
    <w:rsid w:val="00B747FB"/>
    <w:rsid w:val="00B74878"/>
    <w:rsid w:val="00B74882"/>
    <w:rsid w:val="00B74902"/>
    <w:rsid w:val="00B74C05"/>
    <w:rsid w:val="00B74C4A"/>
    <w:rsid w:val="00B74CBF"/>
    <w:rsid w:val="00B74CDD"/>
    <w:rsid w:val="00B74FD5"/>
    <w:rsid w:val="00B752BE"/>
    <w:rsid w:val="00B75416"/>
    <w:rsid w:val="00B75490"/>
    <w:rsid w:val="00B754C3"/>
    <w:rsid w:val="00B75787"/>
    <w:rsid w:val="00B757C8"/>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9C6"/>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88"/>
    <w:rsid w:val="00B80C9F"/>
    <w:rsid w:val="00B80CB5"/>
    <w:rsid w:val="00B80CD7"/>
    <w:rsid w:val="00B80D55"/>
    <w:rsid w:val="00B81112"/>
    <w:rsid w:val="00B8124E"/>
    <w:rsid w:val="00B8138E"/>
    <w:rsid w:val="00B81468"/>
    <w:rsid w:val="00B815BB"/>
    <w:rsid w:val="00B81A6C"/>
    <w:rsid w:val="00B81B32"/>
    <w:rsid w:val="00B81B71"/>
    <w:rsid w:val="00B81B9F"/>
    <w:rsid w:val="00B81DAA"/>
    <w:rsid w:val="00B81E91"/>
    <w:rsid w:val="00B81FA1"/>
    <w:rsid w:val="00B820AE"/>
    <w:rsid w:val="00B8211D"/>
    <w:rsid w:val="00B8212F"/>
    <w:rsid w:val="00B8219B"/>
    <w:rsid w:val="00B821A4"/>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91"/>
    <w:rsid w:val="00B86DFC"/>
    <w:rsid w:val="00B87139"/>
    <w:rsid w:val="00B87247"/>
    <w:rsid w:val="00B87266"/>
    <w:rsid w:val="00B875AC"/>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9CC"/>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44"/>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72F"/>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DA"/>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48"/>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69"/>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9D9"/>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6D4"/>
    <w:rsid w:val="00BB795C"/>
    <w:rsid w:val="00BB7A09"/>
    <w:rsid w:val="00BB7C28"/>
    <w:rsid w:val="00BB7E29"/>
    <w:rsid w:val="00BC008A"/>
    <w:rsid w:val="00BC0164"/>
    <w:rsid w:val="00BC01BF"/>
    <w:rsid w:val="00BC0553"/>
    <w:rsid w:val="00BC061D"/>
    <w:rsid w:val="00BC0A84"/>
    <w:rsid w:val="00BC0AF2"/>
    <w:rsid w:val="00BC0C5A"/>
    <w:rsid w:val="00BC0D1F"/>
    <w:rsid w:val="00BC0DC5"/>
    <w:rsid w:val="00BC0DDF"/>
    <w:rsid w:val="00BC0E86"/>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3ED"/>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61B"/>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53"/>
    <w:rsid w:val="00BC4A22"/>
    <w:rsid w:val="00BC4D2E"/>
    <w:rsid w:val="00BC4EA5"/>
    <w:rsid w:val="00BC4F4E"/>
    <w:rsid w:val="00BC509F"/>
    <w:rsid w:val="00BC5132"/>
    <w:rsid w:val="00BC530A"/>
    <w:rsid w:val="00BC53A1"/>
    <w:rsid w:val="00BC544F"/>
    <w:rsid w:val="00BC55A0"/>
    <w:rsid w:val="00BC56C8"/>
    <w:rsid w:val="00BC56F7"/>
    <w:rsid w:val="00BC57CC"/>
    <w:rsid w:val="00BC5888"/>
    <w:rsid w:val="00BC58A5"/>
    <w:rsid w:val="00BC5B5D"/>
    <w:rsid w:val="00BC5C16"/>
    <w:rsid w:val="00BC5CB6"/>
    <w:rsid w:val="00BC5D8D"/>
    <w:rsid w:val="00BC5DE4"/>
    <w:rsid w:val="00BC5E0D"/>
    <w:rsid w:val="00BC5FA5"/>
    <w:rsid w:val="00BC6074"/>
    <w:rsid w:val="00BC618A"/>
    <w:rsid w:val="00BC6207"/>
    <w:rsid w:val="00BC62A4"/>
    <w:rsid w:val="00BC62C5"/>
    <w:rsid w:val="00BC6523"/>
    <w:rsid w:val="00BC6573"/>
    <w:rsid w:val="00BC65C2"/>
    <w:rsid w:val="00BC66D2"/>
    <w:rsid w:val="00BC674F"/>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6D4"/>
    <w:rsid w:val="00BC7706"/>
    <w:rsid w:val="00BC774F"/>
    <w:rsid w:val="00BC77DF"/>
    <w:rsid w:val="00BC78E9"/>
    <w:rsid w:val="00BC7AFB"/>
    <w:rsid w:val="00BC7B55"/>
    <w:rsid w:val="00BC7B69"/>
    <w:rsid w:val="00BC7B7A"/>
    <w:rsid w:val="00BC7B94"/>
    <w:rsid w:val="00BC7BF9"/>
    <w:rsid w:val="00BC7E1D"/>
    <w:rsid w:val="00BC7E79"/>
    <w:rsid w:val="00BD005A"/>
    <w:rsid w:val="00BD00A1"/>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2BA"/>
    <w:rsid w:val="00BD136C"/>
    <w:rsid w:val="00BD159F"/>
    <w:rsid w:val="00BD16EB"/>
    <w:rsid w:val="00BD173D"/>
    <w:rsid w:val="00BD1830"/>
    <w:rsid w:val="00BD1A0E"/>
    <w:rsid w:val="00BD1A1D"/>
    <w:rsid w:val="00BD1A23"/>
    <w:rsid w:val="00BD1C57"/>
    <w:rsid w:val="00BD1ED3"/>
    <w:rsid w:val="00BD1FB9"/>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75F"/>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D98"/>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13C"/>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3D8"/>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88"/>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2C0"/>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CC7"/>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51"/>
    <w:rsid w:val="00C12626"/>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694"/>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8ED"/>
    <w:rsid w:val="00C15986"/>
    <w:rsid w:val="00C15A85"/>
    <w:rsid w:val="00C15AD0"/>
    <w:rsid w:val="00C15B34"/>
    <w:rsid w:val="00C15B78"/>
    <w:rsid w:val="00C15C75"/>
    <w:rsid w:val="00C15D87"/>
    <w:rsid w:val="00C15E06"/>
    <w:rsid w:val="00C16073"/>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4F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0"/>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021"/>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CFF"/>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00"/>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4B"/>
    <w:rsid w:val="00C31E98"/>
    <w:rsid w:val="00C31F04"/>
    <w:rsid w:val="00C31F3E"/>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B25"/>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BC"/>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CA"/>
    <w:rsid w:val="00C45BD4"/>
    <w:rsid w:val="00C45D87"/>
    <w:rsid w:val="00C460A9"/>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07"/>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02"/>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536"/>
    <w:rsid w:val="00C61863"/>
    <w:rsid w:val="00C619F0"/>
    <w:rsid w:val="00C61B50"/>
    <w:rsid w:val="00C61C13"/>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5B9"/>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56"/>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17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57"/>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632"/>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46"/>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01B"/>
    <w:rsid w:val="00C91218"/>
    <w:rsid w:val="00C9124C"/>
    <w:rsid w:val="00C91436"/>
    <w:rsid w:val="00C9145E"/>
    <w:rsid w:val="00C91538"/>
    <w:rsid w:val="00C916F3"/>
    <w:rsid w:val="00C91710"/>
    <w:rsid w:val="00C91794"/>
    <w:rsid w:val="00C91868"/>
    <w:rsid w:val="00C918CF"/>
    <w:rsid w:val="00C9196D"/>
    <w:rsid w:val="00C919A5"/>
    <w:rsid w:val="00C91C6F"/>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4CD"/>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0E56"/>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06"/>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C45"/>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13"/>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88E"/>
    <w:rsid w:val="00CB79B0"/>
    <w:rsid w:val="00CB79CC"/>
    <w:rsid w:val="00CB7A7C"/>
    <w:rsid w:val="00CB7EA3"/>
    <w:rsid w:val="00CB7F07"/>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798"/>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5F16"/>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5D"/>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9"/>
    <w:rsid w:val="00CD635F"/>
    <w:rsid w:val="00CD6433"/>
    <w:rsid w:val="00CD6509"/>
    <w:rsid w:val="00CD65F7"/>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4C0"/>
    <w:rsid w:val="00CE1548"/>
    <w:rsid w:val="00CE1801"/>
    <w:rsid w:val="00CE1B2C"/>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2EC8"/>
    <w:rsid w:val="00CE31C1"/>
    <w:rsid w:val="00CE3210"/>
    <w:rsid w:val="00CE33C3"/>
    <w:rsid w:val="00CE3485"/>
    <w:rsid w:val="00CE3499"/>
    <w:rsid w:val="00CE34F8"/>
    <w:rsid w:val="00CE357F"/>
    <w:rsid w:val="00CE3633"/>
    <w:rsid w:val="00CE37AD"/>
    <w:rsid w:val="00CE3A70"/>
    <w:rsid w:val="00CE3AB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AD6"/>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427"/>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1B"/>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9F4"/>
    <w:rsid w:val="00D04AFE"/>
    <w:rsid w:val="00D04B19"/>
    <w:rsid w:val="00D04C43"/>
    <w:rsid w:val="00D04CF4"/>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2"/>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AAE"/>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42"/>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A3D"/>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1F03"/>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E18"/>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2B7"/>
    <w:rsid w:val="00D352E3"/>
    <w:rsid w:val="00D35431"/>
    <w:rsid w:val="00D35738"/>
    <w:rsid w:val="00D35894"/>
    <w:rsid w:val="00D35A01"/>
    <w:rsid w:val="00D35AC7"/>
    <w:rsid w:val="00D35BCB"/>
    <w:rsid w:val="00D35E6B"/>
    <w:rsid w:val="00D35E8A"/>
    <w:rsid w:val="00D35EF8"/>
    <w:rsid w:val="00D35F32"/>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76"/>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5F83"/>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C1"/>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7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BEC"/>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5A2"/>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AC9"/>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371"/>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B2D"/>
    <w:rsid w:val="00D73C21"/>
    <w:rsid w:val="00D73CD4"/>
    <w:rsid w:val="00D73D89"/>
    <w:rsid w:val="00D73E2C"/>
    <w:rsid w:val="00D73ED5"/>
    <w:rsid w:val="00D73F06"/>
    <w:rsid w:val="00D73F6A"/>
    <w:rsid w:val="00D741B2"/>
    <w:rsid w:val="00D741B3"/>
    <w:rsid w:val="00D74226"/>
    <w:rsid w:val="00D74283"/>
    <w:rsid w:val="00D7445C"/>
    <w:rsid w:val="00D744E4"/>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1FB"/>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5E9"/>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0F2C"/>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798"/>
    <w:rsid w:val="00D93837"/>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2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5C1"/>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39"/>
    <w:rsid w:val="00DA137D"/>
    <w:rsid w:val="00DA149C"/>
    <w:rsid w:val="00DA16F1"/>
    <w:rsid w:val="00DA19D3"/>
    <w:rsid w:val="00DA1AC8"/>
    <w:rsid w:val="00DA1B07"/>
    <w:rsid w:val="00DA1B5A"/>
    <w:rsid w:val="00DA1C78"/>
    <w:rsid w:val="00DA1E21"/>
    <w:rsid w:val="00DA1F1C"/>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4D"/>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84"/>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0C7"/>
    <w:rsid w:val="00DB5165"/>
    <w:rsid w:val="00DB5305"/>
    <w:rsid w:val="00DB5341"/>
    <w:rsid w:val="00DB5477"/>
    <w:rsid w:val="00DB5568"/>
    <w:rsid w:val="00DB5653"/>
    <w:rsid w:val="00DB5654"/>
    <w:rsid w:val="00DB578C"/>
    <w:rsid w:val="00DB59E8"/>
    <w:rsid w:val="00DB5A1B"/>
    <w:rsid w:val="00DB5AC7"/>
    <w:rsid w:val="00DB5D30"/>
    <w:rsid w:val="00DB5D66"/>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724"/>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0D"/>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6FD"/>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4FE"/>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15"/>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4F"/>
    <w:rsid w:val="00DD3F50"/>
    <w:rsid w:val="00DD3F81"/>
    <w:rsid w:val="00DD4246"/>
    <w:rsid w:val="00DD42BA"/>
    <w:rsid w:val="00DD4324"/>
    <w:rsid w:val="00DD4344"/>
    <w:rsid w:val="00DD44D5"/>
    <w:rsid w:val="00DD47D6"/>
    <w:rsid w:val="00DD4809"/>
    <w:rsid w:val="00DD487D"/>
    <w:rsid w:val="00DD49E9"/>
    <w:rsid w:val="00DD4A02"/>
    <w:rsid w:val="00DD4A2E"/>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6D6"/>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03"/>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6E17"/>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44"/>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4C"/>
    <w:rsid w:val="00E01BAA"/>
    <w:rsid w:val="00E01BFC"/>
    <w:rsid w:val="00E01C04"/>
    <w:rsid w:val="00E01C66"/>
    <w:rsid w:val="00E01DE8"/>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DB9"/>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D9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D98"/>
    <w:rsid w:val="00E13E2D"/>
    <w:rsid w:val="00E13ECF"/>
    <w:rsid w:val="00E13EFE"/>
    <w:rsid w:val="00E1401A"/>
    <w:rsid w:val="00E141C2"/>
    <w:rsid w:val="00E142A9"/>
    <w:rsid w:val="00E142F3"/>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6D1"/>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86"/>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84"/>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B0"/>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BC6"/>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B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2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0ED"/>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2F"/>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825"/>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2EC3"/>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08A"/>
    <w:rsid w:val="00E66445"/>
    <w:rsid w:val="00E6666E"/>
    <w:rsid w:val="00E668F3"/>
    <w:rsid w:val="00E669B0"/>
    <w:rsid w:val="00E66ADB"/>
    <w:rsid w:val="00E66ADD"/>
    <w:rsid w:val="00E66B47"/>
    <w:rsid w:val="00E66B6C"/>
    <w:rsid w:val="00E66C3D"/>
    <w:rsid w:val="00E66D97"/>
    <w:rsid w:val="00E66E88"/>
    <w:rsid w:val="00E66E95"/>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DFC"/>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3C"/>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D2"/>
    <w:rsid w:val="00E741F7"/>
    <w:rsid w:val="00E7422F"/>
    <w:rsid w:val="00E7425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02"/>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B90"/>
    <w:rsid w:val="00E76F85"/>
    <w:rsid w:val="00E7732C"/>
    <w:rsid w:val="00E773E2"/>
    <w:rsid w:val="00E77422"/>
    <w:rsid w:val="00E774EF"/>
    <w:rsid w:val="00E7755E"/>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7B7"/>
    <w:rsid w:val="00E82C29"/>
    <w:rsid w:val="00E82C3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2E"/>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6D"/>
    <w:rsid w:val="00E868A1"/>
    <w:rsid w:val="00E86C0C"/>
    <w:rsid w:val="00E86C9A"/>
    <w:rsid w:val="00E86E9D"/>
    <w:rsid w:val="00E8737B"/>
    <w:rsid w:val="00E873E4"/>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243"/>
    <w:rsid w:val="00E93576"/>
    <w:rsid w:val="00E93710"/>
    <w:rsid w:val="00E937AF"/>
    <w:rsid w:val="00E93860"/>
    <w:rsid w:val="00E939A4"/>
    <w:rsid w:val="00E939AD"/>
    <w:rsid w:val="00E93C24"/>
    <w:rsid w:val="00E93C52"/>
    <w:rsid w:val="00E93D0E"/>
    <w:rsid w:val="00E93E24"/>
    <w:rsid w:val="00E93E57"/>
    <w:rsid w:val="00E93F54"/>
    <w:rsid w:val="00E93FBB"/>
    <w:rsid w:val="00E93FDC"/>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39"/>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A11"/>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C0F"/>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860"/>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1ECD"/>
    <w:rsid w:val="00EB2087"/>
    <w:rsid w:val="00EB23E3"/>
    <w:rsid w:val="00EB26A7"/>
    <w:rsid w:val="00EB289E"/>
    <w:rsid w:val="00EB2AA6"/>
    <w:rsid w:val="00EB2BED"/>
    <w:rsid w:val="00EB2C68"/>
    <w:rsid w:val="00EB2CF4"/>
    <w:rsid w:val="00EB2D83"/>
    <w:rsid w:val="00EB2DD1"/>
    <w:rsid w:val="00EB312E"/>
    <w:rsid w:val="00EB31A6"/>
    <w:rsid w:val="00EB31EA"/>
    <w:rsid w:val="00EB32F7"/>
    <w:rsid w:val="00EB330B"/>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56"/>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988"/>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0F3"/>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D53"/>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AFF"/>
    <w:rsid w:val="00ED1B17"/>
    <w:rsid w:val="00ED1BB5"/>
    <w:rsid w:val="00ED1E28"/>
    <w:rsid w:val="00ED1FE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CF6"/>
    <w:rsid w:val="00EE0E66"/>
    <w:rsid w:val="00EE0EA5"/>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58"/>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3CA"/>
    <w:rsid w:val="00EF36A4"/>
    <w:rsid w:val="00EF36BF"/>
    <w:rsid w:val="00EF3912"/>
    <w:rsid w:val="00EF3AF2"/>
    <w:rsid w:val="00EF3B3C"/>
    <w:rsid w:val="00EF3B56"/>
    <w:rsid w:val="00EF3BF9"/>
    <w:rsid w:val="00EF3CE0"/>
    <w:rsid w:val="00EF3D93"/>
    <w:rsid w:val="00EF3F18"/>
    <w:rsid w:val="00EF3F4D"/>
    <w:rsid w:val="00EF4039"/>
    <w:rsid w:val="00EF406E"/>
    <w:rsid w:val="00EF4088"/>
    <w:rsid w:val="00EF41E3"/>
    <w:rsid w:val="00EF4221"/>
    <w:rsid w:val="00EF4321"/>
    <w:rsid w:val="00EF433A"/>
    <w:rsid w:val="00EF442F"/>
    <w:rsid w:val="00EF447D"/>
    <w:rsid w:val="00EF455A"/>
    <w:rsid w:val="00EF47BE"/>
    <w:rsid w:val="00EF4923"/>
    <w:rsid w:val="00EF4934"/>
    <w:rsid w:val="00EF4B5E"/>
    <w:rsid w:val="00EF4B63"/>
    <w:rsid w:val="00EF4BC7"/>
    <w:rsid w:val="00EF4CE0"/>
    <w:rsid w:val="00EF5023"/>
    <w:rsid w:val="00EF52D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B38"/>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AE"/>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3D7"/>
    <w:rsid w:val="00F144D7"/>
    <w:rsid w:val="00F1462E"/>
    <w:rsid w:val="00F14650"/>
    <w:rsid w:val="00F146BA"/>
    <w:rsid w:val="00F147BA"/>
    <w:rsid w:val="00F148A6"/>
    <w:rsid w:val="00F149EE"/>
    <w:rsid w:val="00F14C07"/>
    <w:rsid w:val="00F14CD9"/>
    <w:rsid w:val="00F14CE9"/>
    <w:rsid w:val="00F14E8A"/>
    <w:rsid w:val="00F14F87"/>
    <w:rsid w:val="00F14FDC"/>
    <w:rsid w:val="00F15042"/>
    <w:rsid w:val="00F15110"/>
    <w:rsid w:val="00F1511F"/>
    <w:rsid w:val="00F15138"/>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70"/>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651"/>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3A"/>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67"/>
    <w:rsid w:val="00F31384"/>
    <w:rsid w:val="00F313D6"/>
    <w:rsid w:val="00F31407"/>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49"/>
    <w:rsid w:val="00F35857"/>
    <w:rsid w:val="00F358C0"/>
    <w:rsid w:val="00F35AF4"/>
    <w:rsid w:val="00F35CA5"/>
    <w:rsid w:val="00F35D94"/>
    <w:rsid w:val="00F36092"/>
    <w:rsid w:val="00F361E1"/>
    <w:rsid w:val="00F36336"/>
    <w:rsid w:val="00F36544"/>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DCD"/>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8CA"/>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570"/>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D9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7F"/>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060"/>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714"/>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1F4"/>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6D2"/>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2D5"/>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62D"/>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0A"/>
    <w:rsid w:val="00F857BD"/>
    <w:rsid w:val="00F859D8"/>
    <w:rsid w:val="00F85B19"/>
    <w:rsid w:val="00F85C96"/>
    <w:rsid w:val="00F85CA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40C"/>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6A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45"/>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277"/>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5A"/>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80"/>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0B3"/>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0F9C"/>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80B"/>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04"/>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61"/>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DBB65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 w:val="ECDF0F62"/>
    <w:rsid w:val="ED6C2653"/>
    <w:rsid w:val="EDBFC08A"/>
    <w:rsid w:val="EDFE3C64"/>
    <w:rsid w:val="F77D6023"/>
    <w:rsid w:val="FE9ED179"/>
    <w:rsid w:val="FFFF3B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9"/>
    <w:qFormat/>
    <w:uiPriority w:val="0"/>
    <w:pPr>
      <w:spacing w:after="0"/>
    </w:pPr>
    <w:rPr>
      <w:rFonts w:ascii="Segoe UI" w:hAnsi="Segoe UI" w:cs="Segoe UI"/>
      <w:sz w:val="18"/>
      <w:szCs w:val="18"/>
    </w:rPr>
  </w:style>
  <w:style w:type="paragraph" w:styleId="15">
    <w:name w:val="Body Text"/>
    <w:basedOn w:val="1"/>
    <w:link w:val="75"/>
    <w:qFormat/>
    <w:uiPriority w:val="0"/>
    <w:pPr>
      <w:spacing w:after="120"/>
      <w:jc w:val="both"/>
    </w:pPr>
    <w:rPr>
      <w:lang w:eastAsia="zh-CN"/>
    </w:rPr>
  </w:style>
  <w:style w:type="paragraph" w:styleId="16">
    <w:name w:val="caption"/>
    <w:basedOn w:val="1"/>
    <w:next w:val="1"/>
    <w:link w:val="161"/>
    <w:qFormat/>
    <w:uiPriority w:val="0"/>
    <w:pPr>
      <w:spacing w:before="120" w:after="120"/>
    </w:pPr>
    <w:rPr>
      <w:b/>
      <w:lang w:eastAsia="en-GB"/>
    </w:rPr>
  </w:style>
  <w:style w:type="character" w:styleId="17">
    <w:name w:val="annotation reference"/>
    <w:qFormat/>
    <w:uiPriority w:val="99"/>
    <w:rPr>
      <w:sz w:val="16"/>
      <w:szCs w:val="16"/>
    </w:rPr>
  </w:style>
  <w:style w:type="paragraph" w:styleId="18">
    <w:name w:val="annotation text"/>
    <w:basedOn w:val="1"/>
    <w:link w:val="110"/>
    <w:qFormat/>
    <w:uiPriority w:val="99"/>
  </w:style>
  <w:style w:type="paragraph" w:styleId="19">
    <w:name w:val="annotation subject"/>
    <w:basedOn w:val="18"/>
    <w:next w:val="18"/>
    <w:link w:val="111"/>
    <w:qFormat/>
    <w:uiPriority w:val="0"/>
    <w:rPr>
      <w:b/>
      <w:bCs/>
    </w:rPr>
  </w:style>
  <w:style w:type="paragraph" w:styleId="20">
    <w:name w:val="Document Map"/>
    <w:basedOn w:val="1"/>
    <w:link w:val="116"/>
    <w:qFormat/>
    <w:uiPriority w:val="0"/>
    <w:pPr>
      <w:shd w:val="clear" w:color="auto" w:fill="000080"/>
    </w:pPr>
    <w:rPr>
      <w:rFonts w:ascii="Tahoma" w:hAnsi="Tahoma" w:cs="Tahoma"/>
    </w:rPr>
  </w:style>
  <w:style w:type="character" w:styleId="21">
    <w:name w:val="Emphasis"/>
    <w:qFormat/>
    <w:uiPriority w:val="20"/>
    <w:rPr>
      <w:i/>
      <w:iCs/>
    </w:rPr>
  </w:style>
  <w:style w:type="character" w:styleId="22">
    <w:name w:val="FollowedHyperlink"/>
    <w:unhideWhenUsed/>
    <w:qFormat/>
    <w:uiPriority w:val="0"/>
    <w:rPr>
      <w:color w:val="800080"/>
      <w:u w:val="single"/>
    </w:rPr>
  </w:style>
  <w:style w:type="paragraph" w:styleId="23">
    <w:name w:val="footer"/>
    <w:basedOn w:val="24"/>
    <w:link w:val="122"/>
    <w:qFormat/>
    <w:uiPriority w:val="0"/>
    <w:pPr>
      <w:jc w:val="center"/>
    </w:pPr>
    <w:rPr>
      <w:i/>
    </w:rPr>
  </w:style>
  <w:style w:type="paragraph" w:styleId="24">
    <w:name w:val="header"/>
    <w:link w:val="121"/>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character" w:styleId="25">
    <w:name w:val="footnote reference"/>
    <w:qFormat/>
    <w:uiPriority w:val="0"/>
    <w:rPr>
      <w:b/>
      <w:position w:val="6"/>
      <w:sz w:val="16"/>
    </w:rPr>
  </w:style>
  <w:style w:type="paragraph" w:styleId="26">
    <w:name w:val="footnote text"/>
    <w:basedOn w:val="1"/>
    <w:link w:val="123"/>
    <w:qFormat/>
    <w:uiPriority w:val="0"/>
    <w:pPr>
      <w:keepLines/>
      <w:spacing w:after="0"/>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99"/>
    <w:rPr>
      <w:color w:val="0000FF"/>
      <w:u w:val="single"/>
    </w:rPr>
  </w:style>
  <w:style w:type="paragraph" w:styleId="29">
    <w:name w:val="index 1"/>
    <w:basedOn w:val="1"/>
    <w:next w:val="1"/>
    <w:qFormat/>
    <w:uiPriority w:val="0"/>
    <w:pPr>
      <w:keepLines/>
      <w:spacing w:after="0"/>
    </w:pPr>
  </w:style>
  <w:style w:type="paragraph" w:styleId="30">
    <w:name w:val="index 2"/>
    <w:basedOn w:val="29"/>
    <w:next w:val="1"/>
    <w:qFormat/>
    <w:uiPriority w:val="0"/>
    <w:pPr>
      <w:ind w:left="284"/>
    </w:pPr>
  </w:style>
  <w:style w:type="paragraph" w:styleId="31">
    <w:name w:val="index heading"/>
    <w:basedOn w:val="1"/>
    <w:next w:val="1"/>
    <w:qFormat/>
    <w:uiPriority w:val="0"/>
    <w:pPr>
      <w:pBdr>
        <w:top w:val="single" w:color="auto" w:sz="12" w:space="0"/>
      </w:pBdr>
      <w:spacing w:before="360" w:after="240"/>
    </w:pPr>
    <w:rPr>
      <w:b/>
      <w:i/>
      <w:sz w:val="26"/>
      <w:lang w:eastAsia="en-GB"/>
    </w:rPr>
  </w:style>
  <w:style w:type="paragraph" w:styleId="32">
    <w:name w:val="List"/>
    <w:basedOn w:val="15"/>
    <w:qFormat/>
    <w:uiPriority w:val="0"/>
    <w:pPr>
      <w:ind w:left="568" w:hanging="284"/>
    </w:pPr>
  </w:style>
  <w:style w:type="paragraph" w:styleId="33">
    <w:name w:val="List 2"/>
    <w:basedOn w:val="32"/>
    <w:qFormat/>
    <w:uiPriority w:val="0"/>
    <w:pPr>
      <w:ind w:left="851"/>
    </w:pPr>
    <w:rPr>
      <w:lang w:eastAsia="ja-JP"/>
    </w:r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qFormat/>
    <w:uiPriority w:val="0"/>
    <w:pPr>
      <w:ind w:left="1702"/>
    </w:pPr>
  </w:style>
  <w:style w:type="paragraph" w:styleId="37">
    <w:name w:val="List Bullet"/>
    <w:basedOn w:val="32"/>
    <w:qFormat/>
    <w:uiPriority w:val="0"/>
    <w:pPr>
      <w:numPr>
        <w:ilvl w:val="0"/>
        <w:numId w:val="1"/>
      </w:numPr>
    </w:pPr>
    <w:rPr>
      <w:lang w:eastAsia="ja-JP"/>
    </w:rPr>
  </w:style>
  <w:style w:type="paragraph" w:styleId="38">
    <w:name w:val="List Bullet 2"/>
    <w:basedOn w:val="37"/>
    <w:qFormat/>
    <w:uiPriority w:val="0"/>
    <w:pPr>
      <w:numPr>
        <w:numId w:val="2"/>
      </w:numPr>
      <w:tabs>
        <w:tab w:val="left" w:pos="643"/>
      </w:tabs>
    </w:pPr>
  </w:style>
  <w:style w:type="paragraph" w:styleId="39">
    <w:name w:val="List Bullet 3"/>
    <w:basedOn w:val="38"/>
    <w:qFormat/>
    <w:uiPriority w:val="0"/>
    <w:pPr>
      <w:numPr>
        <w:numId w:val="3"/>
      </w:numPr>
    </w:pPr>
  </w:style>
  <w:style w:type="paragraph" w:styleId="40">
    <w:name w:val="List Bullet 4"/>
    <w:basedOn w:val="39"/>
    <w:qFormat/>
    <w:uiPriority w:val="0"/>
    <w:pPr>
      <w:numPr>
        <w:numId w:val="4"/>
      </w:numPr>
    </w:pPr>
  </w:style>
  <w:style w:type="paragraph" w:styleId="41">
    <w:name w:val="List Bullet 5"/>
    <w:basedOn w:val="40"/>
    <w:qFormat/>
    <w:uiPriority w:val="0"/>
    <w:pPr>
      <w:numPr>
        <w:numId w:val="5"/>
      </w:numPr>
    </w:pPr>
  </w:style>
  <w:style w:type="paragraph" w:styleId="42">
    <w:name w:val="List Continue"/>
    <w:basedOn w:val="1"/>
    <w:qFormat/>
    <w:uiPriority w:val="0"/>
    <w:pPr>
      <w:spacing w:after="120"/>
      <w:ind w:left="283"/>
      <w:contextualSpacing/>
    </w:pPr>
  </w:style>
  <w:style w:type="paragraph" w:styleId="43">
    <w:name w:val="List Continue 2"/>
    <w:basedOn w:val="1"/>
    <w:qFormat/>
    <w:uiPriority w:val="0"/>
    <w:pPr>
      <w:spacing w:after="120"/>
      <w:ind w:left="566"/>
      <w:contextualSpacing/>
    </w:pPr>
  </w:style>
  <w:style w:type="paragraph" w:styleId="44">
    <w:name w:val="List Number"/>
    <w:basedOn w:val="32"/>
    <w:qFormat/>
    <w:uiPriority w:val="0"/>
    <w:pPr>
      <w:numPr>
        <w:ilvl w:val="0"/>
        <w:numId w:val="6"/>
      </w:numPr>
    </w:pPr>
    <w:rPr>
      <w:lang w:eastAsia="ja-JP"/>
    </w:rPr>
  </w:style>
  <w:style w:type="paragraph" w:styleId="45">
    <w:name w:val="List Number 2"/>
    <w:basedOn w:val="44"/>
    <w:qFormat/>
    <w:uiPriority w:val="0"/>
    <w:pPr>
      <w:numPr>
        <w:numId w:val="7"/>
      </w:numPr>
    </w:pPr>
  </w:style>
  <w:style w:type="paragraph" w:styleId="46">
    <w:name w:val="List Number 3"/>
    <w:basedOn w:val="45"/>
    <w:qFormat/>
    <w:uiPriority w:val="0"/>
    <w:pPr>
      <w:numPr>
        <w:numId w:val="8"/>
      </w:numPr>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sv-SE" w:eastAsia="sv-SE"/>
    </w:rPr>
  </w:style>
  <w:style w:type="character" w:styleId="48">
    <w:name w:val="page number"/>
    <w:basedOn w:val="12"/>
    <w:qFormat/>
    <w:uiPriority w:val="0"/>
  </w:style>
  <w:style w:type="paragraph" w:styleId="49">
    <w:name w:val="Plain Text"/>
    <w:basedOn w:val="1"/>
    <w:link w:val="140"/>
    <w:qFormat/>
    <w:uiPriority w:val="0"/>
    <w:rPr>
      <w:rFonts w:ascii="Courier New" w:hAnsi="Courier New"/>
      <w:lang w:val="nb-NO"/>
    </w:rPr>
  </w:style>
  <w:style w:type="character" w:styleId="50">
    <w:name w:val="Strong"/>
    <w:qFormat/>
    <w:uiPriority w:val="22"/>
    <w:rPr>
      <w:b/>
      <w:bCs/>
    </w:rPr>
  </w:style>
  <w:style w:type="paragraph" w:styleId="51">
    <w:name w:val="Subtitle"/>
    <w:basedOn w:val="1"/>
    <w:next w:val="1"/>
    <w:link w:val="182"/>
    <w:qFormat/>
    <w:uiPriority w:val="0"/>
    <w:pPr>
      <w:spacing w:before="240" w:after="60" w:line="312" w:lineRule="auto"/>
      <w:ind w:left="1440" w:hanging="1440"/>
      <w:jc w:val="center"/>
      <w:outlineLvl w:val="1"/>
    </w:pPr>
    <w:rPr>
      <w:rFonts w:asciiTheme="minorHAnsi" w:hAnsiTheme="minorHAnsi" w:eastAsiaTheme="minorEastAsia"/>
      <w:b/>
      <w:bCs/>
      <w:kern w:val="28"/>
      <w:sz w:val="32"/>
      <w:szCs w:val="32"/>
      <w:lang w:val="en-GB"/>
    </w:rPr>
  </w:style>
  <w:style w:type="table" w:styleId="52">
    <w:name w:val="Table Grid"/>
    <w:basedOn w:val="13"/>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3">
    <w:name w:val="table of figures"/>
    <w:basedOn w:val="15"/>
    <w:next w:val="1"/>
    <w:qFormat/>
    <w:uiPriority w:val="99"/>
    <w:pPr>
      <w:ind w:left="1701" w:hanging="1701"/>
      <w:jc w:val="left"/>
    </w:pPr>
    <w:rPr>
      <w:b/>
    </w:rPr>
  </w:style>
  <w:style w:type="paragraph" w:styleId="5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55">
    <w:name w:val="toc 2"/>
    <w:basedOn w:val="54"/>
    <w:next w:val="1"/>
    <w:qFormat/>
    <w:uiPriority w:val="39"/>
    <w:pPr>
      <w:keepNext w:val="0"/>
      <w:spacing w:before="0"/>
      <w:ind w:left="851" w:hanging="851"/>
    </w:pPr>
    <w:rPr>
      <w:sz w:val="20"/>
    </w:rPr>
  </w:style>
  <w:style w:type="paragraph" w:styleId="56">
    <w:name w:val="toc 3"/>
    <w:basedOn w:val="55"/>
    <w:next w:val="1"/>
    <w:qFormat/>
    <w:uiPriority w:val="39"/>
    <w:pPr>
      <w:ind w:left="1134" w:hanging="1134"/>
    </w:pPr>
  </w:style>
  <w:style w:type="paragraph" w:styleId="57">
    <w:name w:val="toc 4"/>
    <w:basedOn w:val="56"/>
    <w:next w:val="1"/>
    <w:qFormat/>
    <w:uiPriority w:val="39"/>
    <w:pPr>
      <w:ind w:left="1418" w:hanging="1418"/>
    </w:pPr>
  </w:style>
  <w:style w:type="paragraph" w:styleId="58">
    <w:name w:val="toc 5"/>
    <w:basedOn w:val="57"/>
    <w:next w:val="1"/>
    <w:qFormat/>
    <w:uiPriority w:val="39"/>
    <w:pPr>
      <w:ind w:left="1701" w:hanging="1701"/>
    </w:pPr>
  </w:style>
  <w:style w:type="paragraph" w:styleId="59">
    <w:name w:val="toc 6"/>
    <w:basedOn w:val="58"/>
    <w:next w:val="1"/>
    <w:qFormat/>
    <w:uiPriority w:val="39"/>
    <w:pPr>
      <w:ind w:left="1985" w:hanging="1985"/>
    </w:pPr>
  </w:style>
  <w:style w:type="paragraph" w:styleId="60">
    <w:name w:val="toc 7"/>
    <w:basedOn w:val="59"/>
    <w:next w:val="1"/>
    <w:qFormat/>
    <w:uiPriority w:val="39"/>
    <w:pPr>
      <w:ind w:left="2268" w:hanging="2268"/>
    </w:pPr>
  </w:style>
  <w:style w:type="paragraph" w:styleId="61">
    <w:name w:val="toc 8"/>
    <w:basedOn w:val="54"/>
    <w:next w:val="1"/>
    <w:qFormat/>
    <w:uiPriority w:val="39"/>
    <w:pPr>
      <w:spacing w:before="180"/>
      <w:ind w:left="2693" w:hanging="2693"/>
    </w:pPr>
    <w:rPr>
      <w:b/>
    </w:rPr>
  </w:style>
  <w:style w:type="paragraph" w:styleId="62">
    <w:name w:val="toc 9"/>
    <w:basedOn w:val="61"/>
    <w:next w:val="1"/>
    <w:qFormat/>
    <w:uiPriority w:val="39"/>
    <w:pPr>
      <w:ind w:left="1418" w:hanging="1418"/>
    </w:pPr>
  </w:style>
  <w:style w:type="paragraph" w:customStyle="1" w:styleId="63">
    <w:name w:val="Figure"/>
    <w:basedOn w:val="1"/>
    <w:next w:val="16"/>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32"/>
    <w:link w:val="99"/>
    <w:qFormat/>
    <w:uiPriority w:val="0"/>
    <w:rPr>
      <w:rFonts w:ascii="Times New Roman" w:hAnsi="Times New Roman"/>
    </w:rPr>
  </w:style>
  <w:style w:type="paragraph" w:customStyle="1" w:styleId="71">
    <w:name w:val="B2"/>
    <w:basedOn w:val="33"/>
    <w:link w:val="100"/>
    <w:qFormat/>
    <w:uiPriority w:val="0"/>
    <w:rPr>
      <w:rFonts w:ascii="Times New Roman" w:hAnsi="Times New Roman"/>
    </w:rPr>
  </w:style>
  <w:style w:type="paragraph" w:customStyle="1" w:styleId="72">
    <w:name w:val="B3"/>
    <w:basedOn w:val="34"/>
    <w:link w:val="101"/>
    <w:qFormat/>
    <w:uiPriority w:val="0"/>
    <w:rPr>
      <w:rFonts w:ascii="Times New Roman" w:hAnsi="Times New Roman"/>
    </w:rPr>
  </w:style>
  <w:style w:type="paragraph" w:customStyle="1" w:styleId="73">
    <w:name w:val="B4"/>
    <w:basedOn w:val="35"/>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36"/>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sz w:val="18"/>
      <w:lang w:val="zh-CN" w:eastAsia="zh-CN"/>
    </w:rPr>
  </w:style>
  <w:style w:type="paragraph" w:customStyle="1" w:styleId="80">
    <w:name w:val="TAC"/>
    <w:basedOn w:val="79"/>
    <w:link w:val="168"/>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Balloon Text Char"/>
    <w:link w:val="14"/>
    <w:qFormat/>
    <w:uiPriority w:val="0"/>
    <w:rPr>
      <w:rFonts w:ascii="Segoe UI" w:hAnsi="Segoe UI" w:cs="Segoe UI"/>
      <w:sz w:val="18"/>
      <w:szCs w:val="18"/>
      <w:lang w:eastAsia="ja-JP"/>
    </w:rPr>
  </w:style>
  <w:style w:type="character" w:customStyle="1" w:styleId="110">
    <w:name w:val="Comment Text Char"/>
    <w:link w:val="18"/>
    <w:qFormat/>
    <w:uiPriority w:val="99"/>
    <w:rPr>
      <w:rFonts w:ascii="Times New Roman" w:hAnsi="Times New Roman"/>
      <w:lang w:eastAsia="ja-JP"/>
    </w:rPr>
  </w:style>
  <w:style w:type="character" w:customStyle="1" w:styleId="111">
    <w:name w:val="Comment Subject Char"/>
    <w:link w:val="19"/>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eastAsia="Times New Roman"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2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24"/>
    <w:qFormat/>
    <w:uiPriority w:val="0"/>
    <w:rPr>
      <w:rFonts w:ascii="Arial" w:hAnsi="Arial"/>
      <w:b/>
      <w:sz w:val="18"/>
      <w:lang w:eastAsia="ja-JP"/>
    </w:rPr>
  </w:style>
  <w:style w:type="character" w:customStyle="1" w:styleId="122">
    <w:name w:val="Footer Char"/>
    <w:link w:val="23"/>
    <w:qFormat/>
    <w:uiPriority w:val="0"/>
    <w:rPr>
      <w:rFonts w:ascii="Arial" w:hAnsi="Arial"/>
      <w:b/>
      <w:i/>
      <w:sz w:val="18"/>
      <w:lang w:eastAsia="ja-JP"/>
    </w:rPr>
  </w:style>
  <w:style w:type="character" w:customStyle="1" w:styleId="123">
    <w:name w:val="Footnote Text Char"/>
    <w:link w:val="26"/>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lang w:val="zh-CN"/>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49"/>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Intense Emphasis"/>
    <w:basedOn w:val="12"/>
    <w:qFormat/>
    <w:uiPriority w:val="21"/>
    <w:rPr>
      <w:i/>
      <w:iCs/>
      <w:color w:val="4472C4" w:themeColor="accent1"/>
      <w14:textFill>
        <w14:solidFill>
          <w14:schemeClr w14:val="accent1"/>
        </w14:solidFill>
      </w14:textFill>
    </w:rPr>
  </w:style>
  <w:style w:type="paragraph" w:customStyle="1" w:styleId="149">
    <w:name w:val="IvD Instructiontext"/>
    <w:basedOn w:val="15"/>
    <w:link w:val="150"/>
    <w:qFormat/>
    <w:uiPriority w:val="99"/>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808080" w:themeColor="text1" w:themeTint="80"/>
      <w:spacing w:val="2"/>
      <w:sz w:val="18"/>
      <w:szCs w:val="18"/>
      <w:lang w:eastAsia="en-US"/>
      <w14:textFill>
        <w14:solidFill>
          <w14:schemeClr w14:val="tx1">
            <w14:lumMod w14:val="50000"/>
            <w14:lumOff w14:val="50000"/>
          </w14:schemeClr>
        </w14:solidFill>
      </w14:textFill>
    </w:rPr>
  </w:style>
  <w:style w:type="character" w:customStyle="1" w:styleId="150">
    <w:name w:val="IvD Instructiontext Char"/>
    <w:link w:val="149"/>
    <w:qFormat/>
    <w:uiPriority w:val="99"/>
    <w:rPr>
      <w:rFonts w:ascii="Arial" w:hAnsi="Arial"/>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1">
    <w:name w:val="Mention"/>
    <w:basedOn w:val="12"/>
    <w:unhideWhenUsed/>
    <w:qFormat/>
    <w:uiPriority w:val="99"/>
    <w:rPr>
      <w:color w:val="2B579A"/>
      <w:shd w:val="clear" w:color="auto" w:fill="E1DFDD"/>
    </w:rPr>
  </w:style>
  <w:style w:type="character" w:styleId="152">
    <w:name w:val="Placeholder Text"/>
    <w:basedOn w:val="12"/>
    <w:semiHidden/>
    <w:qFormat/>
    <w:uiPriority w:val="99"/>
    <w:rPr>
      <w:color w:val="808080"/>
    </w:rPr>
  </w:style>
  <w:style w:type="character" w:customStyle="1" w:styleId="153">
    <w:name w:val="Unresolved Mention"/>
    <w:basedOn w:val="12"/>
    <w:unhideWhenUsed/>
    <w:qFormat/>
    <w:uiPriority w:val="99"/>
    <w:rPr>
      <w:color w:val="605E5C"/>
      <w:shd w:val="clear" w:color="auto" w:fill="E1DFDD"/>
    </w:rPr>
  </w:style>
  <w:style w:type="paragraph" w:customStyle="1" w:styleId="154">
    <w:name w:val="Revision"/>
    <w:hidden/>
    <w:semiHidden/>
    <w:qFormat/>
    <w:uiPriority w:val="99"/>
    <w:rPr>
      <w:rFonts w:ascii="Arial" w:hAnsi="Arial" w:eastAsiaTheme="minorHAnsi" w:cstheme="minorBidi"/>
      <w:szCs w:val="22"/>
      <w:lang w:val="en-US" w:eastAsia="en-US" w:bidi="ar-SA"/>
    </w:rPr>
  </w:style>
  <w:style w:type="paragraph" w:customStyle="1" w:styleId="155">
    <w:name w:val="x_msonormal"/>
    <w:basedOn w:val="1"/>
    <w:qFormat/>
    <w:uiPriority w:val="0"/>
    <w:pPr>
      <w:spacing w:after="0" w:line="240" w:lineRule="auto"/>
    </w:pPr>
    <w:rPr>
      <w:rFonts w:ascii="Calibri" w:hAnsi="Calibri" w:cs="Calibri"/>
      <w:sz w:val="22"/>
    </w:rPr>
  </w:style>
  <w:style w:type="paragraph" w:customStyle="1" w:styleId="156">
    <w:name w:val="x_msolistparagraph"/>
    <w:basedOn w:val="1"/>
    <w:qFormat/>
    <w:uiPriority w:val="99"/>
    <w:pPr>
      <w:spacing w:before="100" w:beforeAutospacing="1" w:after="100" w:afterAutospacing="1" w:line="240" w:lineRule="auto"/>
    </w:pPr>
    <w:rPr>
      <w:rFonts w:ascii="Calibri" w:hAnsi="Calibri" w:cs="Calibri"/>
      <w:sz w:val="22"/>
    </w:rPr>
  </w:style>
  <w:style w:type="character" w:customStyle="1" w:styleId="157">
    <w:name w:val="normaltextrun"/>
    <w:basedOn w:val="12"/>
    <w:qFormat/>
    <w:uiPriority w:val="0"/>
  </w:style>
  <w:style w:type="character" w:customStyle="1" w:styleId="158">
    <w:name w:val="eop"/>
    <w:basedOn w:val="12"/>
    <w:qFormat/>
    <w:uiPriority w:val="0"/>
  </w:style>
  <w:style w:type="character" w:customStyle="1" w:styleId="159">
    <w:name w:val="Book Title"/>
    <w:basedOn w:val="12"/>
    <w:qFormat/>
    <w:uiPriority w:val="33"/>
    <w:rPr>
      <w:b/>
      <w:bCs/>
      <w:i/>
      <w:iCs/>
      <w:spacing w:val="5"/>
    </w:rPr>
  </w:style>
  <w:style w:type="character" w:customStyle="1" w:styleId="160">
    <w:name w:val="B1 Zchn"/>
    <w:qFormat/>
    <w:locked/>
    <w:uiPriority w:val="0"/>
    <w:rPr>
      <w:lang w:val="zh-CN" w:eastAsia="en-US"/>
    </w:rPr>
  </w:style>
  <w:style w:type="character" w:customStyle="1" w:styleId="161">
    <w:name w:val="Caption Char"/>
    <w:link w:val="16"/>
    <w:qFormat/>
    <w:locked/>
    <w:uiPriority w:val="0"/>
    <w:rPr>
      <w:rFonts w:ascii="Arial" w:hAnsi="Arial" w:eastAsiaTheme="minorHAnsi" w:cstheme="minorBidi"/>
      <w:b/>
      <w:szCs w:val="22"/>
      <w:lang w:val="en-US"/>
    </w:rPr>
  </w:style>
  <w:style w:type="paragraph" w:customStyle="1" w:styleId="162">
    <w:name w:val="rProposal"/>
    <w:basedOn w:val="1"/>
    <w:next w:val="1"/>
    <w:link w:val="163"/>
    <w:qFormat/>
    <w:uiPriority w:val="0"/>
    <w:pPr>
      <w:spacing w:before="60" w:after="180" w:line="360" w:lineRule="atLeast"/>
      <w:ind w:left="1122" w:hanging="1122" w:hangingChars="510"/>
      <w:jc w:val="both"/>
    </w:pPr>
    <w:rPr>
      <w:rFonts w:ascii="Times New Roman" w:hAnsi="Times New Roman" w:cs="Times New Roman" w:eastAsiaTheme="minorEastAsia"/>
      <w:b/>
      <w:sz w:val="22"/>
      <w:szCs w:val="20"/>
      <w:lang w:val="en-GB" w:eastAsia="ko-KR"/>
    </w:rPr>
  </w:style>
  <w:style w:type="character" w:customStyle="1" w:styleId="163">
    <w:name w:val="rProposal Char"/>
    <w:link w:val="162"/>
    <w:qFormat/>
    <w:uiPriority w:val="0"/>
    <w:rPr>
      <w:rFonts w:ascii="Times New Roman" w:hAnsi="Times New Roman" w:eastAsiaTheme="minorEastAsia"/>
      <w:b/>
      <w:sz w:val="22"/>
      <w:lang w:eastAsia="ko-KR"/>
    </w:rPr>
  </w:style>
  <w:style w:type="paragraph" w:customStyle="1" w:styleId="164">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lang w:val="en-GB"/>
    </w:rPr>
  </w:style>
  <w:style w:type="character" w:customStyle="1" w:styleId="165">
    <w:name w:val="contentpasted2"/>
    <w:basedOn w:val="12"/>
    <w:qFormat/>
    <w:uiPriority w:val="0"/>
  </w:style>
  <w:style w:type="character" w:customStyle="1" w:styleId="166">
    <w:name w:val="B3 Char"/>
    <w:qFormat/>
    <w:uiPriority w:val="0"/>
    <w:rPr>
      <w:lang w:val="zh-CN" w:eastAsia="en-US"/>
    </w:rPr>
  </w:style>
  <w:style w:type="character" w:customStyle="1" w:styleId="167">
    <w:name w:val="B1 Char"/>
    <w:qFormat/>
    <w:uiPriority w:val="0"/>
    <w:rPr>
      <w:rFonts w:eastAsia="Times New Roman"/>
    </w:rPr>
  </w:style>
  <w:style w:type="character" w:customStyle="1" w:styleId="168">
    <w:name w:val="TAC Char"/>
    <w:link w:val="80"/>
    <w:qFormat/>
    <w:locked/>
    <w:uiPriority w:val="0"/>
    <w:rPr>
      <w:rFonts w:ascii="Arial" w:hAnsi="Arial" w:eastAsiaTheme="minorHAnsi" w:cstheme="minorBidi"/>
      <w:sz w:val="18"/>
      <w:szCs w:val="22"/>
      <w:lang w:val="zh-CN" w:eastAsia="zh-CN"/>
    </w:rPr>
  </w:style>
  <w:style w:type="paragraph" w:customStyle="1" w:styleId="169">
    <w:name w:val="listparagraph"/>
    <w:basedOn w:val="1"/>
    <w:qFormat/>
    <w:uiPriority w:val="99"/>
    <w:pPr>
      <w:spacing w:line="252" w:lineRule="auto"/>
      <w:ind w:left="720"/>
    </w:pPr>
    <w:rPr>
      <w:rFonts w:ascii="Calibri" w:hAnsi="Calibri" w:cs="Calibri"/>
      <w:sz w:val="22"/>
      <w:lang w:val="zh-CN" w:eastAsia="zh-CN"/>
    </w:rPr>
  </w:style>
  <w:style w:type="paragraph" w:customStyle="1" w:styleId="170">
    <w:name w:val="x_xmsolistparagraph"/>
    <w:basedOn w:val="1"/>
    <w:qFormat/>
    <w:uiPriority w:val="0"/>
    <w:pPr>
      <w:spacing w:after="0" w:line="240" w:lineRule="auto"/>
    </w:pPr>
    <w:rPr>
      <w:rFonts w:ascii="Calibri" w:hAnsi="Calibri" w:cs="Calibri"/>
      <w:sz w:val="22"/>
    </w:rPr>
  </w:style>
  <w:style w:type="character" w:customStyle="1" w:styleId="171">
    <w:name w:val="x_xcontentpasted2"/>
    <w:basedOn w:val="12"/>
    <w:qFormat/>
    <w:uiPriority w:val="0"/>
  </w:style>
  <w:style w:type="character" w:customStyle="1" w:styleId="172">
    <w:name w:val="x_xcontentpasted1"/>
    <w:basedOn w:val="12"/>
    <w:qFormat/>
    <w:uiPriority w:val="0"/>
  </w:style>
  <w:style w:type="paragraph" w:customStyle="1" w:styleId="173">
    <w:name w:val="boldbullet1"/>
    <w:basedOn w:val="1"/>
    <w:link w:val="174"/>
    <w:qFormat/>
    <w:uiPriority w:val="0"/>
    <w:pPr>
      <w:spacing w:after="120" w:line="240" w:lineRule="auto"/>
      <w:jc w:val="both"/>
    </w:pPr>
    <w:rPr>
      <w:rFonts w:ascii="Times New Roman" w:hAnsi="Times New Roman" w:eastAsia="SimSun" w:cs="Times New Roman"/>
      <w:b/>
      <w:szCs w:val="24"/>
      <w:lang w:eastAsia="zh-CN"/>
    </w:rPr>
  </w:style>
  <w:style w:type="character" w:customStyle="1" w:styleId="174">
    <w:name w:val="boldbullet1 字符"/>
    <w:basedOn w:val="12"/>
    <w:link w:val="173"/>
    <w:qFormat/>
    <w:uiPriority w:val="0"/>
    <w:rPr>
      <w:rFonts w:ascii="Times New Roman" w:hAnsi="Times New Roman" w:eastAsia="SimSun"/>
      <w:b/>
      <w:szCs w:val="24"/>
      <w:lang w:val="en-US" w:eastAsia="zh-CN"/>
    </w:rPr>
  </w:style>
  <w:style w:type="paragraph" w:customStyle="1" w:styleId="175">
    <w:name w:val="Tdoc_Heading_1"/>
    <w:basedOn w:val="2"/>
    <w:next w:val="15"/>
    <w:qFormat/>
    <w:uiPriority w:val="0"/>
    <w:pPr>
      <w:keepLines w:val="0"/>
      <w:pBdr>
        <w:top w:val="none" w:color="auto" w:sz="0" w:space="0"/>
      </w:pBdr>
      <w:tabs>
        <w:tab w:val="left" w:pos="0"/>
      </w:tabs>
      <w:overflowPunct/>
      <w:autoSpaceDE/>
      <w:autoSpaceDN/>
      <w:adjustRightInd/>
      <w:spacing w:after="60" w:line="360" w:lineRule="atLeast"/>
      <w:ind w:left="0" w:firstLine="0"/>
      <w:jc w:val="both"/>
      <w:textAlignment w:val="auto"/>
    </w:pPr>
    <w:rPr>
      <w:rFonts w:eastAsia="Batang"/>
      <w:b/>
      <w:kern w:val="28"/>
      <w:sz w:val="28"/>
      <w:lang w:eastAsia="ko-KR"/>
    </w:rPr>
  </w:style>
  <w:style w:type="paragraph" w:customStyle="1" w:styleId="176">
    <w:name w:val="Doc"/>
    <w:basedOn w:val="1"/>
    <w:link w:val="177"/>
    <w:qFormat/>
    <w:uiPriority w:val="0"/>
    <w:pPr>
      <w:spacing w:before="120" w:after="180" w:line="240" w:lineRule="auto"/>
      <w:ind w:firstLine="425" w:firstLineChars="193"/>
      <w:jc w:val="both"/>
    </w:pPr>
    <w:rPr>
      <w:rFonts w:ascii="Times New Roman" w:hAnsi="Times New Roman" w:eastAsia="Malgun Gothic" w:cs="Times New Roman"/>
      <w:kern w:val="2"/>
      <w:sz w:val="22"/>
      <w:lang w:eastAsia="ko-KR"/>
    </w:rPr>
  </w:style>
  <w:style w:type="character" w:customStyle="1" w:styleId="177">
    <w:name w:val="Doc Char"/>
    <w:basedOn w:val="12"/>
    <w:link w:val="176"/>
    <w:qFormat/>
    <w:uiPriority w:val="0"/>
    <w:rPr>
      <w:rFonts w:ascii="Times New Roman" w:hAnsi="Times New Roman" w:eastAsia="Malgun Gothic"/>
      <w:kern w:val="2"/>
      <w:sz w:val="22"/>
      <w:szCs w:val="22"/>
      <w:lang w:val="en-US" w:eastAsia="ko-KR"/>
    </w:rPr>
  </w:style>
  <w:style w:type="paragraph" w:customStyle="1" w:styleId="178">
    <w:name w:val="YJ-Proposal"/>
    <w:basedOn w:val="1"/>
    <w:qFormat/>
    <w:uiPriority w:val="0"/>
    <w:pPr>
      <w:numPr>
        <w:ilvl w:val="0"/>
        <w:numId w:val="13"/>
      </w:numPr>
      <w:spacing w:beforeLines="50" w:afterLines="50"/>
    </w:pPr>
    <w:rPr>
      <w:rFonts w:ascii="Times New Roman" w:hAnsi="Times New Roman" w:cs="Times New Roman" w:eastAsiaTheme="minorEastAsia"/>
      <w:b/>
      <w:bCs/>
      <w:i/>
      <w:iCs/>
      <w:kern w:val="2"/>
      <w:szCs w:val="20"/>
      <w:lang w:val="en-GB"/>
    </w:rPr>
  </w:style>
  <w:style w:type="paragraph" w:customStyle="1" w:styleId="179">
    <w:name w:val="Default"/>
    <w:qFormat/>
    <w:uiPriority w:val="0"/>
    <w:pPr>
      <w:autoSpaceDE w:val="0"/>
      <w:autoSpaceDN w:val="0"/>
      <w:adjustRightInd w:val="0"/>
    </w:pPr>
    <w:rPr>
      <w:rFonts w:ascii="Arial" w:hAnsi="Arial" w:eastAsia="Times New Roman" w:cs="Arial"/>
      <w:color w:val="000000"/>
      <w:sz w:val="24"/>
      <w:szCs w:val="24"/>
      <w:lang w:val="zh-CN" w:eastAsia="en-GB" w:bidi="ar-SA"/>
    </w:rPr>
  </w:style>
  <w:style w:type="paragraph" w:customStyle="1" w:styleId="180">
    <w:name w:val="YJ-Observation"/>
    <w:basedOn w:val="1"/>
    <w:qFormat/>
    <w:uiPriority w:val="0"/>
    <w:pPr>
      <w:numPr>
        <w:ilvl w:val="0"/>
        <w:numId w:val="14"/>
      </w:numPr>
      <w:tabs>
        <w:tab w:val="left" w:pos="420"/>
      </w:tabs>
      <w:spacing w:beforeLines="50" w:afterLines="50"/>
    </w:pPr>
    <w:rPr>
      <w:rFonts w:ascii="Times New Roman" w:hAnsi="Times New Roman" w:cs="Times New Roman" w:eastAsiaTheme="minorEastAsia"/>
      <w:b/>
      <w:bCs/>
      <w:i/>
      <w:iCs/>
      <w:kern w:val="2"/>
      <w:szCs w:val="20"/>
      <w:lang w:val="en-GB"/>
    </w:rPr>
  </w:style>
  <w:style w:type="paragraph" w:customStyle="1" w:styleId="181">
    <w:name w:val="正文1"/>
    <w:qFormat/>
    <w:uiPriority w:val="0"/>
    <w:pPr>
      <w:spacing w:before="100" w:beforeAutospacing="1" w:after="180"/>
    </w:pPr>
    <w:rPr>
      <w:rFonts w:ascii="Times New Roman" w:hAnsi="Times New Roman" w:eastAsia="SimSun" w:cs="Times New Roman"/>
      <w:sz w:val="24"/>
      <w:szCs w:val="24"/>
      <w:lang w:val="en-US" w:eastAsia="zh-CN" w:bidi="ar-SA"/>
    </w:rPr>
  </w:style>
  <w:style w:type="character" w:customStyle="1" w:styleId="182">
    <w:name w:val="Subtitle Char"/>
    <w:basedOn w:val="12"/>
    <w:link w:val="51"/>
    <w:qFormat/>
    <w:uiPriority w:val="0"/>
    <w:rPr>
      <w:rFonts w:asciiTheme="minorHAnsi" w:hAnsiTheme="minorHAnsi" w:eastAsiaTheme="minorEastAsia" w:cstheme="minorBidi"/>
      <w:b/>
      <w:bCs/>
      <w:kern w:val="28"/>
      <w:sz w:val="32"/>
      <w:szCs w:val="32"/>
      <w:lang w:eastAsia="en-US"/>
    </w:rPr>
  </w:style>
  <w:style w:type="paragraph" w:customStyle="1" w:styleId="183">
    <w:name w:val="References"/>
    <w:basedOn w:val="1"/>
    <w:qFormat/>
    <w:uiPriority w:val="0"/>
    <w:pPr>
      <w:numPr>
        <w:ilvl w:val="0"/>
        <w:numId w:val="15"/>
      </w:numPr>
      <w:spacing w:beforeLines="50" w:after="60" w:afterLines="50"/>
      <w:jc w:val="both"/>
    </w:pPr>
    <w:rPr>
      <w:rFonts w:ascii="Times New Roman" w:hAnsi="Times New Roman" w:eastAsia="SimSun" w:cs="Times New Roman"/>
      <w:kern w:val="2"/>
      <w:sz w:val="21"/>
      <w:szCs w:val="16"/>
      <w:lang w:eastAsia="zh-CN"/>
    </w:rPr>
  </w:style>
  <w:style w:type="character" w:customStyle="1" w:styleId="184">
    <w:name w:val="B1 (文字)"/>
    <w:qFormat/>
    <w:locked/>
    <w:uiPriority w:val="0"/>
    <w:rPr>
      <w:rFonts w:ascii="Times New Roman" w:hAnsi="Times New Roman"/>
      <w:lang w:val="en-GB"/>
    </w:rPr>
  </w:style>
  <w:style w:type="paragraph" w:customStyle="1" w:styleId="185">
    <w:name w:val="正文"/>
    <w:qFormat/>
    <w:uiPriority w:val="0"/>
    <w:pPr>
      <w:spacing w:before="100" w:beforeAutospacing="1" w:after="180"/>
    </w:pPr>
    <w:rPr>
      <w:rFonts w:ascii="Times New Roman" w:hAnsi="Times New Roman" w:eastAsia="SimSun" w:cs="Times New Roman"/>
      <w:sz w:val="24"/>
      <w:szCs w:val="24"/>
      <w:lang w:val="en-US" w:eastAsia="zh-CN" w:bidi="ar-SA"/>
    </w:rPr>
  </w:style>
  <w:style w:type="paragraph" w:customStyle="1" w:styleId="186">
    <w:name w:val="标题 3"/>
    <w:basedOn w:val="1"/>
    <w:next w:val="185"/>
    <w:qFormat/>
    <w:uiPriority w:val="0"/>
    <w:pPr>
      <w:keepNext/>
      <w:keepLines/>
      <w:widowControl w:val="0"/>
      <w:spacing w:before="120" w:after="180" w:line="240" w:lineRule="auto"/>
      <w:ind w:left="1134" w:hanging="1134"/>
      <w:outlineLvl w:val="2"/>
    </w:pPr>
    <w:rPr>
      <w:rFonts w:eastAsia="SimSun" w:cs="Times New Roman"/>
      <w:sz w:val="28"/>
      <w:szCs w:val="28"/>
      <w:lang w:eastAsia="zh-CN"/>
    </w:rPr>
  </w:style>
  <w:style w:type="character" w:customStyle="1" w:styleId="187">
    <w:name w:val="ui-provider"/>
    <w:basedOn w:val="12"/>
    <w:qFormat/>
    <w:uiPriority w:val="0"/>
  </w:style>
  <w:style w:type="paragraph" w:customStyle="1" w:styleId="188">
    <w:name w:val="bullet1"/>
    <w:basedOn w:val="1"/>
    <w:qFormat/>
    <w:uiPriority w:val="0"/>
    <w:pPr>
      <w:numPr>
        <w:ilvl w:val="0"/>
        <w:numId w:val="16"/>
      </w:numPr>
      <w:spacing w:after="0" w:line="240" w:lineRule="auto"/>
    </w:pPr>
    <w:rPr>
      <w:rFonts w:ascii="Calibri" w:hAnsi="Calibri" w:eastAsia="SimSun" w:cs="Times New Roman"/>
      <w:kern w:val="2"/>
      <w:sz w:val="24"/>
      <w:szCs w:val="24"/>
      <w:lang w:val="en-GB" w:eastAsia="zh-CN"/>
    </w:rPr>
  </w:style>
  <w:style w:type="paragraph" w:customStyle="1" w:styleId="189">
    <w:name w:val="bullet2"/>
    <w:basedOn w:val="1"/>
    <w:link w:val="192"/>
    <w:qFormat/>
    <w:uiPriority w:val="0"/>
    <w:pPr>
      <w:numPr>
        <w:ilvl w:val="1"/>
        <w:numId w:val="16"/>
      </w:numPr>
      <w:spacing w:after="0" w:line="240" w:lineRule="auto"/>
    </w:pPr>
    <w:rPr>
      <w:rFonts w:ascii="Times" w:hAnsi="Times" w:eastAsia="SimSun" w:cs="Times New Roman"/>
      <w:kern w:val="2"/>
      <w:sz w:val="24"/>
      <w:szCs w:val="24"/>
      <w:lang w:val="en-GB" w:eastAsia="zh-CN"/>
    </w:rPr>
  </w:style>
  <w:style w:type="paragraph" w:customStyle="1" w:styleId="190">
    <w:name w:val="bullet3"/>
    <w:basedOn w:val="1"/>
    <w:qFormat/>
    <w:uiPriority w:val="0"/>
    <w:pPr>
      <w:numPr>
        <w:ilvl w:val="2"/>
        <w:numId w:val="16"/>
      </w:numPr>
      <w:tabs>
        <w:tab w:val="left" w:pos="360"/>
        <w:tab w:val="left" w:pos="2160"/>
      </w:tabs>
      <w:spacing w:after="0" w:line="240" w:lineRule="auto"/>
      <w:ind w:left="0" w:firstLine="0"/>
    </w:pPr>
    <w:rPr>
      <w:rFonts w:ascii="Times" w:hAnsi="Times" w:eastAsia="Batang" w:cs="Times New Roman"/>
      <w:szCs w:val="24"/>
      <w:lang w:val="en-GB"/>
    </w:rPr>
  </w:style>
  <w:style w:type="paragraph" w:customStyle="1" w:styleId="191">
    <w:name w:val="bullet4"/>
    <w:basedOn w:val="1"/>
    <w:qFormat/>
    <w:uiPriority w:val="0"/>
    <w:pPr>
      <w:numPr>
        <w:ilvl w:val="3"/>
        <w:numId w:val="16"/>
      </w:numPr>
      <w:tabs>
        <w:tab w:val="left" w:pos="360"/>
        <w:tab w:val="left" w:pos="2880"/>
      </w:tabs>
      <w:spacing w:after="0" w:line="240" w:lineRule="auto"/>
      <w:ind w:left="0" w:firstLine="0"/>
    </w:pPr>
    <w:rPr>
      <w:rFonts w:ascii="Times" w:hAnsi="Times" w:eastAsia="Batang" w:cs="Times New Roman"/>
      <w:szCs w:val="24"/>
      <w:lang w:val="en-GB"/>
    </w:rPr>
  </w:style>
  <w:style w:type="character" w:customStyle="1" w:styleId="192">
    <w:name w:val="bullet2 Char"/>
    <w:link w:val="189"/>
    <w:qFormat/>
    <w:uiPriority w:val="0"/>
    <w:rPr>
      <w:rFonts w:ascii="Times" w:hAnsi="Times" w:eastAsia="SimSun"/>
      <w:kern w:val="2"/>
      <w:sz w:val="24"/>
      <w:szCs w:val="24"/>
      <w:lang w:eastAsia="zh-CN"/>
    </w:rPr>
  </w:style>
  <w:style w:type="table" w:customStyle="1" w:styleId="193">
    <w:name w:val="표 구분선8"/>
    <w:basedOn w:val="13"/>
    <w:qFormat/>
    <w:uiPriority w:val="9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4">
    <w:name w:val="CR Cover Page Char"/>
    <w:qFormat/>
    <w:locked/>
    <w:uiPriority w:val="0"/>
    <w:rPr>
      <w:rFonts w:ascii="Arial" w:hAnsi="Arial" w:cs="Arial"/>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2579</Words>
  <Characters>15332</Characters>
  <Lines>127</Lines>
  <Paragraphs>35</Paragraphs>
  <TotalTime>5</TotalTime>
  <ScaleCrop>false</ScaleCrop>
  <LinksUpToDate>false</LinksUpToDate>
  <CharactersWithSpaces>17876</CharactersWithSpaces>
  <Application>WPS Office_11.1.0.11719_F1E327BC-269C-435d-A152-05C5408002CA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2024-02-23T21:57:00Z</dcterms:created>
  <dc:creator>Sorour Falahati</dc:creator>
  <cp:lastModifiedBy>wfzhang</cp:lastModifiedBy>
  <dcterms:modified xsi:type="dcterms:W3CDTF">2024-02-24T21:28:31Z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KSOProductBuildVer">
    <vt:lpwstr>1033-11.1.0.11719</vt:lpwstr>
  </property>
</Properties>
</file>