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8377E" w14:textId="02A592AA" w:rsidR="009739CE" w:rsidRDefault="0057197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WG1 Meeting # 114-bis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R1-23</w:t>
      </w:r>
      <w:r w:rsidR="00053264">
        <w:rPr>
          <w:rFonts w:ascii="Arial" w:eastAsiaTheme="minorEastAsia" w:hAnsi="Arial" w:cs="Arial"/>
          <w:b/>
          <w:sz w:val="24"/>
          <w:szCs w:val="24"/>
          <w:lang w:eastAsia="zh-CN"/>
        </w:rPr>
        <w:t>10500</w:t>
      </w:r>
    </w:p>
    <w:p w14:paraId="50258370" w14:textId="77777777" w:rsidR="009739CE" w:rsidRDefault="0057197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Xiamen, China, 9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13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eastAsia="zh-CN"/>
        </w:rPr>
        <w:t>October,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4A302F09" w14:textId="77777777" w:rsidR="009739CE" w:rsidRDefault="009739C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58953D2" w14:textId="77777777" w:rsidR="009739CE" w:rsidRDefault="0057197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8.15.3</w:t>
      </w:r>
    </w:p>
    <w:p w14:paraId="70617A2D" w14:textId="77777777" w:rsidR="009739CE" w:rsidRDefault="0057197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Feature Lead (MediaTek)</w:t>
      </w:r>
    </w:p>
    <w:p w14:paraId="6698F6D9" w14:textId="77777777" w:rsidR="009739CE" w:rsidRDefault="0057197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Feature Lead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for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8.15.3: Self-Evaluation Results for IoT NTN</w:t>
      </w:r>
    </w:p>
    <w:p w14:paraId="1542CF42" w14:textId="77777777" w:rsidR="009739CE" w:rsidRDefault="0057197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Discussion &amp; Decision</w:t>
      </w:r>
    </w:p>
    <w:p w14:paraId="3F15C415" w14:textId="77777777" w:rsidR="009739CE" w:rsidRDefault="0057197F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1040CE" w14:textId="77777777" w:rsidR="009739CE" w:rsidRDefault="0057197F">
      <w:pPr>
        <w:rPr>
          <w:iCs/>
          <w:lang w:eastAsia="zh-CN"/>
        </w:rPr>
      </w:pPr>
      <w:r>
        <w:rPr>
          <w:iCs/>
          <w:lang w:eastAsia="zh-CN"/>
        </w:rPr>
        <w:t xml:space="preserve">This summary is to summarise the progress on the following agenda items of the study item </w:t>
      </w:r>
      <w:r>
        <w:rPr>
          <w:rFonts w:eastAsia="Batang"/>
          <w:bCs/>
        </w:rPr>
        <w:t xml:space="preserve">on “Self-Evaluation towards </w:t>
      </w:r>
      <w:bookmarkStart w:id="0" w:name="_Hlk120896877"/>
      <w:r>
        <w:rPr>
          <w:rFonts w:eastAsia="Batang"/>
          <w:bCs/>
        </w:rPr>
        <w:t>the 3GPP submission of a</w:t>
      </w:r>
      <w:bookmarkEnd w:id="0"/>
      <w:r>
        <w:rPr>
          <w:rFonts w:eastAsia="Batang"/>
          <w:bCs/>
        </w:rPr>
        <w:t>n IMT-2020 Satellite Radio Interface Technology”</w:t>
      </w:r>
    </w:p>
    <w:p w14:paraId="2792FD3F" w14:textId="77777777" w:rsidR="009739CE" w:rsidRDefault="0057197F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>Agenda item 9.14.3 – Self-Evaluation Results for IoT NTN</w:t>
      </w:r>
    </w:p>
    <w:p w14:paraId="4D0A2EA1" w14:textId="77777777" w:rsidR="009739CE" w:rsidRDefault="0057197F">
      <w:pPr>
        <w:rPr>
          <w:lang w:eastAsia="zh-CN"/>
        </w:rPr>
      </w:pPr>
      <w:r>
        <w:rPr>
          <w:lang w:eastAsia="zh-CN"/>
        </w:rPr>
        <w:t>Relevant prior agreements are:</w:t>
      </w:r>
    </w:p>
    <w:p w14:paraId="1AABC10A" w14:textId="77777777" w:rsidR="009739CE" w:rsidRDefault="0057197F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[RAN1#112bis-e] </w:t>
      </w:r>
    </w:p>
    <w:p w14:paraId="4A195B59" w14:textId="77777777" w:rsidR="009739CE" w:rsidRDefault="0057197F">
      <w:pPr>
        <w:rPr>
          <w:bCs/>
          <w:lang w:val="en-US" w:eastAsia="zh-CN"/>
        </w:rPr>
      </w:pPr>
      <w:r>
        <w:rPr>
          <w:bCs/>
          <w:highlight w:val="green"/>
          <w:lang w:val="en-US" w:eastAsia="zh-CN"/>
        </w:rPr>
        <w:t>Agreement</w:t>
      </w:r>
    </w:p>
    <w:p w14:paraId="49D24072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 xml:space="preserve">The proposals and proposed working assumption in Section 2 of </w:t>
      </w:r>
      <w:hyperlink r:id="rId9" w:history="1">
        <w:r>
          <w:rPr>
            <w:rStyle w:val="Hyperlink"/>
            <w:lang w:val="en-US" w:eastAsia="zh-CN"/>
          </w:rPr>
          <w:t>R1-2304118</w:t>
        </w:r>
      </w:hyperlink>
      <w:r>
        <w:rPr>
          <w:lang w:val="en-US" w:eastAsia="zh-CN"/>
        </w:rPr>
        <w:t xml:space="preserve"> are endorsed.</w:t>
      </w:r>
    </w:p>
    <w:p w14:paraId="21FF2A76" w14:textId="77777777" w:rsidR="009739CE" w:rsidRDefault="0057197F">
      <w:pPr>
        <w:rPr>
          <w:bCs/>
          <w:lang w:val="en-US" w:eastAsia="zh-CN"/>
        </w:rPr>
      </w:pPr>
      <w:r>
        <w:rPr>
          <w:bCs/>
          <w:highlight w:val="green"/>
          <w:lang w:val="en-US" w:eastAsia="zh-CN"/>
        </w:rPr>
        <w:t>Agreement</w:t>
      </w:r>
    </w:p>
    <w:p w14:paraId="550CAA90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>Signals from one satellite to a UE would be seen as site-specific according to Table 7.6.3.4-1 of TR 38.901.</w:t>
      </w:r>
    </w:p>
    <w:p w14:paraId="61F82AE8" w14:textId="77777777" w:rsidR="009739CE" w:rsidRDefault="0057197F">
      <w:pPr>
        <w:rPr>
          <w:bCs/>
          <w:lang w:val="en-US" w:eastAsia="zh-CN"/>
        </w:rPr>
      </w:pPr>
      <w:r>
        <w:rPr>
          <w:bCs/>
          <w:highlight w:val="green"/>
          <w:lang w:val="en-US" w:eastAsia="zh-CN"/>
        </w:rPr>
        <w:t>Agreement</w:t>
      </w:r>
    </w:p>
    <w:p w14:paraId="0892E2E5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 xml:space="preserve">The proposal in Section 2 of </w:t>
      </w:r>
      <w:hyperlink r:id="rId10" w:history="1">
        <w:r>
          <w:rPr>
            <w:rStyle w:val="Hyperlink"/>
            <w:lang w:val="en-US" w:eastAsia="zh-CN"/>
          </w:rPr>
          <w:t>R1-2304123</w:t>
        </w:r>
      </w:hyperlink>
      <w:r>
        <w:rPr>
          <w:lang w:val="en-US" w:eastAsia="zh-CN"/>
        </w:rPr>
        <w:t xml:space="preserve"> is agreed.</w:t>
      </w:r>
    </w:p>
    <w:p w14:paraId="06173227" w14:textId="77777777" w:rsidR="009739CE" w:rsidRDefault="0057197F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[RAN1#113] </w:t>
      </w:r>
    </w:p>
    <w:p w14:paraId="42EBB62B" w14:textId="77777777" w:rsidR="009739CE" w:rsidRDefault="0057197F">
      <w:pPr>
        <w:rPr>
          <w:bCs/>
          <w:lang w:eastAsia="zh-CN"/>
        </w:rPr>
      </w:pPr>
      <w:r>
        <w:rPr>
          <w:bCs/>
          <w:highlight w:val="green"/>
          <w:lang w:eastAsia="zh-CN"/>
        </w:rPr>
        <w:t>Agreement</w:t>
      </w:r>
      <w:r>
        <w:rPr>
          <w:bCs/>
          <w:lang w:eastAsia="zh-CN"/>
        </w:rPr>
        <w:t xml:space="preserve"> </w:t>
      </w:r>
    </w:p>
    <w:p w14:paraId="67B86BB5" w14:textId="77777777" w:rsidR="009739CE" w:rsidRDefault="0057197F">
      <w:pPr>
        <w:rPr>
          <w:lang w:eastAsia="zh-CN"/>
        </w:rPr>
      </w:pPr>
      <w:r>
        <w:rPr>
          <w:lang w:eastAsia="zh-CN"/>
        </w:rPr>
        <w:t xml:space="preserve">The proposals and conclusions in Section 1 of </w:t>
      </w:r>
      <w:hyperlink r:id="rId11" w:history="1">
        <w:r>
          <w:rPr>
            <w:rStyle w:val="Hyperlink"/>
            <w:lang w:eastAsia="zh-CN"/>
          </w:rPr>
          <w:t>R1-2306083</w:t>
        </w:r>
      </w:hyperlink>
      <w:r>
        <w:rPr>
          <w:lang w:eastAsia="zh-CN"/>
        </w:rPr>
        <w:t xml:space="preserve"> are endorsed, except for proposal 2.4 (which is already included in the proposed conclusion).</w:t>
      </w:r>
    </w:p>
    <w:p w14:paraId="2908E1A9" w14:textId="77777777" w:rsidR="009739CE" w:rsidRDefault="0057197F">
      <w:pPr>
        <w:rPr>
          <w:b/>
          <w:bCs/>
          <w:lang w:eastAsia="zh-CN"/>
        </w:rPr>
      </w:pPr>
      <w:r>
        <w:rPr>
          <w:b/>
          <w:bCs/>
          <w:lang w:eastAsia="zh-CN"/>
        </w:rPr>
        <w:t>[RAN1#114]</w:t>
      </w:r>
    </w:p>
    <w:p w14:paraId="54C5E13E" w14:textId="77777777" w:rsidR="009739CE" w:rsidRDefault="0057197F">
      <w:r>
        <w:rPr>
          <w:highlight w:val="green"/>
        </w:rPr>
        <w:t>Agreement</w:t>
      </w:r>
    </w:p>
    <w:p w14:paraId="465EE0FD" w14:textId="77777777" w:rsidR="009739CE" w:rsidRDefault="0057197F">
      <w:r>
        <w:t>For the evaluation metrics that require usage of beam area, a beam area of 1415 km</w:t>
      </w:r>
      <w:r>
        <w:rPr>
          <w:vertAlign w:val="superscript"/>
        </w:rPr>
        <w:t>2</w:t>
      </w:r>
      <w:r>
        <w:t xml:space="preserve"> is assumed.</w:t>
      </w:r>
    </w:p>
    <w:p w14:paraId="40EA1F1B" w14:textId="77777777" w:rsidR="009739CE" w:rsidRDefault="0057197F">
      <w:r>
        <w:rPr>
          <w:highlight w:val="green"/>
        </w:rPr>
        <w:t>Agreement</w:t>
      </w:r>
    </w:p>
    <w:p w14:paraId="70B81670" w14:textId="77777777" w:rsidR="009739CE" w:rsidRDefault="0057197F">
      <w:r>
        <w:t xml:space="preserve">The </w:t>
      </w:r>
      <w:proofErr w:type="spellStart"/>
      <w:r>
        <w:t>modeling</w:t>
      </w:r>
      <w:proofErr w:type="spellEnd"/>
      <w:r>
        <w:t xml:space="preserve"> of delay / RTT for SLS is up to companies to report.</w:t>
      </w:r>
    </w:p>
    <w:p w14:paraId="6141B967" w14:textId="77777777" w:rsidR="009739CE" w:rsidRDefault="0057197F">
      <w:r>
        <w:rPr>
          <w:highlight w:val="green"/>
        </w:rPr>
        <w:t>Agreement</w:t>
      </w:r>
    </w:p>
    <w:p w14:paraId="317281DB" w14:textId="77777777" w:rsidR="009739CE" w:rsidRDefault="0057197F">
      <w:pPr>
        <w:ind w:left="-200" w:firstLineChars="100" w:firstLine="200"/>
        <w:rPr>
          <w:lang w:eastAsia="zh-CN"/>
        </w:rPr>
      </w:pPr>
      <w:r>
        <w:rPr>
          <w:lang w:eastAsia="zh-CN"/>
        </w:rPr>
        <w:t>All the beams are considered for computing the area of connection density.</w:t>
      </w:r>
    </w:p>
    <w:p w14:paraId="10EC7572" w14:textId="77777777" w:rsidR="009739CE" w:rsidRDefault="0057197F">
      <w:r>
        <w:rPr>
          <w:highlight w:val="green"/>
        </w:rPr>
        <w:t>Agreement</w:t>
      </w:r>
    </w:p>
    <w:p w14:paraId="5A624372" w14:textId="77777777" w:rsidR="009739CE" w:rsidRDefault="0057197F">
      <w:pPr>
        <w:rPr>
          <w:lang w:eastAsia="zh-CN"/>
        </w:rPr>
      </w:pPr>
      <w:r>
        <w:rPr>
          <w:lang w:eastAsia="zh-CN"/>
        </w:rPr>
        <w:t>For SLS to LLS metric of connection density, “pre-processing SINR” should be used instead of “pre-processing SNR”.</w:t>
      </w:r>
    </w:p>
    <w:p w14:paraId="06C24CA0" w14:textId="77777777" w:rsidR="009739CE" w:rsidRDefault="0057197F">
      <w:pPr>
        <w:rPr>
          <w:rFonts w:eastAsia="Times New Roman"/>
        </w:rPr>
      </w:pPr>
      <w:r>
        <w:rPr>
          <w:highlight w:val="green"/>
        </w:rPr>
        <w:t>Agreement</w:t>
      </w:r>
    </w:p>
    <w:p w14:paraId="6702524A" w14:textId="77777777" w:rsidR="009739CE" w:rsidRDefault="0057197F">
      <w:r>
        <w:t>Elevation angle of 90° is used for determining mean and standard deviation values of K-factor and delay spread for NTN TDL-C Rural channel model.</w:t>
      </w:r>
    </w:p>
    <w:p w14:paraId="5F1BDB9D" w14:textId="77777777" w:rsidR="009739CE" w:rsidRDefault="0057197F">
      <w:r>
        <w:rPr>
          <w:highlight w:val="green"/>
        </w:rPr>
        <w:lastRenderedPageBreak/>
        <w:t>Agreement</w:t>
      </w:r>
    </w:p>
    <w:p w14:paraId="4AC5041B" w14:textId="77777777" w:rsidR="009739CE" w:rsidRDefault="0057197F">
      <w:r>
        <w:t xml:space="preserve">For </w:t>
      </w:r>
      <w:proofErr w:type="spellStart"/>
      <w:r>
        <w:t>mMTC</w:t>
      </w:r>
      <w:proofErr w:type="spellEnd"/>
      <w:r>
        <w:t xml:space="preserve"> LLS (NR and </w:t>
      </w:r>
      <w:proofErr w:type="spellStart"/>
      <w:r>
        <w:t>eMTC</w:t>
      </w:r>
      <w:proofErr w:type="spellEnd"/>
      <w:r>
        <w:t>), 16-QAM can be used in addition to QPSK to derive the SNR to SE mapping.</w:t>
      </w:r>
    </w:p>
    <w:p w14:paraId="033B5322" w14:textId="77777777" w:rsidR="009739CE" w:rsidRDefault="0057197F">
      <w:r>
        <w:rPr>
          <w:highlight w:val="green"/>
        </w:rPr>
        <w:t>Agreement</w:t>
      </w:r>
    </w:p>
    <w:p w14:paraId="15F0F23B" w14:textId="77777777" w:rsidR="009739CE" w:rsidRDefault="0057197F">
      <w:pPr>
        <w:rPr>
          <w:color w:val="000000"/>
        </w:rPr>
      </w:pPr>
      <w:r>
        <w:rPr>
          <w:color w:val="000000"/>
        </w:rPr>
        <w:t>For connection density evaluation with full buffer system-level simulation followed by link-level simulation, for SINR CDF distribution derivation, all the beams are assumed to be fully loaded.</w:t>
      </w:r>
    </w:p>
    <w:p w14:paraId="578981B9" w14:textId="77777777" w:rsidR="009739CE" w:rsidRDefault="0057197F">
      <w:pPr>
        <w:rPr>
          <w:iCs/>
          <w:lang w:eastAsia="zh-CN"/>
        </w:rPr>
      </w:pPr>
      <w:r>
        <w:rPr>
          <w:iCs/>
          <w:highlight w:val="green"/>
          <w:lang w:eastAsia="zh-CN"/>
        </w:rPr>
        <w:t>Agreement</w:t>
      </w:r>
    </w:p>
    <w:p w14:paraId="51428134" w14:textId="77777777" w:rsidR="009739CE" w:rsidRDefault="0057197F">
      <w:pPr>
        <w:rPr>
          <w:iCs/>
          <w:lang w:eastAsia="zh-CN"/>
        </w:rPr>
      </w:pPr>
      <w:r>
        <w:rPr>
          <w:iCs/>
          <w:lang w:eastAsia="zh-CN"/>
        </w:rPr>
        <w:t>For IoT NTN Connection Density LLS:</w:t>
      </w:r>
    </w:p>
    <w:p w14:paraId="7F639069" w14:textId="77777777" w:rsidR="009739CE" w:rsidRDefault="0057197F">
      <w:pPr>
        <w:pStyle w:val="ListParagraph"/>
        <w:numPr>
          <w:ilvl w:val="0"/>
          <w:numId w:val="4"/>
        </w:numPr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 xml:space="preserve">Agree 10% BLER as target for throughput for NB-IoT Full Buffer and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Full Buffer</w:t>
      </w:r>
    </w:p>
    <w:p w14:paraId="29A81B42" w14:textId="77777777" w:rsidR="009739CE" w:rsidRDefault="0057197F">
      <w:pPr>
        <w:pStyle w:val="ListParagraph"/>
        <w:numPr>
          <w:ilvl w:val="0"/>
          <w:numId w:val="4"/>
        </w:numPr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Companies to use QPSK-π/4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lang w:eastAsia="zh-CN"/>
        </w:rPr>
        <w:t>as well as BPSK-π/2 in evaluations for NB-IoT Full Buffer.</w:t>
      </w:r>
    </w:p>
    <w:p w14:paraId="312A8A6B" w14:textId="77777777" w:rsidR="009739CE" w:rsidRDefault="0057197F">
      <w:pPr>
        <w:pStyle w:val="ListParagraph"/>
        <w:numPr>
          <w:ilvl w:val="0"/>
          <w:numId w:val="4"/>
        </w:numPr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 xml:space="preserve">Each company to provide SINR - user spectral efficiency (SE) mapping graph for NB-IoT Full Buffer and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Full Buffer, where:</w:t>
      </w:r>
    </w:p>
    <w:p w14:paraId="480D03BC" w14:textId="77777777" w:rsidR="009739CE" w:rsidRDefault="0057197F">
      <w:pPr>
        <w:pStyle w:val="ListParagraph"/>
        <w:numPr>
          <w:ilvl w:val="1"/>
          <w:numId w:val="4"/>
        </w:numPr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SE =</w:t>
      </w:r>
      <w:r>
        <w:t xml:space="preserve"> </w:t>
      </w:r>
      <w:r>
        <w:rPr>
          <w:lang w:eastAsia="zh-CN"/>
        </w:rPr>
        <w:t>nominal SE × (1-BLER)</w:t>
      </w:r>
    </w:p>
    <w:p w14:paraId="36552D79" w14:textId="77777777" w:rsidR="009739CE" w:rsidRDefault="0057197F">
      <w:pPr>
        <w:rPr>
          <w:b/>
          <w:bCs/>
          <w:lang w:eastAsia="zh-CN"/>
        </w:rPr>
      </w:pPr>
      <w:r>
        <w:rPr>
          <w:b/>
          <w:bCs/>
          <w:lang w:eastAsia="zh-CN"/>
        </w:rPr>
        <w:t>-----------------------------------------------------------------------------------------------------------------------------------------</w:t>
      </w:r>
    </w:p>
    <w:p w14:paraId="7CBE3D31" w14:textId="780FD1EA" w:rsidR="009739CE" w:rsidRDefault="0057197F">
      <w:pPr>
        <w:rPr>
          <w:b/>
          <w:bCs/>
          <w:lang w:eastAsia="zh-CN"/>
        </w:rPr>
      </w:pPr>
      <w:r>
        <w:rPr>
          <w:b/>
          <w:bCs/>
          <w:highlight w:val="cyan"/>
          <w:lang w:eastAsia="zh-CN"/>
        </w:rPr>
        <w:t>Feature Lead Request: Companies that have not yet done so, please add your data to the IoT NTN Results spreadsheet.</w:t>
      </w:r>
    </w:p>
    <w:p w14:paraId="7FF9E1A7" w14:textId="0285AE11" w:rsidR="00053264" w:rsidRDefault="00053264" w:rsidP="00053264">
      <w:pPr>
        <w:pStyle w:val="Heading1"/>
        <w:rPr>
          <w:lang w:eastAsia="ja-JP"/>
        </w:rPr>
      </w:pPr>
      <w:r>
        <w:rPr>
          <w:lang w:eastAsia="ja-JP"/>
        </w:rPr>
        <w:t>Final proposals based on discussion in section 3</w:t>
      </w:r>
    </w:p>
    <w:p w14:paraId="166ABEC4" w14:textId="77777777" w:rsidR="00053264" w:rsidRDefault="00053264">
      <w:pPr>
        <w:rPr>
          <w:lang w:eastAsia="zh-CN"/>
        </w:rPr>
      </w:pPr>
      <w:r w:rsidRPr="00053264">
        <w:rPr>
          <w:lang w:eastAsia="zh-CN"/>
        </w:rPr>
        <w:t>No further input to the discussion was provided after 1</w:t>
      </w:r>
      <w:r w:rsidRPr="00053264">
        <w:rPr>
          <w:vertAlign w:val="superscript"/>
          <w:lang w:eastAsia="zh-CN"/>
        </w:rPr>
        <w:t>st</w:t>
      </w:r>
      <w:r w:rsidRPr="00053264">
        <w:rPr>
          <w:lang w:eastAsia="zh-CN"/>
        </w:rPr>
        <w:t xml:space="preserve"> round</w:t>
      </w:r>
      <w:r>
        <w:rPr>
          <w:lang w:eastAsia="zh-CN"/>
        </w:rPr>
        <w:t>, and no further info to report following further discussions</w:t>
      </w:r>
      <w:r w:rsidRPr="00053264">
        <w:rPr>
          <w:lang w:eastAsia="zh-CN"/>
        </w:rPr>
        <w:t xml:space="preserve">. </w:t>
      </w:r>
    </w:p>
    <w:p w14:paraId="11F50628" w14:textId="2DC5C030" w:rsidR="00053264" w:rsidRPr="00053264" w:rsidRDefault="00053264">
      <w:pPr>
        <w:rPr>
          <w:lang w:eastAsia="zh-CN"/>
        </w:rPr>
      </w:pPr>
      <w:r>
        <w:rPr>
          <w:lang w:eastAsia="zh-CN"/>
        </w:rPr>
        <w:t xml:space="preserve">As it was left open which tbs size to use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, </w:t>
      </w:r>
      <w:r w:rsidRPr="00053264">
        <w:rPr>
          <w:lang w:eastAsia="zh-CN"/>
        </w:rPr>
        <w:t>the following is proposed:</w:t>
      </w:r>
    </w:p>
    <w:p w14:paraId="6166B816" w14:textId="1FDAFA8F" w:rsidR="00053264" w:rsidRPr="00053264" w:rsidRDefault="00053264" w:rsidP="00053264">
      <w:pPr>
        <w:pStyle w:val="ListParagraph"/>
        <w:numPr>
          <w:ilvl w:val="0"/>
          <w:numId w:val="5"/>
        </w:numPr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For </w:t>
      </w:r>
      <w:proofErr w:type="spellStart"/>
      <w:r>
        <w:rPr>
          <w:b/>
          <w:bCs/>
          <w:lang w:eastAsia="zh-CN"/>
        </w:rPr>
        <w:t>eMTC</w:t>
      </w:r>
      <w:proofErr w:type="spellEnd"/>
      <w:r>
        <w:rPr>
          <w:b/>
          <w:bCs/>
          <w:lang w:eastAsia="zh-CN"/>
        </w:rPr>
        <w:t>, companies to report the TBS size used.</w:t>
      </w:r>
    </w:p>
    <w:p w14:paraId="293E7085" w14:textId="1C0227EE" w:rsidR="009739CE" w:rsidRDefault="0057197F">
      <w:pPr>
        <w:pStyle w:val="Heading1"/>
        <w:rPr>
          <w:lang w:eastAsia="ja-JP"/>
        </w:rPr>
      </w:pPr>
      <w:r>
        <w:rPr>
          <w:lang w:eastAsia="ja-JP"/>
        </w:rPr>
        <w:t>Discussion</w:t>
      </w:r>
    </w:p>
    <w:p w14:paraId="5B6F718F" w14:textId="77777777" w:rsidR="009739CE" w:rsidRDefault="0057197F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6092"/>
      </w:tblGrid>
      <w:tr w:rsidR="009739CE" w14:paraId="316376E2" w14:textId="77777777">
        <w:trPr>
          <w:trHeight w:val="468"/>
        </w:trPr>
        <w:tc>
          <w:tcPr>
            <w:tcW w:w="1696" w:type="dxa"/>
            <w:vAlign w:val="center"/>
          </w:tcPr>
          <w:p w14:paraId="5D647395" w14:textId="77777777" w:rsidR="009739CE" w:rsidRDefault="0057197F">
            <w:pPr>
              <w:spacing w:before="120" w:after="12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Tdoc</w:t>
            </w:r>
            <w:proofErr w:type="spellEnd"/>
            <w:r>
              <w:rPr>
                <w:b/>
                <w:bCs/>
              </w:rPr>
              <w:t xml:space="preserve"> number</w:t>
            </w:r>
          </w:p>
        </w:tc>
        <w:tc>
          <w:tcPr>
            <w:tcW w:w="1843" w:type="dxa"/>
            <w:vAlign w:val="center"/>
          </w:tcPr>
          <w:p w14:paraId="71B305E6" w14:textId="77777777" w:rsidR="009739CE" w:rsidRDefault="0057197F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092" w:type="dxa"/>
            <w:vAlign w:val="center"/>
          </w:tcPr>
          <w:p w14:paraId="7BF64289" w14:textId="77777777" w:rsidR="009739CE" w:rsidRDefault="0057197F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9739CE" w14:paraId="3DCC6793" w14:textId="77777777">
        <w:trPr>
          <w:trHeight w:val="468"/>
        </w:trPr>
        <w:tc>
          <w:tcPr>
            <w:tcW w:w="1696" w:type="dxa"/>
          </w:tcPr>
          <w:p w14:paraId="4FD49258" w14:textId="77777777" w:rsidR="009739CE" w:rsidRDefault="000D6D61">
            <w:pPr>
              <w:spacing w:before="120" w:after="120"/>
            </w:pPr>
            <w:hyperlink r:id="rId12" w:history="1">
              <w:r w:rsidR="0057197F">
                <w:rPr>
                  <w:rStyle w:val="Hyperlink"/>
                </w:rPr>
                <w:t>R1-2308904</w:t>
              </w:r>
            </w:hyperlink>
          </w:p>
        </w:tc>
        <w:tc>
          <w:tcPr>
            <w:tcW w:w="1843" w:type="dxa"/>
          </w:tcPr>
          <w:p w14:paraId="28FF166F" w14:textId="77777777" w:rsidR="009739CE" w:rsidRDefault="0057197F">
            <w:pPr>
              <w:spacing w:before="120" w:after="12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6092" w:type="dxa"/>
          </w:tcPr>
          <w:p w14:paraId="5D0C5958" w14:textId="77777777" w:rsidR="009739CE" w:rsidRDefault="0057197F">
            <w:pPr>
              <w:rPr>
                <w:b/>
                <w:iCs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Observation 1</w:t>
            </w:r>
            <w:r>
              <w:rPr>
                <w:bCs/>
                <w:iCs/>
                <w:lang w:eastAsia="zh-CN"/>
              </w:rPr>
              <w:t>: NB-IoT can fulfil the connection density requirements with full-buffer system-level simulation followed by link-level simulation method.</w:t>
            </w:r>
          </w:p>
        </w:tc>
      </w:tr>
      <w:tr w:rsidR="009739CE" w14:paraId="261DB66D" w14:textId="77777777">
        <w:trPr>
          <w:trHeight w:val="468"/>
        </w:trPr>
        <w:tc>
          <w:tcPr>
            <w:tcW w:w="1696" w:type="dxa"/>
          </w:tcPr>
          <w:p w14:paraId="65AE4DBD" w14:textId="77777777" w:rsidR="009739CE" w:rsidRDefault="000D6D61">
            <w:pPr>
              <w:spacing w:before="120" w:after="120"/>
            </w:pPr>
            <w:hyperlink r:id="rId13" w:history="1">
              <w:r w:rsidR="0057197F">
                <w:rPr>
                  <w:rStyle w:val="Hyperlink"/>
                </w:rPr>
                <w:t>R1-2309155</w:t>
              </w:r>
            </w:hyperlink>
          </w:p>
        </w:tc>
        <w:tc>
          <w:tcPr>
            <w:tcW w:w="1843" w:type="dxa"/>
          </w:tcPr>
          <w:p w14:paraId="6AE9359B" w14:textId="77777777" w:rsidR="009739CE" w:rsidRDefault="0057197F">
            <w:pPr>
              <w:spacing w:before="120" w:after="120"/>
            </w:pPr>
            <w:r>
              <w:t>ZTE</w:t>
            </w:r>
          </w:p>
        </w:tc>
        <w:tc>
          <w:tcPr>
            <w:tcW w:w="6092" w:type="dxa"/>
          </w:tcPr>
          <w:p w14:paraId="0FBA755F" w14:textId="77777777" w:rsidR="009739CE" w:rsidRDefault="0057197F">
            <w:pPr>
              <w:rPr>
                <w:iCs/>
                <w:lang w:eastAsia="zh-CN"/>
              </w:rPr>
            </w:pPr>
            <w:r>
              <w:rPr>
                <w:iCs/>
                <w:u w:val="single"/>
                <w:lang w:eastAsia="zh-CN"/>
              </w:rPr>
              <w:t>Observation 1</w:t>
            </w:r>
            <w:r>
              <w:rPr>
                <w:iCs/>
                <w:lang w:eastAsia="zh-CN"/>
              </w:rPr>
              <w:t>: For FRF=3, the connection density requirement can be fulfilled with target BLER of 10%.</w:t>
            </w:r>
          </w:p>
          <w:p w14:paraId="7F356CF0" w14:textId="77777777" w:rsidR="009739CE" w:rsidRDefault="0057197F">
            <w:pPr>
              <w:rPr>
                <w:iCs/>
                <w:lang w:eastAsia="zh-CN"/>
              </w:rPr>
            </w:pPr>
            <w:r>
              <w:rPr>
                <w:iCs/>
                <w:u w:val="single"/>
                <w:lang w:eastAsia="zh-CN"/>
              </w:rPr>
              <w:t>Observation 2</w:t>
            </w:r>
            <w:r>
              <w:rPr>
                <w:iCs/>
                <w:lang w:eastAsia="zh-CN"/>
              </w:rPr>
              <w:t>: For FRF=1, the connection density requirement can be fulfilled without target BLER of 10% restriction.</w:t>
            </w:r>
          </w:p>
          <w:p w14:paraId="3FA13291" w14:textId="77777777" w:rsidR="009739CE" w:rsidRDefault="0057197F">
            <w:pPr>
              <w:rPr>
                <w:iCs/>
                <w:lang w:eastAsia="zh-CN"/>
              </w:rPr>
            </w:pPr>
            <w:r>
              <w:rPr>
                <w:bCs/>
                <w:iCs/>
                <w:u w:val="single"/>
                <w:lang w:eastAsia="zh-CN"/>
              </w:rPr>
              <w:t>Proposal 1:</w:t>
            </w:r>
            <w:r>
              <w:rPr>
                <w:iCs/>
                <w:lang w:eastAsia="zh-CN"/>
              </w:rPr>
              <w:t xml:space="preserve"> Capture the </w:t>
            </w:r>
            <w:r>
              <w:rPr>
                <w:iCs/>
              </w:rPr>
              <w:t>evaluation results in</w:t>
            </w:r>
            <w:r>
              <w:rPr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fldChar w:fldCharType="begin"/>
            </w:r>
            <w:r>
              <w:rPr>
                <w:iCs/>
                <w:lang w:eastAsia="zh-CN"/>
              </w:rPr>
              <w:instrText xml:space="preserve"> REF _Ref20043 \h  \* MERGEFORMAT </w:instrText>
            </w:r>
            <w:r>
              <w:rPr>
                <w:iCs/>
                <w:lang w:eastAsia="zh-CN"/>
              </w:rPr>
            </w:r>
            <w:r>
              <w:rPr>
                <w:iCs/>
                <w:lang w:eastAsia="zh-CN"/>
              </w:rPr>
              <w:fldChar w:fldCharType="separate"/>
            </w:r>
            <w:r>
              <w:rPr>
                <w:iCs/>
              </w:rPr>
              <w:t>Table 2</w:t>
            </w:r>
            <w:r>
              <w:rPr>
                <w:iCs/>
                <w:lang w:eastAsia="zh-CN"/>
              </w:rPr>
              <w:fldChar w:fldCharType="end"/>
            </w:r>
            <w:r>
              <w:rPr>
                <w:iCs/>
                <w:lang w:eastAsia="zh-CN"/>
              </w:rPr>
              <w:t xml:space="preserve"> ~ </w:t>
            </w:r>
            <w:r>
              <w:rPr>
                <w:iCs/>
                <w:lang w:eastAsia="zh-CN"/>
              </w:rPr>
              <w:fldChar w:fldCharType="begin"/>
            </w:r>
            <w:r>
              <w:rPr>
                <w:iCs/>
                <w:lang w:eastAsia="zh-CN"/>
              </w:rPr>
              <w:instrText xml:space="preserve"> REF _Ref21944 \h  \* MERGEFORMAT </w:instrText>
            </w:r>
            <w:r>
              <w:rPr>
                <w:iCs/>
                <w:lang w:eastAsia="zh-CN"/>
              </w:rPr>
            </w:r>
            <w:r>
              <w:rPr>
                <w:iCs/>
                <w:lang w:eastAsia="zh-CN"/>
              </w:rPr>
              <w:fldChar w:fldCharType="separate"/>
            </w:r>
            <w:r>
              <w:rPr>
                <w:iCs/>
                <w:lang w:eastAsia="zh-CN"/>
              </w:rPr>
              <w:fldChar w:fldCharType="begin"/>
            </w:r>
            <w:r>
              <w:rPr>
                <w:iCs/>
                <w:lang w:eastAsia="zh-CN"/>
              </w:rPr>
              <w:instrText xml:space="preserve"> REF _Ref21944 \h </w:instrText>
            </w:r>
            <w:r>
              <w:rPr>
                <w:iCs/>
                <w:lang w:eastAsia="zh-CN"/>
              </w:rPr>
            </w:r>
            <w:r>
              <w:rPr>
                <w:iCs/>
                <w:lang w:eastAsia="zh-CN"/>
              </w:rPr>
              <w:fldChar w:fldCharType="separate"/>
            </w:r>
            <w:r>
              <w:rPr>
                <w:iCs/>
              </w:rPr>
              <w:t>Table 3</w:t>
            </w:r>
            <w:r>
              <w:rPr>
                <w:iCs/>
                <w:lang w:eastAsia="zh-CN"/>
              </w:rPr>
              <w:fldChar w:fldCharType="end"/>
            </w:r>
            <w:r>
              <w:rPr>
                <w:iCs/>
                <w:lang w:eastAsia="zh-CN"/>
              </w:rPr>
              <w:fldChar w:fldCharType="end"/>
            </w:r>
            <w:r>
              <w:rPr>
                <w:iCs/>
                <w:lang w:eastAsia="zh-CN"/>
              </w:rPr>
              <w:t xml:space="preserve"> into the TR 37.911.</w:t>
            </w:r>
          </w:p>
        </w:tc>
      </w:tr>
      <w:tr w:rsidR="009739CE" w14:paraId="5CE9189C" w14:textId="77777777">
        <w:trPr>
          <w:trHeight w:val="468"/>
        </w:trPr>
        <w:tc>
          <w:tcPr>
            <w:tcW w:w="1696" w:type="dxa"/>
          </w:tcPr>
          <w:p w14:paraId="5CEC2D97" w14:textId="77777777" w:rsidR="009739CE" w:rsidRDefault="000D6D61">
            <w:pPr>
              <w:spacing w:before="120" w:after="120"/>
              <w:rPr>
                <w:u w:val="single"/>
              </w:rPr>
            </w:pPr>
            <w:hyperlink r:id="rId14" w:history="1">
              <w:r w:rsidR="0057197F">
                <w:rPr>
                  <w:rStyle w:val="Hyperlink"/>
                </w:rPr>
                <w:t>R1-2309609</w:t>
              </w:r>
            </w:hyperlink>
          </w:p>
        </w:tc>
        <w:tc>
          <w:tcPr>
            <w:tcW w:w="1843" w:type="dxa"/>
          </w:tcPr>
          <w:p w14:paraId="6B9DEA52" w14:textId="77777777" w:rsidR="009739CE" w:rsidRDefault="0057197F">
            <w:pPr>
              <w:spacing w:before="120" w:after="120"/>
            </w:pPr>
            <w:r>
              <w:t>OPPO</w:t>
            </w:r>
          </w:p>
        </w:tc>
        <w:tc>
          <w:tcPr>
            <w:tcW w:w="6092" w:type="dxa"/>
          </w:tcPr>
          <w:p w14:paraId="24333E48" w14:textId="77777777" w:rsidR="009739CE" w:rsidRDefault="0057197F">
            <w:pPr>
              <w:pStyle w:val="BodyText"/>
              <w:spacing w:line="252" w:lineRule="auto"/>
              <w:rPr>
                <w:rFonts w:eastAsiaTheme="minorEastAsia"/>
                <w:bCs/>
                <w:lang w:eastAsia="zh-CN"/>
              </w:rPr>
            </w:pPr>
            <w:r>
              <w:rPr>
                <w:rFonts w:ascii="Times" w:eastAsiaTheme="minorEastAsia" w:hAnsi="Times"/>
                <w:bCs/>
                <w:u w:val="single"/>
                <w:lang w:eastAsia="zh-CN"/>
              </w:rPr>
              <w:t>Observation 1</w:t>
            </w:r>
            <w:r>
              <w:rPr>
                <w:rFonts w:ascii="Times" w:eastAsiaTheme="minorEastAsia" w:hAnsi="Times"/>
                <w:bCs/>
                <w:lang w:eastAsia="zh-CN"/>
              </w:rPr>
              <w:t>: For IoT NTN self-evaluation, the connection density can meet ITU-R requirement for system bandwidth of 1.08MHz, where the connection density is 17684 Devices/ km</w:t>
            </w:r>
            <w:r>
              <w:rPr>
                <w:rFonts w:ascii="Times" w:eastAsiaTheme="minorEastAsia" w:hAnsi="Times"/>
                <w:bCs/>
                <w:vertAlign w:val="superscript"/>
                <w:lang w:eastAsia="zh-CN"/>
              </w:rPr>
              <w:t>2</w:t>
            </w:r>
            <w:r>
              <w:rPr>
                <w:rFonts w:ascii="Times" w:eastAsiaTheme="minorEastAsia" w:hAnsi="Times"/>
                <w:bCs/>
                <w:lang w:eastAsia="zh-CN"/>
              </w:rPr>
              <w:t xml:space="preserve"> and the 99</w:t>
            </w:r>
            <w:r>
              <w:rPr>
                <w:rFonts w:ascii="Times" w:eastAsiaTheme="minorEastAsia" w:hAnsi="Times"/>
                <w:bCs/>
                <w:vertAlign w:val="superscript"/>
                <w:lang w:eastAsia="zh-CN"/>
              </w:rPr>
              <w:t>th</w:t>
            </w:r>
            <w:r>
              <w:rPr>
                <w:rFonts w:ascii="Times" w:eastAsiaTheme="minorEastAsia" w:hAnsi="Times"/>
                <w:bCs/>
                <w:lang w:eastAsia="zh-CN"/>
              </w:rPr>
              <w:t xml:space="preserve"> percentile of the delay is 0.0071s.</w:t>
            </w:r>
          </w:p>
        </w:tc>
      </w:tr>
      <w:tr w:rsidR="009739CE" w14:paraId="2EB07E98" w14:textId="77777777">
        <w:trPr>
          <w:trHeight w:val="468"/>
        </w:trPr>
        <w:tc>
          <w:tcPr>
            <w:tcW w:w="1696" w:type="dxa"/>
          </w:tcPr>
          <w:p w14:paraId="75620B4F" w14:textId="77777777" w:rsidR="009739CE" w:rsidRDefault="000D6D61">
            <w:pPr>
              <w:spacing w:before="120" w:after="120"/>
              <w:rPr>
                <w:color w:val="0000FF"/>
                <w:u w:val="single"/>
              </w:rPr>
            </w:pPr>
            <w:hyperlink r:id="rId15" w:history="1">
              <w:r w:rsidR="0057197F">
                <w:rPr>
                  <w:rStyle w:val="Hyperlink"/>
                </w:rPr>
                <w:t>R1-2309985</w:t>
              </w:r>
            </w:hyperlink>
          </w:p>
          <w:p w14:paraId="4D58D274" w14:textId="77777777" w:rsidR="009739CE" w:rsidRDefault="0057197F">
            <w:pPr>
              <w:spacing w:after="120"/>
              <w:rPr>
                <w:u w:val="single"/>
              </w:rPr>
            </w:pPr>
            <w:r>
              <w:rPr>
                <w:color w:val="000000"/>
              </w:rPr>
              <w:lastRenderedPageBreak/>
              <w:t>(revised to R1-2310321)</w:t>
            </w:r>
          </w:p>
        </w:tc>
        <w:tc>
          <w:tcPr>
            <w:tcW w:w="1843" w:type="dxa"/>
          </w:tcPr>
          <w:p w14:paraId="638E969D" w14:textId="77777777" w:rsidR="009739CE" w:rsidRDefault="0057197F">
            <w:pPr>
              <w:spacing w:before="120" w:after="120"/>
            </w:pPr>
            <w:r>
              <w:lastRenderedPageBreak/>
              <w:t>MediaTek Inc.</w:t>
            </w:r>
          </w:p>
        </w:tc>
        <w:tc>
          <w:tcPr>
            <w:tcW w:w="6092" w:type="dxa"/>
          </w:tcPr>
          <w:p w14:paraId="7034E324" w14:textId="77777777" w:rsidR="009739CE" w:rsidRDefault="0057197F">
            <w:pPr>
              <w:spacing w:before="120" w:after="120"/>
              <w:jc w:val="both"/>
            </w:pPr>
            <w:r>
              <w:rPr>
                <w:u w:val="single"/>
              </w:rPr>
              <w:t>Observation</w:t>
            </w:r>
            <w:r>
              <w:t xml:space="preserve">: These results suggest that NB-IoT NTN exceeds the ITU-R Connection Density requirement by some margin for both FRF=1 and </w:t>
            </w:r>
            <w:r>
              <w:lastRenderedPageBreak/>
              <w:t>FRF=3, and that the corresponding packet delay requirement is also able to be fulfilled by a large margin.</w:t>
            </w:r>
          </w:p>
          <w:p w14:paraId="37FAE1AD" w14:textId="77777777" w:rsidR="009739CE" w:rsidRDefault="0057197F">
            <w:pPr>
              <w:spacing w:before="120" w:after="120"/>
              <w:jc w:val="both"/>
              <w:rPr>
                <w:iCs/>
              </w:rPr>
            </w:pPr>
            <w:r>
              <w:rPr>
                <w:u w:val="single"/>
              </w:rPr>
              <w:t>Proposal</w:t>
            </w:r>
            <w:r>
              <w:t>: Consider the preliminary evaluation results provided for further discussion/alignment between companies.</w:t>
            </w:r>
          </w:p>
        </w:tc>
      </w:tr>
      <w:tr w:rsidR="009739CE" w14:paraId="1EFBD9EF" w14:textId="77777777">
        <w:trPr>
          <w:trHeight w:val="468"/>
        </w:trPr>
        <w:tc>
          <w:tcPr>
            <w:tcW w:w="1696" w:type="dxa"/>
          </w:tcPr>
          <w:p w14:paraId="43F55167" w14:textId="77777777" w:rsidR="009739CE" w:rsidRDefault="000D6D61">
            <w:pPr>
              <w:spacing w:before="120" w:after="120"/>
              <w:rPr>
                <w:u w:val="single"/>
              </w:rPr>
            </w:pPr>
            <w:hyperlink r:id="rId16" w:history="1">
              <w:r w:rsidR="0057197F">
                <w:rPr>
                  <w:rStyle w:val="Hyperlink"/>
                </w:rPr>
                <w:t>R1-2310167</w:t>
              </w:r>
            </w:hyperlink>
          </w:p>
        </w:tc>
        <w:tc>
          <w:tcPr>
            <w:tcW w:w="1843" w:type="dxa"/>
          </w:tcPr>
          <w:p w14:paraId="3540C17F" w14:textId="77777777" w:rsidR="009739CE" w:rsidRDefault="0057197F">
            <w:pPr>
              <w:spacing w:before="120" w:after="120"/>
            </w:pPr>
            <w:r>
              <w:t>Qualcomm Incorporated</w:t>
            </w:r>
          </w:p>
        </w:tc>
        <w:tc>
          <w:tcPr>
            <w:tcW w:w="6092" w:type="dxa"/>
          </w:tcPr>
          <w:p w14:paraId="104C0041" w14:textId="77777777" w:rsidR="009739CE" w:rsidRDefault="0057197F">
            <w:r>
              <w:rPr>
                <w:u w:val="single"/>
              </w:rPr>
              <w:t>Proposal 1:</w:t>
            </w:r>
            <w:r>
              <w:t xml:space="preserve"> Capture the evaluation assumptions in Table 1 and evaluation results in Table 2 in TR 37.911.</w:t>
            </w:r>
          </w:p>
          <w:p w14:paraId="4EB26C4B" w14:textId="77777777" w:rsidR="009739CE" w:rsidRDefault="0057197F">
            <w:r>
              <w:rPr>
                <w:u w:val="single"/>
              </w:rPr>
              <w:t>Proposal 2:</w:t>
            </w:r>
            <w:r>
              <w:t xml:space="preserve"> Capture the evaluation assumptions in Table 3 and evaluation results in Table 4 in TR 37.911.</w:t>
            </w:r>
          </w:p>
          <w:p w14:paraId="2DF1594E" w14:textId="77777777" w:rsidR="009739CE" w:rsidRDefault="0057197F">
            <w:r>
              <w:rPr>
                <w:u w:val="single"/>
              </w:rPr>
              <w:t>Proposal 3:</w:t>
            </w:r>
            <w:r>
              <w:t xml:space="preserve"> RAN1 to discuss whether to incorporate NTN IOT energy efficiency results to TR 37.911 </w:t>
            </w:r>
            <w:r>
              <w:rPr>
                <w:b/>
                <w:bCs/>
                <w:color w:val="FF0000"/>
              </w:rPr>
              <w:t>&lt;FL proposes to handle this proposal within 8.15.1 discussion, as it relates more to evaluation assumptions&gt;</w:t>
            </w:r>
          </w:p>
        </w:tc>
      </w:tr>
    </w:tbl>
    <w:p w14:paraId="3EE45C13" w14:textId="77777777" w:rsidR="009739CE" w:rsidRDefault="009739CE"/>
    <w:p w14:paraId="59AD0BDC" w14:textId="77777777" w:rsidR="009739CE" w:rsidRDefault="0057197F">
      <w:pPr>
        <w:pStyle w:val="Heading2"/>
      </w:pPr>
      <w:r>
        <w:t>Discussion points</w:t>
      </w:r>
    </w:p>
    <w:p w14:paraId="5EACD149" w14:textId="77777777" w:rsidR="009739CE" w:rsidRDefault="0057197F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Connection Density evaluation: NB-IoT NTN full-buffer results</w:t>
      </w:r>
    </w:p>
    <w:p w14:paraId="26E5B99C" w14:textId="77777777" w:rsidR="009739CE" w:rsidRDefault="0057197F">
      <w:pPr>
        <w:rPr>
          <w:lang w:eastAsia="zh-CN"/>
        </w:rPr>
      </w:pPr>
      <w:r>
        <w:rPr>
          <w:lang w:val="en-US" w:eastAsia="zh-CN"/>
        </w:rPr>
        <w:t>This section is intended for further progress and alignment on the NB-IoT Full Buffer results, provided by H</w:t>
      </w:r>
      <w:proofErr w:type="spellStart"/>
      <w:r>
        <w:rPr>
          <w:lang w:eastAsia="zh-CN"/>
        </w:rPr>
        <w:t>uawei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>, ZTE), MediaTek and Qualcomm.</w:t>
      </w:r>
    </w:p>
    <w:p w14:paraId="560E5237" w14:textId="77777777" w:rsidR="009739CE" w:rsidRDefault="0057197F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 xml:space="preserve">Pre-processing SINR CDFs: </w:t>
      </w:r>
    </w:p>
    <w:p w14:paraId="7E74D8D3" w14:textId="77777777" w:rsidR="009739CE" w:rsidRDefault="0057197F">
      <w:pPr>
        <w:spacing w:before="120" w:after="120"/>
        <w:rPr>
          <w:bCs/>
          <w:iCs/>
          <w:lang w:eastAsia="zh-CN"/>
        </w:rPr>
      </w:pPr>
      <w:r>
        <w:rPr>
          <w:bCs/>
          <w:iCs/>
          <w:lang w:eastAsia="zh-CN"/>
        </w:rPr>
        <w:t>Summary of pre-processing SINR CDFs provided below:</w:t>
      </w:r>
    </w:p>
    <w:p w14:paraId="63AF167A" w14:textId="77777777" w:rsidR="009739CE" w:rsidRDefault="0057197F">
      <w:pPr>
        <w:spacing w:before="120" w:after="120"/>
        <w:rPr>
          <w:bCs/>
          <w:iCs/>
          <w:lang w:eastAsia="zh-CN"/>
        </w:rPr>
      </w:pPr>
      <w:r>
        <w:rPr>
          <w:bCs/>
          <w:iCs/>
          <w:noProof/>
          <w:lang w:eastAsia="zh-CN"/>
        </w:rPr>
        <w:drawing>
          <wp:inline distT="0" distB="0" distL="0" distR="0" wp14:anchorId="4F434BB8" wp14:editId="63BCA65C">
            <wp:extent cx="6118860" cy="438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4207" w14:textId="77777777" w:rsidR="009739CE" w:rsidRDefault="0057197F">
      <w:pPr>
        <w:spacing w:before="120" w:after="120"/>
        <w:rPr>
          <w:bCs/>
          <w:iCs/>
          <w:lang w:eastAsia="zh-CN"/>
        </w:rPr>
      </w:pPr>
      <w:r>
        <w:rPr>
          <w:bCs/>
          <w:iCs/>
          <w:lang w:eastAsia="zh-CN"/>
        </w:rPr>
        <w:lastRenderedPageBreak/>
        <w:t xml:space="preserve">For FRF=3, while there is better alignment than at RAN1#114, it can be observed that there is still approximately 6dB spread between the results of different companies. For FRF=1, there is approximately 5dB difference. It should also be noted that Huawei results include power control modelling, whereas MediaTek indicates that UL power control was not modelled, </w:t>
      </w:r>
      <w:proofErr w:type="gramStart"/>
      <w:r>
        <w:rPr>
          <w:bCs/>
          <w:iCs/>
          <w:lang w:eastAsia="zh-CN"/>
        </w:rPr>
        <w:t>i.e.</w:t>
      </w:r>
      <w:proofErr w:type="gramEnd"/>
      <w:r>
        <w:rPr>
          <w:bCs/>
          <w:iCs/>
          <w:lang w:eastAsia="zh-CN"/>
        </w:rPr>
        <w:t xml:space="preserve"> all users at full Tx power.</w:t>
      </w:r>
    </w:p>
    <w:p w14:paraId="0B37DC1D" w14:textId="77777777" w:rsidR="009739CE" w:rsidRDefault="0057197F">
      <w:pPr>
        <w:rPr>
          <w:b/>
          <w:i/>
          <w:lang w:eastAsia="zh-CN"/>
        </w:rPr>
      </w:pPr>
      <w:r>
        <w:rPr>
          <w:b/>
          <w:i/>
          <w:lang w:eastAsia="zh-CN"/>
        </w:rPr>
        <w:t>FL comment: Further discussion/info sharing is beneficial to identify if further alignment would be feasible.</w:t>
      </w:r>
      <w:r>
        <w:rPr>
          <w:b/>
          <w:i/>
          <w:color w:val="FF0000"/>
          <w:lang w:eastAsia="zh-CN"/>
        </w:rPr>
        <w:t xml:space="preserve"> It would also be appreciated for other companies who provided results to report if UL power control was modelled.</w:t>
      </w:r>
    </w:p>
    <w:p w14:paraId="2ACC800E" w14:textId="77777777" w:rsidR="009739CE" w:rsidRDefault="0057197F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SINR – SE mapping</w:t>
      </w:r>
    </w:p>
    <w:p w14:paraId="025951F6" w14:textId="77777777" w:rsidR="009739CE" w:rsidRDefault="0057197F">
      <w:r>
        <w:rPr>
          <w:lang w:val="en-US" w:eastAsia="zh-CN"/>
        </w:rPr>
        <w:t xml:space="preserve">There is some alignment between Huawei, Qualcomm and ZTE results. MediaTek results show a large relative SINR offset compared to others, but good alignment on the actual spectrum efficiency trend. It should be noted that MediaTek only provided results for </w:t>
      </w:r>
      <w:r>
        <w:t>QPSK</w:t>
      </w:r>
      <w:bookmarkStart w:id="1" w:name="_Hlk147506531"/>
      <w:r>
        <w:t>-π/4</w:t>
      </w:r>
      <w:bookmarkEnd w:id="1"/>
      <w:r>
        <w:t>.</w:t>
      </w:r>
    </w:p>
    <w:p w14:paraId="37A9F8AC" w14:textId="77777777" w:rsidR="009739CE" w:rsidRDefault="0057197F">
      <w:pPr>
        <w:rPr>
          <w:b/>
          <w:i/>
          <w:lang w:val="en-US" w:eastAsia="zh-CN"/>
        </w:rPr>
      </w:pPr>
      <w:r>
        <w:rPr>
          <w:b/>
          <w:i/>
          <w:lang w:eastAsia="zh-CN"/>
        </w:rPr>
        <w:t>FL comment: Further discussion/info sharing is beneficial to identify if further alignment would be possible.</w:t>
      </w:r>
    </w:p>
    <w:p w14:paraId="0EB5C212" w14:textId="77777777" w:rsidR="009739CE" w:rsidRDefault="0057197F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Connection Density Results</w:t>
      </w:r>
    </w:p>
    <w:p w14:paraId="6DE2E003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>Summary of preliminary Connection Density results is provided below:</w:t>
      </w:r>
    </w:p>
    <w:p w14:paraId="33B8CB20" w14:textId="77777777" w:rsidR="009739CE" w:rsidRDefault="0057197F">
      <w:pPr>
        <w:ind w:left="-567"/>
        <w:rPr>
          <w:lang w:val="sv-SE" w:eastAsia="zh-CN"/>
        </w:rPr>
      </w:pPr>
      <w:r>
        <w:rPr>
          <w:noProof/>
          <w:lang w:val="sv-SE" w:eastAsia="zh-CN"/>
        </w:rPr>
        <w:drawing>
          <wp:inline distT="0" distB="0" distL="0" distR="0" wp14:anchorId="5747136D" wp14:editId="5CC12E0A">
            <wp:extent cx="6662420" cy="362712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41966" cy="367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5642A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>Companies are welcome to provide feedback on these results. There appears to be no problem to fulfil the IMT-2020 requirements from any of the results provided, despite different numbers from different companies.</w:t>
      </w:r>
    </w:p>
    <w:p w14:paraId="0DF07B6C" w14:textId="77777777" w:rsidR="009739CE" w:rsidRDefault="0057197F">
      <w:pPr>
        <w:rPr>
          <w:b/>
          <w:bCs/>
          <w:lang w:val="en-US" w:eastAsia="zh-CN"/>
        </w:rPr>
      </w:pPr>
      <w:r>
        <w:rPr>
          <w:b/>
          <w:bCs/>
          <w:highlight w:val="yellow"/>
          <w:lang w:val="en-US" w:eastAsia="zh-CN"/>
        </w:rPr>
        <w:t>Please provide comments below on the NB-IoT NTN full buffer results provided, with a view to aiding further alignment.</w:t>
      </w:r>
      <w:r>
        <w:rPr>
          <w:b/>
          <w:bCs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5"/>
      </w:tblGrid>
      <w:tr w:rsidR="009739CE" w14:paraId="5C53D75F" w14:textId="77777777">
        <w:tc>
          <w:tcPr>
            <w:tcW w:w="3256" w:type="dxa"/>
            <w:shd w:val="clear" w:color="auto" w:fill="E7E6E6" w:themeFill="background2"/>
          </w:tcPr>
          <w:p w14:paraId="5DBBA1BE" w14:textId="77777777" w:rsidR="009739CE" w:rsidRDefault="0057197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6375" w:type="dxa"/>
            <w:shd w:val="clear" w:color="auto" w:fill="E7E6E6" w:themeFill="background2"/>
          </w:tcPr>
          <w:p w14:paraId="0238E91E" w14:textId="77777777" w:rsidR="009739CE" w:rsidRDefault="0057197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</w:p>
        </w:tc>
      </w:tr>
      <w:tr w:rsidR="009739CE" w14:paraId="20E90722" w14:textId="77777777">
        <w:tc>
          <w:tcPr>
            <w:tcW w:w="3256" w:type="dxa"/>
          </w:tcPr>
          <w:p w14:paraId="177A4F8D" w14:textId="2FB29B54" w:rsidR="009739CE" w:rsidRPr="00B65271" w:rsidRDefault="00D404E0">
            <w:pPr>
              <w:rPr>
                <w:b/>
                <w:bCs/>
                <w:lang w:eastAsia="zh-CN"/>
              </w:rPr>
            </w:pPr>
            <w:r w:rsidRPr="00B65271">
              <w:rPr>
                <w:b/>
                <w:bCs/>
                <w:lang w:eastAsia="zh-CN"/>
              </w:rPr>
              <w:t>FL</w:t>
            </w:r>
          </w:p>
        </w:tc>
        <w:tc>
          <w:tcPr>
            <w:tcW w:w="6375" w:type="dxa"/>
          </w:tcPr>
          <w:p w14:paraId="3B384FC4" w14:textId="484DED95" w:rsidR="00053264" w:rsidRDefault="00053264" w:rsidP="00053264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lang w:eastAsia="zh-CN"/>
              </w:rPr>
              <w:t>ZTE provided the following info “</w:t>
            </w:r>
            <w:r>
              <w:rPr>
                <w:rFonts w:hint="eastAsia"/>
                <w:bCs/>
                <w:iCs/>
                <w:lang w:val="en-US" w:eastAsia="zh-CN"/>
              </w:rPr>
              <w:t xml:space="preserve">ZTE: </w:t>
            </w:r>
            <w:r>
              <w:rPr>
                <w:bCs/>
                <w:iCs/>
                <w:lang w:eastAsia="zh-CN"/>
              </w:rPr>
              <w:t xml:space="preserve">UL power control was not modelled, </w:t>
            </w:r>
            <w:proofErr w:type="gramStart"/>
            <w:r>
              <w:rPr>
                <w:bCs/>
                <w:iCs/>
                <w:lang w:eastAsia="zh-CN"/>
              </w:rPr>
              <w:t>i.e.</w:t>
            </w:r>
            <w:proofErr w:type="gramEnd"/>
            <w:r>
              <w:rPr>
                <w:bCs/>
                <w:iCs/>
                <w:lang w:eastAsia="zh-CN"/>
              </w:rPr>
              <w:t xml:space="preserve"> all users at full Tx power.</w:t>
            </w:r>
            <w:r>
              <w:rPr>
                <w:bCs/>
                <w:iCs/>
                <w:lang w:eastAsia="zh-CN"/>
              </w:rPr>
              <w:t>”</w:t>
            </w:r>
          </w:p>
          <w:p w14:paraId="7BB29B90" w14:textId="7A58E033" w:rsidR="00B65271" w:rsidRDefault="00B65271">
            <w:pPr>
              <w:rPr>
                <w:lang w:eastAsia="zh-CN"/>
              </w:rPr>
            </w:pPr>
            <w:r>
              <w:rPr>
                <w:lang w:eastAsia="zh-CN"/>
              </w:rPr>
              <w:t>Thanks for the further info from ZTE</w:t>
            </w:r>
            <w:r w:rsidR="00D404E0">
              <w:rPr>
                <w:lang w:eastAsia="zh-CN"/>
              </w:rPr>
              <w:t xml:space="preserve">. </w:t>
            </w:r>
          </w:p>
          <w:p w14:paraId="16DFC082" w14:textId="578C88AC" w:rsidR="009739CE" w:rsidRPr="00B65271" w:rsidRDefault="00B65271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FL</w:t>
            </w:r>
            <w:r w:rsidRPr="00B65271">
              <w:rPr>
                <w:b/>
                <w:bCs/>
                <w:lang w:eastAsia="zh-CN"/>
              </w:rPr>
              <w:t xml:space="preserve"> s</w:t>
            </w:r>
            <w:r w:rsidR="00D404E0" w:rsidRPr="00B65271">
              <w:rPr>
                <w:b/>
                <w:bCs/>
                <w:lang w:eastAsia="zh-CN"/>
              </w:rPr>
              <w:t>uggest</w:t>
            </w:r>
            <w:r>
              <w:rPr>
                <w:b/>
                <w:bCs/>
                <w:lang w:eastAsia="zh-CN"/>
              </w:rPr>
              <w:t>s</w:t>
            </w:r>
            <w:r w:rsidR="00D404E0" w:rsidRPr="00B65271">
              <w:rPr>
                <w:b/>
                <w:bCs/>
                <w:lang w:eastAsia="zh-CN"/>
              </w:rPr>
              <w:t xml:space="preserve"> continu</w:t>
            </w:r>
            <w:r w:rsidR="00FD6BC0" w:rsidRPr="00B65271">
              <w:rPr>
                <w:b/>
                <w:bCs/>
                <w:lang w:eastAsia="zh-CN"/>
              </w:rPr>
              <w:t>ing</w:t>
            </w:r>
            <w:r w:rsidR="00D404E0" w:rsidRPr="00B65271">
              <w:rPr>
                <w:b/>
                <w:bCs/>
                <w:lang w:eastAsia="zh-CN"/>
              </w:rPr>
              <w:t xml:space="preserve"> discussions among interested companies</w:t>
            </w:r>
            <w:r>
              <w:rPr>
                <w:b/>
                <w:bCs/>
                <w:lang w:eastAsia="zh-CN"/>
              </w:rPr>
              <w:t xml:space="preserve"> to aid further alignment</w:t>
            </w:r>
            <w:r w:rsidR="00D404E0" w:rsidRPr="00B65271">
              <w:rPr>
                <w:b/>
                <w:bCs/>
                <w:lang w:eastAsia="zh-CN"/>
              </w:rPr>
              <w:t>.</w:t>
            </w:r>
            <w:r w:rsidR="00FD6BC0" w:rsidRPr="00B65271">
              <w:rPr>
                <w:b/>
                <w:bCs/>
                <w:lang w:eastAsia="zh-CN"/>
              </w:rPr>
              <w:t xml:space="preserve"> FL will report back any conclusion and proposal from that.</w:t>
            </w:r>
          </w:p>
        </w:tc>
      </w:tr>
      <w:tr w:rsidR="009739CE" w14:paraId="56C0A737" w14:textId="77777777">
        <w:tc>
          <w:tcPr>
            <w:tcW w:w="3256" w:type="dxa"/>
          </w:tcPr>
          <w:p w14:paraId="26C356E7" w14:textId="77777777" w:rsidR="009739CE" w:rsidRDefault="009739CE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6375" w:type="dxa"/>
          </w:tcPr>
          <w:p w14:paraId="2EE9B48F" w14:textId="77777777" w:rsidR="009739CE" w:rsidRDefault="009739CE">
            <w:pPr>
              <w:rPr>
                <w:rFonts w:eastAsiaTheme="minorEastAsia"/>
                <w:lang w:eastAsia="zh-CN"/>
              </w:rPr>
            </w:pPr>
          </w:p>
        </w:tc>
      </w:tr>
      <w:tr w:rsidR="009739CE" w14:paraId="54754A2D" w14:textId="77777777">
        <w:tc>
          <w:tcPr>
            <w:tcW w:w="3256" w:type="dxa"/>
          </w:tcPr>
          <w:p w14:paraId="37DBDDF2" w14:textId="77777777" w:rsidR="009739CE" w:rsidRDefault="009739CE">
            <w:pPr>
              <w:rPr>
                <w:b/>
                <w:bCs/>
                <w:lang w:eastAsia="zh-CN"/>
              </w:rPr>
            </w:pPr>
          </w:p>
        </w:tc>
        <w:tc>
          <w:tcPr>
            <w:tcW w:w="6375" w:type="dxa"/>
          </w:tcPr>
          <w:p w14:paraId="08DE5526" w14:textId="77777777" w:rsidR="009739CE" w:rsidRDefault="009739CE">
            <w:pPr>
              <w:rPr>
                <w:lang w:eastAsia="zh-CN"/>
              </w:rPr>
            </w:pPr>
          </w:p>
        </w:tc>
      </w:tr>
      <w:tr w:rsidR="009739CE" w14:paraId="1438258E" w14:textId="77777777">
        <w:tc>
          <w:tcPr>
            <w:tcW w:w="3256" w:type="dxa"/>
          </w:tcPr>
          <w:p w14:paraId="32AB831B" w14:textId="77777777" w:rsidR="009739CE" w:rsidRDefault="009739CE">
            <w:pPr>
              <w:rPr>
                <w:b/>
                <w:bCs/>
                <w:lang w:eastAsia="zh-CN"/>
              </w:rPr>
            </w:pPr>
          </w:p>
        </w:tc>
        <w:tc>
          <w:tcPr>
            <w:tcW w:w="6375" w:type="dxa"/>
          </w:tcPr>
          <w:p w14:paraId="78D165B7" w14:textId="77777777" w:rsidR="009739CE" w:rsidRDefault="009739CE">
            <w:pPr>
              <w:ind w:left="720"/>
              <w:rPr>
                <w:b/>
                <w:bCs/>
                <w:lang w:eastAsia="zh-CN"/>
              </w:rPr>
            </w:pPr>
          </w:p>
        </w:tc>
      </w:tr>
      <w:tr w:rsidR="009739CE" w14:paraId="18006D50" w14:textId="77777777">
        <w:tc>
          <w:tcPr>
            <w:tcW w:w="3256" w:type="dxa"/>
          </w:tcPr>
          <w:p w14:paraId="490566AB" w14:textId="77777777" w:rsidR="009739CE" w:rsidRDefault="009739CE">
            <w:pPr>
              <w:rPr>
                <w:lang w:eastAsia="zh-CN"/>
              </w:rPr>
            </w:pPr>
          </w:p>
        </w:tc>
        <w:tc>
          <w:tcPr>
            <w:tcW w:w="6375" w:type="dxa"/>
          </w:tcPr>
          <w:p w14:paraId="6F407CCB" w14:textId="77777777" w:rsidR="009739CE" w:rsidRDefault="009739CE">
            <w:pPr>
              <w:rPr>
                <w:highlight w:val="yellow"/>
                <w:lang w:eastAsia="zh-CN"/>
              </w:rPr>
            </w:pPr>
          </w:p>
        </w:tc>
      </w:tr>
    </w:tbl>
    <w:p w14:paraId="636E4963" w14:textId="77777777" w:rsidR="009739CE" w:rsidRDefault="009739CE">
      <w:pPr>
        <w:rPr>
          <w:lang w:val="en-US" w:eastAsia="zh-CN"/>
        </w:rPr>
      </w:pPr>
    </w:p>
    <w:p w14:paraId="19024511" w14:textId="77777777" w:rsidR="009739CE" w:rsidRDefault="0057197F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Connection Density evaluation: </w:t>
      </w:r>
      <w:proofErr w:type="spellStart"/>
      <w:r>
        <w:rPr>
          <w:sz w:val="24"/>
          <w:szCs w:val="16"/>
          <w:lang w:val="en-US"/>
        </w:rPr>
        <w:t>eMTC</w:t>
      </w:r>
      <w:proofErr w:type="spellEnd"/>
      <w:r>
        <w:rPr>
          <w:sz w:val="24"/>
          <w:szCs w:val="16"/>
          <w:lang w:val="en-US"/>
        </w:rPr>
        <w:t xml:space="preserve"> full buffer results</w:t>
      </w:r>
    </w:p>
    <w:p w14:paraId="07205873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 xml:space="preserve">This section is to discuss the </w:t>
      </w:r>
      <w:proofErr w:type="spellStart"/>
      <w:r>
        <w:rPr>
          <w:lang w:val="en-US" w:eastAsia="zh-CN"/>
        </w:rPr>
        <w:t>eMTC</w:t>
      </w:r>
      <w:proofErr w:type="spellEnd"/>
      <w:r>
        <w:rPr>
          <w:lang w:val="en-US" w:eastAsia="zh-CN"/>
        </w:rPr>
        <w:t xml:space="preserve"> full buffer results evaluation. Oppo and Qualcomm provided full buffer results for </w:t>
      </w:r>
      <w:proofErr w:type="spellStart"/>
      <w:r>
        <w:rPr>
          <w:lang w:val="en-US" w:eastAsia="zh-CN"/>
        </w:rPr>
        <w:t>eMTC</w:t>
      </w:r>
      <w:proofErr w:type="spellEnd"/>
      <w:r>
        <w:rPr>
          <w:lang w:val="en-US" w:eastAsia="zh-CN"/>
        </w:rPr>
        <w:t xml:space="preserve">. </w:t>
      </w:r>
    </w:p>
    <w:p w14:paraId="7EEDDAE3" w14:textId="77777777" w:rsidR="009739CE" w:rsidRDefault="009739CE">
      <w:pPr>
        <w:rPr>
          <w:lang w:val="en-US" w:eastAsia="zh-CN"/>
        </w:rPr>
      </w:pPr>
    </w:p>
    <w:p w14:paraId="05F32FA1" w14:textId="77777777" w:rsidR="009739CE" w:rsidRDefault="0057197F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 xml:space="preserve">Pre-processing SINR CDFs: </w:t>
      </w:r>
    </w:p>
    <w:p w14:paraId="5D76DC06" w14:textId="77777777" w:rsidR="009739CE" w:rsidRDefault="0057197F">
      <w:pPr>
        <w:rPr>
          <w:bCs/>
          <w:iCs/>
          <w:lang w:eastAsia="zh-CN"/>
        </w:rPr>
      </w:pPr>
      <w:r>
        <w:rPr>
          <w:bCs/>
          <w:iCs/>
          <w:lang w:eastAsia="zh-CN"/>
        </w:rPr>
        <w:t xml:space="preserve">Summary of pre-processing SINR CDFs provided below, which show some alignment, but some differences. </w:t>
      </w:r>
    </w:p>
    <w:p w14:paraId="33E3B649" w14:textId="77777777" w:rsidR="009739CE" w:rsidRDefault="0057197F">
      <w:pPr>
        <w:rPr>
          <w:b/>
          <w:i/>
          <w:lang w:val="en-US" w:eastAsia="zh-CN"/>
        </w:rPr>
      </w:pPr>
      <w:r>
        <w:rPr>
          <w:b/>
          <w:i/>
          <w:lang w:eastAsia="zh-CN"/>
        </w:rPr>
        <w:t>FL comment: Further discussion/info sharing is beneficial to identify if further alignment would be possible.</w:t>
      </w:r>
    </w:p>
    <w:p w14:paraId="41D4DBC5" w14:textId="77777777" w:rsidR="009739CE" w:rsidRDefault="0057197F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A100F9E" wp14:editId="5534265F">
            <wp:extent cx="6118860" cy="26365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FF8D3" w14:textId="77777777" w:rsidR="009739CE" w:rsidRDefault="0057197F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SINR – SE mapping</w:t>
      </w:r>
    </w:p>
    <w:p w14:paraId="7FF96B79" w14:textId="77777777" w:rsidR="009739CE" w:rsidRDefault="0057197F">
      <w:r>
        <w:rPr>
          <w:lang w:val="en-US" w:eastAsia="zh-CN"/>
        </w:rPr>
        <w:t xml:space="preserve">There is some difference between OPPO and Qualcomm results that would benefit from further discussion. </w:t>
      </w:r>
    </w:p>
    <w:p w14:paraId="1E9D0356" w14:textId="77777777" w:rsidR="009739CE" w:rsidRDefault="0057197F">
      <w:pPr>
        <w:rPr>
          <w:b/>
          <w:i/>
          <w:lang w:val="en-US" w:eastAsia="zh-CN"/>
        </w:rPr>
      </w:pPr>
      <w:r>
        <w:rPr>
          <w:b/>
          <w:i/>
          <w:lang w:eastAsia="zh-CN"/>
        </w:rPr>
        <w:t xml:space="preserve">FL comment: Further discussion/info sharing is beneficial to identify if further alignment would be possible. </w:t>
      </w:r>
      <w:r>
        <w:rPr>
          <w:b/>
          <w:bCs/>
          <w:i/>
          <w:iCs/>
          <w:color w:val="FF0000"/>
          <w:lang w:val="en-US" w:eastAsia="zh-CN"/>
        </w:rPr>
        <w:t>OPPO also please clarify whether you used fixed TBS size of 256 bits.</w:t>
      </w:r>
    </w:p>
    <w:p w14:paraId="0895AFD2" w14:textId="77777777" w:rsidR="009739CE" w:rsidRDefault="0057197F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Connection Density Results</w:t>
      </w:r>
    </w:p>
    <w:p w14:paraId="7186B9E4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 xml:space="preserve">Summary of preliminary Connection Density results is provided below. Companies are welcome to provide feedback on these results. </w:t>
      </w:r>
    </w:p>
    <w:p w14:paraId="58965F48" w14:textId="77777777" w:rsidR="009739CE" w:rsidRDefault="0057197F">
      <w:pPr>
        <w:jc w:val="center"/>
        <w:rPr>
          <w:b/>
          <w:bCs/>
          <w:lang w:val="en-US" w:eastAsia="zh-CN"/>
        </w:rPr>
      </w:pPr>
      <w:r>
        <w:rPr>
          <w:b/>
          <w:bCs/>
          <w:noProof/>
          <w:lang w:val="en-US" w:eastAsia="zh-CN"/>
        </w:rPr>
        <w:lastRenderedPageBreak/>
        <w:drawing>
          <wp:inline distT="0" distB="0" distL="0" distR="0" wp14:anchorId="4CB0DBA9" wp14:editId="37E7B15F">
            <wp:extent cx="3832860" cy="284924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55454" cy="286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225F3" w14:textId="77777777" w:rsidR="009739CE" w:rsidRDefault="0057197F">
      <w:pPr>
        <w:rPr>
          <w:lang w:val="en-US" w:eastAsia="zh-CN"/>
        </w:rPr>
      </w:pPr>
      <w:r>
        <w:rPr>
          <w:lang w:val="en-US" w:eastAsia="zh-CN"/>
        </w:rPr>
        <w:t xml:space="preserve">There appears to be no problem to fulfil the IMT-2020 requirements from any of the results provided, despite different numbers from companies. </w:t>
      </w:r>
    </w:p>
    <w:p w14:paraId="6806981E" w14:textId="77777777" w:rsidR="009739CE" w:rsidRDefault="0057197F">
      <w:pPr>
        <w:rPr>
          <w:b/>
          <w:bCs/>
          <w:lang w:val="en-US" w:eastAsia="zh-CN"/>
        </w:rPr>
      </w:pPr>
      <w:r>
        <w:rPr>
          <w:b/>
          <w:bCs/>
          <w:highlight w:val="yellow"/>
          <w:lang w:val="en-US" w:eastAsia="zh-CN"/>
        </w:rPr>
        <w:t xml:space="preserve">Please provide comments below on the </w:t>
      </w:r>
      <w:proofErr w:type="spellStart"/>
      <w:r>
        <w:rPr>
          <w:b/>
          <w:bCs/>
          <w:highlight w:val="yellow"/>
          <w:lang w:val="en-US" w:eastAsia="zh-CN"/>
        </w:rPr>
        <w:t>eMTC</w:t>
      </w:r>
      <w:proofErr w:type="spellEnd"/>
      <w:r>
        <w:rPr>
          <w:b/>
          <w:bCs/>
          <w:highlight w:val="yellow"/>
          <w:lang w:val="en-US" w:eastAsia="zh-CN"/>
        </w:rPr>
        <w:t xml:space="preserve"> NTN full buffer results provided, with a view to aiding further alignment.</w:t>
      </w:r>
      <w:r>
        <w:rPr>
          <w:b/>
          <w:bCs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5"/>
      </w:tblGrid>
      <w:tr w:rsidR="009739CE" w14:paraId="4F2AF6B7" w14:textId="77777777">
        <w:tc>
          <w:tcPr>
            <w:tcW w:w="3256" w:type="dxa"/>
            <w:shd w:val="clear" w:color="auto" w:fill="E7E6E6" w:themeFill="background2"/>
          </w:tcPr>
          <w:p w14:paraId="6006A39E" w14:textId="77777777" w:rsidR="009739CE" w:rsidRDefault="0057197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Company</w:t>
            </w:r>
          </w:p>
        </w:tc>
        <w:tc>
          <w:tcPr>
            <w:tcW w:w="6375" w:type="dxa"/>
            <w:shd w:val="clear" w:color="auto" w:fill="E7E6E6" w:themeFill="background2"/>
          </w:tcPr>
          <w:p w14:paraId="79BFD3BD" w14:textId="77777777" w:rsidR="009739CE" w:rsidRDefault="0057197F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Comment</w:t>
            </w:r>
          </w:p>
        </w:tc>
      </w:tr>
      <w:tr w:rsidR="009739CE" w14:paraId="4EB36FE6" w14:textId="77777777">
        <w:tc>
          <w:tcPr>
            <w:tcW w:w="3256" w:type="dxa"/>
          </w:tcPr>
          <w:p w14:paraId="3E47AA77" w14:textId="77777777" w:rsidR="009739CE" w:rsidRDefault="0057197F"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Company A</w:t>
            </w:r>
          </w:p>
        </w:tc>
        <w:tc>
          <w:tcPr>
            <w:tcW w:w="6375" w:type="dxa"/>
          </w:tcPr>
          <w:p w14:paraId="5E6364DB" w14:textId="77777777" w:rsidR="009739CE" w:rsidRDefault="005719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SINR CDFs: </w:t>
            </w:r>
            <w:proofErr w:type="spellStart"/>
            <w:r>
              <w:rPr>
                <w:lang w:eastAsia="zh-CN"/>
              </w:rPr>
              <w:t>xxxx</w:t>
            </w:r>
            <w:proofErr w:type="spellEnd"/>
          </w:p>
          <w:p w14:paraId="2621064B" w14:textId="77777777" w:rsidR="009739CE" w:rsidRDefault="005719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SE to SINR mapping: </w:t>
            </w:r>
            <w:proofErr w:type="spellStart"/>
            <w:r>
              <w:rPr>
                <w:lang w:eastAsia="zh-CN"/>
              </w:rPr>
              <w:t>xxxx</w:t>
            </w:r>
            <w:proofErr w:type="spellEnd"/>
          </w:p>
          <w:p w14:paraId="5BFB31D4" w14:textId="77777777" w:rsidR="009739CE" w:rsidRDefault="005719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Connection Density values: </w:t>
            </w:r>
            <w:proofErr w:type="spellStart"/>
            <w:r>
              <w:rPr>
                <w:lang w:eastAsia="zh-CN"/>
              </w:rPr>
              <w:t>xxxx</w:t>
            </w:r>
            <w:proofErr w:type="spellEnd"/>
          </w:p>
        </w:tc>
      </w:tr>
      <w:tr w:rsidR="009739CE" w14:paraId="678B59D3" w14:textId="77777777">
        <w:tc>
          <w:tcPr>
            <w:tcW w:w="3256" w:type="dxa"/>
          </w:tcPr>
          <w:p w14:paraId="54D8BB3F" w14:textId="74F5B678" w:rsidR="009739CE" w:rsidRPr="00920B2D" w:rsidRDefault="00920B2D">
            <w:pPr>
              <w:rPr>
                <w:rFonts w:eastAsiaTheme="minorEastAsia"/>
                <w:lang w:eastAsia="zh-CN"/>
              </w:rPr>
            </w:pPr>
            <w:r w:rsidRPr="00920B2D">
              <w:rPr>
                <w:rFonts w:eastAsiaTheme="minorEastAsia" w:hint="eastAsia"/>
                <w:lang w:eastAsia="zh-CN"/>
              </w:rPr>
              <w:t>O</w:t>
            </w:r>
            <w:r w:rsidRPr="00920B2D">
              <w:rPr>
                <w:rFonts w:eastAsiaTheme="minorEastAsia"/>
                <w:lang w:eastAsia="zh-CN"/>
              </w:rPr>
              <w:t>PPO</w:t>
            </w:r>
          </w:p>
        </w:tc>
        <w:tc>
          <w:tcPr>
            <w:tcW w:w="6375" w:type="dxa"/>
          </w:tcPr>
          <w:p w14:paraId="3BBAC0C4" w14:textId="77777777" w:rsidR="009739CE" w:rsidRDefault="00920B2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TBS of 256 bits is not used in our simulation because we note that there is no agreed TBS value for LLS </w:t>
            </w:r>
            <w:proofErr w:type="spellStart"/>
            <w:r>
              <w:rPr>
                <w:rFonts w:eastAsiaTheme="minorEastAsia"/>
                <w:lang w:eastAsia="zh-CN"/>
              </w:rPr>
              <w:t>eMTC</w:t>
            </w:r>
            <w:proofErr w:type="spellEnd"/>
            <w:r>
              <w:rPr>
                <w:rFonts w:eastAsiaTheme="minorEastAsia"/>
                <w:lang w:eastAsia="zh-CN"/>
              </w:rPr>
              <w:t xml:space="preserve">. Please correct us if we miss some </w:t>
            </w:r>
            <w:r w:rsidR="005876DC">
              <w:rPr>
                <w:rFonts w:eastAsiaTheme="minorEastAsia"/>
                <w:lang w:eastAsia="zh-CN"/>
              </w:rPr>
              <w:t>conclusion.</w:t>
            </w:r>
          </w:p>
          <w:p w14:paraId="199440EC" w14:textId="6C77C2BB" w:rsidR="005876DC" w:rsidRPr="00920B2D" w:rsidRDefault="005876D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our LLS for </w:t>
            </w:r>
            <w:proofErr w:type="spellStart"/>
            <w:r>
              <w:rPr>
                <w:rFonts w:eastAsiaTheme="minorEastAsia"/>
                <w:lang w:eastAsia="zh-CN"/>
              </w:rPr>
              <w:t>eMTC</w:t>
            </w:r>
            <w:proofErr w:type="spellEnd"/>
            <w:r>
              <w:rPr>
                <w:rFonts w:eastAsiaTheme="minorEastAsia"/>
                <w:lang w:eastAsia="zh-CN"/>
              </w:rPr>
              <w:t>, we select the MCS which can meet the 10% BLER and achieve the max SE. This may be the reason that there is some difference between QC and our evaluation results.</w:t>
            </w:r>
          </w:p>
        </w:tc>
      </w:tr>
      <w:tr w:rsidR="009739CE" w14:paraId="262208FA" w14:textId="77777777">
        <w:tc>
          <w:tcPr>
            <w:tcW w:w="3256" w:type="dxa"/>
          </w:tcPr>
          <w:p w14:paraId="6801E76A" w14:textId="655C8896" w:rsidR="009739CE" w:rsidRPr="00B65271" w:rsidRDefault="00D404E0">
            <w:pPr>
              <w:rPr>
                <w:b/>
                <w:bCs/>
                <w:lang w:eastAsia="zh-CN"/>
              </w:rPr>
            </w:pPr>
            <w:r w:rsidRPr="00B65271">
              <w:rPr>
                <w:b/>
                <w:bCs/>
                <w:lang w:eastAsia="zh-CN"/>
              </w:rPr>
              <w:t>FL</w:t>
            </w:r>
          </w:p>
        </w:tc>
        <w:tc>
          <w:tcPr>
            <w:tcW w:w="6375" w:type="dxa"/>
          </w:tcPr>
          <w:p w14:paraId="6B3A3F7D" w14:textId="0775BC00" w:rsidR="00B65271" w:rsidRDefault="00D404E0">
            <w:pPr>
              <w:rPr>
                <w:lang w:eastAsia="zh-CN"/>
              </w:rPr>
            </w:pPr>
            <w:r w:rsidRPr="00FD6BC0">
              <w:rPr>
                <w:lang w:eastAsia="zh-CN"/>
              </w:rPr>
              <w:t>Thanks for the feedback</w:t>
            </w:r>
            <w:r w:rsidR="00B65271">
              <w:rPr>
                <w:lang w:eastAsia="zh-CN"/>
              </w:rPr>
              <w:t xml:space="preserve"> from OPPO</w:t>
            </w:r>
            <w:r w:rsidRPr="00FD6BC0">
              <w:rPr>
                <w:lang w:eastAsia="zh-CN"/>
              </w:rPr>
              <w:t>. Agree that the agreements seem not to cover 256. This may have been an oversight</w:t>
            </w:r>
            <w:r w:rsidR="00FD6BC0" w:rsidRPr="00FD6BC0">
              <w:rPr>
                <w:lang w:eastAsia="zh-CN"/>
              </w:rPr>
              <w:t xml:space="preserve">. </w:t>
            </w:r>
          </w:p>
          <w:p w14:paraId="2C17BFB3" w14:textId="610E5250" w:rsidR="00D404E0" w:rsidRPr="00026213" w:rsidRDefault="00B65271">
            <w:pPr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Comments</w:t>
            </w:r>
            <w:r w:rsidR="00FD6BC0" w:rsidRPr="00FD6BC0">
              <w:rPr>
                <w:b/>
                <w:bCs/>
                <w:lang w:eastAsia="zh-CN"/>
              </w:rPr>
              <w:t xml:space="preserve"> appreciated on whether we should align on 256 bits TBS for </w:t>
            </w:r>
            <w:proofErr w:type="spellStart"/>
            <w:r w:rsidR="00FD6BC0" w:rsidRPr="00FD6BC0">
              <w:rPr>
                <w:b/>
                <w:bCs/>
                <w:lang w:eastAsia="zh-CN"/>
              </w:rPr>
              <w:t>eMTC</w:t>
            </w:r>
            <w:proofErr w:type="spellEnd"/>
            <w:r w:rsidR="00FD6BC0" w:rsidRPr="00FD6BC0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NTN </w:t>
            </w:r>
            <w:r w:rsidR="00FD6BC0" w:rsidRPr="00FD6BC0">
              <w:rPr>
                <w:b/>
                <w:bCs/>
                <w:lang w:eastAsia="zh-CN"/>
              </w:rPr>
              <w:t>too – given that this maps to the 32</w:t>
            </w:r>
            <w:r>
              <w:rPr>
                <w:b/>
                <w:bCs/>
                <w:lang w:eastAsia="zh-CN"/>
              </w:rPr>
              <w:t>-</w:t>
            </w:r>
            <w:r w:rsidR="00FD6BC0" w:rsidRPr="00FD6BC0">
              <w:rPr>
                <w:b/>
                <w:bCs/>
                <w:lang w:eastAsia="zh-CN"/>
              </w:rPr>
              <w:t>byte for ITU-R.</w:t>
            </w:r>
          </w:p>
        </w:tc>
      </w:tr>
      <w:tr w:rsidR="009739CE" w14:paraId="7DCA2848" w14:textId="77777777">
        <w:tc>
          <w:tcPr>
            <w:tcW w:w="3256" w:type="dxa"/>
          </w:tcPr>
          <w:p w14:paraId="02BF1539" w14:textId="77777777" w:rsidR="009739CE" w:rsidRDefault="009739CE">
            <w:pPr>
              <w:rPr>
                <w:lang w:eastAsia="zh-CN"/>
              </w:rPr>
            </w:pPr>
          </w:p>
        </w:tc>
        <w:tc>
          <w:tcPr>
            <w:tcW w:w="6375" w:type="dxa"/>
          </w:tcPr>
          <w:p w14:paraId="779DDA3C" w14:textId="77777777" w:rsidR="009739CE" w:rsidRDefault="009739CE">
            <w:pPr>
              <w:rPr>
                <w:lang w:eastAsia="zh-CN"/>
              </w:rPr>
            </w:pPr>
          </w:p>
        </w:tc>
      </w:tr>
      <w:tr w:rsidR="009739CE" w14:paraId="29A62CE9" w14:textId="77777777">
        <w:tc>
          <w:tcPr>
            <w:tcW w:w="3256" w:type="dxa"/>
          </w:tcPr>
          <w:p w14:paraId="4F784612" w14:textId="77777777" w:rsidR="009739CE" w:rsidRDefault="009739CE">
            <w:pPr>
              <w:rPr>
                <w:lang w:eastAsia="zh-CN"/>
              </w:rPr>
            </w:pPr>
          </w:p>
        </w:tc>
        <w:tc>
          <w:tcPr>
            <w:tcW w:w="6375" w:type="dxa"/>
          </w:tcPr>
          <w:p w14:paraId="5424FA61" w14:textId="77777777" w:rsidR="009739CE" w:rsidRDefault="009739CE">
            <w:pPr>
              <w:rPr>
                <w:lang w:eastAsia="zh-CN"/>
              </w:rPr>
            </w:pPr>
          </w:p>
        </w:tc>
      </w:tr>
      <w:tr w:rsidR="009739CE" w14:paraId="47E1BEE4" w14:textId="77777777">
        <w:tc>
          <w:tcPr>
            <w:tcW w:w="3256" w:type="dxa"/>
          </w:tcPr>
          <w:p w14:paraId="6715C008" w14:textId="77777777" w:rsidR="009739CE" w:rsidRDefault="009739CE">
            <w:pPr>
              <w:rPr>
                <w:lang w:eastAsia="zh-CN"/>
              </w:rPr>
            </w:pPr>
          </w:p>
        </w:tc>
        <w:tc>
          <w:tcPr>
            <w:tcW w:w="6375" w:type="dxa"/>
          </w:tcPr>
          <w:p w14:paraId="4874E77F" w14:textId="77777777" w:rsidR="009739CE" w:rsidRDefault="009739CE">
            <w:pPr>
              <w:rPr>
                <w:lang w:eastAsia="zh-CN"/>
              </w:rPr>
            </w:pPr>
          </w:p>
        </w:tc>
      </w:tr>
    </w:tbl>
    <w:p w14:paraId="3A64FCCE" w14:textId="77777777" w:rsidR="009739CE" w:rsidRDefault="009739CE">
      <w:pPr>
        <w:rPr>
          <w:lang w:eastAsia="zh-CN"/>
        </w:rPr>
      </w:pPr>
    </w:p>
    <w:sectPr w:rsidR="009739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CA823" w14:textId="77777777" w:rsidR="000D6D61" w:rsidRDefault="000D6D61">
      <w:pPr>
        <w:spacing w:after="0"/>
      </w:pPr>
      <w:r>
        <w:separator/>
      </w:r>
    </w:p>
  </w:endnote>
  <w:endnote w:type="continuationSeparator" w:id="0">
    <w:p w14:paraId="1A76A38F" w14:textId="77777777" w:rsidR="000D6D61" w:rsidRDefault="000D6D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DDF43" w14:textId="77777777" w:rsidR="000D6D61" w:rsidRDefault="000D6D61">
      <w:pPr>
        <w:spacing w:after="0"/>
      </w:pPr>
      <w:r>
        <w:separator/>
      </w:r>
    </w:p>
  </w:footnote>
  <w:footnote w:type="continuationSeparator" w:id="0">
    <w:p w14:paraId="0D5B466A" w14:textId="77777777" w:rsidR="000D6D61" w:rsidRDefault="000D6D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92F5B"/>
    <w:multiLevelType w:val="hybridMultilevel"/>
    <w:tmpl w:val="AD8422A0"/>
    <w:lvl w:ilvl="0" w:tplc="15A25C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0291"/>
    <w:multiLevelType w:val="multilevel"/>
    <w:tmpl w:val="36D702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3F4"/>
    <w:rsid w:val="00004165"/>
    <w:rsid w:val="00020C56"/>
    <w:rsid w:val="00024CC3"/>
    <w:rsid w:val="00026213"/>
    <w:rsid w:val="00026ACC"/>
    <w:rsid w:val="0003171D"/>
    <w:rsid w:val="00031C1D"/>
    <w:rsid w:val="00035C50"/>
    <w:rsid w:val="0004399A"/>
    <w:rsid w:val="000457A1"/>
    <w:rsid w:val="00050001"/>
    <w:rsid w:val="00051EAB"/>
    <w:rsid w:val="00052041"/>
    <w:rsid w:val="00053264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3C6F"/>
    <w:rsid w:val="000A3E79"/>
    <w:rsid w:val="000A4121"/>
    <w:rsid w:val="000A4AA3"/>
    <w:rsid w:val="000A550E"/>
    <w:rsid w:val="000B0960"/>
    <w:rsid w:val="000B1079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D6D61"/>
    <w:rsid w:val="000E11EF"/>
    <w:rsid w:val="000E537B"/>
    <w:rsid w:val="000E57D0"/>
    <w:rsid w:val="000E7858"/>
    <w:rsid w:val="000F3495"/>
    <w:rsid w:val="000F39CA"/>
    <w:rsid w:val="0010362B"/>
    <w:rsid w:val="00107927"/>
    <w:rsid w:val="00107931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2A39"/>
    <w:rsid w:val="00153528"/>
    <w:rsid w:val="00154E68"/>
    <w:rsid w:val="00162548"/>
    <w:rsid w:val="00165554"/>
    <w:rsid w:val="00172183"/>
    <w:rsid w:val="00172287"/>
    <w:rsid w:val="001751AB"/>
    <w:rsid w:val="00175508"/>
    <w:rsid w:val="00175A3F"/>
    <w:rsid w:val="00180E09"/>
    <w:rsid w:val="00182D36"/>
    <w:rsid w:val="00183D4C"/>
    <w:rsid w:val="00183F6D"/>
    <w:rsid w:val="0018670E"/>
    <w:rsid w:val="0019219A"/>
    <w:rsid w:val="00195077"/>
    <w:rsid w:val="001A033F"/>
    <w:rsid w:val="001A08AA"/>
    <w:rsid w:val="001A59CB"/>
    <w:rsid w:val="001B7991"/>
    <w:rsid w:val="001C1409"/>
    <w:rsid w:val="001C2AE6"/>
    <w:rsid w:val="001C4A89"/>
    <w:rsid w:val="001C6177"/>
    <w:rsid w:val="001D0363"/>
    <w:rsid w:val="001D12B4"/>
    <w:rsid w:val="001D1B07"/>
    <w:rsid w:val="001D5E37"/>
    <w:rsid w:val="001D67E4"/>
    <w:rsid w:val="001D7D94"/>
    <w:rsid w:val="001E0A28"/>
    <w:rsid w:val="001E4218"/>
    <w:rsid w:val="001E6C4D"/>
    <w:rsid w:val="001F0B20"/>
    <w:rsid w:val="001F5B48"/>
    <w:rsid w:val="00200315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4922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81A"/>
    <w:rsid w:val="00260EC7"/>
    <w:rsid w:val="00261539"/>
    <w:rsid w:val="0026179F"/>
    <w:rsid w:val="00263A71"/>
    <w:rsid w:val="002666AE"/>
    <w:rsid w:val="002701BA"/>
    <w:rsid w:val="00274E1A"/>
    <w:rsid w:val="00274E25"/>
    <w:rsid w:val="00276081"/>
    <w:rsid w:val="002775B1"/>
    <w:rsid w:val="002775B9"/>
    <w:rsid w:val="002811C4"/>
    <w:rsid w:val="00282213"/>
    <w:rsid w:val="00284016"/>
    <w:rsid w:val="002858BF"/>
    <w:rsid w:val="002921E4"/>
    <w:rsid w:val="002939AF"/>
    <w:rsid w:val="00294491"/>
    <w:rsid w:val="00294BDE"/>
    <w:rsid w:val="002A0681"/>
    <w:rsid w:val="002A0CED"/>
    <w:rsid w:val="002A1D94"/>
    <w:rsid w:val="002A4CD0"/>
    <w:rsid w:val="002A7DA6"/>
    <w:rsid w:val="002B516C"/>
    <w:rsid w:val="002B5E1D"/>
    <w:rsid w:val="002B60C1"/>
    <w:rsid w:val="002B7CBB"/>
    <w:rsid w:val="002C4B52"/>
    <w:rsid w:val="002D03E5"/>
    <w:rsid w:val="002D336D"/>
    <w:rsid w:val="002D33FF"/>
    <w:rsid w:val="002D36EB"/>
    <w:rsid w:val="002D3891"/>
    <w:rsid w:val="002D6BDF"/>
    <w:rsid w:val="002E2CE9"/>
    <w:rsid w:val="002E3BF7"/>
    <w:rsid w:val="002E403E"/>
    <w:rsid w:val="002E4C74"/>
    <w:rsid w:val="002E6B9D"/>
    <w:rsid w:val="002F158C"/>
    <w:rsid w:val="002F2CFD"/>
    <w:rsid w:val="002F4093"/>
    <w:rsid w:val="002F5636"/>
    <w:rsid w:val="003022A5"/>
    <w:rsid w:val="00307E51"/>
    <w:rsid w:val="00311363"/>
    <w:rsid w:val="00315867"/>
    <w:rsid w:val="003201A0"/>
    <w:rsid w:val="00321150"/>
    <w:rsid w:val="003260D7"/>
    <w:rsid w:val="0033052D"/>
    <w:rsid w:val="00336697"/>
    <w:rsid w:val="00336763"/>
    <w:rsid w:val="003418CB"/>
    <w:rsid w:val="00355873"/>
    <w:rsid w:val="0035660F"/>
    <w:rsid w:val="00356B8A"/>
    <w:rsid w:val="003628B9"/>
    <w:rsid w:val="00362D8F"/>
    <w:rsid w:val="00367724"/>
    <w:rsid w:val="003710BA"/>
    <w:rsid w:val="00371737"/>
    <w:rsid w:val="003770F6"/>
    <w:rsid w:val="00380220"/>
    <w:rsid w:val="00383E37"/>
    <w:rsid w:val="00393042"/>
    <w:rsid w:val="003948EE"/>
    <w:rsid w:val="00394AD5"/>
    <w:rsid w:val="003955F5"/>
    <w:rsid w:val="0039642D"/>
    <w:rsid w:val="00396AFE"/>
    <w:rsid w:val="003A2E40"/>
    <w:rsid w:val="003B0158"/>
    <w:rsid w:val="003B40B6"/>
    <w:rsid w:val="003B56DB"/>
    <w:rsid w:val="003B5F04"/>
    <w:rsid w:val="003B715E"/>
    <w:rsid w:val="003B755E"/>
    <w:rsid w:val="003C173E"/>
    <w:rsid w:val="003C228E"/>
    <w:rsid w:val="003C51E7"/>
    <w:rsid w:val="003C6893"/>
    <w:rsid w:val="003C6DE2"/>
    <w:rsid w:val="003D1EFD"/>
    <w:rsid w:val="003D28BF"/>
    <w:rsid w:val="003D4215"/>
    <w:rsid w:val="003D4C47"/>
    <w:rsid w:val="003D6F2C"/>
    <w:rsid w:val="003D7719"/>
    <w:rsid w:val="003E40EE"/>
    <w:rsid w:val="003F1C1B"/>
    <w:rsid w:val="003F3A2F"/>
    <w:rsid w:val="003F5584"/>
    <w:rsid w:val="00401144"/>
    <w:rsid w:val="00401F0F"/>
    <w:rsid w:val="004044B2"/>
    <w:rsid w:val="00404831"/>
    <w:rsid w:val="00407661"/>
    <w:rsid w:val="00410314"/>
    <w:rsid w:val="00411478"/>
    <w:rsid w:val="00412063"/>
    <w:rsid w:val="00412EB1"/>
    <w:rsid w:val="00413DDE"/>
    <w:rsid w:val="00414118"/>
    <w:rsid w:val="00416084"/>
    <w:rsid w:val="00416713"/>
    <w:rsid w:val="00423764"/>
    <w:rsid w:val="00424F8C"/>
    <w:rsid w:val="00426275"/>
    <w:rsid w:val="004271BA"/>
    <w:rsid w:val="00430497"/>
    <w:rsid w:val="00430EA5"/>
    <w:rsid w:val="00434DC1"/>
    <w:rsid w:val="004350F4"/>
    <w:rsid w:val="00436E98"/>
    <w:rsid w:val="004412A0"/>
    <w:rsid w:val="00442337"/>
    <w:rsid w:val="00446408"/>
    <w:rsid w:val="00450F27"/>
    <w:rsid w:val="004510E5"/>
    <w:rsid w:val="00456036"/>
    <w:rsid w:val="00456A75"/>
    <w:rsid w:val="00461E39"/>
    <w:rsid w:val="00462D3A"/>
    <w:rsid w:val="00463521"/>
    <w:rsid w:val="00470E78"/>
    <w:rsid w:val="00471125"/>
    <w:rsid w:val="0047437A"/>
    <w:rsid w:val="00477744"/>
    <w:rsid w:val="00480E42"/>
    <w:rsid w:val="00484C5D"/>
    <w:rsid w:val="0048543E"/>
    <w:rsid w:val="004868C1"/>
    <w:rsid w:val="0048750F"/>
    <w:rsid w:val="004A17E9"/>
    <w:rsid w:val="004A495F"/>
    <w:rsid w:val="004A7544"/>
    <w:rsid w:val="004B45F0"/>
    <w:rsid w:val="004B6B0F"/>
    <w:rsid w:val="004C2ED2"/>
    <w:rsid w:val="004C54E5"/>
    <w:rsid w:val="004C7DC8"/>
    <w:rsid w:val="004D21B0"/>
    <w:rsid w:val="004D334E"/>
    <w:rsid w:val="004D50AB"/>
    <w:rsid w:val="004D737D"/>
    <w:rsid w:val="004E186B"/>
    <w:rsid w:val="004E2659"/>
    <w:rsid w:val="004E39EE"/>
    <w:rsid w:val="004E475C"/>
    <w:rsid w:val="004E56E0"/>
    <w:rsid w:val="004E7329"/>
    <w:rsid w:val="004F1707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B25"/>
    <w:rsid w:val="00522F20"/>
    <w:rsid w:val="005278EB"/>
    <w:rsid w:val="005308DB"/>
    <w:rsid w:val="00530A2E"/>
    <w:rsid w:val="00530FBE"/>
    <w:rsid w:val="00531913"/>
    <w:rsid w:val="00533159"/>
    <w:rsid w:val="005339DB"/>
    <w:rsid w:val="00533D33"/>
    <w:rsid w:val="00534C89"/>
    <w:rsid w:val="00541573"/>
    <w:rsid w:val="0054348A"/>
    <w:rsid w:val="00563D3E"/>
    <w:rsid w:val="00564022"/>
    <w:rsid w:val="00565054"/>
    <w:rsid w:val="0056733D"/>
    <w:rsid w:val="00571777"/>
    <w:rsid w:val="0057197F"/>
    <w:rsid w:val="00580FF5"/>
    <w:rsid w:val="005816AB"/>
    <w:rsid w:val="0058519C"/>
    <w:rsid w:val="005876D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E4E28"/>
    <w:rsid w:val="005F2145"/>
    <w:rsid w:val="006016E1"/>
    <w:rsid w:val="00602D27"/>
    <w:rsid w:val="006069E1"/>
    <w:rsid w:val="00610546"/>
    <w:rsid w:val="006144A1"/>
    <w:rsid w:val="00615EBB"/>
    <w:rsid w:val="00616096"/>
    <w:rsid w:val="006160A2"/>
    <w:rsid w:val="006202A2"/>
    <w:rsid w:val="00623CE8"/>
    <w:rsid w:val="006302AA"/>
    <w:rsid w:val="006363BD"/>
    <w:rsid w:val="00640B55"/>
    <w:rsid w:val="006412DC"/>
    <w:rsid w:val="006418C7"/>
    <w:rsid w:val="00642BC6"/>
    <w:rsid w:val="00644790"/>
    <w:rsid w:val="006501AF"/>
    <w:rsid w:val="00650DDE"/>
    <w:rsid w:val="0065236E"/>
    <w:rsid w:val="00652F32"/>
    <w:rsid w:val="00653BCF"/>
    <w:rsid w:val="0065505B"/>
    <w:rsid w:val="006670AC"/>
    <w:rsid w:val="00672307"/>
    <w:rsid w:val="006754D3"/>
    <w:rsid w:val="006773C8"/>
    <w:rsid w:val="006808C6"/>
    <w:rsid w:val="00682668"/>
    <w:rsid w:val="00692A68"/>
    <w:rsid w:val="00692A71"/>
    <w:rsid w:val="00692FF8"/>
    <w:rsid w:val="00695D85"/>
    <w:rsid w:val="00697C74"/>
    <w:rsid w:val="006A30A2"/>
    <w:rsid w:val="006A5172"/>
    <w:rsid w:val="006A6D23"/>
    <w:rsid w:val="006B25DE"/>
    <w:rsid w:val="006C1C3B"/>
    <w:rsid w:val="006C4E43"/>
    <w:rsid w:val="006C643E"/>
    <w:rsid w:val="006C7070"/>
    <w:rsid w:val="006D2887"/>
    <w:rsid w:val="006D2932"/>
    <w:rsid w:val="006D3671"/>
    <w:rsid w:val="006D4176"/>
    <w:rsid w:val="006D71B9"/>
    <w:rsid w:val="006D7B2E"/>
    <w:rsid w:val="006E0A73"/>
    <w:rsid w:val="006E0FEE"/>
    <w:rsid w:val="006E6C11"/>
    <w:rsid w:val="006F385E"/>
    <w:rsid w:val="006F7C0C"/>
    <w:rsid w:val="00700755"/>
    <w:rsid w:val="00702A91"/>
    <w:rsid w:val="0070646B"/>
    <w:rsid w:val="00712A45"/>
    <w:rsid w:val="007130A2"/>
    <w:rsid w:val="00714716"/>
    <w:rsid w:val="00715463"/>
    <w:rsid w:val="007212B0"/>
    <w:rsid w:val="007245C3"/>
    <w:rsid w:val="00727BCB"/>
    <w:rsid w:val="00730655"/>
    <w:rsid w:val="00731D77"/>
    <w:rsid w:val="00732360"/>
    <w:rsid w:val="0073390A"/>
    <w:rsid w:val="007347F5"/>
    <w:rsid w:val="00734E64"/>
    <w:rsid w:val="007369B6"/>
    <w:rsid w:val="00736B37"/>
    <w:rsid w:val="00740A35"/>
    <w:rsid w:val="00751E88"/>
    <w:rsid w:val="007520B4"/>
    <w:rsid w:val="00762C32"/>
    <w:rsid w:val="007655D5"/>
    <w:rsid w:val="007763C1"/>
    <w:rsid w:val="00777E82"/>
    <w:rsid w:val="00781359"/>
    <w:rsid w:val="00786921"/>
    <w:rsid w:val="00796525"/>
    <w:rsid w:val="007A1EAA"/>
    <w:rsid w:val="007A2F0F"/>
    <w:rsid w:val="007A79FD"/>
    <w:rsid w:val="007B0ABE"/>
    <w:rsid w:val="007B0B9D"/>
    <w:rsid w:val="007B26E3"/>
    <w:rsid w:val="007B55DA"/>
    <w:rsid w:val="007B5A43"/>
    <w:rsid w:val="007B709B"/>
    <w:rsid w:val="007C1343"/>
    <w:rsid w:val="007C5775"/>
    <w:rsid w:val="007C5EF1"/>
    <w:rsid w:val="007C7BF5"/>
    <w:rsid w:val="007D19B7"/>
    <w:rsid w:val="007D1A95"/>
    <w:rsid w:val="007D57CA"/>
    <w:rsid w:val="007D64DB"/>
    <w:rsid w:val="007D75E5"/>
    <w:rsid w:val="007D773E"/>
    <w:rsid w:val="007E066E"/>
    <w:rsid w:val="007E1356"/>
    <w:rsid w:val="007E20FC"/>
    <w:rsid w:val="007E7062"/>
    <w:rsid w:val="007F0E1E"/>
    <w:rsid w:val="007F13F1"/>
    <w:rsid w:val="007F29A7"/>
    <w:rsid w:val="007F465F"/>
    <w:rsid w:val="008004B4"/>
    <w:rsid w:val="00800ADA"/>
    <w:rsid w:val="0080111A"/>
    <w:rsid w:val="00805BE8"/>
    <w:rsid w:val="00816078"/>
    <w:rsid w:val="008177E3"/>
    <w:rsid w:val="008223DC"/>
    <w:rsid w:val="00823AA9"/>
    <w:rsid w:val="008255B9"/>
    <w:rsid w:val="00825CD8"/>
    <w:rsid w:val="00827324"/>
    <w:rsid w:val="008355EA"/>
    <w:rsid w:val="00837458"/>
    <w:rsid w:val="00837AAE"/>
    <w:rsid w:val="008421C9"/>
    <w:rsid w:val="008429AD"/>
    <w:rsid w:val="008429DB"/>
    <w:rsid w:val="00847319"/>
    <w:rsid w:val="008507DB"/>
    <w:rsid w:val="00850C75"/>
    <w:rsid w:val="00850E39"/>
    <w:rsid w:val="0085477A"/>
    <w:rsid w:val="00855107"/>
    <w:rsid w:val="00855173"/>
    <w:rsid w:val="008557D9"/>
    <w:rsid w:val="00855BF7"/>
    <w:rsid w:val="00856214"/>
    <w:rsid w:val="0085621C"/>
    <w:rsid w:val="00862089"/>
    <w:rsid w:val="00866250"/>
    <w:rsid w:val="00866D5B"/>
    <w:rsid w:val="00866FF5"/>
    <w:rsid w:val="0087332D"/>
    <w:rsid w:val="00873E1F"/>
    <w:rsid w:val="00874C16"/>
    <w:rsid w:val="00886D1F"/>
    <w:rsid w:val="00891EE1"/>
    <w:rsid w:val="00892E55"/>
    <w:rsid w:val="0089339A"/>
    <w:rsid w:val="00893987"/>
    <w:rsid w:val="008963EF"/>
    <w:rsid w:val="0089688E"/>
    <w:rsid w:val="008A1FBE"/>
    <w:rsid w:val="008B126D"/>
    <w:rsid w:val="008B3194"/>
    <w:rsid w:val="008B5AE7"/>
    <w:rsid w:val="008B701A"/>
    <w:rsid w:val="008C60E9"/>
    <w:rsid w:val="008C7F1A"/>
    <w:rsid w:val="008D1B7C"/>
    <w:rsid w:val="008D6657"/>
    <w:rsid w:val="008E1F60"/>
    <w:rsid w:val="008E307E"/>
    <w:rsid w:val="008E4133"/>
    <w:rsid w:val="008F4DD1"/>
    <w:rsid w:val="008F6056"/>
    <w:rsid w:val="00901A14"/>
    <w:rsid w:val="009028B5"/>
    <w:rsid w:val="00902C07"/>
    <w:rsid w:val="00905804"/>
    <w:rsid w:val="009101E2"/>
    <w:rsid w:val="00915D73"/>
    <w:rsid w:val="00916077"/>
    <w:rsid w:val="009164B0"/>
    <w:rsid w:val="00916C70"/>
    <w:rsid w:val="009170A2"/>
    <w:rsid w:val="009208A6"/>
    <w:rsid w:val="00920B2D"/>
    <w:rsid w:val="00924514"/>
    <w:rsid w:val="00927316"/>
    <w:rsid w:val="009305AC"/>
    <w:rsid w:val="0093133D"/>
    <w:rsid w:val="009317D4"/>
    <w:rsid w:val="0093276D"/>
    <w:rsid w:val="00933D12"/>
    <w:rsid w:val="0093492B"/>
    <w:rsid w:val="00937065"/>
    <w:rsid w:val="00940285"/>
    <w:rsid w:val="009415B0"/>
    <w:rsid w:val="0094347D"/>
    <w:rsid w:val="00947E7E"/>
    <w:rsid w:val="0095139A"/>
    <w:rsid w:val="00953E16"/>
    <w:rsid w:val="009542AC"/>
    <w:rsid w:val="00955DF5"/>
    <w:rsid w:val="009576F9"/>
    <w:rsid w:val="00961BB2"/>
    <w:rsid w:val="00962108"/>
    <w:rsid w:val="009638D6"/>
    <w:rsid w:val="009739CE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B61B4"/>
    <w:rsid w:val="009C0727"/>
    <w:rsid w:val="009C3C80"/>
    <w:rsid w:val="009C492F"/>
    <w:rsid w:val="009D2A49"/>
    <w:rsid w:val="009D2FF2"/>
    <w:rsid w:val="009D3226"/>
    <w:rsid w:val="009D3385"/>
    <w:rsid w:val="009D3857"/>
    <w:rsid w:val="009D793C"/>
    <w:rsid w:val="009E16A9"/>
    <w:rsid w:val="009E375F"/>
    <w:rsid w:val="009E39D4"/>
    <w:rsid w:val="009E433B"/>
    <w:rsid w:val="009E5401"/>
    <w:rsid w:val="009F30F1"/>
    <w:rsid w:val="00A04188"/>
    <w:rsid w:val="00A0758F"/>
    <w:rsid w:val="00A1570A"/>
    <w:rsid w:val="00A17149"/>
    <w:rsid w:val="00A17866"/>
    <w:rsid w:val="00A17B86"/>
    <w:rsid w:val="00A211B4"/>
    <w:rsid w:val="00A222C3"/>
    <w:rsid w:val="00A223CF"/>
    <w:rsid w:val="00A26D78"/>
    <w:rsid w:val="00A33DDF"/>
    <w:rsid w:val="00A344BF"/>
    <w:rsid w:val="00A34547"/>
    <w:rsid w:val="00A376B7"/>
    <w:rsid w:val="00A37A02"/>
    <w:rsid w:val="00A41BF5"/>
    <w:rsid w:val="00A44778"/>
    <w:rsid w:val="00A469E7"/>
    <w:rsid w:val="00A604A4"/>
    <w:rsid w:val="00A61B7D"/>
    <w:rsid w:val="00A6605B"/>
    <w:rsid w:val="00A66ADC"/>
    <w:rsid w:val="00A7147D"/>
    <w:rsid w:val="00A751E6"/>
    <w:rsid w:val="00A81B15"/>
    <w:rsid w:val="00A837FF"/>
    <w:rsid w:val="00A84052"/>
    <w:rsid w:val="00A84DC8"/>
    <w:rsid w:val="00A85DBC"/>
    <w:rsid w:val="00A87FEB"/>
    <w:rsid w:val="00A934EA"/>
    <w:rsid w:val="00A93F9F"/>
    <w:rsid w:val="00A9420E"/>
    <w:rsid w:val="00A97648"/>
    <w:rsid w:val="00AA1CFD"/>
    <w:rsid w:val="00AA2239"/>
    <w:rsid w:val="00AA33D2"/>
    <w:rsid w:val="00AB0C57"/>
    <w:rsid w:val="00AB1195"/>
    <w:rsid w:val="00AB2AAF"/>
    <w:rsid w:val="00AB4182"/>
    <w:rsid w:val="00AC27DB"/>
    <w:rsid w:val="00AC655D"/>
    <w:rsid w:val="00AC6D6B"/>
    <w:rsid w:val="00AD7736"/>
    <w:rsid w:val="00AE10CE"/>
    <w:rsid w:val="00AE70D4"/>
    <w:rsid w:val="00AE7868"/>
    <w:rsid w:val="00AF000E"/>
    <w:rsid w:val="00AF0407"/>
    <w:rsid w:val="00AF049B"/>
    <w:rsid w:val="00AF4D8B"/>
    <w:rsid w:val="00B03216"/>
    <w:rsid w:val="00B04108"/>
    <w:rsid w:val="00B067CA"/>
    <w:rsid w:val="00B12B26"/>
    <w:rsid w:val="00B159B4"/>
    <w:rsid w:val="00B163F8"/>
    <w:rsid w:val="00B2472D"/>
    <w:rsid w:val="00B2476B"/>
    <w:rsid w:val="00B24CA0"/>
    <w:rsid w:val="00B2549F"/>
    <w:rsid w:val="00B4108D"/>
    <w:rsid w:val="00B57265"/>
    <w:rsid w:val="00B633AE"/>
    <w:rsid w:val="00B63429"/>
    <w:rsid w:val="00B637EB"/>
    <w:rsid w:val="00B65271"/>
    <w:rsid w:val="00B665D2"/>
    <w:rsid w:val="00B6737C"/>
    <w:rsid w:val="00B71B51"/>
    <w:rsid w:val="00B7214D"/>
    <w:rsid w:val="00B74372"/>
    <w:rsid w:val="00B75525"/>
    <w:rsid w:val="00B75A69"/>
    <w:rsid w:val="00B80283"/>
    <w:rsid w:val="00B8095F"/>
    <w:rsid w:val="00B80B0C"/>
    <w:rsid w:val="00B80B11"/>
    <w:rsid w:val="00B831AE"/>
    <w:rsid w:val="00B8446C"/>
    <w:rsid w:val="00B8680F"/>
    <w:rsid w:val="00B86D82"/>
    <w:rsid w:val="00B87725"/>
    <w:rsid w:val="00B94DC3"/>
    <w:rsid w:val="00BA259A"/>
    <w:rsid w:val="00BA259C"/>
    <w:rsid w:val="00BA29D3"/>
    <w:rsid w:val="00BA307F"/>
    <w:rsid w:val="00BA5280"/>
    <w:rsid w:val="00BA7ED1"/>
    <w:rsid w:val="00BB14F1"/>
    <w:rsid w:val="00BB572E"/>
    <w:rsid w:val="00BB64C0"/>
    <w:rsid w:val="00BB74FD"/>
    <w:rsid w:val="00BC5982"/>
    <w:rsid w:val="00BC60BF"/>
    <w:rsid w:val="00BD28BF"/>
    <w:rsid w:val="00BD2D12"/>
    <w:rsid w:val="00BD6404"/>
    <w:rsid w:val="00BE33AE"/>
    <w:rsid w:val="00BE5A9D"/>
    <w:rsid w:val="00BF03C4"/>
    <w:rsid w:val="00BF046F"/>
    <w:rsid w:val="00C01D50"/>
    <w:rsid w:val="00C056DC"/>
    <w:rsid w:val="00C129BD"/>
    <w:rsid w:val="00C1329B"/>
    <w:rsid w:val="00C14229"/>
    <w:rsid w:val="00C1572F"/>
    <w:rsid w:val="00C24C05"/>
    <w:rsid w:val="00C24D2F"/>
    <w:rsid w:val="00C2591E"/>
    <w:rsid w:val="00C26222"/>
    <w:rsid w:val="00C31283"/>
    <w:rsid w:val="00C33C48"/>
    <w:rsid w:val="00C340E5"/>
    <w:rsid w:val="00C35AA7"/>
    <w:rsid w:val="00C404C3"/>
    <w:rsid w:val="00C4066F"/>
    <w:rsid w:val="00C42D40"/>
    <w:rsid w:val="00C43BA1"/>
    <w:rsid w:val="00C43DAB"/>
    <w:rsid w:val="00C47F08"/>
    <w:rsid w:val="00C514A6"/>
    <w:rsid w:val="00C56E73"/>
    <w:rsid w:val="00C5739F"/>
    <w:rsid w:val="00C57CF0"/>
    <w:rsid w:val="00C63557"/>
    <w:rsid w:val="00C649BD"/>
    <w:rsid w:val="00C65891"/>
    <w:rsid w:val="00C66AC9"/>
    <w:rsid w:val="00C724D3"/>
    <w:rsid w:val="00C72951"/>
    <w:rsid w:val="00C74304"/>
    <w:rsid w:val="00C77DD9"/>
    <w:rsid w:val="00C8339D"/>
    <w:rsid w:val="00C83BE6"/>
    <w:rsid w:val="00C85354"/>
    <w:rsid w:val="00C86ABA"/>
    <w:rsid w:val="00C87A55"/>
    <w:rsid w:val="00C943F3"/>
    <w:rsid w:val="00C95EAE"/>
    <w:rsid w:val="00CA08C6"/>
    <w:rsid w:val="00CA0A77"/>
    <w:rsid w:val="00CA2729"/>
    <w:rsid w:val="00CA2D15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29DF"/>
    <w:rsid w:val="00CD307E"/>
    <w:rsid w:val="00CD629F"/>
    <w:rsid w:val="00CD6A1B"/>
    <w:rsid w:val="00CE02A3"/>
    <w:rsid w:val="00CE0A7F"/>
    <w:rsid w:val="00CE1718"/>
    <w:rsid w:val="00CF4156"/>
    <w:rsid w:val="00D0036C"/>
    <w:rsid w:val="00D03D00"/>
    <w:rsid w:val="00D05C30"/>
    <w:rsid w:val="00D10052"/>
    <w:rsid w:val="00D11359"/>
    <w:rsid w:val="00D315CE"/>
    <w:rsid w:val="00D3188C"/>
    <w:rsid w:val="00D35F9B"/>
    <w:rsid w:val="00D36B69"/>
    <w:rsid w:val="00D404E0"/>
    <w:rsid w:val="00D408DD"/>
    <w:rsid w:val="00D40E91"/>
    <w:rsid w:val="00D431AE"/>
    <w:rsid w:val="00D45D72"/>
    <w:rsid w:val="00D520E4"/>
    <w:rsid w:val="00D53A38"/>
    <w:rsid w:val="00D575DD"/>
    <w:rsid w:val="00D57DFA"/>
    <w:rsid w:val="00D6334F"/>
    <w:rsid w:val="00D65665"/>
    <w:rsid w:val="00D67FCF"/>
    <w:rsid w:val="00D709CE"/>
    <w:rsid w:val="00D71F73"/>
    <w:rsid w:val="00D80786"/>
    <w:rsid w:val="00D81CAB"/>
    <w:rsid w:val="00D8576F"/>
    <w:rsid w:val="00D8677F"/>
    <w:rsid w:val="00D867E1"/>
    <w:rsid w:val="00D9232A"/>
    <w:rsid w:val="00D968D3"/>
    <w:rsid w:val="00D97F0C"/>
    <w:rsid w:val="00DA3A86"/>
    <w:rsid w:val="00DA6C10"/>
    <w:rsid w:val="00DC2500"/>
    <w:rsid w:val="00DC4F72"/>
    <w:rsid w:val="00DC77DC"/>
    <w:rsid w:val="00DD0453"/>
    <w:rsid w:val="00DD0C2C"/>
    <w:rsid w:val="00DD19DE"/>
    <w:rsid w:val="00DD28BC"/>
    <w:rsid w:val="00DD48DB"/>
    <w:rsid w:val="00DE31F0"/>
    <w:rsid w:val="00DE3D1C"/>
    <w:rsid w:val="00DF2000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2249"/>
    <w:rsid w:val="00E33CD2"/>
    <w:rsid w:val="00E40E90"/>
    <w:rsid w:val="00E43E51"/>
    <w:rsid w:val="00E45C7E"/>
    <w:rsid w:val="00E531EB"/>
    <w:rsid w:val="00E5466A"/>
    <w:rsid w:val="00E54874"/>
    <w:rsid w:val="00E54B6F"/>
    <w:rsid w:val="00E55ACA"/>
    <w:rsid w:val="00E57B74"/>
    <w:rsid w:val="00E62E66"/>
    <w:rsid w:val="00E65BC6"/>
    <w:rsid w:val="00E661FF"/>
    <w:rsid w:val="00E726EB"/>
    <w:rsid w:val="00E72CF1"/>
    <w:rsid w:val="00E80B52"/>
    <w:rsid w:val="00E81A90"/>
    <w:rsid w:val="00E824C3"/>
    <w:rsid w:val="00E840B3"/>
    <w:rsid w:val="00E84D10"/>
    <w:rsid w:val="00E85DFB"/>
    <w:rsid w:val="00E8629F"/>
    <w:rsid w:val="00E91008"/>
    <w:rsid w:val="00E9374E"/>
    <w:rsid w:val="00E94F54"/>
    <w:rsid w:val="00E97AD5"/>
    <w:rsid w:val="00EA1111"/>
    <w:rsid w:val="00EA253B"/>
    <w:rsid w:val="00EA3B4F"/>
    <w:rsid w:val="00EA3C24"/>
    <w:rsid w:val="00EA3F86"/>
    <w:rsid w:val="00EA73DF"/>
    <w:rsid w:val="00EB3571"/>
    <w:rsid w:val="00EB48BF"/>
    <w:rsid w:val="00EB61AE"/>
    <w:rsid w:val="00EC2DF4"/>
    <w:rsid w:val="00EC322D"/>
    <w:rsid w:val="00EC72DC"/>
    <w:rsid w:val="00ED383A"/>
    <w:rsid w:val="00EE1080"/>
    <w:rsid w:val="00EF0778"/>
    <w:rsid w:val="00EF1EC5"/>
    <w:rsid w:val="00EF327F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0FEA"/>
    <w:rsid w:val="00F21139"/>
    <w:rsid w:val="00F24B8B"/>
    <w:rsid w:val="00F26A3E"/>
    <w:rsid w:val="00F27123"/>
    <w:rsid w:val="00F27617"/>
    <w:rsid w:val="00F30D2E"/>
    <w:rsid w:val="00F35516"/>
    <w:rsid w:val="00F35790"/>
    <w:rsid w:val="00F3705B"/>
    <w:rsid w:val="00F4136D"/>
    <w:rsid w:val="00F4212E"/>
    <w:rsid w:val="00F42C20"/>
    <w:rsid w:val="00F43E34"/>
    <w:rsid w:val="00F514E8"/>
    <w:rsid w:val="00F53053"/>
    <w:rsid w:val="00F53FE2"/>
    <w:rsid w:val="00F55996"/>
    <w:rsid w:val="00F575FF"/>
    <w:rsid w:val="00F57908"/>
    <w:rsid w:val="00F618EF"/>
    <w:rsid w:val="00F65582"/>
    <w:rsid w:val="00F66E75"/>
    <w:rsid w:val="00F77EB0"/>
    <w:rsid w:val="00F83A36"/>
    <w:rsid w:val="00F87CDD"/>
    <w:rsid w:val="00F90425"/>
    <w:rsid w:val="00F933F0"/>
    <w:rsid w:val="00F937A3"/>
    <w:rsid w:val="00F9443D"/>
    <w:rsid w:val="00F94715"/>
    <w:rsid w:val="00F96A3D"/>
    <w:rsid w:val="00FA176F"/>
    <w:rsid w:val="00FA28CC"/>
    <w:rsid w:val="00FA4718"/>
    <w:rsid w:val="00FA5848"/>
    <w:rsid w:val="00FA6899"/>
    <w:rsid w:val="00FA7F3D"/>
    <w:rsid w:val="00FB38D8"/>
    <w:rsid w:val="00FC051F"/>
    <w:rsid w:val="00FC06FF"/>
    <w:rsid w:val="00FC45F4"/>
    <w:rsid w:val="00FC4D0D"/>
    <w:rsid w:val="00FC69B4"/>
    <w:rsid w:val="00FD0694"/>
    <w:rsid w:val="00FD25BE"/>
    <w:rsid w:val="00FD2E70"/>
    <w:rsid w:val="00FD6BC0"/>
    <w:rsid w:val="00FD7AA7"/>
    <w:rsid w:val="00FE247A"/>
    <w:rsid w:val="00FF1FCB"/>
    <w:rsid w:val="00FF52D4"/>
    <w:rsid w:val="00FF6985"/>
    <w:rsid w:val="00FF6AA4"/>
    <w:rsid w:val="00FF6B09"/>
    <w:rsid w:val="41F70B2B"/>
    <w:rsid w:val="68EE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6F14F"/>
  <w15:docId w15:val="{ED46F785-6962-4A02-B893-AE6AB8B2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2" w:uiPriority="99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</w:pPr>
    <w:rPr>
      <w:b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1_RL1/TSGR1_114b/Docs/R1-2309155.zip" TargetMode="External"/><Relationship Id="rId18" Type="http://schemas.openxmlformats.org/officeDocument/2006/relationships/image" Target="media/image2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4b/Docs/R1-2308904.zip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1_RL1/TSGR1_114b/Docs/R1-2310167.zip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tk27984\AppData\Local\Temp\Docs\R1-2306083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1_RL1/TSGR1_114b/Docs/R1-2309985.zip" TargetMode="External"/><Relationship Id="rId10" Type="http://schemas.openxmlformats.org/officeDocument/2006/relationships/hyperlink" Target="file:///C:\MyMeetings\TSGR1_112b-e\Docs\R1-2304123.zip" TargetMode="External"/><Relationship Id="rId19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hyperlink" Target="file:///C:\MyMeetings\TSGR1_112b-e\Docs\R1-2304118.zip" TargetMode="External"/><Relationship Id="rId14" Type="http://schemas.openxmlformats.org/officeDocument/2006/relationships/hyperlink" Target="https://www.3gpp.org/ftp/TSG_RAN/WG1_RL1/TSGR1_114b/Docs/R1-230960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BE0F4-057A-45E5-A3D1-65C0B50E4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MediaTek Inc1.</cp:lastModifiedBy>
  <cp:revision>3</cp:revision>
  <cp:lastPrinted>2019-04-25T01:09:00Z</cp:lastPrinted>
  <dcterms:created xsi:type="dcterms:W3CDTF">2023-10-11T08:21:00Z</dcterms:created>
  <dcterms:modified xsi:type="dcterms:W3CDTF">2023-10-11T08:22:00Z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2023-02-21T02:10:19Z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eebe51b9-a324-4ae2-b5bd-c6e5fd8d93f0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1692794648</vt:lpwstr>
  </property>
  <property fmtid="{D5CDD505-2E9C-101B-9397-08002B2CF9AE}" pid="23" name="KSOProductBuildVer">
    <vt:lpwstr>2052-11.8.2.12085</vt:lpwstr>
  </property>
  <property fmtid="{D5CDD505-2E9C-101B-9397-08002B2CF9AE}" pid="24" name="ICV">
    <vt:lpwstr>5B3D270F01554BEDB5D554616937BE35</vt:lpwstr>
  </property>
</Properties>
</file>