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C656C" w14:textId="0340D82E" w:rsidR="000408DD" w:rsidRPr="002A5199" w:rsidRDefault="000408DD" w:rsidP="000408DD">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Pr>
          <w:rFonts w:cs="Arial"/>
          <w:noProof w:val="0"/>
          <w:sz w:val="28"/>
          <w:szCs w:val="28"/>
          <w:lang w:val="en-US"/>
        </w:rPr>
        <w:t>4bis</w:t>
      </w:r>
      <w:r w:rsidRPr="00D91FF7">
        <w:rPr>
          <w:rFonts w:cs="Arial"/>
          <w:noProof w:val="0"/>
          <w:sz w:val="28"/>
          <w:szCs w:val="28"/>
          <w:lang w:val="en-US"/>
        </w:rPr>
        <w:tab/>
      </w:r>
      <w:r w:rsidRPr="006937A3">
        <w:rPr>
          <w:rFonts w:cs="Arial"/>
          <w:noProof w:val="0"/>
          <w:sz w:val="28"/>
          <w:szCs w:val="28"/>
          <w:lang w:val="en-US"/>
        </w:rPr>
        <w:t>R1-2</w:t>
      </w:r>
      <w:r w:rsidRPr="006937A3">
        <w:rPr>
          <w:rFonts w:cs="Arial" w:hint="eastAsia"/>
          <w:noProof w:val="0"/>
          <w:sz w:val="28"/>
          <w:szCs w:val="28"/>
          <w:lang w:val="en-US"/>
        </w:rPr>
        <w:t>3</w:t>
      </w:r>
      <w:r w:rsidR="00146F4E" w:rsidRPr="006937A3">
        <w:rPr>
          <w:rFonts w:cs="Arial"/>
          <w:noProof w:val="0"/>
          <w:sz w:val="28"/>
          <w:szCs w:val="28"/>
          <w:lang w:val="en-US"/>
        </w:rPr>
        <w:t>10068</w:t>
      </w:r>
    </w:p>
    <w:bookmarkEnd w:id="0"/>
    <w:p w14:paraId="4CD22CCC" w14:textId="67C7EFE6" w:rsidR="00E50E05" w:rsidRPr="000408DD" w:rsidRDefault="000408DD" w:rsidP="00E50E05">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Xiamen</w:t>
      </w:r>
      <w:r w:rsidRPr="002A519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China</w:t>
      </w:r>
      <w:r w:rsidRPr="002A519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October 9th</w:t>
      </w:r>
      <w:r w:rsidRPr="002A5199">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13</w:t>
      </w:r>
      <w:r w:rsidRPr="002A5199">
        <w:rPr>
          <w:rFonts w:asciiTheme="majorHAnsi" w:eastAsia="SimSun" w:hAnsiTheme="majorHAnsi" w:cstheme="majorHAnsi"/>
          <w:sz w:val="28"/>
          <w:szCs w:val="28"/>
          <w:lang w:val="en-US" w:eastAsia="zh-CN"/>
        </w:rPr>
        <w:t>th, 2023</w:t>
      </w:r>
    </w:p>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616D6FC7"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6937A3">
        <w:rPr>
          <w:rFonts w:ascii="Arial" w:hAnsi="Arial" w:cs="Arial"/>
          <w:b/>
          <w:sz w:val="28"/>
          <w:szCs w:val="28"/>
          <w:lang w:val="en-US"/>
        </w:rPr>
        <w:t xml:space="preserve">Maintenance </w:t>
      </w:r>
      <w:r w:rsidR="00914232">
        <w:rPr>
          <w:rFonts w:ascii="Arial" w:hAnsi="Arial" w:cs="Arial"/>
          <w:b/>
          <w:sz w:val="28"/>
          <w:szCs w:val="28"/>
          <w:lang w:val="en-US"/>
        </w:rPr>
        <w:t>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3481EF2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602FC5">
        <w:rPr>
          <w:rFonts w:ascii="Arial" w:eastAsiaTheme="minorEastAsia" w:hAnsi="Arial" w:cs="Arial"/>
          <w:b/>
          <w:sz w:val="28"/>
          <w:szCs w:val="28"/>
          <w:lang w:val="pt-BR"/>
        </w:rPr>
        <w:t>8</w:t>
      </w:r>
      <w:r w:rsidR="001E0623">
        <w:rPr>
          <w:rFonts w:ascii="Arial" w:eastAsiaTheme="minorEastAsia" w:hAnsi="Arial" w:cs="Arial"/>
          <w:b/>
          <w:sz w:val="28"/>
          <w:szCs w:val="28"/>
          <w:lang w:val="pt-BR"/>
        </w:rPr>
        <w:t>.1.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0F84F9A6" w14:textId="0BFAE4EB" w:rsidR="00586EB1" w:rsidRDefault="00586EB1" w:rsidP="00586EB1">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27D63AC4" w14:textId="77777777" w:rsidR="00586EB1" w:rsidRDefault="00586EB1" w:rsidP="00586EB1">
      <w:pPr>
        <w:pStyle w:val="af1"/>
        <w:spacing w:before="60"/>
        <w:rPr>
          <w:noProof/>
        </w:rPr>
      </w:pPr>
      <w:r>
        <w:rPr>
          <w:noProof/>
          <w:lang w:eastAsia="ja-JP"/>
        </w:rPr>
        <mc:AlternateContent>
          <mc:Choice Requires="wps">
            <w:drawing>
              <wp:inline distT="0" distB="0" distL="0" distR="0" wp14:anchorId="6099377C" wp14:editId="4C6084B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1105F5A8" w14:textId="77777777" w:rsidR="00E84179" w:rsidRPr="00586EB1" w:rsidRDefault="00E84179"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E84179" w:rsidRPr="00586EB1" w:rsidRDefault="00E84179"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E84179" w:rsidRPr="00586EB1" w:rsidRDefault="00E84179"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6099377C"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1105F5A8" w14:textId="77777777" w:rsidR="00E84179" w:rsidRPr="00586EB1" w:rsidRDefault="00E84179"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E84179" w:rsidRPr="00586EB1" w:rsidRDefault="00E84179"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E84179" w:rsidRPr="00586EB1" w:rsidRDefault="00E84179"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0188D0D" w14:textId="7FB67F7D" w:rsidR="00586EB1" w:rsidRPr="001816CC" w:rsidRDefault="00586EB1" w:rsidP="00586EB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UL multi-panel transmission.</w:t>
      </w:r>
      <w:r w:rsidR="001816CC">
        <w:rPr>
          <w:rFonts w:eastAsia="ＭＳ ゴシック"/>
          <w:sz w:val="24"/>
          <w:lang w:val="en-GB" w:eastAsia="ja-JP"/>
        </w:rPr>
        <w:br/>
      </w:r>
    </w:p>
    <w:p w14:paraId="5E79CCEC" w14:textId="77777777" w:rsidR="00F55536" w:rsidRDefault="00D76DC2" w:rsidP="00FC4C50">
      <w:pPr>
        <w:pStyle w:val="10"/>
        <w:spacing w:after="180"/>
      </w:pPr>
      <w:r>
        <w:t>D</w:t>
      </w:r>
      <w:r w:rsidR="00D17E22">
        <w:t>iscussion</w:t>
      </w:r>
      <w:r w:rsidR="00FC4C50">
        <w:t>s</w:t>
      </w:r>
    </w:p>
    <w:p w14:paraId="1B4EC2D2" w14:textId="45350BCF" w:rsidR="00F55536" w:rsidRPr="00F55536" w:rsidRDefault="00B54E47" w:rsidP="00F55536">
      <w:pPr>
        <w:pStyle w:val="10"/>
        <w:numPr>
          <w:ilvl w:val="1"/>
          <w:numId w:val="1"/>
        </w:numPr>
        <w:spacing w:after="180"/>
      </w:pPr>
      <w:r>
        <w:t xml:space="preserve">Codebook </w:t>
      </w:r>
      <w:r w:rsidR="006C5A90" w:rsidRPr="006C5A90">
        <w:t>for single-DCI based STxMP SFN</w:t>
      </w:r>
    </w:p>
    <w:p w14:paraId="06A029CC" w14:textId="7016D85D" w:rsidR="00541C3C" w:rsidRPr="00541C3C" w:rsidRDefault="002663BE" w:rsidP="00541C3C">
      <w:r>
        <w:rPr>
          <w:rFonts w:hint="eastAsia"/>
        </w:rPr>
        <w:t xml:space="preserve">For </w:t>
      </w:r>
      <w:r w:rsidR="00B54E47">
        <w:t xml:space="preserve">maximal numebr of layers of </w:t>
      </w:r>
      <w:r w:rsidR="0009651D">
        <w:rPr>
          <w:lang w:val="en-CA"/>
        </w:rPr>
        <w:t>single</w:t>
      </w:r>
      <w:r w:rsidR="00B54E47">
        <w:rPr>
          <w:lang w:val="en-CA"/>
        </w:rPr>
        <w:t>-</w:t>
      </w:r>
      <w:r w:rsidR="00CB282B">
        <w:rPr>
          <w:lang w:val="en-CA"/>
        </w:rPr>
        <w:t xml:space="preserve">DCI based </w:t>
      </w:r>
      <w:r w:rsidR="00CF2856">
        <w:rPr>
          <w:lang w:val="en-CA" w:eastAsia="zh-CN"/>
        </w:rPr>
        <w:t>SFN scheme</w:t>
      </w:r>
      <w:r>
        <w:rPr>
          <w:lang w:val="en-CA" w:eastAsia="zh-CN"/>
        </w:rPr>
        <w:t>, the following</w:t>
      </w:r>
      <w:r w:rsidR="007D1FC3">
        <w:rPr>
          <w:lang w:val="en-CA" w:eastAsia="zh-CN"/>
        </w:rPr>
        <w:t xml:space="preserve"> </w:t>
      </w:r>
      <w:r>
        <w:rPr>
          <w:lang w:val="en-CA" w:eastAsia="zh-CN"/>
        </w:rPr>
        <w:t xml:space="preserve">agreement </w:t>
      </w:r>
      <w:r w:rsidR="00B54E47">
        <w:rPr>
          <w:lang w:val="en-CA" w:eastAsia="zh-CN"/>
        </w:rPr>
        <w:t>was</w:t>
      </w:r>
      <w:r>
        <w:rPr>
          <w:lang w:val="en-CA" w:eastAsia="zh-CN"/>
        </w:rPr>
        <w:t xml:space="preserve"> </w:t>
      </w:r>
      <w:r w:rsidR="00CB282B">
        <w:rPr>
          <w:lang w:val="en-CA" w:eastAsia="zh-CN"/>
        </w:rPr>
        <w:t>made</w:t>
      </w:r>
      <w:r>
        <w:rPr>
          <w:lang w:val="en-CA" w:eastAsia="zh-CN"/>
        </w:rPr>
        <w:t>.</w:t>
      </w:r>
    </w:p>
    <w:tbl>
      <w:tblPr>
        <w:tblStyle w:val="af0"/>
        <w:tblW w:w="0" w:type="auto"/>
        <w:tblLook w:val="04A0" w:firstRow="1" w:lastRow="0" w:firstColumn="1" w:lastColumn="0" w:noHBand="0" w:noVBand="1"/>
      </w:tblPr>
      <w:tblGrid>
        <w:gridCol w:w="9631"/>
      </w:tblGrid>
      <w:tr w:rsidR="00345AA0" w:rsidRPr="004438D8" w14:paraId="790853F1" w14:textId="77777777" w:rsidTr="00E84179">
        <w:tc>
          <w:tcPr>
            <w:tcW w:w="9631" w:type="dxa"/>
          </w:tcPr>
          <w:p w14:paraId="3FFA1BC6" w14:textId="7AA68909" w:rsidR="006C5A90" w:rsidRPr="00B54E47" w:rsidRDefault="002D0C51" w:rsidP="00B54E47">
            <w:pPr>
              <w:rPr>
                <w:rFonts w:eastAsiaTheme="minorEastAsia"/>
                <w:lang w:val="en-CA"/>
              </w:rPr>
            </w:pPr>
            <w:r w:rsidRPr="00A86279">
              <w:rPr>
                <w:b/>
                <w:bCs/>
                <w:szCs w:val="22"/>
                <w:highlight w:val="green"/>
              </w:rPr>
              <w:t>Agreement</w:t>
            </w:r>
            <w:r>
              <w:rPr>
                <w:b/>
                <w:bCs/>
                <w:szCs w:val="22"/>
                <w:highlight w:val="green"/>
              </w:rPr>
              <w:br/>
            </w:r>
            <w:r w:rsidRPr="00A86279">
              <w:rPr>
                <w:rFonts w:eastAsia="Gulim"/>
                <w:lang w:val="en-CA"/>
              </w:rPr>
              <w:t>For the single-DCI based STxMP PUSCH SFN scheme, the maximal number of layers is up to 2</w:t>
            </w:r>
            <w:r w:rsidR="00B54E47">
              <w:rPr>
                <w:rFonts w:eastAsiaTheme="minorEastAsia"/>
                <w:lang w:val="en-CA"/>
              </w:rPr>
              <w:br/>
            </w:r>
          </w:p>
        </w:tc>
      </w:tr>
    </w:tbl>
    <w:p w14:paraId="6DCDB558" w14:textId="31A8200E" w:rsidR="00DB33DD" w:rsidRDefault="00DB33DD" w:rsidP="006C5A90"/>
    <w:p w14:paraId="509AD586" w14:textId="282992F7" w:rsidR="00B27327" w:rsidRDefault="00B27327" w:rsidP="00E476DD">
      <w:r>
        <w:rPr>
          <w:rFonts w:hint="eastAsia"/>
        </w:rPr>
        <w:t>I</w:t>
      </w:r>
      <w:r>
        <w:t>n the draft CR 38.212, the association between precoder and layers is described as follows.</w:t>
      </w:r>
    </w:p>
    <w:tbl>
      <w:tblPr>
        <w:tblStyle w:val="af0"/>
        <w:tblW w:w="0" w:type="auto"/>
        <w:tblLook w:val="04A0" w:firstRow="1" w:lastRow="0" w:firstColumn="1" w:lastColumn="0" w:noHBand="0" w:noVBand="1"/>
      </w:tblPr>
      <w:tblGrid>
        <w:gridCol w:w="9631"/>
      </w:tblGrid>
      <w:tr w:rsidR="00B27327" w:rsidRPr="004438D8" w14:paraId="0B72E125" w14:textId="77777777" w:rsidTr="00B403CF">
        <w:tc>
          <w:tcPr>
            <w:tcW w:w="9631" w:type="dxa"/>
          </w:tcPr>
          <w:p w14:paraId="6E7FF28F" w14:textId="77777777" w:rsidR="002921A8" w:rsidRPr="00FB34D9" w:rsidRDefault="002921A8" w:rsidP="002921A8">
            <w:pPr>
              <w:keepNext/>
              <w:keepLines/>
              <w:snapToGrid/>
              <w:spacing w:before="120" w:after="180" w:afterAutospacing="0"/>
              <w:jc w:val="left"/>
              <w:outlineLvl w:val="2"/>
              <w:rPr>
                <w:rFonts w:ascii="Arial" w:eastAsia="ＭＳ Ｐゴシック" w:hAnsi="Arial"/>
                <w:color w:val="000000"/>
                <w:sz w:val="28"/>
                <w:lang w:eastAsia="en-US"/>
              </w:rPr>
            </w:pPr>
            <w:r w:rsidRPr="00FB34D9">
              <w:rPr>
                <w:rFonts w:ascii="Arial" w:eastAsia="ＭＳ Ｐゴシック" w:hAnsi="Arial"/>
                <w:color w:val="000000"/>
                <w:sz w:val="28"/>
                <w:lang w:eastAsia="en-US"/>
              </w:rPr>
              <w:lastRenderedPageBreak/>
              <w:t>6.</w:t>
            </w:r>
            <w:r>
              <w:rPr>
                <w:rFonts w:ascii="Arial" w:eastAsia="ＭＳ Ｐゴシック" w:hAnsi="Arial"/>
                <w:color w:val="000000"/>
                <w:sz w:val="28"/>
                <w:lang w:eastAsia="en-US"/>
              </w:rPr>
              <w:t>1.1</w:t>
            </w:r>
            <w:r w:rsidRPr="00FB34D9">
              <w:rPr>
                <w:rFonts w:ascii="Arial" w:eastAsia="ＭＳ Ｐゴシック" w:hAnsi="Arial"/>
                <w:color w:val="000000"/>
                <w:sz w:val="28"/>
                <w:lang w:eastAsia="en-US"/>
              </w:rPr>
              <w:t>.1</w:t>
            </w:r>
            <w:r w:rsidRPr="00FB34D9">
              <w:rPr>
                <w:rFonts w:ascii="Arial" w:eastAsia="ＭＳ Ｐゴシック" w:hAnsi="Arial"/>
                <w:color w:val="000000"/>
                <w:sz w:val="28"/>
                <w:lang w:eastAsia="en-US"/>
              </w:rPr>
              <w:tab/>
            </w:r>
            <w:r w:rsidRPr="002921A8">
              <w:rPr>
                <w:rFonts w:ascii="Arial" w:eastAsia="ＭＳ Ｐゴシック" w:hAnsi="Arial"/>
                <w:color w:val="000000"/>
                <w:sz w:val="28"/>
                <w:lang w:eastAsia="en-US"/>
              </w:rPr>
              <w:t>Codebook based UL transmission</w:t>
            </w:r>
          </w:p>
          <w:p w14:paraId="61505A2D" w14:textId="1C27DD29" w:rsidR="00140D32" w:rsidRPr="00140D32" w:rsidRDefault="00140D32" w:rsidP="00B27327">
            <w:pPr>
              <w:rPr>
                <w:rFonts w:asciiTheme="majorHAnsi" w:hAnsiTheme="majorHAnsi" w:cstheme="majorHAnsi"/>
                <w:lang w:val="en-US"/>
              </w:rPr>
            </w:pPr>
            <w:r>
              <w:rPr>
                <w:rFonts w:asciiTheme="majorHAnsi" w:hAnsiTheme="majorHAnsi" w:cstheme="majorHAnsi" w:hint="eastAsia"/>
                <w:lang w:val="en-US"/>
              </w:rPr>
              <w:t>-</w:t>
            </w:r>
            <w:r>
              <w:rPr>
                <w:rFonts w:asciiTheme="majorHAnsi" w:hAnsiTheme="majorHAnsi" w:cstheme="majorHAnsi"/>
                <w:lang w:val="en-US"/>
              </w:rPr>
              <w:t>-----------------------------omitted</w:t>
            </w:r>
            <w:r>
              <w:rPr>
                <w:rFonts w:asciiTheme="majorHAnsi" w:hAnsiTheme="majorHAnsi" w:cstheme="majorHAnsi" w:hint="eastAsia"/>
                <w:lang w:val="en-US"/>
              </w:rPr>
              <w:t>-</w:t>
            </w:r>
            <w:r>
              <w:rPr>
                <w:rFonts w:asciiTheme="majorHAnsi" w:hAnsiTheme="majorHAnsi" w:cstheme="majorHAnsi"/>
                <w:lang w:val="en-US"/>
              </w:rPr>
              <w:t>-----------------------------</w:t>
            </w:r>
          </w:p>
          <w:p w14:paraId="5DF7D3C9" w14:textId="449D0EBF" w:rsidR="00B27327" w:rsidRPr="00B27327" w:rsidRDefault="00B27327" w:rsidP="00B27327">
            <w:r w:rsidRPr="00B27327">
              <w:rPr>
                <w:lang w:val="en-US"/>
              </w:rPr>
              <w:t>When</w:t>
            </w:r>
            <w:r w:rsidRPr="00B27327">
              <w:t xml:space="preserve"> higher layer parameter </w:t>
            </w:r>
            <w:r w:rsidRPr="00B27327">
              <w:rPr>
                <w:i/>
                <w:iCs/>
              </w:rPr>
              <w:t>multipanelScheme</w:t>
            </w:r>
            <w:r w:rsidRPr="00B27327">
              <w:t xml:space="preserve"> set to ‘SFNscheme’ and two SRS resource sets are configured in </w:t>
            </w:r>
            <w:r w:rsidRPr="00B27327">
              <w:rPr>
                <w:i/>
              </w:rPr>
              <w:t>srs-ResourceSetToAddModList</w:t>
            </w:r>
            <w:r w:rsidRPr="00B27327">
              <w:t xml:space="preserve"> or </w:t>
            </w:r>
            <w:r w:rsidRPr="00B27327">
              <w:rPr>
                <w:i/>
              </w:rPr>
              <w:t xml:space="preserve">srs-ResourceSetToAddModListDCI-0-2 </w:t>
            </w:r>
            <w:r w:rsidRPr="00B27327">
              <w:t xml:space="preserve">with higher layer parameter </w:t>
            </w:r>
            <w:r w:rsidRPr="00B27327">
              <w:rPr>
                <w:i/>
              </w:rPr>
              <w:t xml:space="preserve">usage </w:t>
            </w:r>
            <w:r w:rsidRPr="00B27327">
              <w:t xml:space="preserve">in </w:t>
            </w:r>
            <w:r w:rsidRPr="00B27327">
              <w:rPr>
                <w:i/>
              </w:rPr>
              <w:t>SRS-ResourceSet</w:t>
            </w:r>
            <w:r w:rsidRPr="00B27327">
              <w:t xml:space="preserve"> set to 'codebook', two SRI(s), and two TPMI(s) are given by the DCI fields of two SRS resource indicator and two Precoding information and number of layers in clause 7.3.1.1.2 and 7.3.1.1.3 of [5, TS 38.212] for DCI format 0_1 and 0_2. </w:t>
            </w:r>
          </w:p>
          <w:p w14:paraId="0784BFDB" w14:textId="77777777" w:rsidR="00B27327" w:rsidRPr="00B27327" w:rsidRDefault="00B27327" w:rsidP="00B27327">
            <w:pPr>
              <w:ind w:left="567" w:hanging="283"/>
            </w:pPr>
            <w:r w:rsidRPr="00B27327">
              <w:t>-</w:t>
            </w:r>
            <w:r w:rsidRPr="00B27327">
              <w:tab/>
              <w:t xml:space="preserve">When  codepoint “10” of </w:t>
            </w:r>
            <w:r w:rsidRPr="00B27327">
              <w:rPr>
                <w:i/>
              </w:rPr>
              <w:t>SRS Resource Set</w:t>
            </w:r>
            <w:r w:rsidRPr="00B27327">
              <w:t xml:space="preserve"> </w:t>
            </w:r>
            <w:r w:rsidRPr="00B27327">
              <w:rPr>
                <w:i/>
                <w:iCs/>
              </w:rPr>
              <w:t xml:space="preserve">indicator </w:t>
            </w:r>
            <w:r w:rsidRPr="00B27327">
              <w:t>is indicated</w:t>
            </w:r>
            <w:r w:rsidRPr="00B27327">
              <w:rPr>
                <w:i/>
                <w:iCs/>
              </w:rPr>
              <w:t>,</w:t>
            </w:r>
            <w:r w:rsidRPr="00B27327">
              <w:t xml:space="preserve"> the first TPMI is used to indicate precoder to be applied over layers {0…v-1} and the second TPMI is used to indicate the precoder to be applied over layers {0…v-1}, where  v ≤ </w:t>
            </w:r>
            <w:r w:rsidRPr="00B27327">
              <w:rPr>
                <w:i/>
                <w:iCs/>
              </w:rPr>
              <w:t xml:space="preserve">maxRankSfn </w:t>
            </w:r>
            <w:r w:rsidRPr="00B27327">
              <w:rPr>
                <w:rFonts w:hint="eastAsia"/>
                <w:lang w:val="en-US" w:eastAsia="zh-CN"/>
              </w:rPr>
              <w:t xml:space="preserve">or </w:t>
            </w:r>
            <w:r w:rsidRPr="00B27327">
              <w:rPr>
                <w:rFonts w:hint="eastAsia"/>
                <w:i/>
                <w:iCs/>
                <w:lang w:val="en-US" w:eastAsia="zh-CN"/>
              </w:rPr>
              <w:t>maxRankS</w:t>
            </w:r>
            <w:r w:rsidRPr="00B27327">
              <w:rPr>
                <w:i/>
                <w:iCs/>
                <w:lang w:eastAsia="zh-CN"/>
              </w:rPr>
              <w:t>fn</w:t>
            </w:r>
            <w:r w:rsidRPr="00B27327">
              <w:rPr>
                <w:rFonts w:hint="eastAsia"/>
                <w:i/>
                <w:iCs/>
                <w:lang w:val="en-US" w:eastAsia="zh-CN"/>
              </w:rPr>
              <w:t xml:space="preserve">DCI-0-2 </w:t>
            </w:r>
            <w:r w:rsidRPr="00B27327">
              <w:rPr>
                <w:iCs/>
                <w:lang w:val="en-US" w:eastAsia="zh-CN"/>
              </w:rPr>
              <w:t>and</w:t>
            </w:r>
            <w:r w:rsidRPr="00B27327">
              <w:rPr>
                <w:i/>
                <w:iCs/>
                <w:lang w:val="en-US" w:eastAsia="zh-CN"/>
              </w:rPr>
              <w:t xml:space="preserve"> </w:t>
            </w:r>
            <w:r w:rsidRPr="00B27327">
              <w:rPr>
                <w:i/>
                <w:iCs/>
              </w:rPr>
              <w:t xml:space="preserve">maxRankSfn </w:t>
            </w:r>
            <w:r w:rsidRPr="00B27327">
              <w:rPr>
                <w:rFonts w:hint="eastAsia"/>
                <w:lang w:val="en-US" w:eastAsia="zh-CN"/>
              </w:rPr>
              <w:t xml:space="preserve">or </w:t>
            </w:r>
            <w:r w:rsidRPr="00B27327">
              <w:rPr>
                <w:rFonts w:hint="eastAsia"/>
                <w:i/>
                <w:iCs/>
                <w:lang w:val="en-US" w:eastAsia="zh-CN"/>
              </w:rPr>
              <w:t>maxRankS</w:t>
            </w:r>
            <w:r w:rsidRPr="00B27327">
              <w:rPr>
                <w:i/>
                <w:iCs/>
                <w:lang w:eastAsia="zh-CN"/>
              </w:rPr>
              <w:t>fn</w:t>
            </w:r>
            <w:r w:rsidRPr="00B27327">
              <w:rPr>
                <w:rFonts w:hint="eastAsia"/>
                <w:i/>
                <w:iCs/>
                <w:lang w:val="en-US" w:eastAsia="zh-CN"/>
              </w:rPr>
              <w:t>DCI-0-2</w:t>
            </w:r>
            <w:r w:rsidRPr="00B27327">
              <w:rPr>
                <w:i/>
                <w:iCs/>
                <w:lang w:eastAsia="zh-CN"/>
              </w:rPr>
              <w:t xml:space="preserve"> </w:t>
            </w:r>
            <w:r w:rsidRPr="00B27327">
              <w:t xml:space="preserve">defining the maximum number of layers applied over the first SRS resource set and over the second SRS resource set separately. </w:t>
            </w:r>
          </w:p>
          <w:p w14:paraId="0AC0F560" w14:textId="77777777" w:rsidR="00B27327" w:rsidRPr="00B27327" w:rsidRDefault="00B27327" w:rsidP="00B27327">
            <w:pPr>
              <w:ind w:left="567" w:hanging="283"/>
            </w:pPr>
            <w:r w:rsidRPr="00B27327">
              <w:t>-</w:t>
            </w:r>
            <w:r w:rsidRPr="00B27327">
              <w:tab/>
              <w:t xml:space="preserve">When codepoint “00” or “01” of </w:t>
            </w:r>
            <w:r w:rsidRPr="00B27327">
              <w:rPr>
                <w:i/>
              </w:rPr>
              <w:t>SRS Resource Set</w:t>
            </w:r>
            <w:r w:rsidRPr="00B27327">
              <w:t xml:space="preserve"> </w:t>
            </w:r>
            <w:r w:rsidRPr="00B27327">
              <w:rPr>
                <w:i/>
                <w:iCs/>
              </w:rPr>
              <w:t xml:space="preserve">indicator </w:t>
            </w:r>
            <w:r w:rsidRPr="00B27327">
              <w:t>is indicated</w:t>
            </w:r>
            <w:r w:rsidRPr="00B27327">
              <w:rPr>
                <w:i/>
                <w:iCs/>
              </w:rPr>
              <w:t>,</w:t>
            </w:r>
            <w:r w:rsidRPr="00B27327">
              <w:t xml:space="preserve"> the second SRI and second TPMI are reserved, the first TPMI is used to indicate precoder to be applied over layers {0…v-1}, where v ≤ </w:t>
            </w:r>
            <w:r w:rsidRPr="00B27327">
              <w:rPr>
                <w:i/>
                <w:iCs/>
              </w:rPr>
              <w:t xml:space="preserve">maxRank </w:t>
            </w:r>
            <w:r w:rsidRPr="00B27327">
              <w:t xml:space="preserve">and where </w:t>
            </w:r>
            <w:r w:rsidRPr="00B27327">
              <w:rPr>
                <w:i/>
                <w:iCs/>
              </w:rPr>
              <w:t>maxRank</w:t>
            </w:r>
            <w:r w:rsidRPr="00B27327">
              <w:t xml:space="preserve"> is defining the maximum number of layers applied over the first SRS resource set or the seoncd SRS resource. </w:t>
            </w:r>
          </w:p>
          <w:p w14:paraId="27921BEC" w14:textId="77777777" w:rsidR="00B27327" w:rsidRPr="00B27327" w:rsidRDefault="00B27327" w:rsidP="00B27327">
            <w:pPr>
              <w:ind w:left="567" w:hanging="283"/>
            </w:pPr>
            <w:r w:rsidRPr="00B27327">
              <w:t>-</w:t>
            </w:r>
            <w:r w:rsidRPr="00B27327">
              <w:tab/>
              <w:t xml:space="preserve">Codepoint “11” of </w:t>
            </w:r>
            <w:r w:rsidRPr="00B27327">
              <w:rPr>
                <w:i/>
                <w:iCs/>
              </w:rPr>
              <w:t>SRS Resource Set indicator</w:t>
            </w:r>
            <w:r w:rsidRPr="00B27327">
              <w:t xml:space="preserve"> is reserved. </w:t>
            </w:r>
          </w:p>
          <w:p w14:paraId="2B46017B" w14:textId="77777777" w:rsidR="00B27327" w:rsidRPr="00B27327" w:rsidRDefault="00B27327" w:rsidP="00B27327">
            <w:pPr>
              <w:ind w:left="567" w:hanging="283"/>
            </w:pPr>
            <w:r w:rsidRPr="00B27327">
              <w:t>-</w:t>
            </w:r>
            <w:r w:rsidRPr="00B27327">
              <w:tab/>
              <w:t xml:space="preserve">For one or two TPMI(s), the transmission precoder is selected from the uplink codebook that has a number of antenna ports equal to </w:t>
            </w:r>
            <w:r w:rsidRPr="00B27327">
              <w:rPr>
                <w:i/>
              </w:rPr>
              <w:t>nrofSRS-Ports</w:t>
            </w:r>
            <w:r w:rsidRPr="00B27327">
              <w:t xml:space="preserve"> in </w:t>
            </w:r>
            <w:r w:rsidRPr="00B27327">
              <w:rPr>
                <w:i/>
                <w:iCs/>
              </w:rPr>
              <w:t>SRS-Config</w:t>
            </w:r>
            <w:r w:rsidRPr="00B27327">
              <w:t xml:space="preserve"> for the indicated SRI(s), as defined in Clause 6.3.1.5 of [4, TS 38.211]. </w:t>
            </w:r>
          </w:p>
          <w:p w14:paraId="0E084647" w14:textId="77777777" w:rsidR="00B27327" w:rsidRDefault="00B27327" w:rsidP="00140D32">
            <w:pPr>
              <w:ind w:left="567" w:hanging="283"/>
            </w:pPr>
            <w:r w:rsidRPr="00B27327">
              <w:t>-</w:t>
            </w:r>
            <w:r w:rsidRPr="00B27327">
              <w:tab/>
              <w:t xml:space="preserve">When two TPMIs are indicated, the UE shall expect that the number of SRS antenna ports associated with two indicated SRIs to be the same. When the UE is configured with the higher layer parameter </w:t>
            </w:r>
            <w:r w:rsidRPr="00B27327">
              <w:rPr>
                <w:i/>
              </w:rPr>
              <w:t>txConfig</w:t>
            </w:r>
            <w:r w:rsidRPr="00B27327">
              <w:t xml:space="preserve"> set to 'codebook', the UE is configured with at least one SRS resource. Each of the indicated one or two SRI(s) in slot </w:t>
            </w:r>
            <w:r w:rsidRPr="00B27327">
              <w:rPr>
                <w:i/>
              </w:rPr>
              <w:t>n</w:t>
            </w:r>
            <w:r w:rsidRPr="00B27327">
              <w:t xml:space="preserve"> is associated with the most recent transmission of SRS resource of associated SRS resource set identified by the SRI, where the SRS resource is prior to the PDCCH carrying the SRI. When two SRS resource sets are configured in </w:t>
            </w:r>
            <w:r w:rsidRPr="00B27327">
              <w:rPr>
                <w:i/>
              </w:rPr>
              <w:t>srs-ResourceSetToAddModList</w:t>
            </w:r>
            <w:r w:rsidRPr="00B27327">
              <w:t xml:space="preserve"> or </w:t>
            </w:r>
            <w:r w:rsidRPr="00B27327">
              <w:rPr>
                <w:i/>
              </w:rPr>
              <w:t xml:space="preserve">srs-ResourceSetToAddModListDCI-0-2 </w:t>
            </w:r>
            <w:r w:rsidRPr="00B27327">
              <w:t xml:space="preserve">with higher layer parameter </w:t>
            </w:r>
            <w:r w:rsidRPr="00B27327">
              <w:rPr>
                <w:i/>
              </w:rPr>
              <w:t xml:space="preserve">usage </w:t>
            </w:r>
            <w:r w:rsidRPr="00B27327">
              <w:t xml:space="preserve">in </w:t>
            </w:r>
            <w:r w:rsidRPr="00B27327">
              <w:rPr>
                <w:i/>
              </w:rPr>
              <w:t>SRS-ResourceSet</w:t>
            </w:r>
            <w:r w:rsidRPr="00B27327">
              <w:t xml:space="preserve"> set to 'codebook', the UE is not expected to be configured with different number of SRS resources in the two SRS resource sets.</w:t>
            </w:r>
          </w:p>
          <w:p w14:paraId="19E1EDF7" w14:textId="07922E56" w:rsidR="00140D32" w:rsidRPr="00140D32" w:rsidRDefault="00140D32" w:rsidP="00140D32">
            <w:pPr>
              <w:ind w:left="567" w:hanging="283"/>
            </w:pPr>
          </w:p>
        </w:tc>
      </w:tr>
    </w:tbl>
    <w:p w14:paraId="6D87D637" w14:textId="77777777" w:rsidR="00B27327" w:rsidRPr="00B27327" w:rsidRDefault="00B27327" w:rsidP="00E476DD"/>
    <w:p w14:paraId="079CF7D8" w14:textId="15056EC4" w:rsidR="00B54E47" w:rsidRDefault="00140D32" w:rsidP="00E476DD">
      <w:r>
        <w:t xml:space="preserve">According to the description, </w:t>
      </w:r>
      <w:r w:rsidR="002921A8">
        <w:t>w</w:t>
      </w:r>
      <w:r w:rsidR="002921A8" w:rsidRPr="002921A8">
        <w:t>hen codepoint “10” of SRS Resource Set indicator is indicated</w:t>
      </w:r>
      <w:r w:rsidR="002921A8">
        <w:t>,</w:t>
      </w:r>
      <w:r w:rsidR="002921A8" w:rsidRPr="002921A8">
        <w:t xml:space="preserve"> </w:t>
      </w:r>
      <w:r w:rsidR="0036684D">
        <w:t xml:space="preserve">the first precoder is indicated by the first TPMI and the second precoder is indicated by the second TPMI, </w:t>
      </w:r>
      <w:r w:rsidR="002921A8">
        <w:t xml:space="preserve">and </w:t>
      </w:r>
      <w:r w:rsidR="0036684D">
        <w:t>then both precoders are applied to the same layer</w:t>
      </w:r>
      <w:r w:rsidR="00DD7E9E">
        <w:t>s</w:t>
      </w:r>
      <w:r w:rsidR="0036684D">
        <w:t xml:space="preserve"> {0…v-1}. </w:t>
      </w:r>
      <w:r w:rsidR="00DD7E9E">
        <w:t>However, it is not clear whether to map the precoded informations to same</w:t>
      </w:r>
      <w:r w:rsidR="008866AE">
        <w:t xml:space="preserve"> antenna ports (</w:t>
      </w:r>
      <w:r w:rsidR="00602FC5">
        <w:t>Interpretation #1</w:t>
      </w:r>
      <w:r w:rsidR="008866AE">
        <w:t>) or different</w:t>
      </w:r>
      <w:r w:rsidR="00DD7E9E">
        <w:t xml:space="preserve"> antenna port</w:t>
      </w:r>
      <w:r w:rsidR="008866AE">
        <w:t>s (</w:t>
      </w:r>
      <w:r w:rsidR="00602FC5">
        <w:t xml:space="preserve">Interpretation </w:t>
      </w:r>
      <w:r w:rsidR="00602FC5">
        <w:lastRenderedPageBreak/>
        <w:t>#</w:t>
      </w:r>
      <w:r w:rsidR="008866AE">
        <w:t>2)</w:t>
      </w:r>
      <w:r w:rsidR="00DD7E9E">
        <w:t>.</w:t>
      </w:r>
      <w:r>
        <w:t xml:space="preserve"> </w:t>
      </w:r>
      <w:r w:rsidR="008866AE" w:rsidRPr="008866AE">
        <w:t xml:space="preserve">When </w:t>
      </w:r>
      <w:r w:rsidR="008866AE">
        <w:t xml:space="preserve">the first precoder </w:t>
      </w:r>
      <w:r w:rsidR="008866AE" w:rsidRPr="008866AE">
        <w:t>W</w:t>
      </w:r>
      <w:r w:rsidR="008866AE" w:rsidRPr="008866AE">
        <w:rPr>
          <w:vertAlign w:val="subscript"/>
        </w:rPr>
        <w:t>1</w:t>
      </w:r>
      <w:r w:rsidR="008866AE">
        <w:t xml:space="preserve"> and the second precoder </w:t>
      </w:r>
      <w:r w:rsidR="008866AE" w:rsidRPr="008866AE">
        <w:t>W</w:t>
      </w:r>
      <w:r w:rsidR="008866AE" w:rsidRPr="008866AE">
        <w:rPr>
          <w:vertAlign w:val="subscript"/>
        </w:rPr>
        <w:t>2</w:t>
      </w:r>
      <w:r w:rsidR="008866AE" w:rsidRPr="008866AE">
        <w:t xml:space="preserve"> is applied to layer {v</w:t>
      </w:r>
      <w:r w:rsidR="008866AE" w:rsidRPr="008866AE">
        <w:rPr>
          <w:vertAlign w:val="subscript"/>
        </w:rPr>
        <w:t>0</w:t>
      </w:r>
      <w:r w:rsidR="008866AE" w:rsidRPr="008866AE">
        <w:t>,</w:t>
      </w:r>
      <w:r w:rsidR="008866AE">
        <w:t xml:space="preserve"> </w:t>
      </w:r>
      <w:r w:rsidR="008866AE" w:rsidRPr="008866AE">
        <w:t>v</w:t>
      </w:r>
      <w:r w:rsidR="008866AE" w:rsidRPr="008866AE">
        <w:rPr>
          <w:vertAlign w:val="subscript"/>
        </w:rPr>
        <w:t>1</w:t>
      </w:r>
      <w:r w:rsidR="008866AE" w:rsidRPr="008866AE">
        <w:t>}, the antenna port mapping for each Alt can be expressed as follows.</w:t>
      </w:r>
    </w:p>
    <w:p w14:paraId="2534B5C9" w14:textId="3C4CA548" w:rsidR="00075DCA" w:rsidRDefault="00075DCA" w:rsidP="00075DCA">
      <w:pPr>
        <w:jc w:val="center"/>
      </w:pPr>
      <w:r>
        <w:rPr>
          <w:rFonts w:hint="eastAsia"/>
        </w:rPr>
        <w:t>T</w:t>
      </w:r>
      <w:r>
        <w:t xml:space="preserve">able 1. </w:t>
      </w:r>
      <w:r w:rsidR="00602FC5">
        <w:t>Interpretations</w:t>
      </w:r>
      <w:r>
        <w:t xml:space="preserve"> for layer-to-antenna port mapping in SFN scheme </w:t>
      </w:r>
    </w:p>
    <w:tbl>
      <w:tblPr>
        <w:tblStyle w:val="af0"/>
        <w:tblW w:w="0" w:type="auto"/>
        <w:tblLook w:val="04A0" w:firstRow="1" w:lastRow="0" w:firstColumn="1" w:lastColumn="0" w:noHBand="0" w:noVBand="1"/>
      </w:tblPr>
      <w:tblGrid>
        <w:gridCol w:w="4977"/>
        <w:gridCol w:w="4977"/>
      </w:tblGrid>
      <w:tr w:rsidR="00075DCA" w14:paraId="19DD4039" w14:textId="77777777" w:rsidTr="00075DCA">
        <w:tc>
          <w:tcPr>
            <w:tcW w:w="4977" w:type="dxa"/>
          </w:tcPr>
          <w:p w14:paraId="2A36538A" w14:textId="6EB464A0" w:rsidR="00075DCA" w:rsidRDefault="00602FC5" w:rsidP="00075DCA">
            <w:pPr>
              <w:jc w:val="center"/>
            </w:pPr>
            <w:r>
              <w:t>Interpretation #</w:t>
            </w:r>
            <w:r w:rsidR="00075DCA">
              <w:t>1</w:t>
            </w:r>
          </w:p>
        </w:tc>
        <w:tc>
          <w:tcPr>
            <w:tcW w:w="4977" w:type="dxa"/>
          </w:tcPr>
          <w:p w14:paraId="012F97C0" w14:textId="367103BF" w:rsidR="00075DCA" w:rsidRDefault="00602FC5" w:rsidP="00075DCA">
            <w:pPr>
              <w:jc w:val="center"/>
            </w:pPr>
            <w:r>
              <w:t>Interpretation #2</w:t>
            </w:r>
          </w:p>
        </w:tc>
      </w:tr>
      <w:tr w:rsidR="00075DCA" w14:paraId="763CC6B4" w14:textId="77777777" w:rsidTr="00075DCA">
        <w:tc>
          <w:tcPr>
            <w:tcW w:w="4977" w:type="dxa"/>
            <w:vAlign w:val="center"/>
          </w:tcPr>
          <w:p w14:paraId="57F58946" w14:textId="3417B92E" w:rsidR="00075DCA" w:rsidRDefault="00EC5C08" w:rsidP="00075DCA">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e>
                      </m:mr>
                    </m:m>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r>
                  <m:rPr>
                    <m:sty m:val="p"/>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c>
          <w:tcPr>
            <w:tcW w:w="4977" w:type="dxa"/>
            <w:vAlign w:val="center"/>
          </w:tcPr>
          <w:p w14:paraId="01A01B1D" w14:textId="6269D53D" w:rsidR="00075DCA" w:rsidRDefault="00EC5C08" w:rsidP="00075DCA">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2</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3</m:t>
                              </m:r>
                            </m:sub>
                          </m:sSub>
                        </m:e>
                      </m:mr>
                    </m:m>
                  </m:e>
                </m:d>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r>
    </w:tbl>
    <w:p w14:paraId="4BDC3E2C" w14:textId="77777777" w:rsidR="00075DCA" w:rsidRDefault="00075DCA" w:rsidP="00E476DD"/>
    <w:p w14:paraId="41C8F366" w14:textId="210FACA0" w:rsidR="00075DCA" w:rsidRDefault="00075DCA" w:rsidP="00E476DD">
      <w:r>
        <w:t>For Alt.1,</w:t>
      </w:r>
      <w:r w:rsidR="00426FB3">
        <w:t xml:space="preserve"> the</w:t>
      </w:r>
      <w:r>
        <w:t xml:space="preserve"> layers</w:t>
      </w:r>
      <w:r w:rsidR="00426FB3">
        <w:t xml:space="preserve"> {v</w:t>
      </w:r>
      <w:r w:rsidR="00426FB3" w:rsidRPr="00426FB3">
        <w:rPr>
          <w:vertAlign w:val="subscript"/>
        </w:rPr>
        <w:t>0</w:t>
      </w:r>
      <w:r w:rsidR="00426FB3">
        <w:t>, v</w:t>
      </w:r>
      <w:r w:rsidR="00426FB3" w:rsidRPr="00426FB3">
        <w:rPr>
          <w:vertAlign w:val="subscript"/>
        </w:rPr>
        <w:t>1</w:t>
      </w:r>
      <w:r w:rsidR="00426FB3">
        <w:t>}</w:t>
      </w:r>
      <w:r>
        <w:t xml:space="preserve"> are precoded by different precoder and mapped to same antenna ports. That means precoded information</w:t>
      </w:r>
      <w:r w:rsidR="00426FB3">
        <w:t>s interfere to each other. For Alt.2, the first precoded layers are mapped to antenna ports {p</w:t>
      </w:r>
      <w:r w:rsidR="00426FB3" w:rsidRPr="00426FB3">
        <w:rPr>
          <w:vertAlign w:val="subscript"/>
        </w:rPr>
        <w:t>0</w:t>
      </w:r>
      <w:r w:rsidR="00426FB3">
        <w:t>, p</w:t>
      </w:r>
      <w:r w:rsidR="00426FB3" w:rsidRPr="00426FB3">
        <w:rPr>
          <w:vertAlign w:val="subscript"/>
        </w:rPr>
        <w:t>1</w:t>
      </w:r>
      <w:r w:rsidR="00426FB3">
        <w:t>} and the second precoded layers are mapped to antenna ports {p</w:t>
      </w:r>
      <w:r w:rsidR="00426FB3" w:rsidRPr="00426FB3">
        <w:rPr>
          <w:vertAlign w:val="subscript"/>
        </w:rPr>
        <w:t>2</w:t>
      </w:r>
      <w:r w:rsidR="00426FB3">
        <w:t>, p</w:t>
      </w:r>
      <w:r w:rsidR="00426FB3" w:rsidRPr="00426FB3">
        <w:rPr>
          <w:vertAlign w:val="subscript"/>
        </w:rPr>
        <w:t>3</w:t>
      </w:r>
      <w:r w:rsidR="00426FB3">
        <w:t>}. That is, each of precoded information is free of interference.</w:t>
      </w:r>
      <w:r w:rsidR="003357C8">
        <w:t xml:space="preserve"> </w:t>
      </w:r>
      <w:r w:rsidR="003357C8" w:rsidRPr="003357C8">
        <w:t xml:space="preserve">Perhaps Alt. 2 is the common understanding, in </w:t>
      </w:r>
      <w:r w:rsidR="003357C8">
        <w:t>that</w:t>
      </w:r>
      <w:r w:rsidR="003357C8" w:rsidRPr="003357C8">
        <w:t xml:space="preserve"> case</w:t>
      </w:r>
      <w:r w:rsidR="003357C8">
        <w:t>,</w:t>
      </w:r>
      <w:r w:rsidR="003357C8" w:rsidRPr="003357C8">
        <w:t xml:space="preserve"> the additional restriction</w:t>
      </w:r>
      <w:r w:rsidR="003357C8">
        <w:t xml:space="preserve"> </w:t>
      </w:r>
      <w:r w:rsidR="003357C8" w:rsidRPr="003357C8">
        <w:t xml:space="preserve">that the number of layers </w:t>
      </w:r>
      <w:r w:rsidR="003357C8">
        <w:t>must</w:t>
      </w:r>
      <w:r w:rsidR="003357C8" w:rsidRPr="003357C8">
        <w:t xml:space="preserve"> be less than half the number of antenna ports </w:t>
      </w:r>
      <w:r w:rsidR="003357C8">
        <w:t>is</w:t>
      </w:r>
      <w:r w:rsidR="003357C8" w:rsidRPr="003357C8">
        <w:t xml:space="preserve"> necessary.</w:t>
      </w:r>
    </w:p>
    <w:p w14:paraId="3A9B3E55" w14:textId="31B14579" w:rsidR="002921A8" w:rsidRDefault="002921A8" w:rsidP="00E476DD">
      <w:pPr>
        <w:rPr>
          <w:b/>
        </w:rPr>
      </w:pPr>
      <w:r>
        <w:rPr>
          <w:b/>
        </w:rPr>
        <w:t>Proposal 1: For single-DCI based STxMP SFN scheme, l</w:t>
      </w:r>
      <w:r w:rsidRPr="002921A8">
        <w:rPr>
          <w:b/>
        </w:rPr>
        <w:t>ayers</w:t>
      </w:r>
      <w:r>
        <w:rPr>
          <w:b/>
        </w:rPr>
        <w:t xml:space="preserve"> applied</w:t>
      </w:r>
      <w:r w:rsidRPr="002921A8">
        <w:rPr>
          <w:b/>
        </w:rPr>
        <w:t xml:space="preserve"> with different precoders should be mapped to different antenna ports.</w:t>
      </w:r>
    </w:p>
    <w:p w14:paraId="715E28B3" w14:textId="0CA12540" w:rsidR="003357C8" w:rsidRPr="003357C8" w:rsidRDefault="003357C8" w:rsidP="00E476DD">
      <w:pPr>
        <w:rPr>
          <w:b/>
        </w:rPr>
      </w:pPr>
      <w:r w:rsidRPr="003357C8">
        <w:rPr>
          <w:rFonts w:hint="eastAsia"/>
          <w:b/>
        </w:rPr>
        <w:t>P</w:t>
      </w:r>
      <w:r w:rsidRPr="003357C8">
        <w:rPr>
          <w:b/>
        </w:rPr>
        <w:t xml:space="preserve">roposal </w:t>
      </w:r>
      <w:r w:rsidR="002921A8">
        <w:rPr>
          <w:b/>
        </w:rPr>
        <w:t>2</w:t>
      </w:r>
      <w:r w:rsidRPr="003357C8">
        <w:rPr>
          <w:b/>
        </w:rPr>
        <w:t xml:space="preserve">: </w:t>
      </w:r>
      <w:r>
        <w:rPr>
          <w:b/>
        </w:rPr>
        <w:t xml:space="preserve">For </w:t>
      </w:r>
      <w:r w:rsidR="002921A8">
        <w:rPr>
          <w:b/>
        </w:rPr>
        <w:t xml:space="preserve">single-DCI based </w:t>
      </w:r>
      <w:r>
        <w:rPr>
          <w:b/>
        </w:rPr>
        <w:t>STxMP SFN</w:t>
      </w:r>
      <w:r w:rsidR="002921A8">
        <w:rPr>
          <w:b/>
        </w:rPr>
        <w:t xml:space="preserve"> scheme, the number of layer should be less than half the number of antenna ports</w:t>
      </w:r>
    </w:p>
    <w:p w14:paraId="3EC284B1" w14:textId="0C771F03" w:rsidR="002921A8" w:rsidRPr="002921A8" w:rsidRDefault="002921A8" w:rsidP="00E476DD">
      <w:pPr>
        <w:rPr>
          <w:b/>
        </w:rPr>
      </w:pPr>
      <w:r w:rsidRPr="002921A8">
        <w:rPr>
          <w:rFonts w:hint="eastAsia"/>
          <w:b/>
        </w:rPr>
        <w:t>P</w:t>
      </w:r>
      <w:r w:rsidRPr="002921A8">
        <w:rPr>
          <w:b/>
        </w:rPr>
        <w:t xml:space="preserve">roposal 3: </w:t>
      </w:r>
      <w:r w:rsidRPr="00DB6777">
        <w:rPr>
          <w:b/>
          <w:bCs/>
        </w:rPr>
        <w:t>The following TP</w:t>
      </w:r>
      <w:r w:rsidR="00146F4E">
        <w:rPr>
          <w:b/>
          <w:bCs/>
        </w:rPr>
        <w:t xml:space="preserve"> </w:t>
      </w:r>
      <w:r w:rsidRPr="00DB6777">
        <w:rPr>
          <w:b/>
          <w:bCs/>
        </w:rPr>
        <w:t>should be adopted in TS38.214:</w:t>
      </w:r>
    </w:p>
    <w:tbl>
      <w:tblPr>
        <w:tblStyle w:val="af0"/>
        <w:tblW w:w="0" w:type="auto"/>
        <w:tblLook w:val="04A0" w:firstRow="1" w:lastRow="0" w:firstColumn="1" w:lastColumn="0" w:noHBand="0" w:noVBand="1"/>
      </w:tblPr>
      <w:tblGrid>
        <w:gridCol w:w="9954"/>
      </w:tblGrid>
      <w:tr w:rsidR="002921A8" w14:paraId="5206CE03" w14:textId="77777777" w:rsidTr="00B403CF">
        <w:tc>
          <w:tcPr>
            <w:tcW w:w="9954" w:type="dxa"/>
          </w:tcPr>
          <w:p w14:paraId="4BB8C762" w14:textId="44524C63" w:rsidR="00146F4E" w:rsidRDefault="00146F4E" w:rsidP="00B403CF">
            <w:pPr>
              <w:keepNext/>
              <w:keepLines/>
              <w:snapToGrid/>
              <w:spacing w:before="120" w:after="180" w:afterAutospacing="0"/>
              <w:jc w:val="left"/>
              <w:outlineLvl w:val="2"/>
              <w:rPr>
                <w:rFonts w:ascii="Arial" w:eastAsia="ＭＳ Ｐゴシック" w:hAnsi="Arial"/>
                <w:color w:val="000000"/>
                <w:sz w:val="28"/>
              </w:rPr>
            </w:pPr>
            <w:bookmarkStart w:id="3" w:name="_Toc11352157"/>
            <w:bookmarkStart w:id="4" w:name="_Toc20318047"/>
            <w:bookmarkStart w:id="5" w:name="_Toc27299945"/>
            <w:bookmarkStart w:id="6" w:name="_Toc29673219"/>
            <w:bookmarkStart w:id="7" w:name="_Toc29673360"/>
            <w:bookmarkStart w:id="8" w:name="_Toc29674353"/>
            <w:bookmarkStart w:id="9" w:name="_Toc36645583"/>
            <w:bookmarkStart w:id="10" w:name="_Toc45810632"/>
            <w:bookmarkStart w:id="11" w:name="_Toc130409839"/>
            <w:r>
              <w:rPr>
                <w:rFonts w:ascii="Arial" w:eastAsia="ＭＳ Ｐゴシック" w:hAnsi="Arial" w:hint="eastAsia"/>
                <w:color w:val="000000"/>
                <w:sz w:val="28"/>
              </w:rPr>
              <w:lastRenderedPageBreak/>
              <w:t>T</w:t>
            </w:r>
            <w:r>
              <w:rPr>
                <w:rFonts w:ascii="Arial" w:eastAsia="ＭＳ Ｐゴシック" w:hAnsi="Arial"/>
                <w:color w:val="000000"/>
                <w:sz w:val="28"/>
              </w:rPr>
              <w:t>P Alt.1</w:t>
            </w:r>
          </w:p>
          <w:p w14:paraId="4DCE584B" w14:textId="5EE94F3A" w:rsidR="002921A8" w:rsidRPr="00FB34D9" w:rsidRDefault="002921A8" w:rsidP="00B403CF">
            <w:pPr>
              <w:keepNext/>
              <w:keepLines/>
              <w:snapToGrid/>
              <w:spacing w:before="120" w:after="180" w:afterAutospacing="0"/>
              <w:jc w:val="left"/>
              <w:outlineLvl w:val="2"/>
              <w:rPr>
                <w:rFonts w:ascii="Arial" w:eastAsia="ＭＳ Ｐゴシック" w:hAnsi="Arial"/>
                <w:color w:val="000000"/>
                <w:sz w:val="28"/>
                <w:lang w:eastAsia="en-US"/>
              </w:rPr>
            </w:pPr>
            <w:r w:rsidRPr="00FB34D9">
              <w:rPr>
                <w:rFonts w:ascii="Arial" w:eastAsia="ＭＳ Ｐゴシック" w:hAnsi="Arial"/>
                <w:color w:val="000000"/>
                <w:sz w:val="28"/>
                <w:lang w:eastAsia="en-US"/>
              </w:rPr>
              <w:t>6.</w:t>
            </w:r>
            <w:r>
              <w:rPr>
                <w:rFonts w:ascii="Arial" w:eastAsia="ＭＳ Ｐゴシック" w:hAnsi="Arial"/>
                <w:color w:val="000000"/>
                <w:sz w:val="28"/>
                <w:lang w:eastAsia="en-US"/>
              </w:rPr>
              <w:t>1.1</w:t>
            </w:r>
            <w:r w:rsidRPr="00FB34D9">
              <w:rPr>
                <w:rFonts w:ascii="Arial" w:eastAsia="ＭＳ Ｐゴシック" w:hAnsi="Arial"/>
                <w:color w:val="000000"/>
                <w:sz w:val="28"/>
                <w:lang w:eastAsia="en-US"/>
              </w:rPr>
              <w:t>.1</w:t>
            </w:r>
            <w:r w:rsidRPr="00FB34D9">
              <w:rPr>
                <w:rFonts w:ascii="Arial" w:eastAsia="ＭＳ Ｐゴシック" w:hAnsi="Arial"/>
                <w:color w:val="000000"/>
                <w:sz w:val="28"/>
                <w:lang w:eastAsia="en-US"/>
              </w:rPr>
              <w:tab/>
            </w:r>
            <w:bookmarkEnd w:id="3"/>
            <w:bookmarkEnd w:id="4"/>
            <w:bookmarkEnd w:id="5"/>
            <w:bookmarkEnd w:id="6"/>
            <w:bookmarkEnd w:id="7"/>
            <w:bookmarkEnd w:id="8"/>
            <w:bookmarkEnd w:id="9"/>
            <w:bookmarkEnd w:id="10"/>
            <w:bookmarkEnd w:id="11"/>
            <w:r w:rsidRPr="002921A8">
              <w:rPr>
                <w:rFonts w:ascii="Arial" w:eastAsia="ＭＳ Ｐゴシック" w:hAnsi="Arial"/>
                <w:color w:val="000000"/>
                <w:sz w:val="28"/>
                <w:lang w:eastAsia="en-US"/>
              </w:rPr>
              <w:t>Codebook based UL transmission</w:t>
            </w:r>
          </w:p>
          <w:p w14:paraId="001E04F9" w14:textId="77777777" w:rsidR="002921A8" w:rsidRPr="00FB34D9" w:rsidRDefault="002921A8" w:rsidP="00B403CF">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543DCE26" w14:textId="77777777" w:rsidR="001C7B85" w:rsidRPr="00B27327" w:rsidRDefault="001C7B85" w:rsidP="001C7B85">
            <w:r w:rsidRPr="00B27327">
              <w:rPr>
                <w:lang w:val="en-US"/>
              </w:rPr>
              <w:t>When</w:t>
            </w:r>
            <w:r w:rsidRPr="00B27327">
              <w:t xml:space="preserve"> higher layer parameter </w:t>
            </w:r>
            <w:r w:rsidRPr="00B27327">
              <w:rPr>
                <w:i/>
                <w:iCs/>
              </w:rPr>
              <w:t>multipanelScheme</w:t>
            </w:r>
            <w:r w:rsidRPr="00B27327">
              <w:t xml:space="preserve"> set to ‘SFNscheme’ and two SRS resource sets are configured in </w:t>
            </w:r>
            <w:r w:rsidRPr="00B27327">
              <w:rPr>
                <w:i/>
              </w:rPr>
              <w:t>srs-ResourceSetToAddModList</w:t>
            </w:r>
            <w:r w:rsidRPr="00B27327">
              <w:t xml:space="preserve"> or </w:t>
            </w:r>
            <w:r w:rsidRPr="00B27327">
              <w:rPr>
                <w:i/>
              </w:rPr>
              <w:t xml:space="preserve">srs-ResourceSetToAddModListDCI-0-2 </w:t>
            </w:r>
            <w:r w:rsidRPr="00B27327">
              <w:t xml:space="preserve">with higher layer parameter </w:t>
            </w:r>
            <w:r w:rsidRPr="00B27327">
              <w:rPr>
                <w:i/>
              </w:rPr>
              <w:t xml:space="preserve">usage </w:t>
            </w:r>
            <w:r w:rsidRPr="00B27327">
              <w:t xml:space="preserve">in </w:t>
            </w:r>
            <w:r w:rsidRPr="00B27327">
              <w:rPr>
                <w:i/>
              </w:rPr>
              <w:t>SRS-ResourceSet</w:t>
            </w:r>
            <w:r w:rsidRPr="00B27327">
              <w:t xml:space="preserve"> set to 'codebook', two SRI(s), and two TPMI(s) are given by the DCI fields of two SRS resource indicator and two Precoding information and number of layers in clause 7.3.1.1.2 and 7.3.1.1.3 of [5, TS 38.212] for DCI format 0_1 and 0_2. </w:t>
            </w:r>
          </w:p>
          <w:p w14:paraId="621A7460" w14:textId="2BEF6849" w:rsidR="001C7B85" w:rsidRDefault="001C7B85" w:rsidP="001C7B85">
            <w:pPr>
              <w:ind w:left="567" w:hanging="283"/>
            </w:pPr>
            <w:r w:rsidRPr="00B27327">
              <w:t>-</w:t>
            </w:r>
            <w:r w:rsidRPr="00B27327">
              <w:tab/>
              <w:t xml:space="preserve">When  codepoint “10” of </w:t>
            </w:r>
            <w:r w:rsidRPr="00B27327">
              <w:rPr>
                <w:i/>
              </w:rPr>
              <w:t>SRS Resource Set</w:t>
            </w:r>
            <w:r w:rsidRPr="00B27327">
              <w:t xml:space="preserve"> </w:t>
            </w:r>
            <w:r w:rsidRPr="00B27327">
              <w:rPr>
                <w:i/>
                <w:iCs/>
              </w:rPr>
              <w:t xml:space="preserve">indicator </w:t>
            </w:r>
            <w:r w:rsidRPr="00B27327">
              <w:t>is indicated</w:t>
            </w:r>
            <w:r w:rsidRPr="00B27327">
              <w:rPr>
                <w:i/>
                <w:iCs/>
              </w:rPr>
              <w:t>,</w:t>
            </w:r>
            <w:r w:rsidRPr="00B27327">
              <w:t xml:space="preserve"> the first TPMI is used to indicate precoder to be applied over layers {0…v-1} and the second TPMI is used to indicate the precoder to be applied over layers {0…v-1}, where  v ≤ </w:t>
            </w:r>
            <w:r w:rsidRPr="00B27327">
              <w:rPr>
                <w:i/>
                <w:iCs/>
              </w:rPr>
              <w:t xml:space="preserve">maxRankSfn </w:t>
            </w:r>
            <w:r w:rsidRPr="00B27327">
              <w:rPr>
                <w:rFonts w:hint="eastAsia"/>
                <w:lang w:val="en-US" w:eastAsia="zh-CN"/>
              </w:rPr>
              <w:t xml:space="preserve">or </w:t>
            </w:r>
            <w:r w:rsidRPr="00B27327">
              <w:rPr>
                <w:rFonts w:hint="eastAsia"/>
                <w:i/>
                <w:iCs/>
                <w:lang w:val="en-US" w:eastAsia="zh-CN"/>
              </w:rPr>
              <w:t>maxRankS</w:t>
            </w:r>
            <w:r w:rsidRPr="00B27327">
              <w:rPr>
                <w:i/>
                <w:iCs/>
                <w:lang w:eastAsia="zh-CN"/>
              </w:rPr>
              <w:t>fn</w:t>
            </w:r>
            <w:r w:rsidRPr="00B27327">
              <w:rPr>
                <w:rFonts w:hint="eastAsia"/>
                <w:i/>
                <w:iCs/>
                <w:lang w:val="en-US" w:eastAsia="zh-CN"/>
              </w:rPr>
              <w:t xml:space="preserve">DCI-0-2 </w:t>
            </w:r>
            <w:r w:rsidRPr="00B27327">
              <w:rPr>
                <w:iCs/>
                <w:lang w:val="en-US" w:eastAsia="zh-CN"/>
              </w:rPr>
              <w:t>and</w:t>
            </w:r>
            <w:r w:rsidRPr="00B27327">
              <w:rPr>
                <w:i/>
                <w:iCs/>
                <w:lang w:val="en-US" w:eastAsia="zh-CN"/>
              </w:rPr>
              <w:t xml:space="preserve"> </w:t>
            </w:r>
            <w:r w:rsidRPr="00B27327">
              <w:rPr>
                <w:i/>
                <w:iCs/>
              </w:rPr>
              <w:t xml:space="preserve">maxRankSfn </w:t>
            </w:r>
            <w:r w:rsidRPr="00B27327">
              <w:rPr>
                <w:rFonts w:hint="eastAsia"/>
                <w:lang w:val="en-US" w:eastAsia="zh-CN"/>
              </w:rPr>
              <w:t xml:space="preserve">or </w:t>
            </w:r>
            <w:r w:rsidRPr="00B27327">
              <w:rPr>
                <w:rFonts w:hint="eastAsia"/>
                <w:i/>
                <w:iCs/>
                <w:lang w:val="en-US" w:eastAsia="zh-CN"/>
              </w:rPr>
              <w:t>maxRankS</w:t>
            </w:r>
            <w:r w:rsidRPr="00B27327">
              <w:rPr>
                <w:i/>
                <w:iCs/>
                <w:lang w:eastAsia="zh-CN"/>
              </w:rPr>
              <w:t>fn</w:t>
            </w:r>
            <w:r w:rsidRPr="00B27327">
              <w:rPr>
                <w:rFonts w:hint="eastAsia"/>
                <w:i/>
                <w:iCs/>
                <w:lang w:val="en-US" w:eastAsia="zh-CN"/>
              </w:rPr>
              <w:t>DCI-0-2</w:t>
            </w:r>
            <w:r w:rsidRPr="00B27327">
              <w:rPr>
                <w:i/>
                <w:iCs/>
                <w:lang w:eastAsia="zh-CN"/>
              </w:rPr>
              <w:t xml:space="preserve"> </w:t>
            </w:r>
            <w:r w:rsidRPr="00B27327">
              <w:t xml:space="preserve">defining the maximum number of layers applied over the first SRS resource set and over the second SRS resource set separately. </w:t>
            </w:r>
          </w:p>
          <w:p w14:paraId="1A807118" w14:textId="0F3D8F0C" w:rsidR="001C7B85" w:rsidRPr="001C7B85" w:rsidRDefault="001C7B85" w:rsidP="001C7B85">
            <w:pPr>
              <w:ind w:left="567" w:hanging="283"/>
              <w:rPr>
                <w:color w:val="FF0000"/>
              </w:rPr>
            </w:pPr>
            <w:r w:rsidRPr="001C7B85">
              <w:rPr>
                <w:color w:val="FF0000"/>
              </w:rPr>
              <w:t>-</w:t>
            </w:r>
            <w:r w:rsidRPr="001C7B85">
              <w:rPr>
                <w:color w:val="FF0000"/>
              </w:rPr>
              <w:tab/>
            </w:r>
            <w:r w:rsidR="00146F4E" w:rsidRPr="00146F4E">
              <w:rPr>
                <w:color w:val="FF0000"/>
              </w:rPr>
              <w:t>The layer</w:t>
            </w:r>
            <w:r w:rsidR="00146F4E">
              <w:rPr>
                <w:color w:val="FF0000"/>
              </w:rPr>
              <w:t>s</w:t>
            </w:r>
            <w:r w:rsidR="00146F4E" w:rsidRPr="00146F4E">
              <w:rPr>
                <w:color w:val="FF0000"/>
              </w:rPr>
              <w:t xml:space="preserve"> to which the precoder indicated by the first TPMI is applied and the layer</w:t>
            </w:r>
            <w:r w:rsidR="00146F4E">
              <w:rPr>
                <w:color w:val="FF0000"/>
              </w:rPr>
              <w:t>s</w:t>
            </w:r>
            <w:r w:rsidR="00146F4E" w:rsidRPr="00146F4E">
              <w:rPr>
                <w:color w:val="FF0000"/>
              </w:rPr>
              <w:t xml:space="preserve"> to which the precoder indicated by the second TPMI is applied are mapped to different antenna ports.</w:t>
            </w:r>
          </w:p>
          <w:p w14:paraId="3E7C16E9" w14:textId="77777777" w:rsidR="002921A8" w:rsidRDefault="002921A8" w:rsidP="00B403CF">
            <w:pPr>
              <w:snapToGrid/>
              <w:spacing w:after="180" w:afterAutospacing="0"/>
              <w:jc w:val="center"/>
              <w:rPr>
                <w:rFonts w:ascii="Arial" w:eastAsia="SimSun" w:hAnsi="Arial" w:cs="Arial"/>
                <w:color w:val="FF0000"/>
                <w:szCs w:val="24"/>
                <w:lang w:eastAsia="en-US"/>
              </w:rPr>
            </w:pPr>
            <w:r w:rsidRPr="00693E4C">
              <w:rPr>
                <w:rFonts w:ascii="Arial" w:eastAsia="SimSun" w:hAnsi="Arial" w:cs="Arial"/>
                <w:color w:val="FF0000"/>
                <w:szCs w:val="24"/>
                <w:lang w:eastAsia="en-US"/>
              </w:rPr>
              <w:t>&lt; Unchanged parts are omitted &gt;</w:t>
            </w:r>
          </w:p>
          <w:p w14:paraId="30A0E0C4" w14:textId="293CE177" w:rsidR="00602FC5" w:rsidRPr="00FB34D9" w:rsidRDefault="00602FC5" w:rsidP="00602FC5">
            <w:pPr>
              <w:keepNext/>
              <w:keepLines/>
              <w:snapToGrid/>
              <w:spacing w:before="120" w:after="180" w:afterAutospacing="0"/>
              <w:jc w:val="left"/>
              <w:outlineLvl w:val="2"/>
              <w:rPr>
                <w:rFonts w:ascii="Arial" w:eastAsia="ＭＳ Ｐゴシック" w:hAnsi="Arial"/>
                <w:color w:val="000000"/>
                <w:sz w:val="28"/>
                <w:lang w:eastAsia="en-US"/>
              </w:rPr>
            </w:pPr>
            <w:r w:rsidRPr="00FB34D9">
              <w:rPr>
                <w:rFonts w:ascii="Arial" w:eastAsia="ＭＳ Ｐゴシック" w:hAnsi="Arial"/>
                <w:color w:val="000000"/>
                <w:sz w:val="28"/>
                <w:lang w:eastAsia="en-US"/>
              </w:rPr>
              <w:t>6.</w:t>
            </w:r>
            <w:r>
              <w:rPr>
                <w:rFonts w:ascii="Arial" w:eastAsia="ＭＳ Ｐゴシック" w:hAnsi="Arial"/>
                <w:color w:val="000000"/>
                <w:sz w:val="28"/>
                <w:lang w:eastAsia="en-US"/>
              </w:rPr>
              <w:t>1.1</w:t>
            </w:r>
            <w:r w:rsidRPr="00FB34D9">
              <w:rPr>
                <w:rFonts w:ascii="Arial" w:eastAsia="ＭＳ Ｐゴシック" w:hAnsi="Arial"/>
                <w:color w:val="000000"/>
                <w:sz w:val="28"/>
                <w:lang w:eastAsia="en-US"/>
              </w:rPr>
              <w:t>.</w:t>
            </w:r>
            <w:r>
              <w:rPr>
                <w:rFonts w:ascii="Arial" w:eastAsia="ＭＳ Ｐゴシック" w:hAnsi="Arial"/>
                <w:color w:val="000000"/>
                <w:sz w:val="28"/>
                <w:lang w:eastAsia="en-US"/>
              </w:rPr>
              <w:t>2</w:t>
            </w:r>
            <w:r w:rsidRPr="00FB34D9">
              <w:rPr>
                <w:rFonts w:ascii="Arial" w:eastAsia="ＭＳ Ｐゴシック" w:hAnsi="Arial"/>
                <w:color w:val="000000"/>
                <w:sz w:val="28"/>
                <w:lang w:eastAsia="en-US"/>
              </w:rPr>
              <w:tab/>
            </w:r>
            <w:r>
              <w:rPr>
                <w:rFonts w:ascii="Arial" w:eastAsia="ＭＳ Ｐゴシック" w:hAnsi="Arial"/>
                <w:color w:val="000000"/>
                <w:sz w:val="28"/>
                <w:lang w:eastAsia="en-US"/>
              </w:rPr>
              <w:t>Non-</w:t>
            </w:r>
            <w:r w:rsidRPr="002921A8">
              <w:rPr>
                <w:rFonts w:ascii="Arial" w:eastAsia="ＭＳ Ｐゴシック" w:hAnsi="Arial"/>
                <w:color w:val="000000"/>
                <w:sz w:val="28"/>
                <w:lang w:eastAsia="en-US"/>
              </w:rPr>
              <w:t>Codebook based UL transmission</w:t>
            </w:r>
          </w:p>
          <w:p w14:paraId="7696ACC4" w14:textId="77777777" w:rsidR="00602FC5" w:rsidRPr="00BF3FD8" w:rsidRDefault="00602FC5" w:rsidP="00602FC5">
            <w:pPr>
              <w:rPr>
                <w:color w:val="000000" w:themeColor="text1"/>
              </w:rPr>
            </w:pPr>
            <w:r w:rsidRPr="00BF3FD8">
              <w:rPr>
                <w:color w:val="000000" w:themeColor="text1"/>
                <w:lang w:val="en-US"/>
              </w:rPr>
              <w:t xml:space="preserve">When </w:t>
            </w:r>
            <w:r w:rsidRPr="00BF3FD8">
              <w:rPr>
                <w:color w:val="000000" w:themeColor="text1"/>
              </w:rPr>
              <w:t xml:space="preserve">the higher layer parameter </w:t>
            </w:r>
            <w:r w:rsidRPr="00BF3FD8">
              <w:rPr>
                <w:i/>
                <w:iCs/>
                <w:color w:val="000000" w:themeColor="text1"/>
              </w:rPr>
              <w:t>multipanelScheme</w:t>
            </w:r>
            <w:r w:rsidRPr="00BF3FD8">
              <w:rPr>
                <w:color w:val="000000" w:themeColor="text1"/>
              </w:rPr>
              <w:t xml:space="preserve"> is set to ‘SFNscheme’ and two SRS resource sets are configured in </w:t>
            </w:r>
            <w:r w:rsidRPr="00BF3FD8">
              <w:rPr>
                <w:i/>
                <w:color w:val="000000" w:themeColor="text1"/>
              </w:rPr>
              <w:t>srs-ResourceSetToAddModList</w:t>
            </w:r>
            <w:r w:rsidRPr="00BF3FD8">
              <w:rPr>
                <w:color w:val="000000" w:themeColor="text1"/>
              </w:rPr>
              <w:t xml:space="preserve"> or </w:t>
            </w:r>
            <w:r w:rsidRPr="00BF3FD8">
              <w:rPr>
                <w:i/>
                <w:color w:val="000000" w:themeColor="text1"/>
              </w:rPr>
              <w:t xml:space="preserve">srs-ResourceSetToAddModListDCI-0-2 </w:t>
            </w:r>
            <w:r w:rsidRPr="00BF3FD8">
              <w:rPr>
                <w:color w:val="000000" w:themeColor="text1"/>
              </w:rPr>
              <w:t xml:space="preserve">with higher layer parameter </w:t>
            </w:r>
            <w:r w:rsidRPr="00BF3FD8">
              <w:rPr>
                <w:i/>
                <w:color w:val="000000" w:themeColor="text1"/>
              </w:rPr>
              <w:t xml:space="preserve">usage </w:t>
            </w:r>
            <w:r w:rsidRPr="00BF3FD8">
              <w:rPr>
                <w:color w:val="000000" w:themeColor="text1"/>
              </w:rPr>
              <w:t xml:space="preserve">in </w:t>
            </w:r>
            <w:r w:rsidRPr="00BF3FD8">
              <w:rPr>
                <w:i/>
                <w:color w:val="000000" w:themeColor="text1"/>
              </w:rPr>
              <w:t>SRS-ResourceSet</w:t>
            </w:r>
            <w:r w:rsidRPr="00BF3FD8">
              <w:rPr>
                <w:color w:val="000000" w:themeColor="text1"/>
              </w:rPr>
              <w:t xml:space="preserve"> set to 'nonCodebook', two SRI(s) are given by the DCI fields of two SRS resource indicator and two Precoding information and number of layers in clause 7.3.1.1.2 and 7.3.1.1.3 of [5, TS 38.212] for DCI format 0_1 and 0_2. </w:t>
            </w:r>
          </w:p>
          <w:p w14:paraId="0D6ECF6C" w14:textId="4A0D0E3B" w:rsidR="00602FC5" w:rsidRPr="00BF3FD8" w:rsidRDefault="00602FC5" w:rsidP="00602FC5">
            <w:pPr>
              <w:ind w:left="567" w:hanging="283"/>
              <w:rPr>
                <w:color w:val="000000" w:themeColor="text1"/>
              </w:rPr>
            </w:pPr>
            <w:r w:rsidRPr="00BF3FD8">
              <w:rPr>
                <w:color w:val="000000" w:themeColor="text1"/>
              </w:rPr>
              <w:t>-</w:t>
            </w:r>
            <w:r w:rsidRPr="00BF3FD8">
              <w:rPr>
                <w:color w:val="000000" w:themeColor="text1"/>
              </w:rPr>
              <w:tab/>
              <w:t xml:space="preserve">When codepoint “10” of </w:t>
            </w:r>
            <w:r w:rsidRPr="00BF3FD8">
              <w:rPr>
                <w:i/>
                <w:color w:val="000000" w:themeColor="text1"/>
              </w:rPr>
              <w:t>SRS Resource Set</w:t>
            </w:r>
            <w:r w:rsidRPr="00BF3FD8">
              <w:rPr>
                <w:color w:val="000000" w:themeColor="text1"/>
              </w:rPr>
              <w:t xml:space="preserve"> </w:t>
            </w:r>
            <w:r w:rsidRPr="00BF3FD8">
              <w:rPr>
                <w:i/>
                <w:iCs/>
                <w:color w:val="000000" w:themeColor="text1"/>
              </w:rPr>
              <w:t xml:space="preserve">indicator </w:t>
            </w:r>
            <w:r w:rsidRPr="00BF3FD8">
              <w:rPr>
                <w:color w:val="000000" w:themeColor="text1"/>
              </w:rPr>
              <w:t>is indicated</w:t>
            </w:r>
            <w:r w:rsidRPr="00BF3FD8">
              <w:rPr>
                <w:i/>
                <w:iCs/>
                <w:color w:val="000000" w:themeColor="text1"/>
              </w:rPr>
              <w:t>,</w:t>
            </w:r>
            <w:r w:rsidRPr="00BF3FD8">
              <w:rPr>
                <w:color w:val="000000" w:themeColor="text1"/>
              </w:rPr>
              <w:t xml:space="preserve"> the first SRI is used to indicate resource(s) to be associated with layer(s) {0…v-1} and the second SRI is used to indicate resource(s) to be associated with layer(s) {0…v-1}, where v ≤ </w:t>
            </w:r>
            <w:r w:rsidRPr="00BF3FD8">
              <w:rPr>
                <w:i/>
                <w:iCs/>
                <w:color w:val="000000" w:themeColor="text1"/>
              </w:rPr>
              <w:t>L</w:t>
            </w:r>
            <w:r w:rsidRPr="00BF3FD8">
              <w:rPr>
                <w:i/>
                <w:iCs/>
                <w:color w:val="000000" w:themeColor="text1"/>
                <w:vertAlign w:val="subscript"/>
              </w:rPr>
              <w:t>max</w:t>
            </w:r>
            <w:r w:rsidRPr="00BF3FD8">
              <w:rPr>
                <w:i/>
                <w:iCs/>
                <w:color w:val="000000" w:themeColor="text1"/>
              </w:rPr>
              <w:t xml:space="preserve"> </w:t>
            </w:r>
            <w:r w:rsidRPr="00BF3FD8">
              <w:rPr>
                <w:color w:val="000000" w:themeColor="text1"/>
              </w:rPr>
              <w:t xml:space="preserve">and where </w:t>
            </w:r>
            <w:r w:rsidRPr="00BF3FD8">
              <w:rPr>
                <w:i/>
                <w:iCs/>
                <w:color w:val="000000" w:themeColor="text1"/>
              </w:rPr>
              <w:t>L</w:t>
            </w:r>
            <w:r w:rsidRPr="00BF3FD8">
              <w:rPr>
                <w:i/>
                <w:iCs/>
                <w:color w:val="000000" w:themeColor="text1"/>
                <w:vertAlign w:val="subscript"/>
              </w:rPr>
              <w:t>max</w:t>
            </w:r>
            <w:r w:rsidRPr="00BF3FD8">
              <w:rPr>
                <w:color w:val="000000" w:themeColor="text1"/>
              </w:rPr>
              <w:t xml:space="preserve"> is defined in clauses 7.3.1.1.2 and 7.3.1.1.3 of [5, TS 38.212]. </w:t>
            </w:r>
          </w:p>
          <w:p w14:paraId="62114E67" w14:textId="7CAD47AD" w:rsidR="00602FC5" w:rsidRPr="001C7B85" w:rsidRDefault="00602FC5" w:rsidP="00602FC5">
            <w:pPr>
              <w:ind w:left="567" w:hanging="283"/>
              <w:rPr>
                <w:color w:val="FF0000"/>
              </w:rPr>
            </w:pPr>
            <w:r w:rsidRPr="001C7B85">
              <w:rPr>
                <w:color w:val="FF0000"/>
              </w:rPr>
              <w:t>-</w:t>
            </w:r>
            <w:r w:rsidRPr="001C7B85">
              <w:rPr>
                <w:color w:val="FF0000"/>
              </w:rPr>
              <w:tab/>
            </w:r>
            <w:r w:rsidRPr="00146F4E">
              <w:rPr>
                <w:color w:val="FF0000"/>
              </w:rPr>
              <w:t>The layer</w:t>
            </w:r>
            <w:r>
              <w:rPr>
                <w:color w:val="FF0000"/>
              </w:rPr>
              <w:t>s</w:t>
            </w:r>
            <w:r w:rsidRPr="00146F4E">
              <w:rPr>
                <w:color w:val="FF0000"/>
              </w:rPr>
              <w:t xml:space="preserve"> </w:t>
            </w:r>
            <w:r>
              <w:rPr>
                <w:color w:val="FF0000"/>
              </w:rPr>
              <w:t>with</w:t>
            </w:r>
            <w:r w:rsidRPr="00146F4E">
              <w:rPr>
                <w:color w:val="FF0000"/>
              </w:rPr>
              <w:t xml:space="preserve"> which the </w:t>
            </w:r>
            <w:r>
              <w:rPr>
                <w:color w:val="FF0000"/>
              </w:rPr>
              <w:t>resources</w:t>
            </w:r>
            <w:r w:rsidRPr="00146F4E">
              <w:rPr>
                <w:color w:val="FF0000"/>
              </w:rPr>
              <w:t xml:space="preserve"> indicated by the first </w:t>
            </w:r>
            <w:r>
              <w:rPr>
                <w:color w:val="FF0000"/>
              </w:rPr>
              <w:t>SR</w:t>
            </w:r>
            <w:r w:rsidRPr="00146F4E">
              <w:rPr>
                <w:color w:val="FF0000"/>
              </w:rPr>
              <w:t xml:space="preserve">I is </w:t>
            </w:r>
            <w:r>
              <w:rPr>
                <w:color w:val="FF0000"/>
              </w:rPr>
              <w:t>associated</w:t>
            </w:r>
            <w:r w:rsidRPr="00146F4E">
              <w:rPr>
                <w:color w:val="FF0000"/>
              </w:rPr>
              <w:t xml:space="preserve"> and the layer</w:t>
            </w:r>
            <w:r>
              <w:rPr>
                <w:color w:val="FF0000"/>
              </w:rPr>
              <w:t>s</w:t>
            </w:r>
            <w:r w:rsidRPr="00146F4E">
              <w:rPr>
                <w:color w:val="FF0000"/>
              </w:rPr>
              <w:t xml:space="preserve"> </w:t>
            </w:r>
            <w:r>
              <w:rPr>
                <w:color w:val="FF0000"/>
              </w:rPr>
              <w:t>with</w:t>
            </w:r>
            <w:r w:rsidRPr="00146F4E">
              <w:rPr>
                <w:color w:val="FF0000"/>
              </w:rPr>
              <w:t xml:space="preserve"> which the </w:t>
            </w:r>
            <w:r>
              <w:rPr>
                <w:color w:val="FF0000"/>
              </w:rPr>
              <w:t>resources</w:t>
            </w:r>
            <w:r w:rsidRPr="00146F4E">
              <w:rPr>
                <w:color w:val="FF0000"/>
              </w:rPr>
              <w:t xml:space="preserve"> indicated by the second </w:t>
            </w:r>
            <w:r>
              <w:rPr>
                <w:color w:val="FF0000"/>
              </w:rPr>
              <w:t>SR</w:t>
            </w:r>
            <w:r w:rsidRPr="00146F4E">
              <w:rPr>
                <w:color w:val="FF0000"/>
              </w:rPr>
              <w:t xml:space="preserve">I is </w:t>
            </w:r>
            <w:r>
              <w:rPr>
                <w:color w:val="FF0000"/>
              </w:rPr>
              <w:t>associated</w:t>
            </w:r>
            <w:r w:rsidRPr="00146F4E">
              <w:rPr>
                <w:color w:val="FF0000"/>
              </w:rPr>
              <w:t xml:space="preserve"> are mapped to different antenna ports.</w:t>
            </w:r>
          </w:p>
          <w:p w14:paraId="0C707A0C" w14:textId="5E4CB1E0" w:rsidR="00602FC5" w:rsidRPr="00602FC5" w:rsidRDefault="00602FC5" w:rsidP="00602FC5">
            <w:pPr>
              <w:snapToGrid/>
              <w:spacing w:after="180" w:afterAutospacing="0"/>
              <w:jc w:val="center"/>
              <w:rPr>
                <w:rFonts w:ascii="Arial" w:eastAsia="SimSun" w:hAnsi="Arial" w:cs="Arial"/>
                <w:color w:val="FF0000"/>
                <w:szCs w:val="24"/>
                <w:lang w:eastAsia="en-US"/>
              </w:rPr>
            </w:pPr>
            <w:r w:rsidRPr="00693E4C">
              <w:rPr>
                <w:rFonts w:ascii="Arial" w:eastAsia="SimSun" w:hAnsi="Arial" w:cs="Arial"/>
                <w:color w:val="FF0000"/>
                <w:szCs w:val="24"/>
                <w:lang w:eastAsia="en-US"/>
              </w:rPr>
              <w:t>&lt; Unchanged parts are omitted &gt;</w:t>
            </w:r>
          </w:p>
        </w:tc>
      </w:tr>
    </w:tbl>
    <w:p w14:paraId="661148B1" w14:textId="7FA7AEC9" w:rsidR="00146F4E" w:rsidRPr="002921A8" w:rsidRDefault="00146F4E" w:rsidP="00146F4E">
      <w:pPr>
        <w:rPr>
          <w:b/>
        </w:rPr>
      </w:pPr>
    </w:p>
    <w:tbl>
      <w:tblPr>
        <w:tblStyle w:val="af0"/>
        <w:tblW w:w="0" w:type="auto"/>
        <w:tblLook w:val="04A0" w:firstRow="1" w:lastRow="0" w:firstColumn="1" w:lastColumn="0" w:noHBand="0" w:noVBand="1"/>
      </w:tblPr>
      <w:tblGrid>
        <w:gridCol w:w="9954"/>
      </w:tblGrid>
      <w:tr w:rsidR="00146F4E" w14:paraId="547E22FB" w14:textId="77777777" w:rsidTr="00B403CF">
        <w:tc>
          <w:tcPr>
            <w:tcW w:w="9954" w:type="dxa"/>
          </w:tcPr>
          <w:p w14:paraId="23537A0E" w14:textId="1EA3A3D2" w:rsidR="00146F4E" w:rsidRPr="00FB34D9" w:rsidRDefault="00146F4E" w:rsidP="00B403CF">
            <w:pPr>
              <w:snapToGrid/>
              <w:spacing w:after="180" w:afterAutospacing="0"/>
              <w:jc w:val="center"/>
              <w:rPr>
                <w:rFonts w:eastAsia="SimSun"/>
                <w:noProof/>
                <w:sz w:val="20"/>
                <w:lang w:eastAsia="en-US"/>
              </w:rPr>
            </w:pPr>
          </w:p>
        </w:tc>
      </w:tr>
    </w:tbl>
    <w:p w14:paraId="19E0F487" w14:textId="77777777" w:rsidR="00633B7A" w:rsidRPr="00343051" w:rsidRDefault="00633B7A" w:rsidP="001D2DCE"/>
    <w:p w14:paraId="1BA1DAE9" w14:textId="78DCB534"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30029331" w14:textId="77777777" w:rsidR="006937A3" w:rsidRDefault="006937A3" w:rsidP="006937A3">
      <w:pPr>
        <w:rPr>
          <w:b/>
        </w:rPr>
      </w:pPr>
      <w:r>
        <w:rPr>
          <w:b/>
        </w:rPr>
        <w:t>Proposal 1: For single-DCI based STxMP SFN scheme, l</w:t>
      </w:r>
      <w:r w:rsidRPr="002921A8">
        <w:rPr>
          <w:b/>
        </w:rPr>
        <w:t>ayers</w:t>
      </w:r>
      <w:r>
        <w:rPr>
          <w:b/>
        </w:rPr>
        <w:t xml:space="preserve"> applied</w:t>
      </w:r>
      <w:r w:rsidRPr="002921A8">
        <w:rPr>
          <w:b/>
        </w:rPr>
        <w:t xml:space="preserve"> with different precoders should be mapped to different antenna ports.</w:t>
      </w:r>
    </w:p>
    <w:p w14:paraId="6DD58202" w14:textId="77777777" w:rsidR="006937A3" w:rsidRPr="003357C8" w:rsidRDefault="006937A3" w:rsidP="006937A3">
      <w:pPr>
        <w:rPr>
          <w:b/>
        </w:rPr>
      </w:pPr>
      <w:r w:rsidRPr="003357C8">
        <w:rPr>
          <w:rFonts w:hint="eastAsia"/>
          <w:b/>
        </w:rPr>
        <w:t>P</w:t>
      </w:r>
      <w:r w:rsidRPr="003357C8">
        <w:rPr>
          <w:b/>
        </w:rPr>
        <w:t xml:space="preserve">roposal </w:t>
      </w:r>
      <w:r>
        <w:rPr>
          <w:b/>
        </w:rPr>
        <w:t>2</w:t>
      </w:r>
      <w:r w:rsidRPr="003357C8">
        <w:rPr>
          <w:b/>
        </w:rPr>
        <w:t xml:space="preserve">: </w:t>
      </w:r>
      <w:r>
        <w:rPr>
          <w:b/>
        </w:rPr>
        <w:t>For single-DCI based STxMP SFN scheme, the number of layer should be less than half the number of antenna ports</w:t>
      </w:r>
    </w:p>
    <w:p w14:paraId="32E9844F" w14:textId="06D07F64" w:rsidR="006937A3" w:rsidRPr="002921A8" w:rsidRDefault="006937A3" w:rsidP="006937A3">
      <w:pPr>
        <w:rPr>
          <w:b/>
        </w:rPr>
      </w:pPr>
      <w:r w:rsidRPr="002921A8">
        <w:rPr>
          <w:rFonts w:hint="eastAsia"/>
          <w:b/>
        </w:rPr>
        <w:t>P</w:t>
      </w:r>
      <w:r w:rsidRPr="002921A8">
        <w:rPr>
          <w:b/>
        </w:rPr>
        <w:t xml:space="preserve">roposal 3: </w:t>
      </w:r>
      <w:r w:rsidRPr="00DB6777">
        <w:rPr>
          <w:b/>
          <w:bCs/>
        </w:rPr>
        <w:t>The following TP</w:t>
      </w:r>
      <w:r>
        <w:rPr>
          <w:b/>
          <w:bCs/>
        </w:rPr>
        <w:t xml:space="preserve"> </w:t>
      </w:r>
      <w:r w:rsidRPr="00DB6777">
        <w:rPr>
          <w:b/>
          <w:bCs/>
        </w:rPr>
        <w:t>should be adopted in TS38.214:</w:t>
      </w:r>
    </w:p>
    <w:p w14:paraId="04F24804" w14:textId="77777777" w:rsidR="008B4BFC" w:rsidRPr="006937A3" w:rsidRDefault="008B4BFC" w:rsidP="00EA4487">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6CE35CD2"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47E20144" w14:textId="77777777" w:rsidR="006937A3" w:rsidRDefault="006937A3" w:rsidP="006937A3">
      <w:pPr>
        <w:pStyle w:val="textintend2"/>
        <w:widowControl w:val="0"/>
        <w:spacing w:after="0"/>
        <w:rPr>
          <w:szCs w:val="24"/>
          <w:lang w:eastAsia="ja-JP"/>
        </w:rPr>
      </w:pPr>
      <w:r w:rsidRPr="00EF4582">
        <w:rPr>
          <w:szCs w:val="24"/>
          <w:lang w:eastAsia="ja-JP"/>
        </w:rPr>
        <w:t>RAN1 Meetin</w:t>
      </w:r>
      <w:r>
        <w:rPr>
          <w:szCs w:val="24"/>
          <w:lang w:eastAsia="ja-JP"/>
        </w:rPr>
        <w:t>g#114, Chair's notes RAN1#114</w:t>
      </w:r>
      <w:r w:rsidRPr="00EF4582">
        <w:rPr>
          <w:szCs w:val="24"/>
          <w:lang w:eastAsia="ja-JP"/>
        </w:rPr>
        <w:t>.</w:t>
      </w:r>
    </w:p>
    <w:p w14:paraId="3E58B9F9" w14:textId="15E049B4" w:rsidR="006937A3" w:rsidRPr="006937A3" w:rsidRDefault="006937A3" w:rsidP="006937A3">
      <w:pPr>
        <w:pStyle w:val="textintend2"/>
        <w:widowControl w:val="0"/>
        <w:spacing w:after="0"/>
        <w:rPr>
          <w:szCs w:val="24"/>
          <w:lang w:eastAsia="ja-JP"/>
        </w:rPr>
      </w:pPr>
      <w:r>
        <w:rPr>
          <w:szCs w:val="24"/>
          <w:lang w:eastAsia="ja-JP"/>
        </w:rPr>
        <w:t xml:space="preserve">RAN Meeting#101, </w:t>
      </w:r>
      <w:r w:rsidR="006175BF" w:rsidRPr="006937A3">
        <w:rPr>
          <w:szCs w:val="24"/>
          <w:lang w:eastAsia="ja-JP"/>
        </w:rPr>
        <w:t>R1-2308717</w:t>
      </w:r>
      <w:r w:rsidR="006175BF">
        <w:rPr>
          <w:szCs w:val="24"/>
          <w:lang w:eastAsia="ja-JP"/>
        </w:rPr>
        <w:t xml:space="preserve">, </w:t>
      </w:r>
      <w:r>
        <w:rPr>
          <w:szCs w:val="24"/>
          <w:lang w:eastAsia="ja-JP"/>
        </w:rPr>
        <w:t>Draft CR 38.214</w:t>
      </w:r>
      <w:bookmarkStart w:id="12" w:name="_GoBack"/>
      <w:bookmarkEnd w:id="12"/>
      <w:r>
        <w:rPr>
          <w:szCs w:val="24"/>
          <w:lang w:eastAsia="ja-JP"/>
        </w:rPr>
        <w:t xml:space="preserve"> </w:t>
      </w:r>
    </w:p>
    <w:sectPr w:rsidR="006937A3" w:rsidRPr="006937A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4E65F" w14:textId="77777777" w:rsidR="00EC5C08" w:rsidRDefault="00EC5C08">
      <w:r>
        <w:separator/>
      </w:r>
    </w:p>
  </w:endnote>
  <w:endnote w:type="continuationSeparator" w:id="0">
    <w:p w14:paraId="702E0FF2" w14:textId="77777777" w:rsidR="00EC5C08" w:rsidRDefault="00EC5C08">
      <w:r>
        <w:continuationSeparator/>
      </w:r>
    </w:p>
  </w:endnote>
  <w:endnote w:type="continuationNotice" w:id="1">
    <w:p w14:paraId="0E15DC12" w14:textId="77777777" w:rsidR="00EC5C08" w:rsidRDefault="00EC5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E84179" w:rsidRDefault="00E8417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E84179" w:rsidRDefault="00E8417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065D0" w14:textId="77777777" w:rsidR="00EC5C08" w:rsidRDefault="00EC5C08">
      <w:r>
        <w:separator/>
      </w:r>
    </w:p>
  </w:footnote>
  <w:footnote w:type="continuationSeparator" w:id="0">
    <w:p w14:paraId="3C76F89C" w14:textId="77777777" w:rsidR="00EC5C08" w:rsidRDefault="00EC5C08">
      <w:r>
        <w:continuationSeparator/>
      </w:r>
    </w:p>
  </w:footnote>
  <w:footnote w:type="continuationNotice" w:id="1">
    <w:p w14:paraId="2B33021F" w14:textId="77777777" w:rsidR="00EC5C08" w:rsidRDefault="00EC5C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4A1FC1"/>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FD51319"/>
    <w:multiLevelType w:val="hybridMultilevel"/>
    <w:tmpl w:val="BEC66BCA"/>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B4F71"/>
    <w:multiLevelType w:val="hybridMultilevel"/>
    <w:tmpl w:val="D1DA0EE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9D28DC"/>
    <w:multiLevelType w:val="hybridMultilevel"/>
    <w:tmpl w:val="A5089970"/>
    <w:lvl w:ilvl="0" w:tplc="04090001">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795059E"/>
    <w:multiLevelType w:val="hybridMultilevel"/>
    <w:tmpl w:val="4EAA5F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FA2D1B"/>
    <w:multiLevelType w:val="hybridMultilevel"/>
    <w:tmpl w:val="055E339A"/>
    <w:lvl w:ilvl="0" w:tplc="4E5CA9E4">
      <w:numFmt w:val="bullet"/>
      <w:lvlText w:val="-"/>
      <w:lvlJc w:val="left"/>
      <w:pPr>
        <w:ind w:left="1260" w:hanging="42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822735"/>
    <w:multiLevelType w:val="hybridMultilevel"/>
    <w:tmpl w:val="69D2F63A"/>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1"/>
  </w:num>
  <w:num w:numId="6">
    <w:abstractNumId w:val="22"/>
  </w:num>
  <w:num w:numId="7">
    <w:abstractNumId w:val="20"/>
  </w:num>
  <w:num w:numId="8">
    <w:abstractNumId w:val="5"/>
  </w:num>
  <w:num w:numId="9">
    <w:abstractNumId w:val="41"/>
  </w:num>
  <w:num w:numId="10">
    <w:abstractNumId w:val="19"/>
  </w:num>
  <w:num w:numId="11">
    <w:abstractNumId w:val="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3"/>
  </w:num>
  <w:num w:numId="15">
    <w:abstractNumId w:val="3"/>
  </w:num>
  <w:num w:numId="16">
    <w:abstractNumId w:val="43"/>
  </w:num>
  <w:num w:numId="17">
    <w:abstractNumId w:val="4"/>
  </w:num>
  <w:num w:numId="18">
    <w:abstractNumId w:val="16"/>
  </w:num>
  <w:num w:numId="19">
    <w:abstractNumId w:val="2"/>
  </w:num>
  <w:num w:numId="20">
    <w:abstractNumId w:val="38"/>
  </w:num>
  <w:num w:numId="21">
    <w:abstractNumId w:val="15"/>
  </w:num>
  <w:num w:numId="22">
    <w:abstractNumId w:val="28"/>
  </w:num>
  <w:num w:numId="23">
    <w:abstractNumId w:val="26"/>
  </w:num>
  <w:num w:numId="24">
    <w:abstractNumId w:val="13"/>
  </w:num>
  <w:num w:numId="25">
    <w:abstractNumId w:val="30"/>
  </w:num>
  <w:num w:numId="26">
    <w:abstractNumId w:val="32"/>
  </w:num>
  <w:num w:numId="27">
    <w:abstractNumId w:val="44"/>
  </w:num>
  <w:num w:numId="28">
    <w:abstractNumId w:val="9"/>
  </w:num>
  <w:num w:numId="29">
    <w:abstractNumId w:val="7"/>
  </w:num>
  <w:num w:numId="30">
    <w:abstractNumId w:val="18"/>
  </w:num>
  <w:num w:numId="31">
    <w:abstractNumId w:val="45"/>
  </w:num>
  <w:num w:numId="32">
    <w:abstractNumId w:val="17"/>
  </w:num>
  <w:num w:numId="33">
    <w:abstractNumId w:val="24"/>
  </w:num>
  <w:num w:numId="34">
    <w:abstractNumId w:val="46"/>
  </w:num>
  <w:num w:numId="35">
    <w:abstractNumId w:val="39"/>
  </w:num>
  <w:num w:numId="36">
    <w:abstractNumId w:val="0"/>
  </w:num>
  <w:num w:numId="37">
    <w:abstractNumId w:val="12"/>
  </w:num>
  <w:num w:numId="38">
    <w:abstractNumId w:val="23"/>
  </w:num>
  <w:num w:numId="39">
    <w:abstractNumId w:val="8"/>
  </w:num>
  <w:num w:numId="40">
    <w:abstractNumId w:val="25"/>
  </w:num>
  <w:num w:numId="41">
    <w:abstractNumId w:val="14"/>
  </w:num>
  <w:num w:numId="42">
    <w:abstractNumId w:val="29"/>
  </w:num>
  <w:num w:numId="43">
    <w:abstractNumId w:val="31"/>
  </w:num>
  <w:num w:numId="44">
    <w:abstractNumId w:val="40"/>
  </w:num>
  <w:num w:numId="45">
    <w:abstractNumId w:val="34"/>
  </w:num>
  <w:num w:numId="46">
    <w:abstractNumId w:val="42"/>
  </w:num>
  <w:num w:numId="47">
    <w:abstractNumId w:val="37"/>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2B4"/>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6AD"/>
    <w:rsid w:val="000379A2"/>
    <w:rsid w:val="00040145"/>
    <w:rsid w:val="0004029F"/>
    <w:rsid w:val="00040407"/>
    <w:rsid w:val="000405DD"/>
    <w:rsid w:val="00040623"/>
    <w:rsid w:val="000406B8"/>
    <w:rsid w:val="000408DD"/>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C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96A"/>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3FA2"/>
    <w:rsid w:val="000943AC"/>
    <w:rsid w:val="000948B8"/>
    <w:rsid w:val="00094987"/>
    <w:rsid w:val="00094E68"/>
    <w:rsid w:val="0009503F"/>
    <w:rsid w:val="000953E0"/>
    <w:rsid w:val="000958E3"/>
    <w:rsid w:val="00095AAF"/>
    <w:rsid w:val="00095B57"/>
    <w:rsid w:val="00095FBA"/>
    <w:rsid w:val="000961D4"/>
    <w:rsid w:val="0009651D"/>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94B"/>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9E6"/>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1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B"/>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6E13"/>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0D32"/>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4E"/>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315"/>
    <w:rsid w:val="0018770B"/>
    <w:rsid w:val="001877B5"/>
    <w:rsid w:val="00187989"/>
    <w:rsid w:val="00187B1A"/>
    <w:rsid w:val="00187B63"/>
    <w:rsid w:val="00187D24"/>
    <w:rsid w:val="00187F7F"/>
    <w:rsid w:val="00190486"/>
    <w:rsid w:val="001906CC"/>
    <w:rsid w:val="0019081E"/>
    <w:rsid w:val="00190B42"/>
    <w:rsid w:val="00190CC7"/>
    <w:rsid w:val="00190CF8"/>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9F0"/>
    <w:rsid w:val="001A3C68"/>
    <w:rsid w:val="001A3ED2"/>
    <w:rsid w:val="001A406E"/>
    <w:rsid w:val="001A4299"/>
    <w:rsid w:val="001A43C2"/>
    <w:rsid w:val="001A4413"/>
    <w:rsid w:val="001A5210"/>
    <w:rsid w:val="001A54E9"/>
    <w:rsid w:val="001A55F3"/>
    <w:rsid w:val="001A57B9"/>
    <w:rsid w:val="001A598B"/>
    <w:rsid w:val="001A59FB"/>
    <w:rsid w:val="001A5D19"/>
    <w:rsid w:val="001A5EBC"/>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B85"/>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2DCE"/>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6F2D"/>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23B"/>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83F"/>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C77"/>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5F7"/>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729"/>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9EA"/>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DF6"/>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3BE"/>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14"/>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A56"/>
    <w:rsid w:val="00287CE1"/>
    <w:rsid w:val="002900A5"/>
    <w:rsid w:val="00290242"/>
    <w:rsid w:val="00291147"/>
    <w:rsid w:val="00291217"/>
    <w:rsid w:val="00291857"/>
    <w:rsid w:val="00291C65"/>
    <w:rsid w:val="00291FE4"/>
    <w:rsid w:val="002921A8"/>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0B8"/>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0C51"/>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6DE4"/>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6F4C"/>
    <w:rsid w:val="002F70FB"/>
    <w:rsid w:val="002F727B"/>
    <w:rsid w:val="002F734A"/>
    <w:rsid w:val="002F752D"/>
    <w:rsid w:val="002F77BA"/>
    <w:rsid w:val="002F7B39"/>
    <w:rsid w:val="002F7B82"/>
    <w:rsid w:val="00300139"/>
    <w:rsid w:val="003003EB"/>
    <w:rsid w:val="003005E3"/>
    <w:rsid w:val="00300652"/>
    <w:rsid w:val="00300723"/>
    <w:rsid w:val="0030087F"/>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33B"/>
    <w:rsid w:val="0033242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C8"/>
    <w:rsid w:val="003357D3"/>
    <w:rsid w:val="0033597C"/>
    <w:rsid w:val="00335B0B"/>
    <w:rsid w:val="0033618B"/>
    <w:rsid w:val="00336348"/>
    <w:rsid w:val="003363C0"/>
    <w:rsid w:val="00336491"/>
    <w:rsid w:val="0033652E"/>
    <w:rsid w:val="0033678C"/>
    <w:rsid w:val="003367E2"/>
    <w:rsid w:val="00336920"/>
    <w:rsid w:val="00337518"/>
    <w:rsid w:val="003375EA"/>
    <w:rsid w:val="00337719"/>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051"/>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AA0"/>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7ED"/>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84D"/>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876"/>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B22"/>
    <w:rsid w:val="003B5D0F"/>
    <w:rsid w:val="003B5D5D"/>
    <w:rsid w:val="003B5E9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7C2"/>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A9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B56"/>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C31"/>
    <w:rsid w:val="00413D66"/>
    <w:rsid w:val="0041464E"/>
    <w:rsid w:val="00414684"/>
    <w:rsid w:val="004146AE"/>
    <w:rsid w:val="00414724"/>
    <w:rsid w:val="0041488B"/>
    <w:rsid w:val="00414F3E"/>
    <w:rsid w:val="004151DE"/>
    <w:rsid w:val="00415213"/>
    <w:rsid w:val="0041574B"/>
    <w:rsid w:val="00415C99"/>
    <w:rsid w:val="00415D01"/>
    <w:rsid w:val="00415DAF"/>
    <w:rsid w:val="00415F31"/>
    <w:rsid w:val="00416052"/>
    <w:rsid w:val="004160B9"/>
    <w:rsid w:val="004161E6"/>
    <w:rsid w:val="0041678F"/>
    <w:rsid w:val="004169F3"/>
    <w:rsid w:val="00416C84"/>
    <w:rsid w:val="0041721E"/>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0E74"/>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6FB3"/>
    <w:rsid w:val="00427133"/>
    <w:rsid w:val="004271FF"/>
    <w:rsid w:val="004272E8"/>
    <w:rsid w:val="00427558"/>
    <w:rsid w:val="00427B87"/>
    <w:rsid w:val="00427D02"/>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E89"/>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0B5"/>
    <w:rsid w:val="0046614C"/>
    <w:rsid w:val="0046625D"/>
    <w:rsid w:val="004662D1"/>
    <w:rsid w:val="00466ACE"/>
    <w:rsid w:val="00466C03"/>
    <w:rsid w:val="00466CAD"/>
    <w:rsid w:val="00466DE7"/>
    <w:rsid w:val="00466FEB"/>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271"/>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6C36"/>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1A9E"/>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0E48"/>
    <w:rsid w:val="004E1050"/>
    <w:rsid w:val="004E105D"/>
    <w:rsid w:val="004E1244"/>
    <w:rsid w:val="004E1246"/>
    <w:rsid w:val="004E19EB"/>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316"/>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1C66"/>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C21"/>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BF8"/>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04"/>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3C"/>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10"/>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5B2"/>
    <w:rsid w:val="0057166C"/>
    <w:rsid w:val="00571934"/>
    <w:rsid w:val="00571E86"/>
    <w:rsid w:val="00572448"/>
    <w:rsid w:val="005725AA"/>
    <w:rsid w:val="00572998"/>
    <w:rsid w:val="00572B70"/>
    <w:rsid w:val="00573200"/>
    <w:rsid w:val="005736C8"/>
    <w:rsid w:val="005738BF"/>
    <w:rsid w:val="00573B11"/>
    <w:rsid w:val="00573F08"/>
    <w:rsid w:val="0057406B"/>
    <w:rsid w:val="00574D13"/>
    <w:rsid w:val="00574DDA"/>
    <w:rsid w:val="00574F1C"/>
    <w:rsid w:val="0057510D"/>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86C"/>
    <w:rsid w:val="005809E4"/>
    <w:rsid w:val="00580A79"/>
    <w:rsid w:val="00580E59"/>
    <w:rsid w:val="005812BE"/>
    <w:rsid w:val="0058138A"/>
    <w:rsid w:val="005814BF"/>
    <w:rsid w:val="00581521"/>
    <w:rsid w:val="00581724"/>
    <w:rsid w:val="00581847"/>
    <w:rsid w:val="00581C3A"/>
    <w:rsid w:val="00582005"/>
    <w:rsid w:val="00582296"/>
    <w:rsid w:val="005822E0"/>
    <w:rsid w:val="00582403"/>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060"/>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491"/>
    <w:rsid w:val="005F15E6"/>
    <w:rsid w:val="005F18F0"/>
    <w:rsid w:val="005F1A48"/>
    <w:rsid w:val="005F1D45"/>
    <w:rsid w:val="005F1E31"/>
    <w:rsid w:val="005F1F06"/>
    <w:rsid w:val="005F200C"/>
    <w:rsid w:val="005F2029"/>
    <w:rsid w:val="005F2118"/>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C5"/>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5BF"/>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3B7A"/>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BBC"/>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4ACC"/>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252"/>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7A3"/>
    <w:rsid w:val="00693D9F"/>
    <w:rsid w:val="00693E14"/>
    <w:rsid w:val="0069420F"/>
    <w:rsid w:val="00694345"/>
    <w:rsid w:val="006944CB"/>
    <w:rsid w:val="00694507"/>
    <w:rsid w:val="006945D2"/>
    <w:rsid w:val="006945E6"/>
    <w:rsid w:val="0069464D"/>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48"/>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32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90"/>
    <w:rsid w:val="006C5AD0"/>
    <w:rsid w:val="006C5E84"/>
    <w:rsid w:val="006C6710"/>
    <w:rsid w:val="006C6AC7"/>
    <w:rsid w:val="006C6EEC"/>
    <w:rsid w:val="006C6EFC"/>
    <w:rsid w:val="006C7247"/>
    <w:rsid w:val="006C72E0"/>
    <w:rsid w:val="006C7B92"/>
    <w:rsid w:val="006D022D"/>
    <w:rsid w:val="006D0294"/>
    <w:rsid w:val="006D0384"/>
    <w:rsid w:val="006D049A"/>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90E"/>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AA"/>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695"/>
    <w:rsid w:val="007358DB"/>
    <w:rsid w:val="007359BF"/>
    <w:rsid w:val="00735ACD"/>
    <w:rsid w:val="00735B4A"/>
    <w:rsid w:val="00736090"/>
    <w:rsid w:val="007360EC"/>
    <w:rsid w:val="00736A42"/>
    <w:rsid w:val="00736BF0"/>
    <w:rsid w:val="00736DA6"/>
    <w:rsid w:val="00737081"/>
    <w:rsid w:val="00737305"/>
    <w:rsid w:val="007373DC"/>
    <w:rsid w:val="007375D0"/>
    <w:rsid w:val="00737715"/>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756"/>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478F4"/>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827"/>
    <w:rsid w:val="00756AA3"/>
    <w:rsid w:val="007572E9"/>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27"/>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50D"/>
    <w:rsid w:val="00783732"/>
    <w:rsid w:val="00783A26"/>
    <w:rsid w:val="00783BAE"/>
    <w:rsid w:val="00783C28"/>
    <w:rsid w:val="00783CF3"/>
    <w:rsid w:val="00783D4F"/>
    <w:rsid w:val="00784212"/>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B15"/>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5A92"/>
    <w:rsid w:val="007B5D90"/>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93D"/>
    <w:rsid w:val="007C5A7A"/>
    <w:rsid w:val="007C5D58"/>
    <w:rsid w:val="007C5E6B"/>
    <w:rsid w:val="007C60DE"/>
    <w:rsid w:val="007C63D6"/>
    <w:rsid w:val="007C6560"/>
    <w:rsid w:val="007C6713"/>
    <w:rsid w:val="007C68AB"/>
    <w:rsid w:val="007C6BB8"/>
    <w:rsid w:val="007C728F"/>
    <w:rsid w:val="007C72C7"/>
    <w:rsid w:val="007C7384"/>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C3"/>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31"/>
    <w:rsid w:val="007D4FD5"/>
    <w:rsid w:val="007D5403"/>
    <w:rsid w:val="007D54A7"/>
    <w:rsid w:val="007D56C1"/>
    <w:rsid w:val="007D58BE"/>
    <w:rsid w:val="007D601C"/>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7DD"/>
    <w:rsid w:val="007E6946"/>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5B7"/>
    <w:rsid w:val="0080660C"/>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DA6"/>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BE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7DB"/>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67E2D"/>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419"/>
    <w:rsid w:val="008827B4"/>
    <w:rsid w:val="008828BB"/>
    <w:rsid w:val="00882C5B"/>
    <w:rsid w:val="00882F4D"/>
    <w:rsid w:val="008832DD"/>
    <w:rsid w:val="0088354A"/>
    <w:rsid w:val="008836F1"/>
    <w:rsid w:val="0088388E"/>
    <w:rsid w:val="00883D9C"/>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6A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1BE"/>
    <w:rsid w:val="00890A4B"/>
    <w:rsid w:val="00890AD7"/>
    <w:rsid w:val="00890F62"/>
    <w:rsid w:val="0089136C"/>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3D91"/>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4BFC"/>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B7D"/>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E76"/>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C6"/>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9C4"/>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30"/>
    <w:rsid w:val="009260F4"/>
    <w:rsid w:val="00926365"/>
    <w:rsid w:val="00926553"/>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38"/>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1656"/>
    <w:rsid w:val="009721F2"/>
    <w:rsid w:val="009729A3"/>
    <w:rsid w:val="00972B6A"/>
    <w:rsid w:val="00972D78"/>
    <w:rsid w:val="009730F4"/>
    <w:rsid w:val="009731D4"/>
    <w:rsid w:val="009733F5"/>
    <w:rsid w:val="00973446"/>
    <w:rsid w:val="009737ED"/>
    <w:rsid w:val="00973B19"/>
    <w:rsid w:val="00973F86"/>
    <w:rsid w:val="0097413F"/>
    <w:rsid w:val="009742ED"/>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97F"/>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18F"/>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0A7"/>
    <w:rsid w:val="009D32C6"/>
    <w:rsid w:val="009D32CD"/>
    <w:rsid w:val="009D35E5"/>
    <w:rsid w:val="009D374B"/>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96A"/>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4F36"/>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2D3"/>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6FAC"/>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09A6"/>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D7"/>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3FC"/>
    <w:rsid w:val="00A83767"/>
    <w:rsid w:val="00A83C7D"/>
    <w:rsid w:val="00A83DAE"/>
    <w:rsid w:val="00A83F45"/>
    <w:rsid w:val="00A845A6"/>
    <w:rsid w:val="00A8479A"/>
    <w:rsid w:val="00A849B4"/>
    <w:rsid w:val="00A849D1"/>
    <w:rsid w:val="00A84A56"/>
    <w:rsid w:val="00A8514A"/>
    <w:rsid w:val="00A853FD"/>
    <w:rsid w:val="00A85579"/>
    <w:rsid w:val="00A85637"/>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D72"/>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1EA1"/>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153"/>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48"/>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99"/>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4FB6"/>
    <w:rsid w:val="00AF5E42"/>
    <w:rsid w:val="00AF66EC"/>
    <w:rsid w:val="00AF6EA8"/>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3B8F"/>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327"/>
    <w:rsid w:val="00B275D0"/>
    <w:rsid w:val="00B278A0"/>
    <w:rsid w:val="00B27902"/>
    <w:rsid w:val="00B27A32"/>
    <w:rsid w:val="00B27BC3"/>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4E47"/>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CD3"/>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3D4"/>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5D1E"/>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B4C"/>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C12"/>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8AB"/>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335"/>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C62"/>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003"/>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82B"/>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56"/>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84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32F"/>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940"/>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40"/>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DD"/>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D7E9E"/>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BAD"/>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A21"/>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0A5"/>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79"/>
    <w:rsid w:val="00E179E8"/>
    <w:rsid w:val="00E17EF6"/>
    <w:rsid w:val="00E17F6A"/>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779"/>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6DD"/>
    <w:rsid w:val="00E47B0A"/>
    <w:rsid w:val="00E47F64"/>
    <w:rsid w:val="00E500A4"/>
    <w:rsid w:val="00E50341"/>
    <w:rsid w:val="00E505C4"/>
    <w:rsid w:val="00E50631"/>
    <w:rsid w:val="00E50D7C"/>
    <w:rsid w:val="00E50E05"/>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47"/>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96"/>
    <w:rsid w:val="00E570EC"/>
    <w:rsid w:val="00E57675"/>
    <w:rsid w:val="00E57AAD"/>
    <w:rsid w:val="00E57B74"/>
    <w:rsid w:val="00E57D6F"/>
    <w:rsid w:val="00E60019"/>
    <w:rsid w:val="00E603F2"/>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179"/>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8EA"/>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BA"/>
    <w:rsid w:val="00EA37F3"/>
    <w:rsid w:val="00EA3854"/>
    <w:rsid w:val="00EA3AB1"/>
    <w:rsid w:val="00EA3E76"/>
    <w:rsid w:val="00EA3F3B"/>
    <w:rsid w:val="00EA402A"/>
    <w:rsid w:val="00EA4487"/>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3E5B"/>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C08"/>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C7"/>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4E36"/>
    <w:rsid w:val="00EE54A5"/>
    <w:rsid w:val="00EE586C"/>
    <w:rsid w:val="00EE59E1"/>
    <w:rsid w:val="00EE5C3C"/>
    <w:rsid w:val="00EE5CDC"/>
    <w:rsid w:val="00EE5EE7"/>
    <w:rsid w:val="00EE638D"/>
    <w:rsid w:val="00EE6502"/>
    <w:rsid w:val="00EE7136"/>
    <w:rsid w:val="00EE743F"/>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599"/>
    <w:rsid w:val="00F05609"/>
    <w:rsid w:val="00F05655"/>
    <w:rsid w:val="00F056E2"/>
    <w:rsid w:val="00F0570E"/>
    <w:rsid w:val="00F05EFF"/>
    <w:rsid w:val="00F0639F"/>
    <w:rsid w:val="00F063BB"/>
    <w:rsid w:val="00F0741A"/>
    <w:rsid w:val="00F07618"/>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CFC"/>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536"/>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07A"/>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01A"/>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3DE"/>
    <w:rsid w:val="00FA1419"/>
    <w:rsid w:val="00FA2099"/>
    <w:rsid w:val="00FA2193"/>
    <w:rsid w:val="00FA2570"/>
    <w:rsid w:val="00FA258A"/>
    <w:rsid w:val="00FA290E"/>
    <w:rsid w:val="00FA2D2D"/>
    <w:rsid w:val="00FA343F"/>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4AF"/>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1DD7"/>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241"/>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2FC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 w:type="paragraph" w:customStyle="1" w:styleId="3GPPText">
    <w:name w:val="3GPP Text"/>
    <w:basedOn w:val="a"/>
    <w:link w:val="3GPPTextChar"/>
    <w:qFormat/>
    <w:rsid w:val="00DB33DD"/>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DB33DD"/>
    <w:rPr>
      <w:rFonts w:ascii="Times New Roman" w:eastAsia="SimSun" w:hAnsi="Times New Roman"/>
      <w:sz w:val="22"/>
      <w:lang w:eastAsia="en-US"/>
    </w:rPr>
  </w:style>
  <w:style w:type="character" w:customStyle="1" w:styleId="apple-converted-space">
    <w:name w:val="apple-converted-space"/>
    <w:qFormat/>
    <w:rsid w:val="003C77C2"/>
  </w:style>
  <w:style w:type="paragraph" w:customStyle="1" w:styleId="xmsonormal">
    <w:name w:val="x_msonormal"/>
    <w:basedOn w:val="a"/>
    <w:qFormat/>
    <w:rsid w:val="004662D1"/>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017569">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0454673">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93635-53A0-4F32-B93F-41CDA89A4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1172</Words>
  <Characters>6685</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森本涼太/研究員</cp:lastModifiedBy>
  <cp:revision>4</cp:revision>
  <cp:lastPrinted>2019-03-18T06:48:00Z</cp:lastPrinted>
  <dcterms:created xsi:type="dcterms:W3CDTF">2023-09-29T07:42:00Z</dcterms:created>
  <dcterms:modified xsi:type="dcterms:W3CDTF">2023-09-29T09:28:00Z</dcterms:modified>
</cp:coreProperties>
</file>