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EA151" w14:textId="561CABA0" w:rsidR="0071516F" w:rsidRPr="00253C75" w:rsidRDefault="0071516F" w:rsidP="0071516F">
      <w:pPr>
        <w:pStyle w:val="3GPPHeader"/>
        <w:spacing w:after="60"/>
        <w:rPr>
          <w:szCs w:val="24"/>
          <w:lang w:val="en-US"/>
        </w:rPr>
      </w:pPr>
      <w:r w:rsidRPr="00253C75">
        <w:rPr>
          <w:szCs w:val="24"/>
          <w:lang w:val="en-US"/>
        </w:rPr>
        <w:t>3GPP TSG-RAN WG1 Meeting #</w:t>
      </w:r>
      <w:r w:rsidR="00FF4BE9">
        <w:rPr>
          <w:szCs w:val="24"/>
          <w:lang w:val="en-US"/>
        </w:rPr>
        <w:t>114</w:t>
      </w:r>
      <w:r w:rsidR="00B44057">
        <w:rPr>
          <w:szCs w:val="24"/>
          <w:lang w:val="en-US"/>
        </w:rPr>
        <w:t>-</w:t>
      </w:r>
      <w:r w:rsidR="00834938">
        <w:rPr>
          <w:szCs w:val="24"/>
          <w:lang w:val="en-US"/>
        </w:rPr>
        <w:t>bis</w:t>
      </w:r>
      <w:r w:rsidRPr="00253C75">
        <w:rPr>
          <w:szCs w:val="24"/>
          <w:lang w:val="en-US"/>
        </w:rPr>
        <w:tab/>
        <w:t>R1-</w:t>
      </w:r>
      <w:r w:rsidR="008110BF" w:rsidRPr="00253C75">
        <w:rPr>
          <w:szCs w:val="24"/>
          <w:lang w:val="en-US"/>
        </w:rPr>
        <w:t>23</w:t>
      </w:r>
      <w:r w:rsidR="00253C75" w:rsidRPr="00253C75">
        <w:rPr>
          <w:szCs w:val="24"/>
          <w:lang w:val="en-US"/>
        </w:rPr>
        <w:t>0</w:t>
      </w:r>
      <w:r w:rsidR="00B44057">
        <w:rPr>
          <w:szCs w:val="24"/>
          <w:lang w:val="en-US"/>
        </w:rPr>
        <w:t>9984</w:t>
      </w:r>
    </w:p>
    <w:p w14:paraId="0E137F34" w14:textId="16A563BD" w:rsidR="00787226" w:rsidRPr="00253C75" w:rsidRDefault="00B44057" w:rsidP="0071516F">
      <w:pPr>
        <w:pStyle w:val="3GPPHeader"/>
      </w:pPr>
      <w:r>
        <w:t>Xiamen, China</w:t>
      </w:r>
      <w:r w:rsidR="00787226" w:rsidRPr="00253C75">
        <w:t xml:space="preserve">, </w:t>
      </w:r>
      <w:r w:rsidR="00834938">
        <w:t>9</w:t>
      </w:r>
      <w:r w:rsidR="00834938" w:rsidRPr="00834938">
        <w:rPr>
          <w:vertAlign w:val="superscript"/>
        </w:rPr>
        <w:t>th</w:t>
      </w:r>
      <w:r w:rsidR="00834938">
        <w:t xml:space="preserve"> – 13</w:t>
      </w:r>
      <w:r w:rsidR="00834938" w:rsidRPr="00834938">
        <w:rPr>
          <w:vertAlign w:val="superscript"/>
        </w:rPr>
        <w:t>th</w:t>
      </w:r>
      <w:r w:rsidR="00834938">
        <w:t xml:space="preserve"> October</w:t>
      </w:r>
      <w:r w:rsidR="00787226" w:rsidRPr="00253C75">
        <w:t>, 2023</w:t>
      </w:r>
    </w:p>
    <w:p w14:paraId="3C6869D1" w14:textId="1CF77610" w:rsidR="00E90E49" w:rsidRPr="00500A64" w:rsidRDefault="00E90E49" w:rsidP="00311702">
      <w:pPr>
        <w:pStyle w:val="3GPPHeader"/>
        <w:rPr>
          <w:sz w:val="22"/>
          <w:szCs w:val="22"/>
          <w:lang w:val="en-US"/>
        </w:rPr>
      </w:pPr>
      <w:r w:rsidRPr="00253C75">
        <w:rPr>
          <w:sz w:val="22"/>
          <w:szCs w:val="22"/>
          <w:lang w:val="en-US"/>
        </w:rPr>
        <w:t>Agenda Item:</w:t>
      </w:r>
      <w:r w:rsidRPr="00253C75">
        <w:rPr>
          <w:sz w:val="22"/>
          <w:szCs w:val="22"/>
          <w:lang w:val="en-US"/>
        </w:rPr>
        <w:tab/>
      </w:r>
      <w:r w:rsidR="00B44057">
        <w:rPr>
          <w:sz w:val="22"/>
          <w:szCs w:val="22"/>
          <w:lang w:val="en-US"/>
        </w:rPr>
        <w:t>8.15.1</w:t>
      </w:r>
    </w:p>
    <w:p w14:paraId="0CB055DD" w14:textId="1314848B" w:rsidR="00E90E49" w:rsidRPr="00CE0424" w:rsidRDefault="003D3C45" w:rsidP="00F64C2B">
      <w:pPr>
        <w:pStyle w:val="3GPPHeader"/>
        <w:rPr>
          <w:sz w:val="22"/>
          <w:szCs w:val="22"/>
        </w:rPr>
      </w:pPr>
      <w:r>
        <w:rPr>
          <w:sz w:val="22"/>
          <w:szCs w:val="22"/>
        </w:rPr>
        <w:t>Source:</w:t>
      </w:r>
      <w:r w:rsidR="00E90E49" w:rsidRPr="00CE0424">
        <w:rPr>
          <w:sz w:val="22"/>
          <w:szCs w:val="22"/>
        </w:rPr>
        <w:tab/>
      </w:r>
      <w:r w:rsidR="00BE4E92">
        <w:rPr>
          <w:sz w:val="22"/>
          <w:szCs w:val="22"/>
        </w:rPr>
        <w:t>MediaTek</w:t>
      </w:r>
      <w:r w:rsidR="00885A26">
        <w:rPr>
          <w:sz w:val="22"/>
          <w:szCs w:val="22"/>
        </w:rPr>
        <w:t xml:space="preserve"> Inc.</w:t>
      </w:r>
    </w:p>
    <w:p w14:paraId="63DAB814" w14:textId="4E7DA5CE" w:rsidR="00E90E49" w:rsidRPr="00CE0424" w:rsidRDefault="003D3C45" w:rsidP="00311702">
      <w:pPr>
        <w:pStyle w:val="3GPPHeader"/>
        <w:rPr>
          <w:sz w:val="22"/>
          <w:szCs w:val="22"/>
        </w:rPr>
      </w:pPr>
      <w:r>
        <w:rPr>
          <w:sz w:val="22"/>
          <w:szCs w:val="22"/>
        </w:rPr>
        <w:t>Title:</w:t>
      </w:r>
      <w:r w:rsidR="00E90E49" w:rsidRPr="00CE0424">
        <w:rPr>
          <w:sz w:val="22"/>
          <w:szCs w:val="22"/>
        </w:rPr>
        <w:tab/>
      </w:r>
      <w:r w:rsidR="00834938">
        <w:rPr>
          <w:sz w:val="22"/>
          <w:szCs w:val="22"/>
        </w:rPr>
        <w:t>Evaluation assumptions for HRC-s</w:t>
      </w:r>
      <w:r w:rsidR="00FF4BE9">
        <w:rPr>
          <w:sz w:val="22"/>
          <w:szCs w:val="22"/>
        </w:rPr>
        <w:t xml:space="preserve">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Default="00230D18" w:rsidP="00CE0424">
      <w:pPr>
        <w:pStyle w:val="Heading1"/>
      </w:pPr>
      <w:r>
        <w:t>1</w:t>
      </w:r>
      <w:r>
        <w:tab/>
      </w:r>
      <w:r w:rsidR="00E90E49" w:rsidRPr="00CE0424">
        <w:t>Introduction</w:t>
      </w:r>
    </w:p>
    <w:p w14:paraId="2D9D446C" w14:textId="24F0EB66" w:rsidR="00F36667" w:rsidRPr="006623C4" w:rsidRDefault="00A52456" w:rsidP="007C2DF3">
      <w:pPr>
        <w:pStyle w:val="3GPPNormalText"/>
        <w:rPr>
          <w:rFonts w:asciiTheme="minorHAnsi" w:hAnsiTheme="minorHAnsi" w:cstheme="minorHAnsi"/>
          <w:sz w:val="22"/>
          <w:szCs w:val="22"/>
          <w:lang w:val="en-GB"/>
        </w:rPr>
      </w:pPr>
      <w:r>
        <w:rPr>
          <w:rFonts w:asciiTheme="minorHAnsi" w:hAnsiTheme="minorHAnsi" w:cstheme="minorHAnsi"/>
          <w:sz w:val="22"/>
          <w:szCs w:val="22"/>
          <w:lang w:val="en-GB"/>
        </w:rPr>
        <w:t>At RAN1#114 it was agreed that we would decide at this meeting whether to run evaluations for IoT NTN</w:t>
      </w:r>
      <w:r w:rsidR="0062278C">
        <w:rPr>
          <w:rFonts w:asciiTheme="minorHAnsi" w:hAnsiTheme="minorHAnsi" w:cstheme="minorHAnsi"/>
          <w:sz w:val="22"/>
          <w:szCs w:val="22"/>
          <w:lang w:val="en-GB"/>
        </w:rPr>
        <w:t xml:space="preserve"> to demonstrate fulfilment of the Reliability requirement for the HRC-s usage scenario</w:t>
      </w:r>
      <w:r>
        <w:rPr>
          <w:rFonts w:asciiTheme="minorHAnsi" w:hAnsiTheme="minorHAnsi" w:cstheme="minorHAnsi"/>
          <w:sz w:val="22"/>
          <w:szCs w:val="22"/>
          <w:lang w:val="en-GB"/>
        </w:rPr>
        <w:t xml:space="preserve">. This contribution progresses on </w:t>
      </w:r>
      <w:r w:rsidR="00B01966">
        <w:rPr>
          <w:rFonts w:asciiTheme="minorHAnsi" w:hAnsiTheme="minorHAnsi" w:cstheme="minorHAnsi"/>
          <w:sz w:val="22"/>
          <w:szCs w:val="22"/>
          <w:lang w:val="en-GB"/>
        </w:rPr>
        <w:t>this direction</w:t>
      </w:r>
      <w:r>
        <w:rPr>
          <w:rFonts w:asciiTheme="minorHAnsi" w:hAnsiTheme="minorHAnsi" w:cstheme="minorHAnsi"/>
          <w:sz w:val="22"/>
          <w:szCs w:val="22"/>
          <w:lang w:val="en-GB"/>
        </w:rPr>
        <w:t xml:space="preserve"> and makes corresponding proposals</w:t>
      </w:r>
      <w:r w:rsidR="00DB6247">
        <w:rPr>
          <w:rFonts w:asciiTheme="minorHAnsi" w:hAnsiTheme="minorHAnsi" w:cstheme="minorHAnsi"/>
          <w:sz w:val="22"/>
          <w:szCs w:val="22"/>
          <w:lang w:val="en-GB"/>
        </w:rPr>
        <w:t>.</w:t>
      </w:r>
    </w:p>
    <w:p w14:paraId="19FDA894" w14:textId="328D15AC" w:rsidR="002D2773" w:rsidRDefault="00BE4E92" w:rsidP="002D2773">
      <w:pPr>
        <w:pStyle w:val="Heading1"/>
      </w:pPr>
      <w:r>
        <w:t>2</w:t>
      </w:r>
      <w:r w:rsidR="002D2773">
        <w:tab/>
      </w:r>
      <w:r>
        <w:t>Discussion</w:t>
      </w:r>
    </w:p>
    <w:p w14:paraId="6D2B0255" w14:textId="6C8F3F1C" w:rsidR="00B01966" w:rsidRDefault="004574C9" w:rsidP="00D21D24">
      <w:pPr>
        <w:pStyle w:val="Heading2"/>
        <w:spacing w:before="0"/>
        <w:rPr>
          <w:lang w:eastAsia="ko-KR"/>
        </w:rPr>
      </w:pPr>
      <w:r>
        <w:rPr>
          <w:lang w:eastAsia="ko-KR"/>
        </w:rPr>
        <w:t>2</w:t>
      </w:r>
      <w:r w:rsidR="00BE4E92">
        <w:rPr>
          <w:lang w:eastAsia="ko-KR"/>
        </w:rPr>
        <w:t>.1</w:t>
      </w:r>
      <w:r w:rsidR="00BE4E92">
        <w:rPr>
          <w:lang w:eastAsia="ko-KR"/>
        </w:rPr>
        <w:tab/>
      </w:r>
      <w:r w:rsidR="00B01966">
        <w:rPr>
          <w:lang w:eastAsia="ko-KR"/>
        </w:rPr>
        <w:t>Whether to evaluate Reliability for IoT NTN</w:t>
      </w:r>
    </w:p>
    <w:p w14:paraId="0C14F734" w14:textId="0D6B6244" w:rsidR="009D6FF1" w:rsidRDefault="00B01966" w:rsidP="00B01966">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It is noted that as part of the SRIT submission, a component RIT (such as IoT NTN) is only required to fulfil the requirements for a single test environment, while the SRIT </w:t>
      </w:r>
      <w:r w:rsidR="009D6FF1">
        <w:rPr>
          <w:rFonts w:asciiTheme="minorHAnsi" w:eastAsia="Malgun Gothic" w:hAnsiTheme="minorHAnsi" w:cstheme="minorHAnsi"/>
          <w:sz w:val="22"/>
          <w:szCs w:val="22"/>
          <w:lang w:eastAsia="ko-KR"/>
        </w:rPr>
        <w:t>shall</w:t>
      </w:r>
      <w:r>
        <w:rPr>
          <w:rFonts w:asciiTheme="minorHAnsi" w:eastAsia="Malgun Gothic" w:hAnsiTheme="minorHAnsi" w:cstheme="minorHAnsi"/>
          <w:sz w:val="22"/>
          <w:szCs w:val="22"/>
          <w:lang w:eastAsia="ko-KR"/>
        </w:rPr>
        <w:t xml:space="preserve"> fulfil the requirements for all 3 test environments. However, it would be useful in our view to show the full capabilities of 3GPP technologies for satellite connectivity. </w:t>
      </w:r>
    </w:p>
    <w:p w14:paraId="542E17B0" w14:textId="2EA57F48" w:rsidR="00B01966" w:rsidRDefault="00B44057" w:rsidP="00B01966">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At the same time, the priority for IoT NTN is to demonstrate sufficient alignment on the Connection Density evaluation. However, if that is already well-aligned at the present </w:t>
      </w:r>
      <w:r w:rsidR="009D6FF1">
        <w:rPr>
          <w:rFonts w:asciiTheme="minorHAnsi" w:eastAsia="Malgun Gothic" w:hAnsiTheme="minorHAnsi" w:cstheme="minorHAnsi"/>
          <w:sz w:val="22"/>
          <w:szCs w:val="22"/>
          <w:lang w:eastAsia="ko-KR"/>
        </w:rPr>
        <w:t xml:space="preserve">RAN1 </w:t>
      </w:r>
      <w:r>
        <w:rPr>
          <w:rFonts w:asciiTheme="minorHAnsi" w:eastAsia="Malgun Gothic" w:hAnsiTheme="minorHAnsi" w:cstheme="minorHAnsi"/>
          <w:sz w:val="22"/>
          <w:szCs w:val="22"/>
          <w:lang w:eastAsia="ko-KR"/>
        </w:rPr>
        <w:t>meeting</w:t>
      </w:r>
      <w:r w:rsidR="009D6FF1">
        <w:rPr>
          <w:rFonts w:asciiTheme="minorHAnsi" w:eastAsia="Malgun Gothic" w:hAnsiTheme="minorHAnsi" w:cstheme="minorHAnsi"/>
          <w:sz w:val="22"/>
          <w:szCs w:val="22"/>
          <w:lang w:eastAsia="ko-KR"/>
        </w:rPr>
        <w:t>,</w:t>
      </w:r>
      <w:r>
        <w:rPr>
          <w:rFonts w:asciiTheme="minorHAnsi" w:eastAsia="Malgun Gothic" w:hAnsiTheme="minorHAnsi" w:cstheme="minorHAnsi"/>
          <w:sz w:val="22"/>
          <w:szCs w:val="22"/>
          <w:lang w:eastAsia="ko-KR"/>
        </w:rPr>
        <w:t xml:space="preserve"> and if there</w:t>
      </w:r>
      <w:r w:rsidR="00B01966">
        <w:rPr>
          <w:rFonts w:asciiTheme="minorHAnsi" w:eastAsia="Malgun Gothic" w:hAnsiTheme="minorHAnsi" w:cstheme="minorHAnsi"/>
          <w:sz w:val="22"/>
          <w:szCs w:val="22"/>
          <w:lang w:eastAsia="ko-KR"/>
        </w:rPr>
        <w:t xml:space="preserve"> is willingness </w:t>
      </w:r>
      <w:r>
        <w:rPr>
          <w:rFonts w:asciiTheme="minorHAnsi" w:eastAsia="Malgun Gothic" w:hAnsiTheme="minorHAnsi" w:cstheme="minorHAnsi"/>
          <w:sz w:val="22"/>
          <w:szCs w:val="22"/>
          <w:lang w:eastAsia="ko-KR"/>
        </w:rPr>
        <w:t xml:space="preserve">to contribute </w:t>
      </w:r>
      <w:r w:rsidR="00B01966">
        <w:rPr>
          <w:rFonts w:asciiTheme="minorHAnsi" w:eastAsia="Malgun Gothic" w:hAnsiTheme="minorHAnsi" w:cstheme="minorHAnsi"/>
          <w:sz w:val="22"/>
          <w:szCs w:val="22"/>
          <w:lang w:eastAsia="ko-KR"/>
        </w:rPr>
        <w:t xml:space="preserve">from </w:t>
      </w:r>
      <w:r>
        <w:rPr>
          <w:rFonts w:asciiTheme="minorHAnsi" w:eastAsia="Malgun Gothic" w:hAnsiTheme="minorHAnsi" w:cstheme="minorHAnsi"/>
          <w:sz w:val="22"/>
          <w:szCs w:val="22"/>
          <w:lang w:eastAsia="ko-KR"/>
        </w:rPr>
        <w:t>e.g. 4</w:t>
      </w:r>
      <w:r w:rsidR="00B01966">
        <w:rPr>
          <w:rFonts w:asciiTheme="minorHAnsi" w:eastAsia="Malgun Gothic" w:hAnsiTheme="minorHAnsi" w:cstheme="minorHAnsi"/>
          <w:sz w:val="22"/>
          <w:szCs w:val="22"/>
          <w:lang w:eastAsia="ko-KR"/>
        </w:rPr>
        <w:t xml:space="preserve"> companies, </w:t>
      </w:r>
      <w:r>
        <w:rPr>
          <w:rFonts w:asciiTheme="minorHAnsi" w:eastAsia="Malgun Gothic" w:hAnsiTheme="minorHAnsi" w:cstheme="minorHAnsi"/>
          <w:sz w:val="22"/>
          <w:szCs w:val="22"/>
          <w:lang w:eastAsia="ko-KR"/>
        </w:rPr>
        <w:t xml:space="preserve">then we believe some additional evaluation would be feasible. </w:t>
      </w:r>
    </w:p>
    <w:p w14:paraId="1093B9ED" w14:textId="5511704E" w:rsidR="00FF25BB" w:rsidRPr="00FF25BB" w:rsidRDefault="00FF25BB" w:rsidP="00B01966">
      <w:pPr>
        <w:rPr>
          <w:b/>
          <w:bCs/>
          <w:lang w:eastAsia="ko-KR"/>
        </w:rPr>
      </w:pPr>
      <w:r w:rsidRPr="00FF25BB">
        <w:rPr>
          <w:rFonts w:asciiTheme="minorHAnsi" w:eastAsia="Malgun Gothic" w:hAnsiTheme="minorHAnsi" w:cstheme="minorHAnsi"/>
          <w:b/>
          <w:bCs/>
          <w:sz w:val="22"/>
          <w:szCs w:val="22"/>
          <w:u w:val="single"/>
          <w:lang w:eastAsia="ko-KR"/>
        </w:rPr>
        <w:t>Proposal 1</w:t>
      </w:r>
      <w:r w:rsidRPr="00FF25BB">
        <w:rPr>
          <w:rFonts w:asciiTheme="minorHAnsi" w:eastAsia="Malgun Gothic" w:hAnsiTheme="minorHAnsi" w:cstheme="minorHAnsi"/>
          <w:b/>
          <w:bCs/>
          <w:sz w:val="22"/>
          <w:szCs w:val="22"/>
          <w:lang w:eastAsia="ko-KR"/>
        </w:rPr>
        <w:t xml:space="preserve">: If there is good alignment </w:t>
      </w:r>
      <w:r>
        <w:rPr>
          <w:rFonts w:asciiTheme="minorHAnsi" w:eastAsia="Malgun Gothic" w:hAnsiTheme="minorHAnsi" w:cstheme="minorHAnsi"/>
          <w:b/>
          <w:bCs/>
          <w:sz w:val="22"/>
          <w:szCs w:val="22"/>
          <w:lang w:eastAsia="ko-KR"/>
        </w:rPr>
        <w:t xml:space="preserve">between results </w:t>
      </w:r>
      <w:r w:rsidRPr="00FF25BB">
        <w:rPr>
          <w:rFonts w:asciiTheme="minorHAnsi" w:eastAsia="Malgun Gothic" w:hAnsiTheme="minorHAnsi" w:cstheme="minorHAnsi"/>
          <w:b/>
          <w:bCs/>
          <w:sz w:val="22"/>
          <w:szCs w:val="22"/>
          <w:lang w:eastAsia="ko-KR"/>
        </w:rPr>
        <w:t xml:space="preserve">on IoT NTN Connection Density </w:t>
      </w:r>
      <w:r>
        <w:rPr>
          <w:rFonts w:asciiTheme="minorHAnsi" w:eastAsia="Malgun Gothic" w:hAnsiTheme="minorHAnsi" w:cstheme="minorHAnsi"/>
          <w:b/>
          <w:bCs/>
          <w:sz w:val="22"/>
          <w:szCs w:val="22"/>
          <w:lang w:eastAsia="ko-KR"/>
        </w:rPr>
        <w:t xml:space="preserve">evaluation </w:t>
      </w:r>
      <w:r w:rsidRPr="00FF25BB">
        <w:rPr>
          <w:rFonts w:asciiTheme="minorHAnsi" w:eastAsia="Malgun Gothic" w:hAnsiTheme="minorHAnsi" w:cstheme="minorHAnsi"/>
          <w:b/>
          <w:bCs/>
          <w:sz w:val="22"/>
          <w:szCs w:val="22"/>
          <w:lang w:eastAsia="ko-KR"/>
        </w:rPr>
        <w:t xml:space="preserve">by the end of RAN1#114-bis, and a willingness from companies, </w:t>
      </w:r>
      <w:r w:rsidR="00F72DA0">
        <w:rPr>
          <w:rFonts w:asciiTheme="minorHAnsi" w:eastAsia="Malgun Gothic" w:hAnsiTheme="minorHAnsi" w:cstheme="minorHAnsi"/>
          <w:b/>
          <w:bCs/>
          <w:sz w:val="22"/>
          <w:szCs w:val="22"/>
          <w:lang w:eastAsia="ko-KR"/>
        </w:rPr>
        <w:t>allow</w:t>
      </w:r>
      <w:r w:rsidRPr="00FF25BB">
        <w:rPr>
          <w:rFonts w:asciiTheme="minorHAnsi" w:eastAsia="Malgun Gothic" w:hAnsiTheme="minorHAnsi" w:cstheme="minorHAnsi"/>
          <w:b/>
          <w:bCs/>
          <w:sz w:val="22"/>
          <w:szCs w:val="22"/>
          <w:lang w:eastAsia="ko-KR"/>
        </w:rPr>
        <w:t xml:space="preserve"> IoT NTN Reliability evaluation</w:t>
      </w:r>
      <w:r>
        <w:rPr>
          <w:rFonts w:asciiTheme="minorHAnsi" w:eastAsia="Malgun Gothic" w:hAnsiTheme="minorHAnsi" w:cstheme="minorHAnsi"/>
          <w:b/>
          <w:bCs/>
          <w:sz w:val="22"/>
          <w:szCs w:val="22"/>
          <w:lang w:eastAsia="ko-KR"/>
        </w:rPr>
        <w:t xml:space="preserve"> to be performed until RAN1#115</w:t>
      </w:r>
      <w:r w:rsidRPr="00FF25BB">
        <w:rPr>
          <w:rFonts w:asciiTheme="minorHAnsi" w:eastAsia="Malgun Gothic" w:hAnsiTheme="minorHAnsi" w:cstheme="minorHAnsi"/>
          <w:b/>
          <w:bCs/>
          <w:sz w:val="22"/>
          <w:szCs w:val="22"/>
          <w:lang w:eastAsia="ko-KR"/>
        </w:rPr>
        <w:t>.</w:t>
      </w:r>
    </w:p>
    <w:p w14:paraId="6B202A67" w14:textId="2D73861A" w:rsidR="00B85492" w:rsidRPr="00D21D24" w:rsidRDefault="00B01966" w:rsidP="00D21D24">
      <w:pPr>
        <w:pStyle w:val="Heading2"/>
        <w:spacing w:before="0"/>
        <w:rPr>
          <w:lang w:eastAsia="ko-KR"/>
        </w:rPr>
      </w:pPr>
      <w:r>
        <w:rPr>
          <w:lang w:eastAsia="ko-KR"/>
        </w:rPr>
        <w:t>2.2</w:t>
      </w:r>
      <w:r>
        <w:rPr>
          <w:lang w:eastAsia="ko-KR"/>
        </w:rPr>
        <w:tab/>
      </w:r>
      <w:r w:rsidR="00A157A6">
        <w:rPr>
          <w:lang w:eastAsia="ko-KR"/>
        </w:rPr>
        <w:t xml:space="preserve">ITU-R requirement for </w:t>
      </w:r>
      <w:r w:rsidR="00834938">
        <w:rPr>
          <w:lang w:eastAsia="ko-KR"/>
        </w:rPr>
        <w:t>HRC-s</w:t>
      </w:r>
    </w:p>
    <w:p w14:paraId="534107F5" w14:textId="09CFFCF3" w:rsidR="008863F9" w:rsidRDefault="00BE4E92" w:rsidP="002D2773">
      <w:pPr>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r w:rsidR="0006449E">
        <w:rPr>
          <w:rFonts w:asciiTheme="minorHAnsi" w:eastAsia="Malgun Gothic" w:hAnsiTheme="minorHAnsi" w:cstheme="minorHAnsi"/>
          <w:sz w:val="22"/>
          <w:szCs w:val="22"/>
          <w:lang w:eastAsia="ko-KR"/>
        </w:rPr>
        <w:t>Reliability</w:t>
      </w:r>
      <w:r>
        <w:rPr>
          <w:rFonts w:asciiTheme="minorHAnsi" w:eastAsia="Malgun Gothic" w:hAnsiTheme="minorHAnsi" w:cstheme="minorHAnsi"/>
          <w:sz w:val="22"/>
          <w:szCs w:val="22"/>
          <w:lang w:eastAsia="ko-KR"/>
        </w:rPr>
        <w:t xml:space="preserve"> requirement is defined </w:t>
      </w:r>
      <w:r w:rsidR="0006449E">
        <w:rPr>
          <w:rFonts w:asciiTheme="minorHAnsi" w:eastAsia="Malgun Gothic" w:hAnsiTheme="minorHAnsi" w:cstheme="minorHAnsi"/>
          <w:sz w:val="22"/>
          <w:szCs w:val="22"/>
          <w:lang w:eastAsia="ko-KR"/>
        </w:rPr>
        <w:t xml:space="preserve">in [1] </w:t>
      </w:r>
      <w:r>
        <w:rPr>
          <w:rFonts w:asciiTheme="minorHAnsi" w:eastAsia="Malgun Gothic" w:hAnsiTheme="minorHAnsi" w:cstheme="minorHAnsi"/>
          <w:sz w:val="22"/>
          <w:szCs w:val="22"/>
          <w:lang w:eastAsia="ko-KR"/>
        </w:rPr>
        <w:t xml:space="preserve">as the following:  </w:t>
      </w:r>
    </w:p>
    <w:p w14:paraId="2CF621F0" w14:textId="77777777" w:rsidR="0006449E" w:rsidRPr="0006449E" w:rsidRDefault="0006449E" w:rsidP="0006449E">
      <w:pPr>
        <w:ind w:left="567"/>
        <w:rPr>
          <w:rFonts w:eastAsia="Malgun Gothic"/>
          <w:i/>
          <w:iCs/>
          <w:szCs w:val="24"/>
          <w:lang w:eastAsia="ko-KR"/>
        </w:rPr>
      </w:pPr>
      <w:r w:rsidRPr="0006449E">
        <w:rPr>
          <w:rFonts w:eastAsia="Malgun Gothic"/>
          <w:i/>
          <w:iCs/>
          <w:szCs w:val="24"/>
          <w:lang w:eastAsia="ko-KR"/>
        </w:rPr>
        <w:t>Reliability relates to the capability of transmitting a given amount of traffic within a predetermined time duration with high success probability.</w:t>
      </w:r>
    </w:p>
    <w:p w14:paraId="7980BA78" w14:textId="77777777" w:rsidR="0006449E" w:rsidRPr="0006449E" w:rsidRDefault="0006449E" w:rsidP="0006449E">
      <w:pPr>
        <w:ind w:left="567"/>
        <w:rPr>
          <w:i/>
          <w:iCs/>
          <w:lang w:eastAsia="ko-KR"/>
        </w:rPr>
      </w:pPr>
      <w:r w:rsidRPr="0006449E">
        <w:rPr>
          <w:i/>
          <w:iCs/>
          <w:lang w:eastAsia="ko-KR"/>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5A7E75F8" w14:textId="77777777" w:rsidR="0006449E" w:rsidRPr="0006449E" w:rsidRDefault="0006449E" w:rsidP="0006449E">
      <w:pPr>
        <w:ind w:left="567"/>
        <w:rPr>
          <w:i/>
          <w:iCs/>
          <w:lang w:eastAsia="ko-KR"/>
        </w:rPr>
      </w:pPr>
      <w:r w:rsidRPr="0006449E">
        <w:rPr>
          <w:i/>
          <w:iCs/>
          <w:lang w:eastAsia="ko-KR"/>
        </w:rPr>
        <w:t>The satellite component of IMT-2020 shall be able to support reliability as high as 1-10</w:t>
      </w:r>
      <w:r w:rsidRPr="0006449E">
        <w:rPr>
          <w:i/>
          <w:iCs/>
          <w:vertAlign w:val="superscript"/>
          <w:lang w:eastAsia="ko-KR"/>
        </w:rPr>
        <w:t>−3</w:t>
      </w:r>
      <w:r w:rsidRPr="0006449E">
        <w:rPr>
          <w:i/>
          <w:iCs/>
          <w:lang w:eastAsia="ko-KR"/>
        </w:rPr>
        <w:t>. The connection time duration required to meet the reliability target should be provided by the proponent of the submitted RIT/SRIT.</w:t>
      </w:r>
    </w:p>
    <w:p w14:paraId="408085FB" w14:textId="77777777" w:rsidR="0006449E" w:rsidRPr="0006449E" w:rsidRDefault="0006449E" w:rsidP="0006449E">
      <w:pPr>
        <w:ind w:left="567"/>
        <w:rPr>
          <w:i/>
          <w:iCs/>
        </w:rPr>
      </w:pPr>
      <w:r w:rsidRPr="0006449E">
        <w:rPr>
          <w:i/>
          <w:iCs/>
        </w:rPr>
        <w:t>The proponent should report the reliability</w:t>
      </w:r>
      <w:r w:rsidRPr="0006449E">
        <w:rPr>
          <w:rFonts w:eastAsia="Malgun Gothic"/>
          <w:i/>
          <w:iCs/>
          <w:lang w:eastAsia="ko-KR"/>
        </w:rPr>
        <w:t xml:space="preserve"> </w:t>
      </w:r>
      <w:r w:rsidRPr="0006449E">
        <w:rPr>
          <w:i/>
          <w:iCs/>
        </w:rPr>
        <w:t>achievable by the candidate RIT/SRIT, and identify the assumed frequency band(s) of operation and the channel bandwidths in that(those) band(s).</w:t>
      </w:r>
    </w:p>
    <w:p w14:paraId="1DA0D4B0" w14:textId="77777777" w:rsidR="0006449E" w:rsidRPr="0006449E" w:rsidRDefault="0006449E" w:rsidP="0006449E">
      <w:pPr>
        <w:tabs>
          <w:tab w:val="center" w:pos="4820"/>
          <w:tab w:val="right" w:pos="9639"/>
        </w:tabs>
        <w:ind w:left="567"/>
        <w:rPr>
          <w:i/>
          <w:iCs/>
        </w:rPr>
      </w:pPr>
      <w:r w:rsidRPr="0006449E">
        <w:rPr>
          <w:i/>
          <w:iCs/>
        </w:rPr>
        <w:t xml:space="preserve">The evaluation methodology for determining the reliability should follow the principles outlined in § 7.1.5 of Report ITU-R </w:t>
      </w:r>
      <w:hyperlink r:id="rId11" w:history="1">
        <w:r w:rsidRPr="0006449E">
          <w:rPr>
            <w:rStyle w:val="Hyperlink"/>
            <w:i/>
            <w:iCs/>
            <w:lang w:eastAsia="ko-KR"/>
          </w:rPr>
          <w:t>M.2412</w:t>
        </w:r>
      </w:hyperlink>
      <w:r w:rsidRPr="0006449E">
        <w:rPr>
          <w:i/>
          <w:iCs/>
        </w:rPr>
        <w:t xml:space="preserve"> with needed adaptations.</w:t>
      </w:r>
    </w:p>
    <w:p w14:paraId="3E0C29FF" w14:textId="77777777" w:rsidR="0006449E" w:rsidRPr="00980FDC" w:rsidRDefault="0006449E" w:rsidP="0006449E">
      <w:pPr>
        <w:tabs>
          <w:tab w:val="center" w:pos="4820"/>
          <w:tab w:val="right" w:pos="9639"/>
        </w:tabs>
        <w:ind w:left="567"/>
      </w:pPr>
      <w:r w:rsidRPr="0006449E">
        <w:rPr>
          <w:i/>
          <w:iCs/>
        </w:rPr>
        <w:t xml:space="preserve">The evaluation is conducted in the Rural-HRC-s test environment (see § 8.2), </w:t>
      </w:r>
      <w:r w:rsidRPr="0006449E">
        <w:rPr>
          <w:rFonts w:eastAsia="Malgun Gothic"/>
          <w:i/>
          <w:iCs/>
          <w:szCs w:val="24"/>
          <w:lang w:eastAsia="ko-KR"/>
        </w:rPr>
        <w:t xml:space="preserve">applicable to </w:t>
      </w:r>
      <w:r w:rsidRPr="0006449E">
        <w:rPr>
          <w:i/>
          <w:iCs/>
        </w:rPr>
        <w:t xml:space="preserve">handheld devices. </w:t>
      </w:r>
    </w:p>
    <w:p w14:paraId="59BC4D8C" w14:textId="258C5785" w:rsidR="008863F9" w:rsidRDefault="004574C9" w:rsidP="00BE4E92">
      <w:pPr>
        <w:pStyle w:val="Heading2"/>
        <w:rPr>
          <w:lang w:eastAsia="ko-KR"/>
        </w:rPr>
      </w:pPr>
      <w:r>
        <w:rPr>
          <w:lang w:eastAsia="ko-KR"/>
        </w:rPr>
        <w:lastRenderedPageBreak/>
        <w:t>2</w:t>
      </w:r>
      <w:r w:rsidR="008863F9">
        <w:rPr>
          <w:lang w:eastAsia="ko-KR"/>
        </w:rPr>
        <w:t>.</w:t>
      </w:r>
      <w:r w:rsidR="00B01966">
        <w:rPr>
          <w:lang w:eastAsia="ko-KR"/>
        </w:rPr>
        <w:t>3</w:t>
      </w:r>
      <w:r w:rsidR="008863F9">
        <w:rPr>
          <w:lang w:eastAsia="ko-KR"/>
        </w:rPr>
        <w:tab/>
      </w:r>
      <w:r w:rsidR="00D21D24">
        <w:rPr>
          <w:lang w:eastAsia="ko-KR"/>
        </w:rPr>
        <w:t>Modelling assumptions</w:t>
      </w:r>
      <w:r w:rsidR="00FD5B8F">
        <w:rPr>
          <w:lang w:eastAsia="ko-KR"/>
        </w:rPr>
        <w:t xml:space="preserve"> </w:t>
      </w:r>
      <w:r w:rsidR="00B44057">
        <w:rPr>
          <w:lang w:eastAsia="ko-KR"/>
        </w:rPr>
        <w:t>and limiting the effort required</w:t>
      </w:r>
    </w:p>
    <w:p w14:paraId="2826D42B" w14:textId="139187F1" w:rsidR="00876847" w:rsidRDefault="00876847" w:rsidP="00876847">
      <w:pPr>
        <w:spacing w:before="120"/>
        <w:rPr>
          <w:rFonts w:asciiTheme="minorHAnsi" w:hAnsiTheme="minorHAnsi" w:cstheme="minorHAnsi"/>
          <w:sz w:val="22"/>
          <w:szCs w:val="22"/>
          <w:lang w:eastAsia="en-GB"/>
        </w:rPr>
      </w:pPr>
      <w:r w:rsidRPr="00876847">
        <w:rPr>
          <w:rFonts w:asciiTheme="minorHAnsi" w:hAnsiTheme="minorHAnsi" w:cstheme="minorHAnsi"/>
          <w:sz w:val="22"/>
          <w:szCs w:val="22"/>
          <w:lang w:eastAsia="ko-KR"/>
        </w:rPr>
        <w:t>In [2] it is stated that: “</w:t>
      </w:r>
      <w:r w:rsidRPr="00876847">
        <w:rPr>
          <w:rFonts w:asciiTheme="minorHAnsi" w:hAnsiTheme="minorHAnsi" w:cstheme="minorHAnsi"/>
          <w:i/>
          <w:iCs/>
          <w:sz w:val="22"/>
          <w:szCs w:val="22"/>
          <w:lang w:eastAsia="en-GB"/>
        </w:rPr>
        <w:t>It is sufficient to fulfil the requirement in either downlink or uplink, using either NLOS or LOS channel conditions</w:t>
      </w:r>
      <w:r w:rsidRPr="00876847">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 xml:space="preserve">Reliability in uplink direction </w:t>
      </w:r>
      <w:r>
        <w:rPr>
          <w:rFonts w:asciiTheme="minorHAnsi" w:hAnsiTheme="minorHAnsi" w:cstheme="minorHAnsi"/>
          <w:sz w:val="22"/>
          <w:szCs w:val="22"/>
          <w:lang w:eastAsia="ko-KR"/>
        </w:rPr>
        <w:t xml:space="preserve">may possibly be considered most relevant for </w:t>
      </w:r>
      <w:r w:rsidRPr="00876847">
        <w:rPr>
          <w:rFonts w:asciiTheme="minorHAnsi" w:hAnsiTheme="minorHAnsi" w:cstheme="minorHAnsi"/>
          <w:sz w:val="22"/>
          <w:szCs w:val="22"/>
          <w:lang w:eastAsia="ko-KR"/>
        </w:rPr>
        <w:t>IoT traffic operation.</w:t>
      </w:r>
    </w:p>
    <w:p w14:paraId="778034EA" w14:textId="0A438F9F" w:rsidR="00876847" w:rsidRPr="00876847" w:rsidRDefault="00876847" w:rsidP="00876847">
      <w:pPr>
        <w:spacing w:before="120"/>
        <w:rPr>
          <w:rFonts w:asciiTheme="minorHAnsi" w:hAnsiTheme="minorHAnsi" w:cstheme="minorHAnsi"/>
          <w:b/>
          <w:bCs/>
          <w:sz w:val="22"/>
          <w:szCs w:val="22"/>
          <w:lang w:eastAsia="ko-KR"/>
        </w:rPr>
      </w:pPr>
      <w:r w:rsidRPr="00876847">
        <w:rPr>
          <w:rFonts w:asciiTheme="minorHAnsi" w:hAnsiTheme="minorHAnsi" w:cstheme="minorHAnsi"/>
          <w:b/>
          <w:bCs/>
          <w:sz w:val="22"/>
          <w:szCs w:val="22"/>
          <w:u w:val="single"/>
          <w:lang w:eastAsia="en-GB"/>
        </w:rPr>
        <w:t>Observation 1</w:t>
      </w:r>
      <w:r w:rsidRPr="00876847">
        <w:rPr>
          <w:rFonts w:asciiTheme="minorHAnsi" w:hAnsiTheme="minorHAnsi" w:cstheme="minorHAnsi"/>
          <w:b/>
          <w:bCs/>
          <w:sz w:val="22"/>
          <w:szCs w:val="22"/>
          <w:lang w:eastAsia="en-GB"/>
        </w:rPr>
        <w:t>: ITU-R allows the Reliability requirement to be fulfilled in only uplink direction</w:t>
      </w:r>
      <w:r>
        <w:rPr>
          <w:rFonts w:asciiTheme="minorHAnsi" w:hAnsiTheme="minorHAnsi" w:cstheme="minorHAnsi"/>
          <w:b/>
          <w:bCs/>
          <w:sz w:val="22"/>
          <w:szCs w:val="22"/>
          <w:lang w:eastAsia="en-GB"/>
        </w:rPr>
        <w:t>, which may possibly be considered most relevant for typical IoT operations</w:t>
      </w:r>
      <w:r w:rsidRPr="00876847">
        <w:rPr>
          <w:rFonts w:asciiTheme="minorHAnsi" w:hAnsiTheme="minorHAnsi" w:cstheme="minorHAnsi"/>
          <w:b/>
          <w:bCs/>
          <w:sz w:val="22"/>
          <w:szCs w:val="22"/>
          <w:lang w:eastAsia="en-GB"/>
        </w:rPr>
        <w:t>.</w:t>
      </w:r>
    </w:p>
    <w:p w14:paraId="738E81BB" w14:textId="75EBE396" w:rsidR="00B44057" w:rsidRDefault="008A0091" w:rsidP="00853227">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w:t>
      </w:r>
      <w:r w:rsidR="00853227">
        <w:rPr>
          <w:rFonts w:asciiTheme="minorHAnsi" w:hAnsiTheme="minorHAnsi" w:cstheme="minorHAnsi"/>
          <w:sz w:val="22"/>
          <w:szCs w:val="22"/>
          <w:lang w:eastAsia="ko-KR"/>
        </w:rPr>
        <w:t>NR NTN</w:t>
      </w:r>
      <w:r w:rsidR="00B44057">
        <w:rPr>
          <w:rFonts w:asciiTheme="minorHAnsi" w:hAnsiTheme="minorHAnsi" w:cstheme="minorHAnsi"/>
          <w:sz w:val="22"/>
          <w:szCs w:val="22"/>
          <w:lang w:eastAsia="ko-KR"/>
        </w:rPr>
        <w:t>,</w:t>
      </w:r>
      <w:r w:rsidR="00853227">
        <w:rPr>
          <w:rFonts w:asciiTheme="minorHAnsi" w:hAnsiTheme="minorHAnsi" w:cstheme="minorHAnsi"/>
          <w:sz w:val="22"/>
          <w:szCs w:val="22"/>
          <w:lang w:eastAsia="ko-KR"/>
        </w:rPr>
        <w:t xml:space="preserve"> </w:t>
      </w:r>
      <w:r>
        <w:rPr>
          <w:rFonts w:asciiTheme="minorHAnsi" w:hAnsiTheme="minorHAnsi" w:cstheme="minorHAnsi"/>
          <w:sz w:val="22"/>
          <w:szCs w:val="22"/>
          <w:lang w:eastAsia="ko-KR"/>
        </w:rPr>
        <w:t xml:space="preserve">the same LLS and SLS assumptions </w:t>
      </w:r>
      <w:r w:rsidR="00B44057">
        <w:rPr>
          <w:rFonts w:asciiTheme="minorHAnsi" w:hAnsiTheme="minorHAnsi" w:cstheme="minorHAnsi"/>
          <w:sz w:val="22"/>
          <w:szCs w:val="22"/>
          <w:lang w:eastAsia="ko-KR"/>
        </w:rPr>
        <w:t>for mode</w:t>
      </w:r>
      <w:r w:rsidR="00876847">
        <w:rPr>
          <w:rFonts w:asciiTheme="minorHAnsi" w:hAnsiTheme="minorHAnsi" w:cstheme="minorHAnsi"/>
          <w:sz w:val="22"/>
          <w:szCs w:val="22"/>
          <w:lang w:eastAsia="ko-KR"/>
        </w:rPr>
        <w:t>l</w:t>
      </w:r>
      <w:r w:rsidR="00B44057">
        <w:rPr>
          <w:rFonts w:asciiTheme="minorHAnsi" w:hAnsiTheme="minorHAnsi" w:cstheme="minorHAnsi"/>
          <w:sz w:val="22"/>
          <w:szCs w:val="22"/>
          <w:lang w:eastAsia="ko-KR"/>
        </w:rPr>
        <w:t xml:space="preserve">ling the uplink direction </w:t>
      </w:r>
      <w:r>
        <w:rPr>
          <w:rFonts w:asciiTheme="minorHAnsi" w:hAnsiTheme="minorHAnsi" w:cstheme="minorHAnsi"/>
          <w:sz w:val="22"/>
          <w:szCs w:val="22"/>
          <w:lang w:eastAsia="ko-KR"/>
        </w:rPr>
        <w:t>have been applied for</w:t>
      </w:r>
      <w:r w:rsidR="00853227">
        <w:rPr>
          <w:rFonts w:asciiTheme="minorHAnsi" w:hAnsiTheme="minorHAnsi" w:cstheme="minorHAnsi"/>
          <w:sz w:val="22"/>
          <w:szCs w:val="22"/>
          <w:lang w:eastAsia="ko-KR"/>
        </w:rPr>
        <w:t xml:space="preserve"> </w:t>
      </w:r>
      <w:r w:rsidR="00B44057">
        <w:rPr>
          <w:rFonts w:asciiTheme="minorHAnsi" w:hAnsiTheme="minorHAnsi" w:cstheme="minorHAnsi"/>
          <w:sz w:val="22"/>
          <w:szCs w:val="22"/>
          <w:lang w:eastAsia="ko-KR"/>
        </w:rPr>
        <w:t>Connection Density Full buffer evaluations</w:t>
      </w:r>
      <w:r w:rsidR="00853227">
        <w:rPr>
          <w:rFonts w:asciiTheme="minorHAnsi" w:hAnsiTheme="minorHAnsi" w:cstheme="minorHAnsi"/>
          <w:sz w:val="22"/>
          <w:szCs w:val="22"/>
          <w:lang w:eastAsia="ko-KR"/>
        </w:rPr>
        <w:t xml:space="preserve"> and for </w:t>
      </w:r>
      <w:r w:rsidR="00B44057">
        <w:rPr>
          <w:rFonts w:asciiTheme="minorHAnsi" w:hAnsiTheme="minorHAnsi" w:cstheme="minorHAnsi"/>
          <w:sz w:val="22"/>
          <w:szCs w:val="22"/>
          <w:lang w:eastAsia="ko-KR"/>
        </w:rPr>
        <w:t>the Reliability</w:t>
      </w:r>
      <w:r w:rsidR="0036673D">
        <w:rPr>
          <w:rFonts w:asciiTheme="minorHAnsi" w:hAnsiTheme="minorHAnsi" w:cstheme="minorHAnsi"/>
          <w:sz w:val="22"/>
          <w:szCs w:val="22"/>
          <w:lang w:eastAsia="ko-KR"/>
        </w:rPr>
        <w:t xml:space="preserve"> evaluation</w:t>
      </w:r>
      <w:r>
        <w:rPr>
          <w:rFonts w:asciiTheme="minorHAnsi" w:hAnsiTheme="minorHAnsi" w:cstheme="minorHAnsi"/>
          <w:sz w:val="22"/>
          <w:szCs w:val="22"/>
          <w:lang w:eastAsia="ko-KR"/>
        </w:rPr>
        <w:t xml:space="preserve">. </w:t>
      </w:r>
      <w:r w:rsidR="00B44057">
        <w:rPr>
          <w:rFonts w:asciiTheme="minorHAnsi" w:hAnsiTheme="minorHAnsi" w:cstheme="minorHAnsi"/>
          <w:sz w:val="22"/>
          <w:szCs w:val="22"/>
          <w:lang w:eastAsia="ko-KR"/>
        </w:rPr>
        <w:t>The same could apply for IoT NTN uplink evaluation assumptions.</w:t>
      </w:r>
    </w:p>
    <w:p w14:paraId="3DD321F5" w14:textId="60CB1E3D" w:rsidR="008A0091" w:rsidRPr="00B44057" w:rsidRDefault="00B44057" w:rsidP="00853227">
      <w:pPr>
        <w:rPr>
          <w:rFonts w:asciiTheme="minorHAnsi" w:hAnsiTheme="minorHAnsi" w:cstheme="minorHAnsi"/>
          <w:b/>
          <w:bCs/>
          <w:sz w:val="22"/>
          <w:szCs w:val="22"/>
          <w:lang w:eastAsia="ko-KR"/>
        </w:rPr>
      </w:pPr>
      <w:r w:rsidRPr="00B44057">
        <w:rPr>
          <w:rFonts w:asciiTheme="minorHAnsi" w:hAnsiTheme="minorHAnsi" w:cstheme="minorHAnsi"/>
          <w:b/>
          <w:bCs/>
          <w:sz w:val="22"/>
          <w:szCs w:val="22"/>
          <w:u w:val="single"/>
          <w:lang w:eastAsia="ko-KR"/>
        </w:rPr>
        <w:t xml:space="preserve">Observation </w:t>
      </w:r>
      <w:r w:rsidR="00876847">
        <w:rPr>
          <w:rFonts w:asciiTheme="minorHAnsi" w:hAnsiTheme="minorHAnsi" w:cstheme="minorHAnsi"/>
          <w:b/>
          <w:bCs/>
          <w:sz w:val="22"/>
          <w:szCs w:val="22"/>
          <w:u w:val="single"/>
          <w:lang w:eastAsia="ko-KR"/>
        </w:rPr>
        <w:t>2</w:t>
      </w:r>
      <w:r w:rsidRPr="00B44057">
        <w:rPr>
          <w:rFonts w:asciiTheme="minorHAnsi" w:hAnsiTheme="minorHAnsi" w:cstheme="minorHAnsi"/>
          <w:b/>
          <w:bCs/>
          <w:sz w:val="22"/>
          <w:szCs w:val="22"/>
          <w:u w:val="single"/>
          <w:lang w:eastAsia="ko-KR"/>
        </w:rPr>
        <w:t>:</w:t>
      </w:r>
      <w:r>
        <w:rPr>
          <w:rFonts w:asciiTheme="minorHAnsi" w:hAnsiTheme="minorHAnsi" w:cstheme="minorHAnsi"/>
          <w:b/>
          <w:bCs/>
          <w:sz w:val="22"/>
          <w:szCs w:val="22"/>
          <w:lang w:eastAsia="ko-KR"/>
        </w:rPr>
        <w:t xml:space="preserve"> T</w:t>
      </w:r>
      <w:r w:rsidR="00853227" w:rsidRPr="00B44057">
        <w:rPr>
          <w:rFonts w:asciiTheme="minorHAnsi" w:hAnsiTheme="minorHAnsi" w:cstheme="minorHAnsi"/>
          <w:b/>
          <w:bCs/>
          <w:sz w:val="22"/>
          <w:szCs w:val="22"/>
          <w:lang w:eastAsia="ko-KR"/>
        </w:rPr>
        <w:t xml:space="preserve">he LLS and SLS assumptions </w:t>
      </w:r>
      <w:r w:rsidR="003B0BDF">
        <w:rPr>
          <w:rFonts w:asciiTheme="minorHAnsi" w:hAnsiTheme="minorHAnsi" w:cstheme="minorHAnsi"/>
          <w:b/>
          <w:bCs/>
          <w:sz w:val="22"/>
          <w:szCs w:val="22"/>
          <w:lang w:eastAsia="ko-KR"/>
        </w:rPr>
        <w:t xml:space="preserve">from </w:t>
      </w:r>
      <w:r w:rsidR="008A0091" w:rsidRPr="00B44057">
        <w:rPr>
          <w:rFonts w:asciiTheme="minorHAnsi" w:hAnsiTheme="minorHAnsi" w:cstheme="minorHAnsi"/>
          <w:b/>
          <w:bCs/>
          <w:sz w:val="22"/>
          <w:szCs w:val="22"/>
          <w:lang w:eastAsia="ko-KR"/>
        </w:rPr>
        <w:t>IoT NTN</w:t>
      </w:r>
      <w:r w:rsidR="003B0BDF">
        <w:rPr>
          <w:rFonts w:asciiTheme="minorHAnsi" w:hAnsiTheme="minorHAnsi" w:cstheme="minorHAnsi"/>
          <w:b/>
          <w:bCs/>
          <w:sz w:val="22"/>
          <w:szCs w:val="22"/>
          <w:lang w:eastAsia="ko-KR"/>
        </w:rPr>
        <w:t xml:space="preserve"> Connection Density</w:t>
      </w:r>
      <w:r w:rsidR="00853227" w:rsidRPr="00B44057">
        <w:rPr>
          <w:rFonts w:asciiTheme="minorHAnsi" w:hAnsiTheme="minorHAnsi" w:cstheme="minorHAnsi"/>
          <w:b/>
          <w:bCs/>
          <w:sz w:val="22"/>
          <w:szCs w:val="22"/>
          <w:lang w:eastAsia="ko-KR"/>
        </w:rPr>
        <w:t xml:space="preserve"> can be reused </w:t>
      </w:r>
      <w:r w:rsidR="003B0BDF">
        <w:rPr>
          <w:rFonts w:asciiTheme="minorHAnsi" w:hAnsiTheme="minorHAnsi" w:cstheme="minorHAnsi"/>
          <w:b/>
          <w:bCs/>
          <w:sz w:val="22"/>
          <w:szCs w:val="22"/>
          <w:lang w:eastAsia="ko-KR"/>
        </w:rPr>
        <w:t>to</w:t>
      </w:r>
      <w:r w:rsidRPr="00B44057">
        <w:rPr>
          <w:rFonts w:asciiTheme="minorHAnsi" w:hAnsiTheme="minorHAnsi" w:cstheme="minorHAnsi"/>
          <w:b/>
          <w:bCs/>
          <w:sz w:val="22"/>
          <w:szCs w:val="22"/>
          <w:lang w:eastAsia="ko-KR"/>
        </w:rPr>
        <w:t xml:space="preserve"> model</w:t>
      </w:r>
      <w:r w:rsidR="0036673D" w:rsidRPr="00B44057">
        <w:rPr>
          <w:rFonts w:asciiTheme="minorHAnsi" w:hAnsiTheme="minorHAnsi" w:cstheme="minorHAnsi"/>
          <w:b/>
          <w:bCs/>
          <w:sz w:val="22"/>
          <w:szCs w:val="22"/>
          <w:lang w:eastAsia="ko-KR"/>
        </w:rPr>
        <w:t xml:space="preserve"> </w:t>
      </w:r>
      <w:r w:rsidR="0036673D" w:rsidRPr="003B0BDF">
        <w:rPr>
          <w:rFonts w:asciiTheme="minorHAnsi" w:hAnsiTheme="minorHAnsi" w:cstheme="minorHAnsi"/>
          <w:b/>
          <w:bCs/>
          <w:sz w:val="22"/>
          <w:szCs w:val="22"/>
          <w:u w:val="single"/>
          <w:lang w:eastAsia="ko-KR"/>
        </w:rPr>
        <w:t>uplink</w:t>
      </w:r>
      <w:r w:rsidR="0036673D" w:rsidRPr="00B44057">
        <w:rPr>
          <w:rFonts w:asciiTheme="minorHAnsi" w:hAnsiTheme="minorHAnsi" w:cstheme="minorHAnsi"/>
          <w:b/>
          <w:bCs/>
          <w:sz w:val="22"/>
          <w:szCs w:val="22"/>
          <w:lang w:eastAsia="ko-KR"/>
        </w:rPr>
        <w:t xml:space="preserve"> </w:t>
      </w:r>
      <w:r w:rsidRPr="00B44057">
        <w:rPr>
          <w:rFonts w:asciiTheme="minorHAnsi" w:hAnsiTheme="minorHAnsi" w:cstheme="minorHAnsi"/>
          <w:b/>
          <w:bCs/>
          <w:sz w:val="22"/>
          <w:szCs w:val="22"/>
          <w:lang w:eastAsia="ko-KR"/>
        </w:rPr>
        <w:t>R</w:t>
      </w:r>
      <w:r w:rsidR="0036673D" w:rsidRPr="00B44057">
        <w:rPr>
          <w:rFonts w:asciiTheme="minorHAnsi" w:hAnsiTheme="minorHAnsi" w:cstheme="minorHAnsi"/>
          <w:b/>
          <w:bCs/>
          <w:sz w:val="22"/>
          <w:szCs w:val="22"/>
          <w:lang w:eastAsia="ko-KR"/>
        </w:rPr>
        <w:t>eliability</w:t>
      </w:r>
      <w:r w:rsidR="003B0BDF">
        <w:rPr>
          <w:rFonts w:asciiTheme="minorHAnsi" w:hAnsiTheme="minorHAnsi" w:cstheme="minorHAnsi"/>
          <w:b/>
          <w:bCs/>
          <w:sz w:val="22"/>
          <w:szCs w:val="22"/>
          <w:lang w:eastAsia="ko-KR"/>
        </w:rPr>
        <w:t xml:space="preserve"> for IoT NTN</w:t>
      </w:r>
      <w:r w:rsidR="008A0091" w:rsidRPr="00B44057">
        <w:rPr>
          <w:rFonts w:asciiTheme="minorHAnsi" w:hAnsiTheme="minorHAnsi" w:cstheme="minorHAnsi"/>
          <w:b/>
          <w:bCs/>
          <w:sz w:val="22"/>
          <w:szCs w:val="22"/>
          <w:lang w:eastAsia="ko-KR"/>
        </w:rPr>
        <w:t>.</w:t>
      </w:r>
    </w:p>
    <w:p w14:paraId="5E47868E" w14:textId="20D0E503" w:rsidR="008A0091" w:rsidRDefault="008A0091" w:rsidP="00876847">
      <w:pPr>
        <w:spacing w:after="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terms of the evaluation methodology/process, the </w:t>
      </w:r>
      <w:r w:rsidR="007F2788">
        <w:rPr>
          <w:rFonts w:asciiTheme="minorHAnsi" w:hAnsiTheme="minorHAnsi" w:cstheme="minorHAnsi"/>
          <w:sz w:val="22"/>
          <w:szCs w:val="22"/>
          <w:lang w:eastAsia="ko-KR"/>
        </w:rPr>
        <w:t>steps</w:t>
      </w:r>
      <w:r>
        <w:rPr>
          <w:rFonts w:asciiTheme="minorHAnsi" w:hAnsiTheme="minorHAnsi" w:cstheme="minorHAnsi"/>
          <w:sz w:val="22"/>
          <w:szCs w:val="22"/>
          <w:lang w:eastAsia="ko-KR"/>
        </w:rPr>
        <w:t xml:space="preserve"> described in section 7.1.5 of [2] </w:t>
      </w:r>
      <w:r w:rsidR="007F2788">
        <w:rPr>
          <w:rFonts w:asciiTheme="minorHAnsi" w:hAnsiTheme="minorHAnsi" w:cstheme="minorHAnsi"/>
          <w:sz w:val="22"/>
          <w:szCs w:val="22"/>
          <w:lang w:eastAsia="ko-KR"/>
        </w:rPr>
        <w:t>are</w:t>
      </w:r>
      <w:r>
        <w:rPr>
          <w:rFonts w:asciiTheme="minorHAnsi" w:hAnsiTheme="minorHAnsi" w:cstheme="minorHAnsi"/>
          <w:sz w:val="22"/>
          <w:szCs w:val="22"/>
          <w:lang w:eastAsia="ko-KR"/>
        </w:rPr>
        <w:t xml:space="preserve"> very similar to the full buffer approach </w:t>
      </w:r>
      <w:r w:rsidR="007F2788">
        <w:rPr>
          <w:rFonts w:asciiTheme="minorHAnsi" w:hAnsiTheme="minorHAnsi" w:cstheme="minorHAnsi"/>
          <w:sz w:val="22"/>
          <w:szCs w:val="22"/>
          <w:lang w:eastAsia="ko-KR"/>
        </w:rPr>
        <w:t xml:space="preserve">used </w:t>
      </w:r>
      <w:r>
        <w:rPr>
          <w:rFonts w:asciiTheme="minorHAnsi" w:hAnsiTheme="minorHAnsi" w:cstheme="minorHAnsi"/>
          <w:sz w:val="22"/>
          <w:szCs w:val="22"/>
          <w:lang w:eastAsia="ko-KR"/>
        </w:rPr>
        <w:t xml:space="preserve">for </w:t>
      </w:r>
      <w:r w:rsidR="009D6FF1">
        <w:rPr>
          <w:rFonts w:asciiTheme="minorHAnsi" w:hAnsiTheme="minorHAnsi" w:cstheme="minorHAnsi"/>
          <w:sz w:val="22"/>
          <w:szCs w:val="22"/>
          <w:lang w:eastAsia="ko-KR"/>
        </w:rPr>
        <w:t xml:space="preserve">the </w:t>
      </w:r>
      <w:r w:rsidR="00AD010E">
        <w:rPr>
          <w:rFonts w:asciiTheme="minorHAnsi" w:hAnsiTheme="minorHAnsi" w:cstheme="minorHAnsi"/>
          <w:sz w:val="22"/>
          <w:szCs w:val="22"/>
          <w:lang w:eastAsia="ko-KR"/>
        </w:rPr>
        <w:t>Connection Density</w:t>
      </w:r>
      <w:r w:rsidR="007F2788">
        <w:rPr>
          <w:rFonts w:asciiTheme="minorHAnsi" w:hAnsiTheme="minorHAnsi" w:cstheme="minorHAnsi"/>
          <w:sz w:val="22"/>
          <w:szCs w:val="22"/>
          <w:lang w:eastAsia="ko-KR"/>
        </w:rPr>
        <w:t xml:space="preserve"> evaluations</w:t>
      </w:r>
      <w:r>
        <w:rPr>
          <w:rFonts w:asciiTheme="minorHAnsi" w:hAnsiTheme="minorHAnsi" w:cstheme="minorHAnsi"/>
          <w:sz w:val="22"/>
          <w:szCs w:val="22"/>
          <w:lang w:eastAsia="ko-KR"/>
        </w:rPr>
        <w:t xml:space="preserve">, </w:t>
      </w:r>
      <w:r w:rsidR="007F2788">
        <w:rPr>
          <w:rFonts w:asciiTheme="minorHAnsi" w:hAnsiTheme="minorHAnsi" w:cstheme="minorHAnsi"/>
          <w:sz w:val="22"/>
          <w:szCs w:val="22"/>
          <w:lang w:eastAsia="ko-KR"/>
        </w:rPr>
        <w:t>with</w:t>
      </w:r>
      <w:r>
        <w:rPr>
          <w:rFonts w:asciiTheme="minorHAnsi" w:hAnsiTheme="minorHAnsi" w:cstheme="minorHAnsi"/>
          <w:sz w:val="22"/>
          <w:szCs w:val="22"/>
          <w:lang w:eastAsia="ko-KR"/>
        </w:rPr>
        <w:t xml:space="preserve"> some key </w:t>
      </w:r>
      <w:r w:rsidR="006F3E7E">
        <w:rPr>
          <w:rFonts w:asciiTheme="minorHAnsi" w:hAnsiTheme="minorHAnsi" w:cstheme="minorHAnsi"/>
          <w:sz w:val="22"/>
          <w:szCs w:val="22"/>
          <w:lang w:eastAsia="ko-KR"/>
        </w:rPr>
        <w:t>points to highlight</w:t>
      </w:r>
      <w:r>
        <w:rPr>
          <w:rFonts w:asciiTheme="minorHAnsi" w:hAnsiTheme="minorHAnsi" w:cstheme="minorHAnsi"/>
          <w:sz w:val="22"/>
          <w:szCs w:val="22"/>
          <w:lang w:eastAsia="ko-KR"/>
        </w:rPr>
        <w:t>:</w:t>
      </w:r>
    </w:p>
    <w:p w14:paraId="097B3275" w14:textId="205CB57E" w:rsidR="008A0091" w:rsidRPr="003815FF" w:rsidRDefault="008A0091" w:rsidP="0036673D">
      <w:pPr>
        <w:pStyle w:val="ListParagraph"/>
        <w:numPr>
          <w:ilvl w:val="0"/>
          <w:numId w:val="33"/>
        </w:numPr>
        <w:spacing w:before="120"/>
        <w:ind w:left="357" w:hanging="357"/>
        <w:rPr>
          <w:rFonts w:asciiTheme="minorHAnsi" w:hAnsiTheme="minorHAnsi" w:cstheme="minorHAnsi"/>
          <w:lang w:eastAsia="ko-KR"/>
        </w:rPr>
      </w:pPr>
      <w:r>
        <w:rPr>
          <w:rFonts w:asciiTheme="minorHAnsi" w:hAnsiTheme="minorHAnsi" w:cstheme="minorHAnsi"/>
          <w:lang w:val="en-GB" w:eastAsia="ko-KR"/>
        </w:rPr>
        <w:t xml:space="preserve">From the SLS, the 5%-ile point </w:t>
      </w:r>
      <w:r w:rsidR="003815FF">
        <w:rPr>
          <w:rFonts w:asciiTheme="minorHAnsi" w:hAnsiTheme="minorHAnsi" w:cstheme="minorHAnsi"/>
          <w:lang w:val="en-GB" w:eastAsia="ko-KR"/>
        </w:rPr>
        <w:t>of the SINR cdf shall be used for SLS-LLS mapping</w:t>
      </w:r>
      <w:r w:rsidR="006F3E7E">
        <w:rPr>
          <w:rFonts w:asciiTheme="minorHAnsi" w:hAnsiTheme="minorHAnsi" w:cstheme="minorHAnsi"/>
          <w:lang w:val="en-GB" w:eastAsia="ko-KR"/>
        </w:rPr>
        <w:t>.</w:t>
      </w:r>
    </w:p>
    <w:p w14:paraId="4CF403BA" w14:textId="5C85C42E" w:rsidR="003815FF" w:rsidRPr="003815FF" w:rsidRDefault="003815FF" w:rsidP="0036673D">
      <w:pPr>
        <w:pStyle w:val="ListParagraph"/>
        <w:numPr>
          <w:ilvl w:val="0"/>
          <w:numId w:val="33"/>
        </w:numPr>
        <w:spacing w:before="120"/>
        <w:ind w:left="357" w:hanging="357"/>
        <w:rPr>
          <w:rFonts w:asciiTheme="minorHAnsi" w:hAnsiTheme="minorHAnsi" w:cstheme="minorHAnsi"/>
          <w:lang w:eastAsia="ko-KR"/>
        </w:rPr>
      </w:pPr>
      <w:r>
        <w:rPr>
          <w:rFonts w:asciiTheme="minorHAnsi" w:hAnsiTheme="minorHAnsi" w:cstheme="minorHAnsi"/>
          <w:lang w:val="en-GB" w:eastAsia="ko-KR"/>
        </w:rPr>
        <w:t xml:space="preserve">A 0.1% </w:t>
      </w:r>
      <w:r w:rsidR="00DD6CCB">
        <w:rPr>
          <w:rFonts w:asciiTheme="minorHAnsi" w:hAnsiTheme="minorHAnsi" w:cstheme="minorHAnsi"/>
          <w:lang w:val="en-GB" w:eastAsia="ko-KR"/>
        </w:rPr>
        <w:t>packet error rate</w:t>
      </w:r>
      <w:r>
        <w:rPr>
          <w:rFonts w:asciiTheme="minorHAnsi" w:hAnsiTheme="minorHAnsi" w:cstheme="minorHAnsi"/>
          <w:lang w:val="en-GB" w:eastAsia="ko-KR"/>
        </w:rPr>
        <w:t xml:space="preserve"> shall be used for the packet delay calculation, instead of 10% as agreed for </w:t>
      </w:r>
      <w:r w:rsidR="00AD010E">
        <w:rPr>
          <w:rFonts w:asciiTheme="minorHAnsi" w:hAnsiTheme="minorHAnsi" w:cstheme="minorHAnsi"/>
          <w:lang w:val="en-GB" w:eastAsia="ko-KR"/>
        </w:rPr>
        <w:t>the Connection Density evaluation</w:t>
      </w:r>
      <w:r>
        <w:rPr>
          <w:rFonts w:asciiTheme="minorHAnsi" w:hAnsiTheme="minorHAnsi" w:cstheme="minorHAnsi"/>
          <w:lang w:val="en-GB" w:eastAsia="ko-KR"/>
        </w:rPr>
        <w:t>.</w:t>
      </w:r>
      <w:r w:rsidR="0036673D">
        <w:rPr>
          <w:rFonts w:asciiTheme="minorHAnsi" w:hAnsiTheme="minorHAnsi" w:cstheme="minorHAnsi"/>
          <w:lang w:val="en-GB" w:eastAsia="ko-KR"/>
        </w:rPr>
        <w:t xml:space="preserve"> The application of HARQ retransmissions </w:t>
      </w:r>
      <w:r w:rsidR="003C138D">
        <w:rPr>
          <w:rFonts w:asciiTheme="minorHAnsi" w:hAnsiTheme="minorHAnsi" w:cstheme="minorHAnsi"/>
          <w:lang w:val="en-GB" w:eastAsia="ko-KR"/>
        </w:rPr>
        <w:t xml:space="preserve">and repetitions </w:t>
      </w:r>
      <w:r w:rsidR="0036673D">
        <w:rPr>
          <w:rFonts w:asciiTheme="minorHAnsi" w:hAnsiTheme="minorHAnsi" w:cstheme="minorHAnsi"/>
          <w:lang w:val="en-GB" w:eastAsia="ko-KR"/>
        </w:rPr>
        <w:t xml:space="preserve">to achieve the 0.1% </w:t>
      </w:r>
      <w:r w:rsidR="00DD6CCB">
        <w:rPr>
          <w:rFonts w:asciiTheme="minorHAnsi" w:hAnsiTheme="minorHAnsi" w:cstheme="minorHAnsi"/>
          <w:lang w:val="en-GB" w:eastAsia="ko-KR"/>
        </w:rPr>
        <w:t>packet error rate</w:t>
      </w:r>
      <w:r w:rsidR="0036673D">
        <w:rPr>
          <w:rFonts w:asciiTheme="minorHAnsi" w:hAnsiTheme="minorHAnsi" w:cstheme="minorHAnsi"/>
          <w:lang w:val="en-GB" w:eastAsia="ko-KR"/>
        </w:rPr>
        <w:t xml:space="preserve"> could be left for companies to report</w:t>
      </w:r>
      <w:r w:rsidR="003C138D">
        <w:rPr>
          <w:rFonts w:asciiTheme="minorHAnsi" w:hAnsiTheme="minorHAnsi" w:cstheme="minorHAnsi"/>
          <w:lang w:val="en-GB" w:eastAsia="ko-KR"/>
        </w:rPr>
        <w:t xml:space="preserve"> (see LLS in Appendix)</w:t>
      </w:r>
      <w:r w:rsidR="0036673D">
        <w:rPr>
          <w:rFonts w:asciiTheme="minorHAnsi" w:hAnsiTheme="minorHAnsi" w:cstheme="minorHAnsi"/>
          <w:lang w:val="en-GB" w:eastAsia="ko-KR"/>
        </w:rPr>
        <w:t>.</w:t>
      </w:r>
    </w:p>
    <w:p w14:paraId="07D5E820" w14:textId="11D0CAFD" w:rsidR="006F3E7E" w:rsidRPr="00876847" w:rsidRDefault="007F2788" w:rsidP="0036673D">
      <w:pPr>
        <w:pStyle w:val="ListParagraph"/>
        <w:numPr>
          <w:ilvl w:val="0"/>
          <w:numId w:val="33"/>
        </w:numPr>
        <w:spacing w:before="120"/>
        <w:ind w:left="357" w:hanging="357"/>
        <w:rPr>
          <w:rFonts w:asciiTheme="minorHAnsi" w:hAnsiTheme="minorHAnsi" w:cstheme="minorHAnsi"/>
          <w:lang w:eastAsia="ko-KR"/>
        </w:rPr>
      </w:pPr>
      <w:r w:rsidRPr="007F2788">
        <w:rPr>
          <w:rFonts w:asciiTheme="minorHAnsi" w:hAnsiTheme="minorHAnsi" w:cstheme="minorHAnsi"/>
          <w:lang w:val="en-GB" w:eastAsia="ko-KR"/>
        </w:rPr>
        <w:t>At RAN1#114, the following was agreed: “</w:t>
      </w:r>
      <w:r w:rsidRPr="0036673D">
        <w:rPr>
          <w:i/>
          <w:iCs/>
        </w:rPr>
        <w:t xml:space="preserve">The </w:t>
      </w:r>
      <w:r w:rsidR="00723A6C" w:rsidRPr="0036673D">
        <w:rPr>
          <w:i/>
          <w:iCs/>
        </w:rPr>
        <w:t>modelling</w:t>
      </w:r>
      <w:r w:rsidRPr="0036673D">
        <w:rPr>
          <w:i/>
          <w:iCs/>
        </w:rPr>
        <w:t xml:space="preserve"> of delay / RTT for SLS is up to companies to report</w:t>
      </w:r>
      <w:r w:rsidRPr="007F2788">
        <w:rPr>
          <w:lang w:val="en-GB"/>
        </w:rPr>
        <w:t xml:space="preserve">”. Therefore, this should be considered </w:t>
      </w:r>
      <w:r w:rsidR="0036673D">
        <w:rPr>
          <w:lang w:val="en-GB"/>
        </w:rPr>
        <w:t xml:space="preserve">by each company </w:t>
      </w:r>
      <w:r w:rsidRPr="007F2788">
        <w:rPr>
          <w:lang w:val="en-GB"/>
        </w:rPr>
        <w:t xml:space="preserve">when </w:t>
      </w:r>
      <w:r w:rsidR="0036673D">
        <w:rPr>
          <w:lang w:val="en-GB"/>
        </w:rPr>
        <w:t>deriving</w:t>
      </w:r>
      <w:r w:rsidRPr="007F2788">
        <w:rPr>
          <w:lang w:val="en-GB"/>
        </w:rPr>
        <w:t xml:space="preserve"> the overall packet delay</w:t>
      </w:r>
      <w:r w:rsidR="003C138D">
        <w:rPr>
          <w:lang w:val="en-GB"/>
        </w:rPr>
        <w:t xml:space="preserve"> (see LLS in Appendix)</w:t>
      </w:r>
      <w:r>
        <w:rPr>
          <w:lang w:val="en-GB"/>
        </w:rPr>
        <w:t>.</w:t>
      </w:r>
    </w:p>
    <w:p w14:paraId="00F7F349" w14:textId="24B518E1" w:rsidR="00876847" w:rsidRPr="00876847" w:rsidRDefault="00876847" w:rsidP="00876847">
      <w:pPr>
        <w:spacing w:before="120"/>
        <w:rPr>
          <w:rFonts w:asciiTheme="minorHAnsi" w:hAnsiTheme="minorHAnsi" w:cstheme="minorHAnsi"/>
          <w:b/>
          <w:bCs/>
          <w:sz w:val="22"/>
          <w:szCs w:val="22"/>
          <w:lang w:eastAsia="ko-KR"/>
        </w:rPr>
      </w:pPr>
      <w:r w:rsidRPr="00876847">
        <w:rPr>
          <w:rFonts w:asciiTheme="minorHAnsi" w:hAnsiTheme="minorHAnsi" w:cstheme="minorHAnsi"/>
          <w:b/>
          <w:bCs/>
          <w:sz w:val="22"/>
          <w:szCs w:val="22"/>
          <w:u w:val="single"/>
          <w:lang w:eastAsia="ko-KR"/>
        </w:rPr>
        <w:t>Observation 3</w:t>
      </w:r>
      <w:r w:rsidRPr="00876847">
        <w:rPr>
          <w:rFonts w:asciiTheme="minorHAnsi" w:hAnsiTheme="minorHAnsi" w:cstheme="minorHAnsi"/>
          <w:b/>
          <w:bCs/>
          <w:sz w:val="22"/>
          <w:szCs w:val="22"/>
          <w:lang w:eastAsia="ko-KR"/>
        </w:rPr>
        <w:t>: The differen</w:t>
      </w:r>
      <w:r>
        <w:rPr>
          <w:rFonts w:asciiTheme="minorHAnsi" w:hAnsiTheme="minorHAnsi" w:cstheme="minorHAnsi"/>
          <w:b/>
          <w:bCs/>
          <w:sz w:val="22"/>
          <w:szCs w:val="22"/>
          <w:lang w:eastAsia="ko-KR"/>
        </w:rPr>
        <w:t>ce</w:t>
      </w:r>
      <w:r w:rsidRPr="00876847">
        <w:rPr>
          <w:rFonts w:asciiTheme="minorHAnsi" w:hAnsiTheme="minorHAnsi" w:cstheme="minorHAnsi"/>
          <w:b/>
          <w:bCs/>
          <w:sz w:val="22"/>
          <w:szCs w:val="22"/>
          <w:lang w:eastAsia="ko-KR"/>
        </w:rPr>
        <w:t xml:space="preserve"> to </w:t>
      </w:r>
      <w:r w:rsidR="00FF25BB">
        <w:rPr>
          <w:rFonts w:asciiTheme="minorHAnsi" w:hAnsiTheme="minorHAnsi" w:cstheme="minorHAnsi"/>
          <w:b/>
          <w:bCs/>
          <w:sz w:val="22"/>
          <w:szCs w:val="22"/>
          <w:lang w:eastAsia="ko-KR"/>
        </w:rPr>
        <w:t>Connection Density</w:t>
      </w:r>
      <w:r w:rsidRPr="00876847">
        <w:rPr>
          <w:rFonts w:asciiTheme="minorHAnsi" w:hAnsiTheme="minorHAnsi" w:cstheme="minorHAnsi"/>
          <w:b/>
          <w:bCs/>
          <w:sz w:val="22"/>
          <w:szCs w:val="22"/>
          <w:lang w:eastAsia="ko-KR"/>
        </w:rPr>
        <w:t xml:space="preserve"> simulations would be the </w:t>
      </w:r>
      <w:r w:rsidR="00FF25BB">
        <w:rPr>
          <w:rFonts w:asciiTheme="minorHAnsi" w:hAnsiTheme="minorHAnsi" w:cstheme="minorHAnsi"/>
          <w:b/>
          <w:bCs/>
          <w:sz w:val="22"/>
          <w:szCs w:val="22"/>
          <w:lang w:eastAsia="ko-KR"/>
        </w:rPr>
        <w:t xml:space="preserve">LLS </w:t>
      </w:r>
      <w:r w:rsidRPr="00876847">
        <w:rPr>
          <w:rFonts w:asciiTheme="minorHAnsi" w:hAnsiTheme="minorHAnsi" w:cstheme="minorHAnsi"/>
          <w:b/>
          <w:bCs/>
          <w:sz w:val="22"/>
          <w:szCs w:val="22"/>
          <w:lang w:eastAsia="ko-KR"/>
        </w:rPr>
        <w:t xml:space="preserve">modelling </w:t>
      </w:r>
      <w:r w:rsidR="00FF25BB">
        <w:rPr>
          <w:rFonts w:asciiTheme="minorHAnsi" w:hAnsiTheme="minorHAnsi" w:cstheme="minorHAnsi"/>
          <w:b/>
          <w:bCs/>
          <w:sz w:val="22"/>
          <w:szCs w:val="22"/>
          <w:lang w:eastAsia="ko-KR"/>
        </w:rPr>
        <w:t>spectrum efficiency</w:t>
      </w:r>
      <w:r w:rsidRPr="00876847">
        <w:rPr>
          <w:rFonts w:asciiTheme="minorHAnsi" w:hAnsiTheme="minorHAnsi" w:cstheme="minorHAnsi"/>
          <w:b/>
          <w:bCs/>
          <w:sz w:val="22"/>
          <w:szCs w:val="22"/>
          <w:lang w:eastAsia="ko-KR"/>
        </w:rPr>
        <w:t xml:space="preserve"> at a lower BLER</w:t>
      </w:r>
      <w:r w:rsidR="00FF25BB">
        <w:rPr>
          <w:rFonts w:asciiTheme="minorHAnsi" w:hAnsiTheme="minorHAnsi" w:cstheme="minorHAnsi"/>
          <w:b/>
          <w:bCs/>
          <w:sz w:val="22"/>
          <w:szCs w:val="22"/>
          <w:lang w:eastAsia="ko-KR"/>
        </w:rPr>
        <w:t xml:space="preserve"> than 10%</w:t>
      </w:r>
      <w:r w:rsidRPr="00876847">
        <w:rPr>
          <w:rFonts w:asciiTheme="minorHAnsi" w:hAnsiTheme="minorHAnsi" w:cstheme="minorHAnsi"/>
          <w:b/>
          <w:bCs/>
          <w:sz w:val="22"/>
          <w:szCs w:val="22"/>
          <w:lang w:eastAsia="ko-KR"/>
        </w:rPr>
        <w:t xml:space="preserve">, or accounting for more HARQ retransmissions analytically </w:t>
      </w:r>
      <w:r w:rsidR="00FF25BB">
        <w:rPr>
          <w:rFonts w:asciiTheme="minorHAnsi" w:hAnsiTheme="minorHAnsi" w:cstheme="minorHAnsi"/>
          <w:b/>
          <w:bCs/>
          <w:sz w:val="22"/>
          <w:szCs w:val="22"/>
          <w:lang w:eastAsia="ko-KR"/>
        </w:rPr>
        <w:t xml:space="preserve">compared to 10% BLER spectrum efficiency curves </w:t>
      </w:r>
      <w:r w:rsidRPr="00876847">
        <w:rPr>
          <w:rFonts w:asciiTheme="minorHAnsi" w:hAnsiTheme="minorHAnsi" w:cstheme="minorHAnsi"/>
          <w:b/>
          <w:bCs/>
          <w:sz w:val="22"/>
          <w:szCs w:val="22"/>
          <w:lang w:eastAsia="ko-KR"/>
        </w:rPr>
        <w:t>to estimate fulfilment of 0.1% BLER vs 10% BLER.</w:t>
      </w:r>
    </w:p>
    <w:p w14:paraId="54382653" w14:textId="2C7412E4" w:rsidR="00876847" w:rsidRDefault="00876847" w:rsidP="00876847">
      <w:pPr>
        <w:rPr>
          <w:rFonts w:asciiTheme="minorHAnsi" w:hAnsiTheme="minorHAnsi" w:cstheme="minorHAnsi"/>
          <w:b/>
          <w:bCs/>
          <w:sz w:val="22"/>
          <w:szCs w:val="22"/>
          <w:lang w:eastAsia="ko-KR"/>
        </w:rPr>
      </w:pPr>
      <w:r w:rsidRPr="00876847">
        <w:rPr>
          <w:rFonts w:asciiTheme="minorHAnsi" w:hAnsiTheme="minorHAnsi" w:cstheme="minorHAnsi"/>
          <w:b/>
          <w:bCs/>
          <w:sz w:val="22"/>
          <w:szCs w:val="22"/>
          <w:u w:val="single"/>
          <w:lang w:eastAsia="en-GB"/>
        </w:rPr>
        <w:t>Proposal 2</w:t>
      </w:r>
      <w:r w:rsidRPr="00876847">
        <w:rPr>
          <w:rFonts w:asciiTheme="minorHAnsi" w:hAnsiTheme="minorHAnsi" w:cstheme="minorHAnsi"/>
          <w:b/>
          <w:bCs/>
          <w:sz w:val="22"/>
          <w:szCs w:val="22"/>
          <w:lang w:eastAsia="en-GB"/>
        </w:rPr>
        <w:t xml:space="preserve">: </w:t>
      </w:r>
      <w:r w:rsidR="00FF25BB">
        <w:rPr>
          <w:rFonts w:asciiTheme="minorHAnsi" w:hAnsiTheme="minorHAnsi" w:cstheme="minorHAnsi"/>
          <w:b/>
          <w:bCs/>
          <w:sz w:val="22"/>
          <w:szCs w:val="22"/>
          <w:lang w:eastAsia="en-GB"/>
        </w:rPr>
        <w:t>For such</w:t>
      </w:r>
      <w:r w:rsidRPr="00876847">
        <w:rPr>
          <w:rFonts w:asciiTheme="minorHAnsi" w:hAnsiTheme="minorHAnsi" w:cstheme="minorHAnsi"/>
          <w:b/>
          <w:bCs/>
          <w:sz w:val="22"/>
          <w:szCs w:val="22"/>
          <w:lang w:eastAsia="en-GB"/>
        </w:rPr>
        <w:t xml:space="preserve"> IoT NTN Reliability evaluation, </w:t>
      </w:r>
      <w:r w:rsidRPr="00876847">
        <w:rPr>
          <w:rFonts w:asciiTheme="minorHAnsi" w:hAnsiTheme="minorHAnsi" w:cstheme="minorHAnsi"/>
          <w:b/>
          <w:bCs/>
          <w:sz w:val="22"/>
          <w:szCs w:val="22"/>
          <w:lang w:eastAsia="ko-KR"/>
        </w:rPr>
        <w:t xml:space="preserve">to reduce extra simulation effort compared to </w:t>
      </w:r>
      <w:r w:rsidR="00B15960">
        <w:rPr>
          <w:rFonts w:asciiTheme="minorHAnsi" w:hAnsiTheme="minorHAnsi" w:cstheme="minorHAnsi"/>
          <w:b/>
          <w:bCs/>
          <w:sz w:val="22"/>
          <w:szCs w:val="22"/>
          <w:lang w:eastAsia="ko-KR"/>
        </w:rPr>
        <w:t>IoT NTN Connection Density</w:t>
      </w:r>
      <w:r w:rsidRPr="00876847">
        <w:rPr>
          <w:rFonts w:asciiTheme="minorHAnsi" w:hAnsiTheme="minorHAnsi" w:cstheme="minorHAnsi"/>
          <w:b/>
          <w:bCs/>
          <w:sz w:val="22"/>
          <w:szCs w:val="22"/>
          <w:lang w:eastAsia="ko-KR"/>
        </w:rPr>
        <w:t xml:space="preserve"> evaluations it would </w:t>
      </w:r>
      <w:r w:rsidR="00FF25BB">
        <w:rPr>
          <w:rFonts w:asciiTheme="minorHAnsi" w:hAnsiTheme="minorHAnsi" w:cstheme="minorHAnsi"/>
          <w:b/>
          <w:bCs/>
          <w:sz w:val="22"/>
          <w:szCs w:val="22"/>
          <w:lang w:eastAsia="ko-KR"/>
        </w:rPr>
        <w:t>be</w:t>
      </w:r>
      <w:r w:rsidRPr="00876847">
        <w:rPr>
          <w:rFonts w:asciiTheme="minorHAnsi" w:hAnsiTheme="minorHAnsi" w:cstheme="minorHAnsi"/>
          <w:b/>
          <w:bCs/>
          <w:sz w:val="22"/>
          <w:szCs w:val="22"/>
          <w:lang w:eastAsia="ko-KR"/>
        </w:rPr>
        <w:t xml:space="preserve"> reasonable to focus IoT NTN simulations on </w:t>
      </w:r>
      <w:r w:rsidRPr="00876847">
        <w:rPr>
          <w:rFonts w:asciiTheme="minorHAnsi" w:hAnsiTheme="minorHAnsi" w:cstheme="minorHAnsi"/>
          <w:b/>
          <w:bCs/>
          <w:sz w:val="22"/>
          <w:szCs w:val="22"/>
          <w:u w:val="single"/>
          <w:lang w:eastAsia="ko-KR"/>
        </w:rPr>
        <w:t>uplink</w:t>
      </w:r>
      <w:r w:rsidRPr="00876847">
        <w:rPr>
          <w:rFonts w:asciiTheme="minorHAnsi" w:hAnsiTheme="minorHAnsi" w:cstheme="minorHAnsi"/>
          <w:b/>
          <w:bCs/>
          <w:sz w:val="22"/>
          <w:szCs w:val="22"/>
          <w:lang w:eastAsia="ko-KR"/>
        </w:rPr>
        <w:t xml:space="preserve"> </w:t>
      </w:r>
      <w:r>
        <w:rPr>
          <w:rFonts w:asciiTheme="minorHAnsi" w:hAnsiTheme="minorHAnsi" w:cstheme="minorHAnsi"/>
          <w:b/>
          <w:bCs/>
          <w:sz w:val="22"/>
          <w:szCs w:val="22"/>
          <w:lang w:eastAsia="ko-KR"/>
        </w:rPr>
        <w:t>R</w:t>
      </w:r>
      <w:r w:rsidRPr="00876847">
        <w:rPr>
          <w:rFonts w:asciiTheme="minorHAnsi" w:hAnsiTheme="minorHAnsi" w:cstheme="minorHAnsi"/>
          <w:b/>
          <w:bCs/>
          <w:sz w:val="22"/>
          <w:szCs w:val="22"/>
          <w:lang w:eastAsia="ko-KR"/>
        </w:rPr>
        <w:t xml:space="preserve">eliability. </w:t>
      </w:r>
    </w:p>
    <w:p w14:paraId="2DE54621" w14:textId="1954D5E8" w:rsidR="00876847" w:rsidRPr="00876847" w:rsidRDefault="00876847" w:rsidP="00876847">
      <w:pPr>
        <w:rPr>
          <w:rFonts w:asciiTheme="minorHAnsi" w:hAnsiTheme="minorHAnsi" w:cstheme="minorHAnsi"/>
          <w:b/>
          <w:bCs/>
          <w:sz w:val="22"/>
          <w:szCs w:val="22"/>
          <w:lang w:eastAsia="ko-KR"/>
        </w:rPr>
      </w:pPr>
      <w:r w:rsidRPr="00FF25BB">
        <w:rPr>
          <w:rFonts w:asciiTheme="minorHAnsi" w:hAnsiTheme="minorHAnsi" w:cstheme="minorHAnsi"/>
          <w:b/>
          <w:bCs/>
          <w:sz w:val="22"/>
          <w:szCs w:val="22"/>
          <w:u w:val="single"/>
          <w:lang w:eastAsia="ko-KR"/>
        </w:rPr>
        <w:t>Proposal 3</w:t>
      </w:r>
      <w:r>
        <w:rPr>
          <w:rFonts w:asciiTheme="minorHAnsi" w:hAnsiTheme="minorHAnsi" w:cstheme="minorHAnsi"/>
          <w:b/>
          <w:bCs/>
          <w:sz w:val="22"/>
          <w:szCs w:val="22"/>
          <w:lang w:eastAsia="ko-KR"/>
        </w:rPr>
        <w:t xml:space="preserve">: </w:t>
      </w:r>
      <w:r w:rsidR="00FF25BB">
        <w:rPr>
          <w:rFonts w:asciiTheme="minorHAnsi" w:hAnsiTheme="minorHAnsi" w:cstheme="minorHAnsi"/>
          <w:b/>
          <w:bCs/>
          <w:sz w:val="22"/>
          <w:szCs w:val="22"/>
          <w:lang w:eastAsia="en-GB"/>
        </w:rPr>
        <w:t>For such</w:t>
      </w:r>
      <w:r w:rsidR="00FF25BB" w:rsidRPr="00876847">
        <w:rPr>
          <w:rFonts w:asciiTheme="minorHAnsi" w:hAnsiTheme="minorHAnsi" w:cstheme="minorHAnsi"/>
          <w:b/>
          <w:bCs/>
          <w:sz w:val="22"/>
          <w:szCs w:val="22"/>
          <w:lang w:eastAsia="en-GB"/>
        </w:rPr>
        <w:t xml:space="preserve"> IoT NTN Reliability evaluation,</w:t>
      </w:r>
      <w:r w:rsidR="00FF25BB">
        <w:rPr>
          <w:rFonts w:asciiTheme="minorHAnsi" w:hAnsiTheme="minorHAnsi" w:cstheme="minorHAnsi"/>
          <w:b/>
          <w:bCs/>
          <w:sz w:val="22"/>
          <w:szCs w:val="22"/>
          <w:lang w:eastAsia="en-GB"/>
        </w:rPr>
        <w:t xml:space="preserve"> the SLS </w:t>
      </w:r>
      <w:r w:rsidR="003B0BDF">
        <w:rPr>
          <w:rFonts w:asciiTheme="minorHAnsi" w:hAnsiTheme="minorHAnsi" w:cstheme="minorHAnsi"/>
          <w:b/>
          <w:bCs/>
          <w:sz w:val="22"/>
          <w:szCs w:val="22"/>
          <w:lang w:eastAsia="en-GB"/>
        </w:rPr>
        <w:t xml:space="preserve">assumptions for IoT NTN Connection Density to be reused. </w:t>
      </w:r>
      <w:r w:rsidR="00FF25BB">
        <w:rPr>
          <w:rFonts w:asciiTheme="minorHAnsi" w:hAnsiTheme="minorHAnsi" w:cstheme="minorHAnsi"/>
          <w:b/>
          <w:bCs/>
          <w:sz w:val="22"/>
          <w:szCs w:val="22"/>
          <w:lang w:eastAsia="en-GB"/>
        </w:rPr>
        <w:t xml:space="preserve">LLS assumptions </w:t>
      </w:r>
      <w:r w:rsidR="003B0BDF">
        <w:rPr>
          <w:rFonts w:asciiTheme="minorHAnsi" w:hAnsiTheme="minorHAnsi" w:cstheme="minorHAnsi"/>
          <w:b/>
          <w:bCs/>
          <w:sz w:val="22"/>
          <w:szCs w:val="22"/>
          <w:lang w:eastAsia="en-GB"/>
        </w:rPr>
        <w:t>to be reused with some additional considerations (full LLS proposed in</w:t>
      </w:r>
      <w:r w:rsidR="00FF25BB">
        <w:rPr>
          <w:rFonts w:asciiTheme="minorHAnsi" w:hAnsiTheme="minorHAnsi" w:cstheme="minorHAnsi"/>
          <w:b/>
          <w:bCs/>
          <w:sz w:val="22"/>
          <w:szCs w:val="22"/>
          <w:lang w:eastAsia="en-GB"/>
        </w:rPr>
        <w:t xml:space="preserve"> the Appendix of this document</w:t>
      </w:r>
      <w:r w:rsidR="003B0BDF">
        <w:rPr>
          <w:rFonts w:asciiTheme="minorHAnsi" w:hAnsiTheme="minorHAnsi" w:cstheme="minorHAnsi"/>
          <w:b/>
          <w:bCs/>
          <w:sz w:val="22"/>
          <w:szCs w:val="22"/>
          <w:lang w:eastAsia="en-GB"/>
        </w:rPr>
        <w:t>), to account for different target BLER and delay estimation</w:t>
      </w:r>
      <w:r w:rsidR="00FF25BB">
        <w:rPr>
          <w:rFonts w:asciiTheme="minorHAnsi" w:hAnsiTheme="minorHAnsi" w:cstheme="minorHAnsi"/>
          <w:b/>
          <w:bCs/>
          <w:sz w:val="22"/>
          <w:szCs w:val="22"/>
          <w:lang w:eastAsia="en-GB"/>
        </w:rPr>
        <w:t>.</w:t>
      </w:r>
    </w:p>
    <w:p w14:paraId="4A0FC736" w14:textId="5116FD49" w:rsidR="006F3E7E" w:rsidRPr="00CE0424" w:rsidRDefault="006F3E7E" w:rsidP="006F3E7E">
      <w:pPr>
        <w:pStyle w:val="Heading1"/>
      </w:pPr>
      <w:r>
        <w:t>3</w:t>
      </w:r>
      <w:r>
        <w:tab/>
        <w:t>Proposal</w:t>
      </w:r>
    </w:p>
    <w:p w14:paraId="3FDA2597" w14:textId="06431764" w:rsidR="00097312" w:rsidRPr="00097312" w:rsidRDefault="00097312" w:rsidP="002358CB">
      <w:pPr>
        <w:rPr>
          <w:rFonts w:asciiTheme="minorHAnsi" w:eastAsia="Malgun Gothic" w:hAnsiTheme="minorHAnsi" w:cstheme="minorHAnsi"/>
          <w:sz w:val="22"/>
          <w:szCs w:val="22"/>
          <w:lang w:eastAsia="ko-KR"/>
        </w:rPr>
      </w:pPr>
      <w:r w:rsidRPr="00097312">
        <w:rPr>
          <w:rFonts w:asciiTheme="minorHAnsi" w:eastAsia="Malgun Gothic" w:hAnsiTheme="minorHAnsi" w:cstheme="minorHAnsi"/>
          <w:sz w:val="22"/>
          <w:szCs w:val="22"/>
          <w:lang w:eastAsia="ko-KR"/>
        </w:rPr>
        <w:t>The following observations and proposals are made:</w:t>
      </w:r>
    </w:p>
    <w:p w14:paraId="24B9666C" w14:textId="190FE2AC" w:rsidR="002358CB" w:rsidRPr="00097312" w:rsidRDefault="002358CB" w:rsidP="002358CB">
      <w:pPr>
        <w:rPr>
          <w:rFonts w:asciiTheme="minorHAnsi" w:eastAsia="Malgun Gothic" w:hAnsiTheme="minorHAnsi" w:cstheme="minorHAnsi"/>
          <w:sz w:val="22"/>
          <w:szCs w:val="22"/>
          <w:lang w:eastAsia="ko-KR"/>
        </w:rPr>
      </w:pPr>
      <w:r w:rsidRPr="00097312">
        <w:rPr>
          <w:rFonts w:asciiTheme="minorHAnsi" w:eastAsia="Malgun Gothic" w:hAnsiTheme="minorHAnsi" w:cstheme="minorHAnsi"/>
          <w:sz w:val="22"/>
          <w:szCs w:val="22"/>
          <w:u w:val="single"/>
          <w:lang w:eastAsia="ko-KR"/>
        </w:rPr>
        <w:t>Proposal 1</w:t>
      </w:r>
      <w:r w:rsidRPr="00097312">
        <w:rPr>
          <w:rFonts w:asciiTheme="minorHAnsi" w:eastAsia="Malgun Gothic" w:hAnsiTheme="minorHAnsi" w:cstheme="minorHAnsi"/>
          <w:sz w:val="22"/>
          <w:szCs w:val="22"/>
          <w:lang w:eastAsia="ko-KR"/>
        </w:rPr>
        <w:t xml:space="preserve">: If there is good alignment between results on IoT NTN Connection Density evaluation by the end of RAN1#114-bis, and a willingness from companies, </w:t>
      </w:r>
      <w:r w:rsidR="00F72DA0">
        <w:rPr>
          <w:rFonts w:asciiTheme="minorHAnsi" w:eastAsia="Malgun Gothic" w:hAnsiTheme="minorHAnsi" w:cstheme="minorHAnsi"/>
          <w:sz w:val="22"/>
          <w:szCs w:val="22"/>
          <w:lang w:eastAsia="ko-KR"/>
        </w:rPr>
        <w:t>allow</w:t>
      </w:r>
      <w:r w:rsidRPr="00097312">
        <w:rPr>
          <w:rFonts w:asciiTheme="minorHAnsi" w:eastAsia="Malgun Gothic" w:hAnsiTheme="minorHAnsi" w:cstheme="minorHAnsi"/>
          <w:sz w:val="22"/>
          <w:szCs w:val="22"/>
          <w:lang w:eastAsia="ko-KR"/>
        </w:rPr>
        <w:t xml:space="preserve"> IoT NTN Reliability evaluation to be performed until RAN1#115.</w:t>
      </w:r>
    </w:p>
    <w:p w14:paraId="28299C05" w14:textId="77777777" w:rsidR="002358CB" w:rsidRPr="00097312" w:rsidRDefault="002358CB" w:rsidP="002358CB">
      <w:pPr>
        <w:spacing w:before="120"/>
        <w:rPr>
          <w:rFonts w:asciiTheme="minorHAnsi" w:hAnsiTheme="minorHAnsi" w:cstheme="minorHAnsi"/>
          <w:sz w:val="22"/>
          <w:szCs w:val="22"/>
          <w:lang w:eastAsia="ko-KR"/>
        </w:rPr>
      </w:pPr>
      <w:r w:rsidRPr="00097312">
        <w:rPr>
          <w:rFonts w:asciiTheme="minorHAnsi" w:hAnsiTheme="minorHAnsi" w:cstheme="minorHAnsi"/>
          <w:sz w:val="22"/>
          <w:szCs w:val="22"/>
          <w:u w:val="single"/>
          <w:lang w:eastAsia="en-GB"/>
        </w:rPr>
        <w:t>Observation 1</w:t>
      </w:r>
      <w:r w:rsidRPr="00097312">
        <w:rPr>
          <w:rFonts w:asciiTheme="minorHAnsi" w:hAnsiTheme="minorHAnsi" w:cstheme="minorHAnsi"/>
          <w:sz w:val="22"/>
          <w:szCs w:val="22"/>
          <w:lang w:eastAsia="en-GB"/>
        </w:rPr>
        <w:t>: ITU-R allows the Reliability requirement to be fulfilled in only uplink direction, which may possibly be considered most relevant for typical IoT operations.</w:t>
      </w:r>
    </w:p>
    <w:p w14:paraId="7F8BBCA0" w14:textId="77777777" w:rsidR="003B0BDF" w:rsidRPr="003B0BDF" w:rsidRDefault="003B0BDF" w:rsidP="003B0BDF">
      <w:pPr>
        <w:rPr>
          <w:rFonts w:asciiTheme="minorHAnsi" w:hAnsiTheme="minorHAnsi" w:cstheme="minorHAnsi"/>
          <w:sz w:val="22"/>
          <w:szCs w:val="22"/>
          <w:lang w:eastAsia="ko-KR"/>
        </w:rPr>
      </w:pPr>
      <w:r w:rsidRPr="003B0BDF">
        <w:rPr>
          <w:rFonts w:asciiTheme="minorHAnsi" w:hAnsiTheme="minorHAnsi" w:cstheme="minorHAnsi"/>
          <w:sz w:val="22"/>
          <w:szCs w:val="22"/>
          <w:u w:val="single"/>
          <w:lang w:eastAsia="ko-KR"/>
        </w:rPr>
        <w:t>Observation 2:</w:t>
      </w:r>
      <w:r w:rsidRPr="003B0BDF">
        <w:rPr>
          <w:rFonts w:asciiTheme="minorHAnsi" w:hAnsiTheme="minorHAnsi" w:cstheme="minorHAnsi"/>
          <w:sz w:val="22"/>
          <w:szCs w:val="22"/>
          <w:lang w:eastAsia="ko-KR"/>
        </w:rPr>
        <w:t xml:space="preserve"> The LLS and SLS assumptions from IoT NTN Connection Density can be reused to model </w:t>
      </w:r>
      <w:r w:rsidRPr="003B0BDF">
        <w:rPr>
          <w:rFonts w:asciiTheme="minorHAnsi" w:hAnsiTheme="minorHAnsi" w:cstheme="minorHAnsi"/>
          <w:sz w:val="22"/>
          <w:szCs w:val="22"/>
          <w:u w:val="single"/>
          <w:lang w:eastAsia="ko-KR"/>
        </w:rPr>
        <w:t>uplink</w:t>
      </w:r>
      <w:r w:rsidRPr="003B0BDF">
        <w:rPr>
          <w:rFonts w:asciiTheme="minorHAnsi" w:hAnsiTheme="minorHAnsi" w:cstheme="minorHAnsi"/>
          <w:sz w:val="22"/>
          <w:szCs w:val="22"/>
          <w:lang w:eastAsia="ko-KR"/>
        </w:rPr>
        <w:t xml:space="preserve"> Reliability for IoT NTN.</w:t>
      </w:r>
    </w:p>
    <w:p w14:paraId="54D16BC8" w14:textId="34536D10" w:rsidR="003B0BDF" w:rsidRPr="003B0BDF" w:rsidRDefault="003B0BDF" w:rsidP="003B0BDF">
      <w:pPr>
        <w:rPr>
          <w:rFonts w:asciiTheme="minorHAnsi" w:hAnsiTheme="minorHAnsi" w:cstheme="minorHAnsi"/>
          <w:sz w:val="22"/>
          <w:szCs w:val="22"/>
          <w:lang w:eastAsia="ko-KR"/>
        </w:rPr>
      </w:pPr>
      <w:r w:rsidRPr="003B0BDF">
        <w:rPr>
          <w:rFonts w:asciiTheme="minorHAnsi" w:hAnsiTheme="minorHAnsi" w:cstheme="minorHAnsi"/>
          <w:sz w:val="22"/>
          <w:szCs w:val="22"/>
          <w:u w:val="single"/>
          <w:lang w:eastAsia="ko-KR"/>
        </w:rPr>
        <w:lastRenderedPageBreak/>
        <w:t>Observation 3</w:t>
      </w:r>
      <w:r w:rsidRPr="003B0BDF">
        <w:rPr>
          <w:rFonts w:asciiTheme="minorHAnsi" w:hAnsiTheme="minorHAnsi" w:cstheme="minorHAnsi"/>
          <w:sz w:val="22"/>
          <w:szCs w:val="22"/>
          <w:lang w:eastAsia="ko-KR"/>
        </w:rPr>
        <w:t>: The difference to Connection Density simulations would be the LLS modelling spectrum efficiency at a lower BLER than 10%, or accounting for more HARQ retransmissions analytically compared to 10% BLER spectrum efficiency curves to estimate fulfilment of 0.1% BLER vs 10% BLER.</w:t>
      </w:r>
    </w:p>
    <w:p w14:paraId="0120C4AE" w14:textId="0CD4F3E0" w:rsidR="003B0BDF" w:rsidRPr="003B0BDF" w:rsidRDefault="003B0BDF" w:rsidP="003B0BDF">
      <w:pPr>
        <w:rPr>
          <w:rFonts w:asciiTheme="minorHAnsi" w:hAnsiTheme="minorHAnsi" w:cstheme="minorHAnsi"/>
          <w:sz w:val="22"/>
          <w:szCs w:val="22"/>
          <w:lang w:eastAsia="ko-KR"/>
        </w:rPr>
      </w:pPr>
      <w:r w:rsidRPr="003B0BDF">
        <w:rPr>
          <w:rFonts w:asciiTheme="minorHAnsi" w:hAnsiTheme="minorHAnsi" w:cstheme="minorHAnsi"/>
          <w:sz w:val="22"/>
          <w:szCs w:val="22"/>
          <w:u w:val="single"/>
          <w:lang w:eastAsia="en-GB"/>
        </w:rPr>
        <w:t>Proposal 2</w:t>
      </w:r>
      <w:r w:rsidRPr="003B0BDF">
        <w:rPr>
          <w:rFonts w:asciiTheme="minorHAnsi" w:hAnsiTheme="minorHAnsi" w:cstheme="minorHAnsi"/>
          <w:sz w:val="22"/>
          <w:szCs w:val="22"/>
          <w:lang w:eastAsia="en-GB"/>
        </w:rPr>
        <w:t>: For such IoT NTN Reliability evaluation</w:t>
      </w:r>
      <w:r w:rsidR="003C138D">
        <w:rPr>
          <w:rFonts w:asciiTheme="minorHAnsi" w:hAnsiTheme="minorHAnsi" w:cstheme="minorHAnsi"/>
          <w:sz w:val="22"/>
          <w:szCs w:val="22"/>
          <w:lang w:eastAsia="en-GB"/>
        </w:rPr>
        <w:t>,</w:t>
      </w:r>
      <w:r w:rsidRPr="003B0BDF">
        <w:rPr>
          <w:rFonts w:asciiTheme="minorHAnsi" w:hAnsiTheme="minorHAnsi" w:cstheme="minorHAnsi"/>
          <w:sz w:val="22"/>
          <w:szCs w:val="22"/>
          <w:lang w:eastAsia="en-GB"/>
        </w:rPr>
        <w:t xml:space="preserve"> </w:t>
      </w:r>
      <w:r w:rsidRPr="003B0BDF">
        <w:rPr>
          <w:rFonts w:asciiTheme="minorHAnsi" w:hAnsiTheme="minorHAnsi" w:cstheme="minorHAnsi"/>
          <w:sz w:val="22"/>
          <w:szCs w:val="22"/>
          <w:lang w:eastAsia="ko-KR"/>
        </w:rPr>
        <w:t xml:space="preserve">to reduce extra simulation effort compared to IoT NTN Connection Density evaluations it would be reasonable to focus IoT NTN simulations on </w:t>
      </w:r>
      <w:r w:rsidRPr="003B0BDF">
        <w:rPr>
          <w:rFonts w:asciiTheme="minorHAnsi" w:hAnsiTheme="minorHAnsi" w:cstheme="minorHAnsi"/>
          <w:sz w:val="22"/>
          <w:szCs w:val="22"/>
          <w:u w:val="single"/>
          <w:lang w:eastAsia="ko-KR"/>
        </w:rPr>
        <w:t>uplink</w:t>
      </w:r>
      <w:r w:rsidRPr="003B0BDF">
        <w:rPr>
          <w:rFonts w:asciiTheme="minorHAnsi" w:hAnsiTheme="minorHAnsi" w:cstheme="minorHAnsi"/>
          <w:sz w:val="22"/>
          <w:szCs w:val="22"/>
          <w:lang w:eastAsia="ko-KR"/>
        </w:rPr>
        <w:t xml:space="preserve"> Reliability. </w:t>
      </w:r>
    </w:p>
    <w:p w14:paraId="612605B3" w14:textId="67FD20C6" w:rsidR="003B0BDF" w:rsidRPr="003B0BDF" w:rsidRDefault="003B0BDF" w:rsidP="003B0BDF">
      <w:pPr>
        <w:rPr>
          <w:rFonts w:asciiTheme="minorHAnsi" w:hAnsiTheme="minorHAnsi" w:cstheme="minorHAnsi"/>
          <w:sz w:val="22"/>
          <w:szCs w:val="22"/>
          <w:lang w:eastAsia="ko-KR"/>
        </w:rPr>
      </w:pPr>
      <w:r w:rsidRPr="003B0BDF">
        <w:rPr>
          <w:rFonts w:asciiTheme="minorHAnsi" w:hAnsiTheme="minorHAnsi" w:cstheme="minorHAnsi"/>
          <w:sz w:val="22"/>
          <w:szCs w:val="22"/>
          <w:u w:val="single"/>
          <w:lang w:eastAsia="ko-KR"/>
        </w:rPr>
        <w:t>Proposal 3</w:t>
      </w:r>
      <w:r w:rsidRPr="003B0BDF">
        <w:rPr>
          <w:rFonts w:asciiTheme="minorHAnsi" w:hAnsiTheme="minorHAnsi" w:cstheme="minorHAnsi"/>
          <w:sz w:val="22"/>
          <w:szCs w:val="22"/>
          <w:lang w:eastAsia="ko-KR"/>
        </w:rPr>
        <w:t xml:space="preserve">: </w:t>
      </w:r>
      <w:r w:rsidRPr="003B0BDF">
        <w:rPr>
          <w:rFonts w:asciiTheme="minorHAnsi" w:hAnsiTheme="minorHAnsi" w:cstheme="minorHAnsi"/>
          <w:sz w:val="22"/>
          <w:szCs w:val="22"/>
          <w:lang w:eastAsia="en-GB"/>
        </w:rPr>
        <w:t xml:space="preserve">For such IoT NTN Reliability evaluation, the SLS assumptions for IoT NTN Connection Density to be reused. LLS assumptions to be reused with some additional considerations (full LLS proposed in the Appendix of this document), to </w:t>
      </w:r>
      <w:r>
        <w:rPr>
          <w:rFonts w:asciiTheme="minorHAnsi" w:hAnsiTheme="minorHAnsi" w:cstheme="minorHAnsi"/>
          <w:sz w:val="22"/>
          <w:szCs w:val="22"/>
          <w:lang w:eastAsia="en-GB"/>
        </w:rPr>
        <w:t>account for</w:t>
      </w:r>
      <w:r w:rsidRPr="003B0BDF">
        <w:rPr>
          <w:rFonts w:asciiTheme="minorHAnsi" w:hAnsiTheme="minorHAnsi" w:cstheme="minorHAnsi"/>
          <w:sz w:val="22"/>
          <w:szCs w:val="22"/>
          <w:lang w:eastAsia="en-GB"/>
        </w:rPr>
        <w:t xml:space="preserve"> different target BLER and delay estimation.</w:t>
      </w:r>
    </w:p>
    <w:p w14:paraId="7203AEF7" w14:textId="349695A2" w:rsidR="00F507D1" w:rsidRPr="00CE0424" w:rsidRDefault="00F31BAB" w:rsidP="00CE0424">
      <w:pPr>
        <w:pStyle w:val="Heading1"/>
      </w:pPr>
      <w:r>
        <w:t>4</w:t>
      </w:r>
      <w:r w:rsidR="00B1104C">
        <w:tab/>
      </w:r>
      <w:r w:rsidR="00F507D1" w:rsidRPr="00CE0424">
        <w:t>References</w:t>
      </w:r>
    </w:p>
    <w:p w14:paraId="76355116" w14:textId="77777777" w:rsidR="0062278C" w:rsidRPr="006623C4" w:rsidRDefault="0062278C" w:rsidP="0062278C">
      <w:pPr>
        <w:pStyle w:val="Reference"/>
        <w:rPr>
          <w:rFonts w:asciiTheme="minorHAnsi" w:hAnsiTheme="minorHAnsi" w:cstheme="minorHAnsi"/>
          <w:sz w:val="22"/>
          <w:szCs w:val="22"/>
        </w:rPr>
      </w:pPr>
      <w:bookmarkStart w:id="0" w:name="_Ref127142616"/>
      <w:bookmarkStart w:id="1" w:name="_Ref108803014"/>
      <w:r w:rsidRPr="006623C4">
        <w:rPr>
          <w:rFonts w:asciiTheme="minorHAnsi" w:hAnsiTheme="minorHAnsi" w:cstheme="minorHAnsi"/>
          <w:sz w:val="22"/>
          <w:szCs w:val="22"/>
        </w:rPr>
        <w:t>Report ITU-R M.2514: “Vision, requirements and evaluation guidelines for satellite radio interface(s) of IMT-2020”</w:t>
      </w:r>
    </w:p>
    <w:p w14:paraId="1CD78148" w14:textId="77777777" w:rsidR="00DB6247" w:rsidRPr="00DB6247" w:rsidRDefault="00DB6247" w:rsidP="00DB6247">
      <w:pPr>
        <w:pStyle w:val="Reference"/>
        <w:rPr>
          <w:rFonts w:asciiTheme="minorHAnsi" w:hAnsiTheme="minorHAnsi" w:cstheme="minorHAnsi"/>
          <w:sz w:val="22"/>
          <w:szCs w:val="22"/>
        </w:rPr>
      </w:pPr>
      <w:r>
        <w:rPr>
          <w:rFonts w:asciiTheme="minorHAnsi" w:hAnsiTheme="minorHAnsi" w:cstheme="minorHAnsi"/>
          <w:sz w:val="22"/>
          <w:szCs w:val="22"/>
        </w:rPr>
        <w:t xml:space="preserve">Report </w:t>
      </w:r>
      <w:r w:rsidRPr="00DB6247">
        <w:rPr>
          <w:rFonts w:asciiTheme="minorHAnsi" w:hAnsiTheme="minorHAnsi" w:cstheme="minorHAnsi"/>
          <w:sz w:val="22"/>
          <w:szCs w:val="22"/>
        </w:rPr>
        <w:t>ITU-R M.2412-0, Guidelines for evaluation of radio interface technologies for IMT-2020</w:t>
      </w:r>
    </w:p>
    <w:bookmarkEnd w:id="0"/>
    <w:bookmarkEnd w:id="1"/>
    <w:p w14:paraId="72B5868F" w14:textId="29D037EF" w:rsidR="002358CB" w:rsidRDefault="002358CB" w:rsidP="002358CB">
      <w:pPr>
        <w:pStyle w:val="Heading1"/>
      </w:pPr>
      <w:r>
        <w:t>Appendix</w:t>
      </w:r>
      <w:r w:rsidR="00097312">
        <w:t xml:space="preserve">: </w:t>
      </w:r>
      <w:r w:rsidR="003B4248">
        <w:t xml:space="preserve">Proposed </w:t>
      </w:r>
      <w:r w:rsidR="00097312">
        <w:t>LLS for IoT NTN Reliability</w:t>
      </w:r>
    </w:p>
    <w:p w14:paraId="4ACDB3A2" w14:textId="0D49C4E3" w:rsidR="002358CB" w:rsidRPr="003B4248" w:rsidRDefault="003B4248" w:rsidP="002358CB">
      <w:pPr>
        <w:rPr>
          <w:rFonts w:asciiTheme="minorHAnsi" w:hAnsiTheme="minorHAnsi" w:cstheme="minorHAnsi"/>
          <w:sz w:val="22"/>
          <w:szCs w:val="22"/>
        </w:rPr>
      </w:pPr>
      <w:r w:rsidRPr="003B4248">
        <w:rPr>
          <w:rFonts w:asciiTheme="minorHAnsi" w:hAnsiTheme="minorHAnsi" w:cstheme="minorHAnsi"/>
          <w:sz w:val="22"/>
          <w:szCs w:val="22"/>
        </w:rPr>
        <w:t xml:space="preserve">Note: </w:t>
      </w:r>
      <w:r w:rsidR="00097312" w:rsidRPr="003B4248">
        <w:rPr>
          <w:rFonts w:asciiTheme="minorHAnsi" w:hAnsiTheme="minorHAnsi" w:cstheme="minorHAnsi"/>
          <w:sz w:val="22"/>
          <w:szCs w:val="22"/>
        </w:rPr>
        <w:t xml:space="preserve">additions in </w:t>
      </w:r>
      <w:r w:rsidR="00097312" w:rsidRPr="003B4248">
        <w:rPr>
          <w:rFonts w:asciiTheme="minorHAnsi" w:hAnsiTheme="minorHAnsi" w:cstheme="minorHAnsi"/>
          <w:color w:val="FF0000"/>
          <w:sz w:val="22"/>
          <w:szCs w:val="22"/>
        </w:rPr>
        <w:t xml:space="preserve">red </w:t>
      </w:r>
      <w:r w:rsidR="00097312" w:rsidRPr="003B4248">
        <w:rPr>
          <w:rFonts w:asciiTheme="minorHAnsi" w:hAnsiTheme="minorHAnsi" w:cstheme="minorHAnsi"/>
          <w:sz w:val="22"/>
          <w:szCs w:val="22"/>
        </w:rPr>
        <w:t>compared to Connection Density</w:t>
      </w:r>
      <w:r w:rsidRPr="003B4248">
        <w:rPr>
          <w:rFonts w:asciiTheme="minorHAnsi" w:hAnsiTheme="minorHAnsi" w:cstheme="minorHAnsi"/>
          <w:sz w:val="22"/>
          <w:szCs w:val="22"/>
        </w:rPr>
        <w:t xml:space="preserve"> LLS assumptions</w:t>
      </w:r>
    </w:p>
    <w:tbl>
      <w:tblPr>
        <w:tblStyle w:val="TableGrid1"/>
        <w:tblW w:w="8920" w:type="dxa"/>
        <w:tblLook w:val="04A0" w:firstRow="1" w:lastRow="0" w:firstColumn="1" w:lastColumn="0" w:noHBand="0" w:noVBand="1"/>
      </w:tblPr>
      <w:tblGrid>
        <w:gridCol w:w="4460"/>
        <w:gridCol w:w="4460"/>
      </w:tblGrid>
      <w:tr w:rsidR="00097312" w:rsidRPr="00097312" w14:paraId="029A6648" w14:textId="77777777" w:rsidTr="00097312">
        <w:trPr>
          <w:trHeight w:val="660"/>
        </w:trPr>
        <w:tc>
          <w:tcPr>
            <w:tcW w:w="4460" w:type="dxa"/>
            <w:shd w:val="clear" w:color="auto" w:fill="E7E6E6" w:themeFill="background2"/>
            <w:noWrap/>
            <w:hideMark/>
          </w:tcPr>
          <w:p w14:paraId="330F8049" w14:textId="77777777" w:rsidR="00097312" w:rsidRPr="00097312" w:rsidRDefault="00097312" w:rsidP="00097312">
            <w:pPr>
              <w:overflowPunct/>
              <w:autoSpaceDE/>
              <w:autoSpaceDN/>
              <w:adjustRightInd/>
              <w:spacing w:after="0"/>
              <w:textAlignment w:val="auto"/>
              <w:rPr>
                <w:rFonts w:ascii="Calibri" w:eastAsia="Times New Roman" w:hAnsi="Calibri" w:cs="Calibri"/>
                <w:b/>
                <w:bCs/>
                <w:color w:val="000000"/>
                <w:sz w:val="22"/>
                <w:szCs w:val="22"/>
                <w:lang w:eastAsia="zh-CN"/>
              </w:rPr>
            </w:pPr>
            <w:r w:rsidRPr="00097312">
              <w:rPr>
                <w:rFonts w:ascii="Calibri" w:eastAsia="Times New Roman" w:hAnsi="Calibri" w:cs="Calibri"/>
                <w:b/>
                <w:bCs/>
                <w:color w:val="000000"/>
                <w:sz w:val="22"/>
                <w:szCs w:val="22"/>
                <w:lang w:eastAsia="zh-CN"/>
              </w:rPr>
              <w:t>NB-IoT Uplink</w:t>
            </w:r>
          </w:p>
        </w:tc>
        <w:tc>
          <w:tcPr>
            <w:tcW w:w="4460" w:type="dxa"/>
            <w:shd w:val="clear" w:color="auto" w:fill="E7E6E6" w:themeFill="background2"/>
            <w:noWrap/>
            <w:hideMark/>
          </w:tcPr>
          <w:p w14:paraId="74B94509" w14:textId="036BD398" w:rsidR="00097312" w:rsidRPr="00097312" w:rsidRDefault="00097312" w:rsidP="00097312">
            <w:pPr>
              <w:overflowPunct/>
              <w:autoSpaceDE/>
              <w:autoSpaceDN/>
              <w:adjustRightInd/>
              <w:spacing w:after="0"/>
              <w:textAlignment w:val="auto"/>
              <w:rPr>
                <w:rFonts w:ascii="Calibri" w:eastAsia="Times New Roman" w:hAnsi="Calibri" w:cs="Calibri"/>
                <w:b/>
                <w:bCs/>
                <w:color w:val="000000"/>
                <w:sz w:val="22"/>
                <w:szCs w:val="22"/>
                <w:lang w:eastAsia="zh-CN"/>
              </w:rPr>
            </w:pPr>
            <w:r>
              <w:rPr>
                <w:rFonts w:ascii="Calibri" w:eastAsia="Times New Roman" w:hAnsi="Calibri" w:cs="Calibri"/>
                <w:b/>
                <w:bCs/>
                <w:color w:val="000000"/>
                <w:sz w:val="22"/>
                <w:szCs w:val="22"/>
                <w:lang w:eastAsia="zh-CN"/>
              </w:rPr>
              <w:t>Value</w:t>
            </w:r>
          </w:p>
        </w:tc>
      </w:tr>
      <w:tr w:rsidR="00097312" w:rsidRPr="00097312" w14:paraId="29AFCD94" w14:textId="77777777" w:rsidTr="00097312">
        <w:trPr>
          <w:trHeight w:val="660"/>
        </w:trPr>
        <w:tc>
          <w:tcPr>
            <w:tcW w:w="4460" w:type="dxa"/>
            <w:noWrap/>
            <w:hideMark/>
          </w:tcPr>
          <w:p w14:paraId="78527CF1"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Physical channel</w:t>
            </w:r>
          </w:p>
        </w:tc>
        <w:tc>
          <w:tcPr>
            <w:tcW w:w="4460" w:type="dxa"/>
            <w:noWrap/>
            <w:hideMark/>
          </w:tcPr>
          <w:p w14:paraId="0F9030E0"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NPUSCH</w:t>
            </w:r>
          </w:p>
        </w:tc>
      </w:tr>
      <w:tr w:rsidR="00097312" w:rsidRPr="00097312" w14:paraId="73F376C5" w14:textId="77777777" w:rsidTr="00097312">
        <w:trPr>
          <w:trHeight w:val="660"/>
        </w:trPr>
        <w:tc>
          <w:tcPr>
            <w:tcW w:w="4460" w:type="dxa"/>
            <w:noWrap/>
            <w:hideMark/>
          </w:tcPr>
          <w:p w14:paraId="586E7630"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Simulation bandwidth</w:t>
            </w:r>
          </w:p>
        </w:tc>
        <w:tc>
          <w:tcPr>
            <w:tcW w:w="4460" w:type="dxa"/>
            <w:noWrap/>
            <w:hideMark/>
          </w:tcPr>
          <w:p w14:paraId="20B8FDF5"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Single tone</w:t>
            </w:r>
          </w:p>
        </w:tc>
      </w:tr>
      <w:tr w:rsidR="00097312" w:rsidRPr="00097312" w14:paraId="56F16460" w14:textId="77777777" w:rsidTr="00097312">
        <w:trPr>
          <w:trHeight w:val="660"/>
        </w:trPr>
        <w:tc>
          <w:tcPr>
            <w:tcW w:w="4460" w:type="dxa"/>
            <w:noWrap/>
            <w:hideMark/>
          </w:tcPr>
          <w:p w14:paraId="5E204A71"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SCS</w:t>
            </w:r>
          </w:p>
        </w:tc>
        <w:tc>
          <w:tcPr>
            <w:tcW w:w="4460" w:type="dxa"/>
            <w:noWrap/>
            <w:hideMark/>
          </w:tcPr>
          <w:p w14:paraId="17D4BA07"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15kHz</w:t>
            </w:r>
          </w:p>
        </w:tc>
      </w:tr>
      <w:tr w:rsidR="00097312" w:rsidRPr="00097312" w14:paraId="0F1F7F61" w14:textId="77777777" w:rsidTr="00097312">
        <w:trPr>
          <w:trHeight w:val="660"/>
        </w:trPr>
        <w:tc>
          <w:tcPr>
            <w:tcW w:w="4460" w:type="dxa"/>
            <w:noWrap/>
            <w:hideMark/>
          </w:tcPr>
          <w:p w14:paraId="05A49BCF"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Number of users in simulation</w:t>
            </w:r>
          </w:p>
        </w:tc>
        <w:tc>
          <w:tcPr>
            <w:tcW w:w="4460" w:type="dxa"/>
            <w:noWrap/>
            <w:hideMark/>
          </w:tcPr>
          <w:p w14:paraId="16F9FB04"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w:t>
            </w:r>
          </w:p>
        </w:tc>
      </w:tr>
      <w:tr w:rsidR="00097312" w:rsidRPr="00097312" w14:paraId="1F7D0094" w14:textId="77777777" w:rsidTr="00097312">
        <w:trPr>
          <w:trHeight w:val="660"/>
        </w:trPr>
        <w:tc>
          <w:tcPr>
            <w:tcW w:w="4460" w:type="dxa"/>
            <w:noWrap/>
            <w:hideMark/>
          </w:tcPr>
          <w:p w14:paraId="4666652F"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Link-level Channel model</w:t>
            </w:r>
          </w:p>
        </w:tc>
        <w:tc>
          <w:tcPr>
            <w:tcW w:w="4460" w:type="dxa"/>
            <w:noWrap/>
            <w:hideMark/>
          </w:tcPr>
          <w:p w14:paraId="614497B6"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NTN TDL-C Rural</w:t>
            </w:r>
          </w:p>
        </w:tc>
      </w:tr>
      <w:tr w:rsidR="00097312" w:rsidRPr="00097312" w14:paraId="62F80997" w14:textId="77777777" w:rsidTr="00097312">
        <w:trPr>
          <w:trHeight w:val="660"/>
        </w:trPr>
        <w:tc>
          <w:tcPr>
            <w:tcW w:w="4460" w:type="dxa"/>
            <w:noWrap/>
            <w:hideMark/>
          </w:tcPr>
          <w:p w14:paraId="198BF0FB"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Antenna configuration at Satellite</w:t>
            </w:r>
          </w:p>
        </w:tc>
        <w:tc>
          <w:tcPr>
            <w:tcW w:w="4460" w:type="dxa"/>
            <w:noWrap/>
            <w:hideMark/>
          </w:tcPr>
          <w:p w14:paraId="28A87E0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1Rx</w:t>
            </w:r>
          </w:p>
        </w:tc>
      </w:tr>
      <w:tr w:rsidR="00097312" w:rsidRPr="00097312" w14:paraId="774BE5C1" w14:textId="77777777" w:rsidTr="00097312">
        <w:trPr>
          <w:trHeight w:val="660"/>
        </w:trPr>
        <w:tc>
          <w:tcPr>
            <w:tcW w:w="4460" w:type="dxa"/>
            <w:noWrap/>
            <w:hideMark/>
          </w:tcPr>
          <w:p w14:paraId="6094DC64"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Antenna configuration at UE</w:t>
            </w:r>
          </w:p>
        </w:tc>
        <w:tc>
          <w:tcPr>
            <w:tcW w:w="4460" w:type="dxa"/>
            <w:noWrap/>
            <w:hideMark/>
          </w:tcPr>
          <w:p w14:paraId="49D7CFCE"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1Tx</w:t>
            </w:r>
          </w:p>
        </w:tc>
      </w:tr>
      <w:tr w:rsidR="00097312" w:rsidRPr="00097312" w14:paraId="51D51DD5" w14:textId="77777777" w:rsidTr="00097312">
        <w:trPr>
          <w:trHeight w:val="660"/>
        </w:trPr>
        <w:tc>
          <w:tcPr>
            <w:tcW w:w="4460" w:type="dxa"/>
            <w:noWrap/>
            <w:hideMark/>
          </w:tcPr>
          <w:p w14:paraId="35BA07BD"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Transmission mode</w:t>
            </w:r>
          </w:p>
        </w:tc>
        <w:tc>
          <w:tcPr>
            <w:tcW w:w="4460" w:type="dxa"/>
            <w:noWrap/>
            <w:hideMark/>
          </w:tcPr>
          <w:p w14:paraId="3CC7A36B"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SISO</w:t>
            </w:r>
          </w:p>
        </w:tc>
      </w:tr>
      <w:tr w:rsidR="00097312" w:rsidRPr="00097312" w14:paraId="59D4274E" w14:textId="77777777" w:rsidTr="00097312">
        <w:trPr>
          <w:trHeight w:val="660"/>
        </w:trPr>
        <w:tc>
          <w:tcPr>
            <w:tcW w:w="4460" w:type="dxa"/>
            <w:noWrap/>
            <w:hideMark/>
          </w:tcPr>
          <w:p w14:paraId="77E645AC"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Transmission rank</w:t>
            </w:r>
          </w:p>
        </w:tc>
        <w:tc>
          <w:tcPr>
            <w:tcW w:w="4460" w:type="dxa"/>
            <w:noWrap/>
            <w:hideMark/>
          </w:tcPr>
          <w:p w14:paraId="580BDAC2"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w:t>
            </w:r>
          </w:p>
        </w:tc>
      </w:tr>
      <w:tr w:rsidR="00097312" w:rsidRPr="00097312" w14:paraId="2389B384" w14:textId="77777777" w:rsidTr="00097312">
        <w:trPr>
          <w:trHeight w:val="660"/>
        </w:trPr>
        <w:tc>
          <w:tcPr>
            <w:tcW w:w="4460" w:type="dxa"/>
            <w:noWrap/>
            <w:hideMark/>
          </w:tcPr>
          <w:p w14:paraId="3AF4CB94"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TBS</w:t>
            </w:r>
          </w:p>
        </w:tc>
        <w:tc>
          <w:tcPr>
            <w:tcW w:w="4460" w:type="dxa"/>
            <w:noWrap/>
            <w:hideMark/>
          </w:tcPr>
          <w:p w14:paraId="5C32CA5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256</w:t>
            </w:r>
          </w:p>
        </w:tc>
      </w:tr>
      <w:tr w:rsidR="00097312" w:rsidRPr="00097312" w14:paraId="47FAE0D7" w14:textId="77777777" w:rsidTr="00097312">
        <w:trPr>
          <w:trHeight w:val="660"/>
        </w:trPr>
        <w:tc>
          <w:tcPr>
            <w:tcW w:w="4460" w:type="dxa"/>
            <w:noWrap/>
            <w:hideMark/>
          </w:tcPr>
          <w:p w14:paraId="74B89A1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Modulation order</w:t>
            </w:r>
          </w:p>
        </w:tc>
        <w:tc>
          <w:tcPr>
            <w:tcW w:w="4460" w:type="dxa"/>
            <w:noWrap/>
            <w:hideMark/>
          </w:tcPr>
          <w:p w14:paraId="68FCDEC3"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BPSK-π/2, QPSK-π/4</w:t>
            </w:r>
          </w:p>
        </w:tc>
      </w:tr>
      <w:tr w:rsidR="00097312" w:rsidRPr="00097312" w14:paraId="658CB3C1" w14:textId="77777777" w:rsidTr="00097312">
        <w:trPr>
          <w:trHeight w:val="660"/>
        </w:trPr>
        <w:tc>
          <w:tcPr>
            <w:tcW w:w="4460" w:type="dxa"/>
            <w:noWrap/>
            <w:hideMark/>
          </w:tcPr>
          <w:p w14:paraId="7E907790"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lastRenderedPageBreak/>
              <w:t>Number of Resource units</w:t>
            </w:r>
          </w:p>
        </w:tc>
        <w:tc>
          <w:tcPr>
            <w:tcW w:w="4460" w:type="dxa"/>
            <w:noWrap/>
            <w:hideMark/>
          </w:tcPr>
          <w:p w14:paraId="0747B8E4"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2,3,4,5,6,8,10</w:t>
            </w:r>
          </w:p>
        </w:tc>
      </w:tr>
      <w:tr w:rsidR="00097312" w:rsidRPr="00097312" w14:paraId="3A81143B" w14:textId="77777777" w:rsidTr="00097312">
        <w:trPr>
          <w:trHeight w:val="660"/>
        </w:trPr>
        <w:tc>
          <w:tcPr>
            <w:tcW w:w="4460" w:type="dxa"/>
            <w:noWrap/>
            <w:hideMark/>
          </w:tcPr>
          <w:p w14:paraId="61D8E467"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Number of repetition</w:t>
            </w:r>
          </w:p>
        </w:tc>
        <w:tc>
          <w:tcPr>
            <w:tcW w:w="4460" w:type="dxa"/>
            <w:noWrap/>
            <w:hideMark/>
          </w:tcPr>
          <w:p w14:paraId="58BF35D5" w14:textId="50455528"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1,2,4,8,16</w:t>
            </w:r>
            <w:r>
              <w:rPr>
                <w:rFonts w:ascii="Calibri" w:eastAsia="Times New Roman" w:hAnsi="Calibri" w:cs="Calibri"/>
                <w:color w:val="000000"/>
                <w:sz w:val="22"/>
                <w:szCs w:val="22"/>
                <w:lang w:eastAsia="zh-CN"/>
              </w:rPr>
              <w:t xml:space="preserve"> </w:t>
            </w:r>
            <w:r w:rsidRPr="00097312">
              <w:rPr>
                <w:rFonts w:ascii="Calibri" w:eastAsia="Times New Roman" w:hAnsi="Calibri" w:cs="Calibri"/>
                <w:color w:val="FF0000"/>
                <w:sz w:val="22"/>
                <w:szCs w:val="22"/>
                <w:lang w:eastAsia="zh-CN"/>
              </w:rPr>
              <w:t>(to be reported)</w:t>
            </w:r>
          </w:p>
        </w:tc>
      </w:tr>
      <w:tr w:rsidR="00097312" w:rsidRPr="00097312" w14:paraId="7074B09C" w14:textId="77777777" w:rsidTr="00097312">
        <w:trPr>
          <w:trHeight w:val="660"/>
        </w:trPr>
        <w:tc>
          <w:tcPr>
            <w:tcW w:w="4460" w:type="dxa"/>
            <w:noWrap/>
            <w:hideMark/>
          </w:tcPr>
          <w:p w14:paraId="04F1EBD6"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Channel estimation</w:t>
            </w:r>
          </w:p>
        </w:tc>
        <w:tc>
          <w:tcPr>
            <w:tcW w:w="4460" w:type="dxa"/>
            <w:noWrap/>
            <w:hideMark/>
          </w:tcPr>
          <w:p w14:paraId="4FF12065"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LMMSE</w:t>
            </w:r>
          </w:p>
        </w:tc>
      </w:tr>
      <w:tr w:rsidR="00097312" w:rsidRPr="00097312" w14:paraId="7AC04056" w14:textId="77777777" w:rsidTr="00097312">
        <w:trPr>
          <w:trHeight w:val="660"/>
        </w:trPr>
        <w:tc>
          <w:tcPr>
            <w:tcW w:w="4460" w:type="dxa"/>
            <w:noWrap/>
            <w:hideMark/>
          </w:tcPr>
          <w:p w14:paraId="47A83C6B"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Channel coding scheme</w:t>
            </w:r>
          </w:p>
        </w:tc>
        <w:tc>
          <w:tcPr>
            <w:tcW w:w="4460" w:type="dxa"/>
            <w:noWrap/>
            <w:hideMark/>
          </w:tcPr>
          <w:p w14:paraId="1C22B681"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Turbo code</w:t>
            </w:r>
          </w:p>
        </w:tc>
      </w:tr>
      <w:tr w:rsidR="00097312" w:rsidRPr="00097312" w14:paraId="000A8989" w14:textId="77777777" w:rsidTr="00097312">
        <w:trPr>
          <w:trHeight w:val="660"/>
        </w:trPr>
        <w:tc>
          <w:tcPr>
            <w:tcW w:w="4460" w:type="dxa"/>
            <w:noWrap/>
            <w:hideMark/>
          </w:tcPr>
          <w:p w14:paraId="3C711C67"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Doppler spread</w:t>
            </w:r>
          </w:p>
        </w:tc>
        <w:tc>
          <w:tcPr>
            <w:tcW w:w="4460" w:type="dxa"/>
            <w:noWrap/>
            <w:hideMark/>
          </w:tcPr>
          <w:p w14:paraId="5A5B6A51"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5Hz</w:t>
            </w:r>
          </w:p>
        </w:tc>
      </w:tr>
      <w:tr w:rsidR="00097312" w:rsidRPr="00097312" w14:paraId="62B1D158" w14:textId="77777777" w:rsidTr="00097312">
        <w:trPr>
          <w:trHeight w:val="660"/>
        </w:trPr>
        <w:tc>
          <w:tcPr>
            <w:tcW w:w="4460" w:type="dxa"/>
            <w:noWrap/>
            <w:hideMark/>
          </w:tcPr>
          <w:p w14:paraId="2F4AF3A9"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UL DMRS config</w:t>
            </w:r>
          </w:p>
        </w:tc>
        <w:tc>
          <w:tcPr>
            <w:tcW w:w="4460" w:type="dxa"/>
            <w:noWrap/>
            <w:hideMark/>
          </w:tcPr>
          <w:p w14:paraId="69725849"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As per TS 36.211 (1 DMRS per slot)</w:t>
            </w:r>
          </w:p>
        </w:tc>
      </w:tr>
      <w:tr w:rsidR="00097312" w:rsidRPr="00097312" w14:paraId="231DAC61" w14:textId="77777777" w:rsidTr="00097312">
        <w:trPr>
          <w:trHeight w:val="660"/>
        </w:trPr>
        <w:tc>
          <w:tcPr>
            <w:tcW w:w="4460" w:type="dxa"/>
            <w:noWrap/>
          </w:tcPr>
          <w:p w14:paraId="3A42EA72" w14:textId="5E45CFE0" w:rsidR="00097312" w:rsidRPr="00097312" w:rsidRDefault="00097312" w:rsidP="00097312">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HARQ retransmissions</w:t>
            </w:r>
          </w:p>
        </w:tc>
        <w:tc>
          <w:tcPr>
            <w:tcW w:w="4460" w:type="dxa"/>
            <w:noWrap/>
          </w:tcPr>
          <w:p w14:paraId="3428FA78" w14:textId="2759821A" w:rsidR="00097312" w:rsidRPr="00097312" w:rsidRDefault="00097312" w:rsidP="00097312">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To be reported</w:t>
            </w:r>
          </w:p>
        </w:tc>
      </w:tr>
      <w:tr w:rsidR="00097312" w:rsidRPr="00097312" w14:paraId="76DEBC63" w14:textId="77777777" w:rsidTr="00097312">
        <w:trPr>
          <w:trHeight w:val="660"/>
        </w:trPr>
        <w:tc>
          <w:tcPr>
            <w:tcW w:w="4460" w:type="dxa"/>
            <w:noWrap/>
          </w:tcPr>
          <w:p w14:paraId="0B938DF1" w14:textId="78C9F038" w:rsidR="00097312" w:rsidRPr="00097312" w:rsidRDefault="00097312" w:rsidP="00097312">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Additional Delay components</w:t>
            </w:r>
            <w:r w:rsidR="000C3773">
              <w:rPr>
                <w:rFonts w:ascii="Calibri" w:eastAsia="Times New Roman" w:hAnsi="Calibri" w:cs="Calibri"/>
                <w:color w:val="FF0000"/>
                <w:sz w:val="22"/>
                <w:szCs w:val="22"/>
                <w:lang w:eastAsia="zh-CN"/>
              </w:rPr>
              <w:t xml:space="preserve"> (feeder link etc)</w:t>
            </w:r>
          </w:p>
        </w:tc>
        <w:tc>
          <w:tcPr>
            <w:tcW w:w="4460" w:type="dxa"/>
            <w:noWrap/>
          </w:tcPr>
          <w:p w14:paraId="36B91EC8" w14:textId="620BA02F" w:rsidR="00097312" w:rsidRPr="00097312" w:rsidRDefault="00097312" w:rsidP="00097312">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To be reported</w:t>
            </w:r>
          </w:p>
        </w:tc>
      </w:tr>
    </w:tbl>
    <w:p w14:paraId="5EFED10C" w14:textId="77777777" w:rsidR="00097312" w:rsidRPr="002358CB" w:rsidRDefault="00097312" w:rsidP="002358CB"/>
    <w:p w14:paraId="6FAFCD0D" w14:textId="7FEF7E33" w:rsidR="0062278C" w:rsidRDefault="0062278C" w:rsidP="0062278C">
      <w:pPr>
        <w:pStyle w:val="Reference"/>
        <w:numPr>
          <w:ilvl w:val="0"/>
          <w:numId w:val="0"/>
        </w:numPr>
        <w:rPr>
          <w:rFonts w:asciiTheme="minorHAnsi" w:hAnsiTheme="minorHAnsi" w:cstheme="minorHAnsi"/>
          <w:sz w:val="22"/>
          <w:szCs w:val="22"/>
        </w:rPr>
      </w:pPr>
    </w:p>
    <w:tbl>
      <w:tblPr>
        <w:tblStyle w:val="TableGrid1"/>
        <w:tblW w:w="8920" w:type="dxa"/>
        <w:tblLook w:val="04A0" w:firstRow="1" w:lastRow="0" w:firstColumn="1" w:lastColumn="0" w:noHBand="0" w:noVBand="1"/>
      </w:tblPr>
      <w:tblGrid>
        <w:gridCol w:w="4460"/>
        <w:gridCol w:w="4460"/>
      </w:tblGrid>
      <w:tr w:rsidR="00097312" w:rsidRPr="00097312" w14:paraId="3A4B8FED" w14:textId="77777777" w:rsidTr="00097312">
        <w:trPr>
          <w:trHeight w:val="660"/>
        </w:trPr>
        <w:tc>
          <w:tcPr>
            <w:tcW w:w="4460" w:type="dxa"/>
            <w:shd w:val="clear" w:color="auto" w:fill="E7E6E6" w:themeFill="background2"/>
            <w:noWrap/>
            <w:hideMark/>
          </w:tcPr>
          <w:p w14:paraId="76A95001" w14:textId="77777777" w:rsidR="00097312" w:rsidRPr="00097312" w:rsidRDefault="00097312" w:rsidP="00097312">
            <w:pPr>
              <w:overflowPunct/>
              <w:autoSpaceDE/>
              <w:autoSpaceDN/>
              <w:adjustRightInd/>
              <w:spacing w:after="0"/>
              <w:textAlignment w:val="auto"/>
              <w:rPr>
                <w:rFonts w:ascii="Calibri" w:eastAsia="Times New Roman" w:hAnsi="Calibri" w:cs="Calibri"/>
                <w:b/>
                <w:bCs/>
                <w:color w:val="000000"/>
                <w:sz w:val="22"/>
                <w:szCs w:val="22"/>
                <w:lang w:eastAsia="zh-CN"/>
              </w:rPr>
            </w:pPr>
            <w:r w:rsidRPr="00097312">
              <w:rPr>
                <w:rFonts w:ascii="Calibri" w:eastAsia="Times New Roman" w:hAnsi="Calibri" w:cs="Calibri"/>
                <w:b/>
                <w:bCs/>
                <w:color w:val="000000"/>
                <w:sz w:val="22"/>
                <w:szCs w:val="22"/>
                <w:lang w:eastAsia="zh-CN"/>
              </w:rPr>
              <w:t>eMTC Uplink</w:t>
            </w:r>
          </w:p>
        </w:tc>
        <w:tc>
          <w:tcPr>
            <w:tcW w:w="4460" w:type="dxa"/>
            <w:shd w:val="clear" w:color="auto" w:fill="E7E6E6" w:themeFill="background2"/>
            <w:noWrap/>
            <w:hideMark/>
          </w:tcPr>
          <w:p w14:paraId="586F20D6" w14:textId="16AF7F09" w:rsidR="00097312" w:rsidRPr="00097312" w:rsidRDefault="00097312" w:rsidP="00097312">
            <w:pPr>
              <w:overflowPunct/>
              <w:autoSpaceDE/>
              <w:autoSpaceDN/>
              <w:adjustRightInd/>
              <w:spacing w:after="0"/>
              <w:textAlignment w:val="auto"/>
              <w:rPr>
                <w:rFonts w:ascii="Calibri" w:eastAsia="Times New Roman" w:hAnsi="Calibri" w:cs="Calibri"/>
                <w:b/>
                <w:bCs/>
                <w:color w:val="000000"/>
                <w:sz w:val="22"/>
                <w:szCs w:val="22"/>
                <w:lang w:eastAsia="zh-CN"/>
              </w:rPr>
            </w:pPr>
            <w:r>
              <w:rPr>
                <w:rFonts w:ascii="Calibri" w:eastAsia="Times New Roman" w:hAnsi="Calibri" w:cs="Calibri"/>
                <w:b/>
                <w:bCs/>
                <w:color w:val="000000"/>
                <w:sz w:val="22"/>
                <w:szCs w:val="22"/>
                <w:lang w:eastAsia="zh-CN"/>
              </w:rPr>
              <w:t>Value</w:t>
            </w:r>
          </w:p>
        </w:tc>
      </w:tr>
      <w:tr w:rsidR="00097312" w:rsidRPr="00097312" w14:paraId="45CC8958" w14:textId="77777777" w:rsidTr="00097312">
        <w:trPr>
          <w:trHeight w:val="660"/>
        </w:trPr>
        <w:tc>
          <w:tcPr>
            <w:tcW w:w="4460" w:type="dxa"/>
            <w:noWrap/>
            <w:hideMark/>
          </w:tcPr>
          <w:p w14:paraId="7FDD5D4C"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Physical channel</w:t>
            </w:r>
          </w:p>
        </w:tc>
        <w:tc>
          <w:tcPr>
            <w:tcW w:w="4460" w:type="dxa"/>
            <w:noWrap/>
            <w:hideMark/>
          </w:tcPr>
          <w:p w14:paraId="6A512385"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PUSCH</w:t>
            </w:r>
          </w:p>
        </w:tc>
      </w:tr>
      <w:tr w:rsidR="00097312" w:rsidRPr="00097312" w14:paraId="650592F5" w14:textId="77777777" w:rsidTr="00097312">
        <w:trPr>
          <w:trHeight w:val="660"/>
        </w:trPr>
        <w:tc>
          <w:tcPr>
            <w:tcW w:w="4460" w:type="dxa"/>
            <w:noWrap/>
            <w:hideMark/>
          </w:tcPr>
          <w:p w14:paraId="52BDE19D"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Simulation bandwidth</w:t>
            </w:r>
          </w:p>
        </w:tc>
        <w:tc>
          <w:tcPr>
            <w:tcW w:w="4460" w:type="dxa"/>
            <w:noWrap/>
            <w:hideMark/>
          </w:tcPr>
          <w:p w14:paraId="59852C69"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 PRB</w:t>
            </w:r>
          </w:p>
        </w:tc>
      </w:tr>
      <w:tr w:rsidR="00097312" w:rsidRPr="00097312" w14:paraId="76EA0828" w14:textId="77777777" w:rsidTr="00097312">
        <w:trPr>
          <w:trHeight w:val="660"/>
        </w:trPr>
        <w:tc>
          <w:tcPr>
            <w:tcW w:w="4460" w:type="dxa"/>
            <w:noWrap/>
            <w:hideMark/>
          </w:tcPr>
          <w:p w14:paraId="21E3A08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SCS</w:t>
            </w:r>
          </w:p>
        </w:tc>
        <w:tc>
          <w:tcPr>
            <w:tcW w:w="4460" w:type="dxa"/>
            <w:noWrap/>
            <w:hideMark/>
          </w:tcPr>
          <w:p w14:paraId="34929850"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15kHz</w:t>
            </w:r>
          </w:p>
        </w:tc>
      </w:tr>
      <w:tr w:rsidR="00097312" w:rsidRPr="00097312" w14:paraId="77F4CBDC" w14:textId="77777777" w:rsidTr="00097312">
        <w:trPr>
          <w:trHeight w:val="660"/>
        </w:trPr>
        <w:tc>
          <w:tcPr>
            <w:tcW w:w="4460" w:type="dxa"/>
            <w:noWrap/>
            <w:hideMark/>
          </w:tcPr>
          <w:p w14:paraId="0B47D13C"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Number of users in simulation</w:t>
            </w:r>
          </w:p>
        </w:tc>
        <w:tc>
          <w:tcPr>
            <w:tcW w:w="4460" w:type="dxa"/>
            <w:noWrap/>
            <w:hideMark/>
          </w:tcPr>
          <w:p w14:paraId="5D329115"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w:t>
            </w:r>
          </w:p>
        </w:tc>
      </w:tr>
      <w:tr w:rsidR="00097312" w:rsidRPr="00097312" w14:paraId="01847EC7" w14:textId="77777777" w:rsidTr="00097312">
        <w:trPr>
          <w:trHeight w:val="660"/>
        </w:trPr>
        <w:tc>
          <w:tcPr>
            <w:tcW w:w="4460" w:type="dxa"/>
            <w:noWrap/>
            <w:hideMark/>
          </w:tcPr>
          <w:p w14:paraId="053DB315"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Link-level Channel model</w:t>
            </w:r>
          </w:p>
        </w:tc>
        <w:tc>
          <w:tcPr>
            <w:tcW w:w="4460" w:type="dxa"/>
            <w:noWrap/>
            <w:hideMark/>
          </w:tcPr>
          <w:p w14:paraId="2B0BDF5B"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NTN TDL-C Rural</w:t>
            </w:r>
          </w:p>
        </w:tc>
      </w:tr>
      <w:tr w:rsidR="00097312" w:rsidRPr="00097312" w14:paraId="62C8C383" w14:textId="77777777" w:rsidTr="00097312">
        <w:trPr>
          <w:trHeight w:val="660"/>
        </w:trPr>
        <w:tc>
          <w:tcPr>
            <w:tcW w:w="4460" w:type="dxa"/>
            <w:noWrap/>
            <w:hideMark/>
          </w:tcPr>
          <w:p w14:paraId="53004E2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Antenna configuration at Satellite</w:t>
            </w:r>
          </w:p>
        </w:tc>
        <w:tc>
          <w:tcPr>
            <w:tcW w:w="4460" w:type="dxa"/>
            <w:noWrap/>
            <w:hideMark/>
          </w:tcPr>
          <w:p w14:paraId="4DC3921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1Rx</w:t>
            </w:r>
          </w:p>
        </w:tc>
      </w:tr>
      <w:tr w:rsidR="00097312" w:rsidRPr="00097312" w14:paraId="76911269" w14:textId="77777777" w:rsidTr="00097312">
        <w:trPr>
          <w:trHeight w:val="660"/>
        </w:trPr>
        <w:tc>
          <w:tcPr>
            <w:tcW w:w="4460" w:type="dxa"/>
            <w:noWrap/>
            <w:hideMark/>
          </w:tcPr>
          <w:p w14:paraId="4B017126"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Antenna configuration at UE</w:t>
            </w:r>
          </w:p>
        </w:tc>
        <w:tc>
          <w:tcPr>
            <w:tcW w:w="4460" w:type="dxa"/>
            <w:noWrap/>
            <w:hideMark/>
          </w:tcPr>
          <w:p w14:paraId="115EA29D"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1Tx</w:t>
            </w:r>
          </w:p>
        </w:tc>
      </w:tr>
      <w:tr w:rsidR="00097312" w:rsidRPr="00097312" w14:paraId="2EAEF439" w14:textId="77777777" w:rsidTr="00097312">
        <w:trPr>
          <w:trHeight w:val="660"/>
        </w:trPr>
        <w:tc>
          <w:tcPr>
            <w:tcW w:w="4460" w:type="dxa"/>
            <w:noWrap/>
            <w:hideMark/>
          </w:tcPr>
          <w:p w14:paraId="367C3AE2"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Transmission mode</w:t>
            </w:r>
          </w:p>
        </w:tc>
        <w:tc>
          <w:tcPr>
            <w:tcW w:w="4460" w:type="dxa"/>
            <w:noWrap/>
            <w:hideMark/>
          </w:tcPr>
          <w:p w14:paraId="56EBC9F1"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SISO</w:t>
            </w:r>
          </w:p>
        </w:tc>
      </w:tr>
      <w:tr w:rsidR="00097312" w:rsidRPr="00097312" w14:paraId="43B42374" w14:textId="77777777" w:rsidTr="00097312">
        <w:trPr>
          <w:trHeight w:val="660"/>
        </w:trPr>
        <w:tc>
          <w:tcPr>
            <w:tcW w:w="4460" w:type="dxa"/>
            <w:noWrap/>
            <w:hideMark/>
          </w:tcPr>
          <w:p w14:paraId="08DC081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Transmission rank</w:t>
            </w:r>
          </w:p>
        </w:tc>
        <w:tc>
          <w:tcPr>
            <w:tcW w:w="4460" w:type="dxa"/>
            <w:noWrap/>
            <w:hideMark/>
          </w:tcPr>
          <w:p w14:paraId="7C2F754E"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w:t>
            </w:r>
          </w:p>
        </w:tc>
      </w:tr>
      <w:tr w:rsidR="00097312" w:rsidRPr="00097312" w14:paraId="3E5F8737" w14:textId="77777777" w:rsidTr="00097312">
        <w:trPr>
          <w:trHeight w:val="660"/>
        </w:trPr>
        <w:tc>
          <w:tcPr>
            <w:tcW w:w="4460" w:type="dxa"/>
            <w:noWrap/>
            <w:hideMark/>
          </w:tcPr>
          <w:p w14:paraId="70C0E531"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TBS</w:t>
            </w:r>
          </w:p>
        </w:tc>
        <w:tc>
          <w:tcPr>
            <w:tcW w:w="4460" w:type="dxa"/>
            <w:noWrap/>
            <w:hideMark/>
          </w:tcPr>
          <w:p w14:paraId="332570A7" w14:textId="14F00BFF"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256</w:t>
            </w:r>
          </w:p>
        </w:tc>
      </w:tr>
      <w:tr w:rsidR="00097312" w:rsidRPr="00097312" w14:paraId="511FC512" w14:textId="77777777" w:rsidTr="00097312">
        <w:trPr>
          <w:trHeight w:val="660"/>
        </w:trPr>
        <w:tc>
          <w:tcPr>
            <w:tcW w:w="4460" w:type="dxa"/>
            <w:noWrap/>
            <w:hideMark/>
          </w:tcPr>
          <w:p w14:paraId="71D32CEF"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Modulation order</w:t>
            </w:r>
          </w:p>
        </w:tc>
        <w:tc>
          <w:tcPr>
            <w:tcW w:w="4460" w:type="dxa"/>
            <w:noWrap/>
            <w:hideMark/>
          </w:tcPr>
          <w:p w14:paraId="4D6FB280" w14:textId="2C643582"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QPSK</w:t>
            </w:r>
          </w:p>
        </w:tc>
      </w:tr>
      <w:tr w:rsidR="00097312" w:rsidRPr="00097312" w14:paraId="795B01FD" w14:textId="77777777" w:rsidTr="00097312">
        <w:trPr>
          <w:trHeight w:val="660"/>
        </w:trPr>
        <w:tc>
          <w:tcPr>
            <w:tcW w:w="4460" w:type="dxa"/>
            <w:noWrap/>
            <w:hideMark/>
          </w:tcPr>
          <w:p w14:paraId="4AD824F2"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lastRenderedPageBreak/>
              <w:t>Number of repetition</w:t>
            </w:r>
          </w:p>
        </w:tc>
        <w:tc>
          <w:tcPr>
            <w:tcW w:w="4460" w:type="dxa"/>
            <w:noWrap/>
            <w:hideMark/>
          </w:tcPr>
          <w:p w14:paraId="610E36D9" w14:textId="2483363F"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1,2,4,8,16,32…</w:t>
            </w:r>
            <w:r>
              <w:rPr>
                <w:rFonts w:ascii="Calibri" w:eastAsia="Times New Roman" w:hAnsi="Calibri" w:cs="Calibri"/>
                <w:color w:val="000000"/>
                <w:sz w:val="22"/>
                <w:szCs w:val="22"/>
                <w:lang w:eastAsia="zh-CN"/>
              </w:rPr>
              <w:t xml:space="preserve"> </w:t>
            </w:r>
            <w:r w:rsidRPr="00097312">
              <w:rPr>
                <w:rFonts w:ascii="Calibri" w:eastAsia="Times New Roman" w:hAnsi="Calibri" w:cs="Calibri"/>
                <w:color w:val="FF0000"/>
                <w:sz w:val="22"/>
                <w:szCs w:val="22"/>
                <w:lang w:eastAsia="zh-CN"/>
              </w:rPr>
              <w:t>(to be reported)</w:t>
            </w:r>
          </w:p>
        </w:tc>
      </w:tr>
      <w:tr w:rsidR="00097312" w:rsidRPr="00097312" w14:paraId="064BA93B" w14:textId="77777777" w:rsidTr="00097312">
        <w:trPr>
          <w:trHeight w:val="660"/>
        </w:trPr>
        <w:tc>
          <w:tcPr>
            <w:tcW w:w="4460" w:type="dxa"/>
            <w:noWrap/>
            <w:hideMark/>
          </w:tcPr>
          <w:p w14:paraId="33683AFA"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Channel estimation</w:t>
            </w:r>
          </w:p>
        </w:tc>
        <w:tc>
          <w:tcPr>
            <w:tcW w:w="4460" w:type="dxa"/>
            <w:noWrap/>
            <w:hideMark/>
          </w:tcPr>
          <w:p w14:paraId="40AB4A3C"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LMMSE</w:t>
            </w:r>
          </w:p>
        </w:tc>
      </w:tr>
      <w:tr w:rsidR="00097312" w:rsidRPr="00097312" w14:paraId="71BF9760" w14:textId="77777777" w:rsidTr="00097312">
        <w:trPr>
          <w:trHeight w:val="660"/>
        </w:trPr>
        <w:tc>
          <w:tcPr>
            <w:tcW w:w="4460" w:type="dxa"/>
            <w:noWrap/>
            <w:hideMark/>
          </w:tcPr>
          <w:p w14:paraId="1FA7F036"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Channel coding scheme</w:t>
            </w:r>
          </w:p>
        </w:tc>
        <w:tc>
          <w:tcPr>
            <w:tcW w:w="4460" w:type="dxa"/>
            <w:noWrap/>
            <w:hideMark/>
          </w:tcPr>
          <w:p w14:paraId="08B70ECE"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Turbo code</w:t>
            </w:r>
          </w:p>
        </w:tc>
      </w:tr>
      <w:tr w:rsidR="00097312" w:rsidRPr="00097312" w14:paraId="5AFB3756" w14:textId="77777777" w:rsidTr="00097312">
        <w:trPr>
          <w:trHeight w:val="660"/>
        </w:trPr>
        <w:tc>
          <w:tcPr>
            <w:tcW w:w="4460" w:type="dxa"/>
            <w:noWrap/>
            <w:hideMark/>
          </w:tcPr>
          <w:p w14:paraId="5E1F33F6"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Doppler spread</w:t>
            </w:r>
          </w:p>
        </w:tc>
        <w:tc>
          <w:tcPr>
            <w:tcW w:w="4460" w:type="dxa"/>
            <w:noWrap/>
            <w:hideMark/>
          </w:tcPr>
          <w:p w14:paraId="6E194865"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5Hz</w:t>
            </w:r>
          </w:p>
        </w:tc>
      </w:tr>
      <w:tr w:rsidR="00097312" w:rsidRPr="00097312" w14:paraId="6616A914" w14:textId="77777777" w:rsidTr="00097312">
        <w:trPr>
          <w:trHeight w:val="660"/>
        </w:trPr>
        <w:tc>
          <w:tcPr>
            <w:tcW w:w="4460" w:type="dxa"/>
            <w:noWrap/>
            <w:hideMark/>
          </w:tcPr>
          <w:p w14:paraId="7286C6C4"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UL DMRS config</w:t>
            </w:r>
          </w:p>
        </w:tc>
        <w:tc>
          <w:tcPr>
            <w:tcW w:w="4460" w:type="dxa"/>
            <w:noWrap/>
            <w:hideMark/>
          </w:tcPr>
          <w:p w14:paraId="378435F4" w14:textId="77777777" w:rsidR="00097312" w:rsidRPr="00097312" w:rsidRDefault="00097312" w:rsidP="00097312">
            <w:pPr>
              <w:overflowPunct/>
              <w:autoSpaceDE/>
              <w:autoSpaceDN/>
              <w:adjustRightInd/>
              <w:spacing w:after="0"/>
              <w:textAlignment w:val="auto"/>
              <w:rPr>
                <w:rFonts w:ascii="Calibri" w:eastAsia="Times New Roman" w:hAnsi="Calibri" w:cs="Calibri"/>
                <w:color w:val="000000"/>
                <w:sz w:val="22"/>
                <w:szCs w:val="22"/>
                <w:lang w:eastAsia="zh-CN"/>
              </w:rPr>
            </w:pPr>
            <w:r w:rsidRPr="00097312">
              <w:rPr>
                <w:rFonts w:ascii="Calibri" w:eastAsia="Times New Roman" w:hAnsi="Calibri" w:cs="Calibri"/>
                <w:color w:val="000000"/>
                <w:sz w:val="22"/>
                <w:szCs w:val="22"/>
                <w:lang w:eastAsia="zh-CN"/>
              </w:rPr>
              <w:t>2 OFDM symbols per subframe</w:t>
            </w:r>
          </w:p>
        </w:tc>
      </w:tr>
      <w:tr w:rsidR="00097312" w:rsidRPr="00097312" w14:paraId="62C3C835" w14:textId="77777777" w:rsidTr="00097312">
        <w:trPr>
          <w:trHeight w:val="660"/>
        </w:trPr>
        <w:tc>
          <w:tcPr>
            <w:tcW w:w="4460" w:type="dxa"/>
            <w:noWrap/>
          </w:tcPr>
          <w:p w14:paraId="244A729E" w14:textId="77777777" w:rsidR="00097312" w:rsidRPr="00097312" w:rsidRDefault="00097312" w:rsidP="000579CD">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HARQ retransmissions</w:t>
            </w:r>
          </w:p>
        </w:tc>
        <w:tc>
          <w:tcPr>
            <w:tcW w:w="4460" w:type="dxa"/>
            <w:noWrap/>
          </w:tcPr>
          <w:p w14:paraId="571BDB95" w14:textId="77777777" w:rsidR="00097312" w:rsidRPr="00097312" w:rsidRDefault="00097312" w:rsidP="000579CD">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To be reported</w:t>
            </w:r>
          </w:p>
        </w:tc>
      </w:tr>
      <w:tr w:rsidR="00097312" w14:paraId="7EC0AADB" w14:textId="77777777" w:rsidTr="00097312">
        <w:trPr>
          <w:trHeight w:val="660"/>
        </w:trPr>
        <w:tc>
          <w:tcPr>
            <w:tcW w:w="4460" w:type="dxa"/>
            <w:noWrap/>
          </w:tcPr>
          <w:p w14:paraId="0BE4745F" w14:textId="580C580C" w:rsidR="00097312" w:rsidRPr="00097312" w:rsidRDefault="00097312" w:rsidP="000579CD">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Additional Delay components</w:t>
            </w:r>
            <w:r w:rsidR="000C3773">
              <w:rPr>
                <w:rFonts w:ascii="Calibri" w:eastAsia="Times New Roman" w:hAnsi="Calibri" w:cs="Calibri"/>
                <w:color w:val="FF0000"/>
                <w:sz w:val="22"/>
                <w:szCs w:val="22"/>
                <w:lang w:eastAsia="zh-CN"/>
              </w:rPr>
              <w:t xml:space="preserve"> (feeder link etc)</w:t>
            </w:r>
          </w:p>
        </w:tc>
        <w:tc>
          <w:tcPr>
            <w:tcW w:w="4460" w:type="dxa"/>
            <w:noWrap/>
          </w:tcPr>
          <w:p w14:paraId="56510F31" w14:textId="77777777" w:rsidR="00097312" w:rsidRPr="00097312" w:rsidRDefault="00097312" w:rsidP="000579CD">
            <w:pPr>
              <w:overflowPunct/>
              <w:autoSpaceDE/>
              <w:autoSpaceDN/>
              <w:adjustRightInd/>
              <w:spacing w:after="0"/>
              <w:textAlignment w:val="auto"/>
              <w:rPr>
                <w:rFonts w:ascii="Calibri" w:eastAsia="Times New Roman" w:hAnsi="Calibri" w:cs="Calibri"/>
                <w:color w:val="FF0000"/>
                <w:sz w:val="22"/>
                <w:szCs w:val="22"/>
                <w:lang w:eastAsia="zh-CN"/>
              </w:rPr>
            </w:pPr>
            <w:r w:rsidRPr="00097312">
              <w:rPr>
                <w:rFonts w:ascii="Calibri" w:eastAsia="Times New Roman" w:hAnsi="Calibri" w:cs="Calibri"/>
                <w:color w:val="FF0000"/>
                <w:sz w:val="22"/>
                <w:szCs w:val="22"/>
                <w:lang w:eastAsia="zh-CN"/>
              </w:rPr>
              <w:t>To be reported</w:t>
            </w:r>
          </w:p>
        </w:tc>
      </w:tr>
    </w:tbl>
    <w:p w14:paraId="21C95BE5" w14:textId="77777777" w:rsidR="00097312" w:rsidRPr="006623C4" w:rsidRDefault="00097312" w:rsidP="0062278C">
      <w:pPr>
        <w:pStyle w:val="Reference"/>
        <w:numPr>
          <w:ilvl w:val="0"/>
          <w:numId w:val="0"/>
        </w:numPr>
        <w:rPr>
          <w:rFonts w:asciiTheme="minorHAnsi" w:hAnsiTheme="minorHAnsi" w:cstheme="minorHAnsi"/>
          <w:sz w:val="22"/>
          <w:szCs w:val="22"/>
        </w:rPr>
      </w:pPr>
    </w:p>
    <w:sectPr w:rsidR="00097312" w:rsidRPr="006623C4"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85827" w14:textId="77777777" w:rsidR="0063693B" w:rsidRDefault="0063693B">
      <w:r>
        <w:separator/>
      </w:r>
    </w:p>
  </w:endnote>
  <w:endnote w:type="continuationSeparator" w:id="0">
    <w:p w14:paraId="41598E70" w14:textId="77777777" w:rsidR="0063693B" w:rsidRDefault="0063693B">
      <w:r>
        <w:continuationSeparator/>
      </w:r>
    </w:p>
  </w:endnote>
  <w:endnote w:type="continuationNotice" w:id="1">
    <w:p w14:paraId="3B6A9574" w14:textId="77777777" w:rsidR="0063693B" w:rsidRDefault="00636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33423" w14:textId="77777777" w:rsidR="0063693B" w:rsidRDefault="0063693B">
      <w:r>
        <w:separator/>
      </w:r>
    </w:p>
  </w:footnote>
  <w:footnote w:type="continuationSeparator" w:id="0">
    <w:p w14:paraId="5C08E796" w14:textId="77777777" w:rsidR="0063693B" w:rsidRDefault="0063693B">
      <w:r>
        <w:continuationSeparator/>
      </w:r>
    </w:p>
  </w:footnote>
  <w:footnote w:type="continuationNotice" w:id="1">
    <w:p w14:paraId="637C76B9" w14:textId="77777777" w:rsidR="0063693B" w:rsidRDefault="006369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548C"/>
    <w:multiLevelType w:val="hybridMultilevel"/>
    <w:tmpl w:val="832CA000"/>
    <w:lvl w:ilvl="0" w:tplc="041D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4E4FDC"/>
    <w:multiLevelType w:val="hybridMultilevel"/>
    <w:tmpl w:val="5C8AA99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854B1E"/>
    <w:multiLevelType w:val="hybridMultilevel"/>
    <w:tmpl w:val="AEC677CE"/>
    <w:lvl w:ilvl="0" w:tplc="FA0E9B2C">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23F56F1"/>
    <w:multiLevelType w:val="hybridMultilevel"/>
    <w:tmpl w:val="464A0782"/>
    <w:lvl w:ilvl="0" w:tplc="FA0E9B2C">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92207C"/>
    <w:multiLevelType w:val="hybridMultilevel"/>
    <w:tmpl w:val="A0544F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B14B7"/>
    <w:multiLevelType w:val="hybridMultilevel"/>
    <w:tmpl w:val="8DA0DD84"/>
    <w:lvl w:ilvl="0" w:tplc="FA0E9B2C">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0"/>
  </w:num>
  <w:num w:numId="2">
    <w:abstractNumId w:val="15"/>
  </w:num>
  <w:num w:numId="3">
    <w:abstractNumId w:val="0"/>
  </w:num>
  <w:num w:numId="4">
    <w:abstractNumId w:val="21"/>
  </w:num>
  <w:num w:numId="5">
    <w:abstractNumId w:val="22"/>
  </w:num>
  <w:num w:numId="6">
    <w:abstractNumId w:val="25"/>
  </w:num>
  <w:num w:numId="7">
    <w:abstractNumId w:val="9"/>
  </w:num>
  <w:num w:numId="8">
    <w:abstractNumId w:val="12"/>
  </w:num>
  <w:num w:numId="9">
    <w:abstractNumId w:val="4"/>
  </w:num>
  <w:num w:numId="10">
    <w:abstractNumId w:val="33"/>
  </w:num>
  <w:num w:numId="11">
    <w:abstractNumId w:val="14"/>
  </w:num>
  <w:num w:numId="12">
    <w:abstractNumId w:val="30"/>
  </w:num>
  <w:num w:numId="13">
    <w:abstractNumId w:val="13"/>
  </w:num>
  <w:num w:numId="14">
    <w:abstractNumId w:val="34"/>
  </w:num>
  <w:num w:numId="15">
    <w:abstractNumId w:val="31"/>
  </w:num>
  <w:num w:numId="16">
    <w:abstractNumId w:val="19"/>
  </w:num>
  <w:num w:numId="17">
    <w:abstractNumId w:val="2"/>
  </w:num>
  <w:num w:numId="18">
    <w:abstractNumId w:val="18"/>
  </w:num>
  <w:num w:numId="19">
    <w:abstractNumId w:val="16"/>
  </w:num>
  <w:num w:numId="20">
    <w:abstractNumId w:val="5"/>
  </w:num>
  <w:num w:numId="21">
    <w:abstractNumId w:val="17"/>
  </w:num>
  <w:num w:numId="22">
    <w:abstractNumId w:val="35"/>
  </w:num>
  <w:num w:numId="23">
    <w:abstractNumId w:val="11"/>
  </w:num>
  <w:num w:numId="24">
    <w:abstractNumId w:val="6"/>
  </w:num>
  <w:num w:numId="25">
    <w:abstractNumId w:val="24"/>
  </w:num>
  <w:num w:numId="26">
    <w:abstractNumId w:val="28"/>
  </w:num>
  <w:num w:numId="27">
    <w:abstractNumId w:val="3"/>
  </w:num>
  <w:num w:numId="28">
    <w:abstractNumId w:val="1"/>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8"/>
  </w:num>
  <w:num w:numId="34">
    <w:abstractNumId w:val="27"/>
  </w:num>
  <w:num w:numId="35">
    <w:abstractNumId w:val="23"/>
  </w:num>
  <w:num w:numId="36">
    <w:abstractNumId w:val="7"/>
  </w:num>
  <w:num w:numId="37">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ADB"/>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49E"/>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294A"/>
    <w:rsid w:val="00082E2C"/>
    <w:rsid w:val="000830B9"/>
    <w:rsid w:val="00083180"/>
    <w:rsid w:val="00083425"/>
    <w:rsid w:val="0008359E"/>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312"/>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4F80"/>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773"/>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442"/>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73"/>
    <w:rsid w:val="00161ED8"/>
    <w:rsid w:val="0016211D"/>
    <w:rsid w:val="00162988"/>
    <w:rsid w:val="001629D0"/>
    <w:rsid w:val="00162B97"/>
    <w:rsid w:val="00162E34"/>
    <w:rsid w:val="001630DC"/>
    <w:rsid w:val="001632C9"/>
    <w:rsid w:val="00163513"/>
    <w:rsid w:val="00163FE8"/>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58CB"/>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280A"/>
    <w:rsid w:val="00282852"/>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087"/>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73D"/>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B5F"/>
    <w:rsid w:val="003757A0"/>
    <w:rsid w:val="00375856"/>
    <w:rsid w:val="00375B6A"/>
    <w:rsid w:val="0037607A"/>
    <w:rsid w:val="00376D38"/>
    <w:rsid w:val="00376F7C"/>
    <w:rsid w:val="00377CE1"/>
    <w:rsid w:val="00377F41"/>
    <w:rsid w:val="003809A1"/>
    <w:rsid w:val="00380A35"/>
    <w:rsid w:val="00381044"/>
    <w:rsid w:val="003815FF"/>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2D4E"/>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BDF"/>
    <w:rsid w:val="003B0DDC"/>
    <w:rsid w:val="003B159C"/>
    <w:rsid w:val="003B1898"/>
    <w:rsid w:val="003B1A61"/>
    <w:rsid w:val="003B1AD4"/>
    <w:rsid w:val="003B23CE"/>
    <w:rsid w:val="003B26FB"/>
    <w:rsid w:val="003B2915"/>
    <w:rsid w:val="003B369F"/>
    <w:rsid w:val="003B36A3"/>
    <w:rsid w:val="003B3DA7"/>
    <w:rsid w:val="003B3ECB"/>
    <w:rsid w:val="003B4248"/>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38D"/>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C45"/>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8F9"/>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701"/>
    <w:rsid w:val="00544104"/>
    <w:rsid w:val="0054416F"/>
    <w:rsid w:val="005448F2"/>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88E"/>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FE"/>
    <w:rsid w:val="00584139"/>
    <w:rsid w:val="0058465A"/>
    <w:rsid w:val="00584871"/>
    <w:rsid w:val="00584BE2"/>
    <w:rsid w:val="00584EBD"/>
    <w:rsid w:val="00584EC7"/>
    <w:rsid w:val="005850B5"/>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78C"/>
    <w:rsid w:val="00622CBA"/>
    <w:rsid w:val="00623100"/>
    <w:rsid w:val="006233E7"/>
    <w:rsid w:val="006234A6"/>
    <w:rsid w:val="00623D92"/>
    <w:rsid w:val="00624070"/>
    <w:rsid w:val="006243C8"/>
    <w:rsid w:val="00624461"/>
    <w:rsid w:val="0062448E"/>
    <w:rsid w:val="006244C7"/>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23"/>
    <w:rsid w:val="0063135F"/>
    <w:rsid w:val="00631565"/>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693B"/>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3C4"/>
    <w:rsid w:val="006627A2"/>
    <w:rsid w:val="0066294D"/>
    <w:rsid w:val="00662F65"/>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4D9A"/>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978"/>
    <w:rsid w:val="00685A6A"/>
    <w:rsid w:val="00685DDA"/>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E39"/>
    <w:rsid w:val="006E5445"/>
    <w:rsid w:val="006E565E"/>
    <w:rsid w:val="006E5A8F"/>
    <w:rsid w:val="006E6010"/>
    <w:rsid w:val="006E673D"/>
    <w:rsid w:val="006E6A62"/>
    <w:rsid w:val="006E6A8D"/>
    <w:rsid w:val="006E71FA"/>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7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3A6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6E5"/>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C04"/>
    <w:rsid w:val="007901B4"/>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DF4"/>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BD3"/>
    <w:rsid w:val="007E6C02"/>
    <w:rsid w:val="007E6CE4"/>
    <w:rsid w:val="007E7091"/>
    <w:rsid w:val="007E76F2"/>
    <w:rsid w:val="007E7981"/>
    <w:rsid w:val="007E7CBC"/>
    <w:rsid w:val="007E7EDF"/>
    <w:rsid w:val="007F08CF"/>
    <w:rsid w:val="007F0D79"/>
    <w:rsid w:val="007F1D10"/>
    <w:rsid w:val="007F2788"/>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3219"/>
    <w:rsid w:val="008336E8"/>
    <w:rsid w:val="00833953"/>
    <w:rsid w:val="00833C7A"/>
    <w:rsid w:val="00834938"/>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503F0"/>
    <w:rsid w:val="0085099B"/>
    <w:rsid w:val="00850C82"/>
    <w:rsid w:val="00850CD3"/>
    <w:rsid w:val="008510D0"/>
    <w:rsid w:val="00851DCF"/>
    <w:rsid w:val="00852317"/>
    <w:rsid w:val="00852862"/>
    <w:rsid w:val="00853227"/>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847"/>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091"/>
    <w:rsid w:val="008A0970"/>
    <w:rsid w:val="008A0E38"/>
    <w:rsid w:val="008A0ED2"/>
    <w:rsid w:val="008A0F9E"/>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693"/>
    <w:rsid w:val="008D0760"/>
    <w:rsid w:val="008D0914"/>
    <w:rsid w:val="008D0C20"/>
    <w:rsid w:val="008D0C89"/>
    <w:rsid w:val="008D0E83"/>
    <w:rsid w:val="008D14F4"/>
    <w:rsid w:val="008D1538"/>
    <w:rsid w:val="008D1B49"/>
    <w:rsid w:val="008D1C3E"/>
    <w:rsid w:val="008D1C4D"/>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E4B"/>
    <w:rsid w:val="008E04AB"/>
    <w:rsid w:val="008E065E"/>
    <w:rsid w:val="008E06E5"/>
    <w:rsid w:val="008E0927"/>
    <w:rsid w:val="008E1909"/>
    <w:rsid w:val="008E1CED"/>
    <w:rsid w:val="008E1D1A"/>
    <w:rsid w:val="008E2168"/>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6E"/>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CE7"/>
    <w:rsid w:val="00925D3B"/>
    <w:rsid w:val="00925F68"/>
    <w:rsid w:val="0092679B"/>
    <w:rsid w:val="00926BB7"/>
    <w:rsid w:val="00926F07"/>
    <w:rsid w:val="00926F8A"/>
    <w:rsid w:val="00927974"/>
    <w:rsid w:val="00927AA6"/>
    <w:rsid w:val="00927C18"/>
    <w:rsid w:val="00927C4C"/>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6FF1"/>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57A6"/>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456"/>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0C3"/>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556B"/>
    <w:rsid w:val="00A8578A"/>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57D6"/>
    <w:rsid w:val="00A96354"/>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10E"/>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275"/>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F61"/>
    <w:rsid w:val="00B006FE"/>
    <w:rsid w:val="00B007CB"/>
    <w:rsid w:val="00B008F8"/>
    <w:rsid w:val="00B0122F"/>
    <w:rsid w:val="00B01310"/>
    <w:rsid w:val="00B01966"/>
    <w:rsid w:val="00B02864"/>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5960"/>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057"/>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4B2"/>
    <w:rsid w:val="00B6385F"/>
    <w:rsid w:val="00B640BE"/>
    <w:rsid w:val="00B640C4"/>
    <w:rsid w:val="00B64AC0"/>
    <w:rsid w:val="00B6599F"/>
    <w:rsid w:val="00B65FEB"/>
    <w:rsid w:val="00B6602F"/>
    <w:rsid w:val="00B661C9"/>
    <w:rsid w:val="00B664C7"/>
    <w:rsid w:val="00B666EA"/>
    <w:rsid w:val="00B66799"/>
    <w:rsid w:val="00B66BB8"/>
    <w:rsid w:val="00B67A24"/>
    <w:rsid w:val="00B7060C"/>
    <w:rsid w:val="00B7080E"/>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8D3"/>
    <w:rsid w:val="00B909C2"/>
    <w:rsid w:val="00B90C77"/>
    <w:rsid w:val="00B90DEF"/>
    <w:rsid w:val="00B90F73"/>
    <w:rsid w:val="00B91968"/>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413D"/>
    <w:rsid w:val="00BE456B"/>
    <w:rsid w:val="00BE4835"/>
    <w:rsid w:val="00BE4BAC"/>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9BE"/>
    <w:rsid w:val="00C36BB9"/>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272"/>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8796C"/>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20128"/>
    <w:rsid w:val="00D208EA"/>
    <w:rsid w:val="00D20CD3"/>
    <w:rsid w:val="00D21306"/>
    <w:rsid w:val="00D2143B"/>
    <w:rsid w:val="00D2195D"/>
    <w:rsid w:val="00D21D24"/>
    <w:rsid w:val="00D21F98"/>
    <w:rsid w:val="00D21FED"/>
    <w:rsid w:val="00D22263"/>
    <w:rsid w:val="00D22485"/>
    <w:rsid w:val="00D2254F"/>
    <w:rsid w:val="00D227E3"/>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33C"/>
    <w:rsid w:val="00D9143D"/>
    <w:rsid w:val="00D91450"/>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247"/>
    <w:rsid w:val="00DB66C5"/>
    <w:rsid w:val="00DB741C"/>
    <w:rsid w:val="00DB75D9"/>
    <w:rsid w:val="00DB7D32"/>
    <w:rsid w:val="00DB7F0A"/>
    <w:rsid w:val="00DC0408"/>
    <w:rsid w:val="00DC1267"/>
    <w:rsid w:val="00DC173A"/>
    <w:rsid w:val="00DC18D1"/>
    <w:rsid w:val="00DC1F58"/>
    <w:rsid w:val="00DC2785"/>
    <w:rsid w:val="00DC2D36"/>
    <w:rsid w:val="00DC35DC"/>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325"/>
    <w:rsid w:val="00DD495C"/>
    <w:rsid w:val="00DD4E59"/>
    <w:rsid w:val="00DD4FD3"/>
    <w:rsid w:val="00DD5898"/>
    <w:rsid w:val="00DD5BE6"/>
    <w:rsid w:val="00DD5C1F"/>
    <w:rsid w:val="00DD5C62"/>
    <w:rsid w:val="00DD5E07"/>
    <w:rsid w:val="00DD6103"/>
    <w:rsid w:val="00DD6CCB"/>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92F"/>
    <w:rsid w:val="00E04F6C"/>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7F"/>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80C"/>
    <w:rsid w:val="00E62863"/>
    <w:rsid w:val="00E628A1"/>
    <w:rsid w:val="00E62C11"/>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59B0"/>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A7B"/>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2DA0"/>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5BB"/>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BE9"/>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BD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301186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37654050">
      <w:bodyDiv w:val="1"/>
      <w:marLeft w:val="0"/>
      <w:marRight w:val="0"/>
      <w:marTop w:val="0"/>
      <w:marBottom w:val="0"/>
      <w:divBdr>
        <w:top w:val="none" w:sz="0" w:space="0" w:color="auto"/>
        <w:left w:val="none" w:sz="0" w:space="0" w:color="auto"/>
        <w:bottom w:val="none" w:sz="0" w:space="0" w:color="auto"/>
        <w:right w:val="none" w:sz="0" w:space="0" w:color="auto"/>
      </w:divBdr>
    </w:div>
    <w:div w:id="2105883142">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pub/R-REP-M.241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143</TotalTime>
  <Pages>5</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8166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MediaTek Inc1.</cp:lastModifiedBy>
  <cp:revision>25</cp:revision>
  <cp:lastPrinted>2008-01-30T22:09:00Z</cp:lastPrinted>
  <dcterms:created xsi:type="dcterms:W3CDTF">2023-09-27T14:36:00Z</dcterms:created>
  <dcterms:modified xsi:type="dcterms:W3CDTF">2023-09-29T14:21:00Z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