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15F83F5" w14:textId="1671F853" w:rsidR="00695123" w:rsidRPr="00695123" w:rsidRDefault="00695123" w:rsidP="00695123">
      <w:pPr>
        <w:tabs>
          <w:tab w:val="center" w:pos="4536"/>
          <w:tab w:val="right" w:pos="8280"/>
          <w:tab w:val="right" w:pos="9639"/>
        </w:tabs>
        <w:ind w:right="2"/>
        <w:rPr>
          <w:b/>
          <w:bCs/>
          <w:sz w:val="28"/>
        </w:rPr>
      </w:pPr>
      <w:r w:rsidRPr="00695123">
        <w:rPr>
          <w:b/>
          <w:bCs/>
          <w:sz w:val="28"/>
        </w:rPr>
        <w:t xml:space="preserve">3GPP TSG RAN WG1 </w:t>
      </w:r>
      <w:r w:rsidR="00EB6FA4" w:rsidRPr="00EB6FA4">
        <w:rPr>
          <w:b/>
          <w:bCs/>
          <w:sz w:val="28"/>
        </w:rPr>
        <w:t>#</w:t>
      </w:r>
      <w:r w:rsidR="00FF0F49" w:rsidRPr="00EB6FA4">
        <w:rPr>
          <w:b/>
          <w:bCs/>
          <w:sz w:val="28"/>
        </w:rPr>
        <w:t>1</w:t>
      </w:r>
      <w:r w:rsidR="00FF0F49">
        <w:rPr>
          <w:b/>
          <w:bCs/>
          <w:sz w:val="28"/>
        </w:rPr>
        <w:t>1</w:t>
      </w:r>
      <w:r w:rsidR="00711A44">
        <w:rPr>
          <w:b/>
          <w:bCs/>
          <w:sz w:val="28"/>
        </w:rPr>
        <w:t>4</w:t>
      </w:r>
      <w:r w:rsidR="00B5684B">
        <w:rPr>
          <w:b/>
          <w:bCs/>
          <w:sz w:val="28"/>
        </w:rPr>
        <w:t>bis</w:t>
      </w:r>
      <w:r w:rsidRPr="00695123">
        <w:rPr>
          <w:b/>
          <w:bCs/>
          <w:sz w:val="28"/>
        </w:rPr>
        <w:tab/>
      </w:r>
      <w:r w:rsidRPr="00695123">
        <w:rPr>
          <w:b/>
          <w:bCs/>
          <w:sz w:val="28"/>
        </w:rPr>
        <w:tab/>
        <w:t xml:space="preserve">    </w:t>
      </w:r>
      <w:r w:rsidRPr="00695123">
        <w:rPr>
          <w:b/>
          <w:bCs/>
          <w:sz w:val="28"/>
        </w:rPr>
        <w:tab/>
        <w:t>R1-</w:t>
      </w:r>
      <w:r w:rsidR="00B5684B" w:rsidRPr="00695123">
        <w:rPr>
          <w:b/>
          <w:bCs/>
          <w:sz w:val="28"/>
        </w:rPr>
        <w:t>2</w:t>
      </w:r>
      <w:r w:rsidR="00B5684B">
        <w:rPr>
          <w:b/>
          <w:bCs/>
          <w:sz w:val="28"/>
        </w:rPr>
        <w:t>309982</w:t>
      </w:r>
    </w:p>
    <w:p w14:paraId="59A387B0" w14:textId="1F4DAEF3" w:rsidR="00B5684B" w:rsidRPr="00695123" w:rsidRDefault="00B5684B" w:rsidP="00695123">
      <w:pPr>
        <w:spacing w:afterLines="50" w:after="120"/>
        <w:ind w:left="1985" w:hanging="1985"/>
        <w:rPr>
          <w:b/>
          <w:sz w:val="28"/>
          <w:szCs w:val="28"/>
        </w:rPr>
      </w:pPr>
      <w:r w:rsidRPr="00B5684B">
        <w:rPr>
          <w:rFonts w:eastAsia="MS Mincho"/>
          <w:b/>
          <w:bCs/>
          <w:sz w:val="28"/>
          <w:lang w:eastAsia="ja-JP"/>
        </w:rPr>
        <w:t>Xiamen, China, October 9th – October 13th, 2023</w:t>
      </w:r>
    </w:p>
    <w:p w14:paraId="301899BC" w14:textId="12E3FE6F" w:rsidR="003C20D3" w:rsidRPr="005C41F1" w:rsidRDefault="007A41F6" w:rsidP="004366E0">
      <w:pPr>
        <w:spacing w:afterLines="50" w:after="120"/>
        <w:ind w:left="1985" w:hanging="1985"/>
        <w:rPr>
          <w:b/>
          <w:bCs/>
          <w:sz w:val="28"/>
          <w:szCs w:val="28"/>
        </w:rPr>
      </w:pPr>
      <w:r>
        <w:rPr>
          <w:b/>
          <w:sz w:val="28"/>
          <w:szCs w:val="28"/>
        </w:rPr>
        <w:t>Agenda item:</w:t>
      </w:r>
      <w:r>
        <w:rPr>
          <w:b/>
          <w:sz w:val="28"/>
          <w:szCs w:val="28"/>
        </w:rPr>
        <w:tab/>
      </w:r>
      <w:r w:rsidR="00B5684B">
        <w:rPr>
          <w:b/>
          <w:sz w:val="28"/>
          <w:szCs w:val="28"/>
        </w:rPr>
        <w:t>8</w:t>
      </w:r>
      <w:r>
        <w:rPr>
          <w:b/>
          <w:sz w:val="28"/>
          <w:szCs w:val="28"/>
        </w:rPr>
        <w:t>.</w:t>
      </w:r>
      <w:r w:rsidR="00B5684B">
        <w:rPr>
          <w:b/>
          <w:sz w:val="28"/>
          <w:szCs w:val="28"/>
        </w:rPr>
        <w:t>7</w:t>
      </w:r>
      <w:r w:rsidR="0050043D">
        <w:rPr>
          <w:b/>
          <w:sz w:val="28"/>
          <w:szCs w:val="28"/>
        </w:rPr>
        <w:t>.</w:t>
      </w:r>
      <w:r w:rsidR="00364A69">
        <w:rPr>
          <w:b/>
          <w:sz w:val="28"/>
          <w:szCs w:val="28"/>
        </w:rPr>
        <w:t>1</w:t>
      </w:r>
    </w:p>
    <w:p w14:paraId="3ACE8376" w14:textId="4FA49C2A" w:rsidR="003C20D3" w:rsidRPr="007D4109" w:rsidRDefault="0050043D" w:rsidP="00895F04">
      <w:pPr>
        <w:spacing w:afterLines="50" w:after="120"/>
        <w:ind w:left="1985" w:hanging="1985"/>
        <w:rPr>
          <w:b/>
          <w:sz w:val="28"/>
          <w:szCs w:val="28"/>
        </w:rPr>
      </w:pPr>
      <w:r>
        <w:rPr>
          <w:b/>
          <w:sz w:val="28"/>
          <w:szCs w:val="28"/>
        </w:rPr>
        <w:t>Title:</w:t>
      </w:r>
      <w:r>
        <w:rPr>
          <w:b/>
          <w:sz w:val="28"/>
          <w:szCs w:val="28"/>
        </w:rPr>
        <w:tab/>
      </w:r>
      <w:r w:rsidR="00B5684B" w:rsidRPr="00B5684B">
        <w:rPr>
          <w:b/>
          <w:sz w:val="28"/>
          <w:szCs w:val="28"/>
        </w:rPr>
        <w:t>Remaining issues on L1 enhancements for inter-cell beam management</w:t>
      </w:r>
    </w:p>
    <w:p w14:paraId="1F960842" w14:textId="77777777" w:rsidR="003C20D3" w:rsidRPr="007D4109" w:rsidRDefault="003C20D3" w:rsidP="004366E0">
      <w:pPr>
        <w:spacing w:afterLines="50" w:after="120"/>
        <w:ind w:left="1985" w:hanging="1985"/>
        <w:rPr>
          <w:b/>
          <w:bCs/>
          <w:sz w:val="28"/>
          <w:szCs w:val="28"/>
        </w:rPr>
      </w:pPr>
      <w:r w:rsidRPr="007D4109">
        <w:rPr>
          <w:b/>
          <w:sz w:val="28"/>
          <w:szCs w:val="28"/>
        </w:rPr>
        <w:t>Source:</w:t>
      </w:r>
      <w:r w:rsidRPr="007D4109">
        <w:rPr>
          <w:b/>
          <w:bCs/>
          <w:sz w:val="28"/>
          <w:szCs w:val="28"/>
        </w:rPr>
        <w:tab/>
        <w:t>MediaTek Inc.</w:t>
      </w:r>
    </w:p>
    <w:p w14:paraId="59C77CE7" w14:textId="77777777" w:rsidR="003C20D3" w:rsidRPr="007D4109" w:rsidRDefault="003C20D3" w:rsidP="004366E0">
      <w:pPr>
        <w:spacing w:afterLines="50" w:after="120"/>
        <w:ind w:left="1985" w:hanging="1985"/>
        <w:rPr>
          <w:b/>
          <w:bCs/>
          <w:sz w:val="28"/>
          <w:szCs w:val="28"/>
        </w:rPr>
      </w:pPr>
      <w:r w:rsidRPr="007D4109">
        <w:rPr>
          <w:b/>
          <w:sz w:val="28"/>
          <w:szCs w:val="28"/>
        </w:rPr>
        <w:t>Document for:</w:t>
      </w:r>
      <w:r w:rsidRPr="007D4109">
        <w:rPr>
          <w:b/>
          <w:bCs/>
          <w:sz w:val="28"/>
          <w:szCs w:val="28"/>
        </w:rPr>
        <w:tab/>
        <w:t>Discussion</w:t>
      </w:r>
    </w:p>
    <w:p w14:paraId="2D57680F" w14:textId="65BB70AD" w:rsidR="00494DC2" w:rsidRPr="007D4109" w:rsidRDefault="00F5034C" w:rsidP="004366E0">
      <w:pPr>
        <w:spacing w:afterLines="50" w:after="120"/>
        <w:rPr>
          <w:b/>
          <w:sz w:val="28"/>
        </w:rPr>
      </w:pPr>
      <w:r>
        <w:pict w14:anchorId="0D3FDAD9">
          <v:rect id="_x0000_i1025" style="width:415.3pt;height:1pt" o:hralign="center" o:hrstd="t" o:hrnoshade="t" o:hr="t" fillcolor="black [3213]" stroked="f"/>
        </w:pict>
      </w:r>
    </w:p>
    <w:p w14:paraId="4CD78FEA" w14:textId="6D198DF5" w:rsidR="0055330E" w:rsidRPr="006E7A57" w:rsidRDefault="00494DC2" w:rsidP="004366E0">
      <w:pPr>
        <w:pStyle w:val="ListParagraph"/>
        <w:numPr>
          <w:ilvl w:val="0"/>
          <w:numId w:val="5"/>
        </w:numPr>
        <w:spacing w:afterLines="50" w:after="120"/>
        <w:outlineLvl w:val="0"/>
        <w:rPr>
          <w:b/>
          <w:sz w:val="28"/>
        </w:rPr>
      </w:pPr>
      <w:r w:rsidRPr="007D4109">
        <w:rPr>
          <w:b/>
          <w:sz w:val="28"/>
        </w:rPr>
        <w:t>Introduction</w:t>
      </w:r>
    </w:p>
    <w:p w14:paraId="48D43537" w14:textId="512BBF05" w:rsidR="00C00AF2" w:rsidRDefault="00C00AF2" w:rsidP="008640D4">
      <w:r>
        <w:t>Based on the WID [</w:t>
      </w:r>
      <w:r w:rsidR="00F4110D">
        <w:t>1</w:t>
      </w:r>
      <w:r>
        <w:t xml:space="preserve">], </w:t>
      </w:r>
      <w:r w:rsidRPr="00C00AF2">
        <w:t xml:space="preserve">L1/L2-based mobility </w:t>
      </w:r>
      <w:r>
        <w:t>enhancements</w:t>
      </w:r>
      <w:r w:rsidRPr="00C00AF2">
        <w:t xml:space="preserve"> </w:t>
      </w:r>
      <w:r>
        <w:t>are</w:t>
      </w:r>
      <w:r w:rsidRPr="00C00AF2">
        <w:t xml:space="preserve"> considered as an objective in Rel-18 mobility enhancements </w:t>
      </w:r>
      <w:r>
        <w:t xml:space="preserve">to achieve </w:t>
      </w:r>
      <w:r w:rsidRPr="00C00AF2">
        <w:t>mobility latency</w:t>
      </w:r>
      <w:r>
        <w:t>, overhead, and interruption time</w:t>
      </w:r>
      <w:r w:rsidRPr="00C00AF2">
        <w:t xml:space="preserve"> reduction</w:t>
      </w:r>
      <w:r>
        <w:t>. The related objective in WID is shown below</w:t>
      </w:r>
      <w:r w:rsidR="00C36DC2">
        <w:t>:</w:t>
      </w:r>
    </w:p>
    <w:p w14:paraId="63EDFB04" w14:textId="77777777" w:rsidR="00C00AF2" w:rsidRPr="0052558F" w:rsidRDefault="008640D4" w:rsidP="008640D4">
      <w:pPr>
        <w:rPr>
          <w:szCs w:val="22"/>
        </w:rPr>
      </w:pPr>
      <w:r>
        <w:t xml:space="preserve">  </w:t>
      </w:r>
    </w:p>
    <w:tbl>
      <w:tblPr>
        <w:tblStyle w:val="TableGrid"/>
        <w:tblW w:w="9629" w:type="dxa"/>
        <w:tblInd w:w="607" w:type="dxa"/>
        <w:tblLook w:val="04A0" w:firstRow="1" w:lastRow="0" w:firstColumn="1" w:lastColumn="0" w:noHBand="0" w:noVBand="1"/>
      </w:tblPr>
      <w:tblGrid>
        <w:gridCol w:w="9629"/>
      </w:tblGrid>
      <w:tr w:rsidR="00C00AF2" w:rsidRPr="003916EE" w14:paraId="5473E048" w14:textId="77777777" w:rsidTr="00C00AF2">
        <w:tc>
          <w:tcPr>
            <w:tcW w:w="9629" w:type="dxa"/>
          </w:tcPr>
          <w:p w14:paraId="3BC3C702" w14:textId="77777777" w:rsidR="00C00AF2" w:rsidRPr="003916EE" w:rsidRDefault="00C00AF2" w:rsidP="00C00AF2">
            <w:pPr>
              <w:numPr>
                <w:ilvl w:val="0"/>
                <w:numId w:val="11"/>
              </w:numPr>
              <w:overflowPunct w:val="0"/>
              <w:autoSpaceDE w:val="0"/>
              <w:autoSpaceDN w:val="0"/>
              <w:adjustRightInd w:val="0"/>
              <w:spacing w:after="120"/>
              <w:ind w:leftChars="9" w:left="382"/>
              <w:jc w:val="both"/>
              <w:rPr>
                <w:rFonts w:eastAsia="SimSun"/>
                <w:bCs/>
                <w:sz w:val="20"/>
                <w:szCs w:val="20"/>
                <w:lang w:val="en-GB"/>
              </w:rPr>
            </w:pPr>
            <w:r w:rsidRPr="003916EE">
              <w:rPr>
                <w:rFonts w:eastAsia="SimSun"/>
                <w:bCs/>
                <w:sz w:val="20"/>
                <w:szCs w:val="20"/>
                <w:lang w:val="en-GB"/>
              </w:rPr>
              <w:t xml:space="preserve">To specify mechanism and procedures of </w:t>
            </w:r>
            <w:bookmarkStart w:id="0" w:name="_Hlk88555041"/>
            <w:r w:rsidRPr="003916EE">
              <w:rPr>
                <w:rFonts w:eastAsia="SimSun"/>
                <w:bCs/>
                <w:sz w:val="20"/>
                <w:szCs w:val="20"/>
                <w:lang w:val="en-GB"/>
              </w:rPr>
              <w:t>L1/L2 based inter-cell mobility</w:t>
            </w:r>
            <w:bookmarkEnd w:id="0"/>
            <w:r w:rsidRPr="003916EE">
              <w:rPr>
                <w:rFonts w:eastAsia="SimSun"/>
                <w:bCs/>
                <w:sz w:val="20"/>
                <w:szCs w:val="20"/>
                <w:lang w:val="en-GB"/>
              </w:rPr>
              <w:t xml:space="preserve"> for mobility latency reduction:</w:t>
            </w:r>
          </w:p>
          <w:p w14:paraId="60B6698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Configuration and maintenance for multiple candidate cells to allow fast application of configurations for candidate cells [RAN2, RAN3]</w:t>
            </w:r>
          </w:p>
          <w:p w14:paraId="50FC072F"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Dynamic switch mechanism among candidate serving cells (including </w:t>
            </w:r>
            <w:proofErr w:type="spellStart"/>
            <w:r w:rsidRPr="003916EE">
              <w:rPr>
                <w:rFonts w:eastAsia="SimSun"/>
                <w:bCs/>
                <w:sz w:val="20"/>
                <w:szCs w:val="20"/>
                <w:lang w:val="en-GB"/>
              </w:rPr>
              <w:t>SpCell</w:t>
            </w:r>
            <w:proofErr w:type="spellEnd"/>
            <w:r w:rsidRPr="003916EE">
              <w:rPr>
                <w:rFonts w:eastAsia="SimSun"/>
                <w:bCs/>
                <w:sz w:val="20"/>
                <w:szCs w:val="20"/>
                <w:lang w:val="en-GB"/>
              </w:rPr>
              <w:t xml:space="preserve"> and </w:t>
            </w:r>
            <w:proofErr w:type="spellStart"/>
            <w:r w:rsidRPr="003916EE">
              <w:rPr>
                <w:rFonts w:eastAsia="SimSun"/>
                <w:bCs/>
                <w:sz w:val="20"/>
                <w:szCs w:val="20"/>
                <w:lang w:val="en-GB"/>
              </w:rPr>
              <w:t>SCell</w:t>
            </w:r>
            <w:proofErr w:type="spellEnd"/>
            <w:r w:rsidRPr="003916EE">
              <w:rPr>
                <w:rFonts w:eastAsia="SimSun"/>
                <w:bCs/>
                <w:sz w:val="20"/>
                <w:szCs w:val="20"/>
                <w:lang w:val="en-GB"/>
              </w:rPr>
              <w:t>) for the potential applicable scenarios based on L1/L2 signalling [RAN2, RAN1]</w:t>
            </w:r>
          </w:p>
          <w:p w14:paraId="6FAC826B" w14:textId="42A3EBDE" w:rsidR="00C00AF2"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L1 enhancements, including inter-cell beam management, L1 measurement and reporting, beam indication, and for non-synchronized scenario to handle TA management [RAN1, RAN2]</w:t>
            </w:r>
          </w:p>
          <w:p w14:paraId="23835B5A" w14:textId="77777777" w:rsidR="00D362CB" w:rsidRPr="00D362CB" w:rsidRDefault="00D362CB" w:rsidP="00D362CB">
            <w:pPr>
              <w:pStyle w:val="ListParagraph"/>
              <w:numPr>
                <w:ilvl w:val="0"/>
                <w:numId w:val="12"/>
              </w:numPr>
              <w:rPr>
                <w:rFonts w:eastAsia="SimSun"/>
                <w:bCs/>
                <w:sz w:val="20"/>
                <w:szCs w:val="20"/>
                <w:lang w:val="en-GB"/>
              </w:rPr>
            </w:pPr>
            <w:r w:rsidRPr="00D362CB">
              <w:rPr>
                <w:rFonts w:eastAsia="SimSun"/>
                <w:bCs/>
                <w:sz w:val="20"/>
                <w:szCs w:val="20"/>
                <w:lang w:val="en-GB"/>
              </w:rPr>
              <w:t>Note 1: Early RAN2 involvement is necessary, including the possibility of further clarifying the interaction between this bullet with the previous bullet</w:t>
            </w:r>
          </w:p>
          <w:p w14:paraId="481435BC" w14:textId="77777777" w:rsidR="00C00AF2" w:rsidRPr="003916EE" w:rsidRDefault="00C00AF2" w:rsidP="00C00AF2">
            <w:pPr>
              <w:numPr>
                <w:ilvl w:val="0"/>
                <w:numId w:val="12"/>
              </w:numPr>
              <w:overflowPunct w:val="0"/>
              <w:autoSpaceDE w:val="0"/>
              <w:autoSpaceDN w:val="0"/>
              <w:adjustRightInd w:val="0"/>
              <w:spacing w:after="120"/>
              <w:ind w:leftChars="338" w:left="1231"/>
              <w:jc w:val="both"/>
              <w:rPr>
                <w:rFonts w:eastAsia="SimSun"/>
                <w:bCs/>
                <w:sz w:val="20"/>
                <w:szCs w:val="20"/>
                <w:lang w:val="en-GB"/>
              </w:rPr>
            </w:pPr>
            <w:r w:rsidRPr="003916EE">
              <w:rPr>
                <w:rFonts w:eastAsia="SimSun"/>
                <w:bCs/>
                <w:sz w:val="20"/>
                <w:szCs w:val="20"/>
                <w:lang w:val="en-GB"/>
              </w:rPr>
              <w:t xml:space="preserve">CU-DU interface </w:t>
            </w:r>
            <w:proofErr w:type="spellStart"/>
            <w:r w:rsidRPr="003916EE">
              <w:rPr>
                <w:rFonts w:eastAsia="SimSun"/>
                <w:bCs/>
                <w:sz w:val="20"/>
                <w:szCs w:val="20"/>
                <w:lang w:val="en-GB"/>
              </w:rPr>
              <w:t>signaling</w:t>
            </w:r>
            <w:proofErr w:type="spellEnd"/>
            <w:r w:rsidRPr="003916EE">
              <w:rPr>
                <w:rFonts w:eastAsia="SimSun"/>
                <w:bCs/>
                <w:sz w:val="20"/>
                <w:szCs w:val="20"/>
                <w:lang w:val="en-GB"/>
              </w:rPr>
              <w:t xml:space="preserve"> to support L1/L2 mobility, if needed [RAN3]</w:t>
            </w:r>
          </w:p>
          <w:p w14:paraId="4A5E58AB" w14:textId="77777777" w:rsidR="00C00AF2" w:rsidRPr="003916EE" w:rsidRDefault="00C00AF2" w:rsidP="00C00AF2">
            <w:pPr>
              <w:overflowPunct w:val="0"/>
              <w:autoSpaceDE w:val="0"/>
              <w:autoSpaceDN w:val="0"/>
              <w:adjustRightInd w:val="0"/>
              <w:spacing w:after="120"/>
              <w:ind w:leftChars="528" w:left="1267"/>
              <w:jc w:val="both"/>
              <w:rPr>
                <w:rFonts w:eastAsia="SimSun"/>
                <w:bCs/>
                <w:sz w:val="20"/>
                <w:szCs w:val="20"/>
                <w:lang w:val="en-GB"/>
              </w:rPr>
            </w:pPr>
          </w:p>
          <w:p w14:paraId="207C7D20"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1: FR2 specific enhancements are not precluded, if any.</w:t>
            </w:r>
          </w:p>
          <w:p w14:paraId="62D908C5" w14:textId="77777777" w:rsidR="00C00AF2" w:rsidRPr="003916EE" w:rsidRDefault="00C00AF2" w:rsidP="00C00AF2">
            <w:pPr>
              <w:overflowPunct w:val="0"/>
              <w:autoSpaceDE w:val="0"/>
              <w:autoSpaceDN w:val="0"/>
              <w:adjustRightInd w:val="0"/>
              <w:spacing w:after="120"/>
              <w:ind w:leftChars="335" w:left="804"/>
              <w:jc w:val="both"/>
              <w:rPr>
                <w:rFonts w:eastAsia="SimSun"/>
                <w:bCs/>
                <w:sz w:val="20"/>
                <w:szCs w:val="20"/>
                <w:lang w:val="en-GB"/>
              </w:rPr>
            </w:pPr>
            <w:r w:rsidRPr="003916EE">
              <w:rPr>
                <w:rFonts w:eastAsia="SimSun"/>
                <w:bCs/>
                <w:sz w:val="20"/>
                <w:szCs w:val="20"/>
                <w:lang w:val="en-GB"/>
              </w:rPr>
              <w:t>Note 2: The procedure of L1/L2 based inter-cell mobility are applicable to the following scenarios:</w:t>
            </w:r>
          </w:p>
          <w:p w14:paraId="3B3246BB"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Standalone, CA and NR-DC case with serving cell change within one CG</w:t>
            </w:r>
          </w:p>
          <w:p w14:paraId="12D0539F"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Intra-CU case and intra-CU inter-DU case (applicable for Standalone and CA)</w:t>
            </w:r>
          </w:p>
          <w:p w14:paraId="5D24AC83"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intra-frequency and inter-frequency</w:t>
            </w:r>
          </w:p>
          <w:p w14:paraId="62FB0ECE" w14:textId="77777777" w:rsidR="00C00AF2" w:rsidRPr="003916EE" w:rsidRDefault="00C00AF2" w:rsidP="00C00AF2">
            <w:pPr>
              <w:numPr>
                <w:ilvl w:val="2"/>
                <w:numId w:val="13"/>
              </w:numPr>
              <w:overflowPunct w:val="0"/>
              <w:autoSpaceDE w:val="0"/>
              <w:autoSpaceDN w:val="0"/>
              <w:adjustRightInd w:val="0"/>
              <w:spacing w:after="120"/>
              <w:ind w:leftChars="500" w:left="1560"/>
              <w:jc w:val="both"/>
              <w:rPr>
                <w:rFonts w:eastAsia="SimSun"/>
                <w:bCs/>
                <w:sz w:val="20"/>
                <w:szCs w:val="20"/>
                <w:lang w:val="en-GB"/>
              </w:rPr>
            </w:pPr>
            <w:r w:rsidRPr="003916EE">
              <w:rPr>
                <w:rFonts w:eastAsia="SimSun"/>
                <w:bCs/>
                <w:sz w:val="20"/>
                <w:szCs w:val="20"/>
                <w:lang w:val="en-GB"/>
              </w:rPr>
              <w:t>Both FR1 and FR2</w:t>
            </w:r>
          </w:p>
        </w:tc>
      </w:tr>
    </w:tbl>
    <w:p w14:paraId="02219E3F" w14:textId="08AEB2C4" w:rsidR="004E01EA" w:rsidRDefault="004E01EA" w:rsidP="008640D4">
      <w:pPr>
        <w:rPr>
          <w:szCs w:val="22"/>
        </w:rPr>
      </w:pPr>
    </w:p>
    <w:p w14:paraId="310CC320" w14:textId="48AEDDEE" w:rsidR="00C00AF2" w:rsidRPr="0052558F" w:rsidRDefault="00756103" w:rsidP="008640D4">
      <w:pPr>
        <w:rPr>
          <w:szCs w:val="22"/>
        </w:rPr>
      </w:pPr>
      <w:r>
        <w:rPr>
          <w:szCs w:val="22"/>
        </w:rPr>
        <w:t xml:space="preserve"> RAN1 has complete</w:t>
      </w:r>
      <w:r w:rsidR="00CC3BE4">
        <w:rPr>
          <w:szCs w:val="22"/>
        </w:rPr>
        <w:t>d</w:t>
      </w:r>
      <w:r>
        <w:rPr>
          <w:szCs w:val="22"/>
        </w:rPr>
        <w:t xml:space="preserve"> the WI</w:t>
      </w:r>
      <w:r w:rsidR="00CC3BE4">
        <w:rPr>
          <w:szCs w:val="22"/>
        </w:rPr>
        <w:t xml:space="preserve"> </w:t>
      </w:r>
      <w:r>
        <w:rPr>
          <w:szCs w:val="22"/>
        </w:rPr>
        <w:t xml:space="preserve">in RAN1 #114 </w:t>
      </w:r>
      <w:r w:rsidR="0039243A">
        <w:rPr>
          <w:szCs w:val="22"/>
        </w:rPr>
        <w:t>meeting,</w:t>
      </w:r>
      <w:r>
        <w:rPr>
          <w:szCs w:val="22"/>
        </w:rPr>
        <w:t xml:space="preserve"> and </w:t>
      </w:r>
      <w:r w:rsidR="00C00AF2">
        <w:rPr>
          <w:szCs w:val="22"/>
        </w:rPr>
        <w:t xml:space="preserve">this contribution </w:t>
      </w:r>
      <w:r w:rsidR="006173EF">
        <w:rPr>
          <w:szCs w:val="22"/>
        </w:rPr>
        <w:t>expresses our view</w:t>
      </w:r>
      <w:r w:rsidR="00C00AF2">
        <w:rPr>
          <w:szCs w:val="22"/>
        </w:rPr>
        <w:t xml:space="preserve"> on </w:t>
      </w:r>
      <w:r>
        <w:rPr>
          <w:szCs w:val="22"/>
        </w:rPr>
        <w:t xml:space="preserve">remaining issues of </w:t>
      </w:r>
      <w:r w:rsidR="00C00AF2">
        <w:rPr>
          <w:szCs w:val="22"/>
        </w:rPr>
        <w:t>L1 measurement</w:t>
      </w:r>
      <w:r w:rsidR="00C36DC2">
        <w:rPr>
          <w:szCs w:val="22"/>
        </w:rPr>
        <w:t xml:space="preserve"> enhancements</w:t>
      </w:r>
      <w:r w:rsidR="00190C77">
        <w:rPr>
          <w:szCs w:val="22"/>
        </w:rPr>
        <w:t>,</w:t>
      </w:r>
      <w:r w:rsidR="00C36DC2">
        <w:rPr>
          <w:szCs w:val="22"/>
        </w:rPr>
        <w:t xml:space="preserve"> TCI framework</w:t>
      </w:r>
      <w:r w:rsidR="00190C77">
        <w:rPr>
          <w:szCs w:val="22"/>
        </w:rPr>
        <w:t>, and beam indication</w:t>
      </w:r>
      <w:r w:rsidR="006173EF">
        <w:rPr>
          <w:szCs w:val="22"/>
        </w:rPr>
        <w:t xml:space="preserve"> for inter-cell </w:t>
      </w:r>
      <w:r w:rsidR="002D1F31">
        <w:rPr>
          <w:szCs w:val="22"/>
        </w:rPr>
        <w:t>mobility</w:t>
      </w:r>
      <w:r w:rsidR="006173EF">
        <w:rPr>
          <w:szCs w:val="22"/>
        </w:rPr>
        <w:t xml:space="preserve">. </w:t>
      </w:r>
    </w:p>
    <w:p w14:paraId="479BFEA9" w14:textId="165C02DE" w:rsidR="00494DC2" w:rsidRPr="007D4109" w:rsidRDefault="00F5034C" w:rsidP="004366E0">
      <w:pPr>
        <w:spacing w:afterLines="50" w:after="120"/>
        <w:jc w:val="both"/>
        <w:rPr>
          <w:color w:val="FF0000"/>
          <w:sz w:val="22"/>
        </w:rPr>
      </w:pPr>
      <w:r>
        <w:pict w14:anchorId="2293ACE1">
          <v:rect id="_x0000_i1026" style="width:415.3pt;height:1pt" o:hralign="center" o:hrstd="t" o:hrnoshade="t" o:hr="t" fillcolor="black [3213]" stroked="f"/>
        </w:pict>
      </w:r>
    </w:p>
    <w:p w14:paraId="0303EB60" w14:textId="24045939" w:rsidR="000D5DFA" w:rsidRDefault="00A83B05" w:rsidP="008640D4">
      <w:pPr>
        <w:pStyle w:val="ListParagraph"/>
        <w:numPr>
          <w:ilvl w:val="0"/>
          <w:numId w:val="5"/>
        </w:numPr>
        <w:spacing w:beforeLines="50" w:before="120" w:afterLines="50" w:after="120"/>
        <w:contextualSpacing w:val="0"/>
        <w:outlineLvl w:val="0"/>
        <w:rPr>
          <w:b/>
          <w:sz w:val="28"/>
        </w:rPr>
      </w:pPr>
      <w:bookmarkStart w:id="1" w:name="_Ref494794648"/>
      <w:r>
        <w:rPr>
          <w:b/>
          <w:sz w:val="28"/>
        </w:rPr>
        <w:t>RAN2-centric discussion</w:t>
      </w:r>
    </w:p>
    <w:p w14:paraId="50F46A8A" w14:textId="04EAE8DD" w:rsidR="005D66E6" w:rsidRPr="007721E6" w:rsidRDefault="00A83B05" w:rsidP="00E239E3">
      <w:pPr>
        <w:rPr>
          <w:u w:val="single"/>
        </w:rPr>
      </w:pPr>
      <w:r w:rsidRPr="007721E6">
        <w:rPr>
          <w:u w:val="single"/>
        </w:rPr>
        <w:t>TCI state configuration</w:t>
      </w:r>
    </w:p>
    <w:p w14:paraId="0B2A5F9E" w14:textId="08D06715" w:rsidR="00C57D84" w:rsidRDefault="00A83B05" w:rsidP="00E239E3">
      <w:r>
        <w:t>Rel-18 LTM L1 measurement configuration is agreed to be designed by RAN2 based on RAN1 input on essential information. One similar discussion is</w:t>
      </w:r>
      <w:r w:rsidR="002F0F16">
        <w:t xml:space="preserve"> the </w:t>
      </w:r>
      <w:r w:rsidR="00FC0BC4">
        <w:t xml:space="preserve">configuration </w:t>
      </w:r>
      <w:r>
        <w:t xml:space="preserve">design </w:t>
      </w:r>
      <w:r w:rsidR="004D662F">
        <w:t>of TCI state list(s).</w:t>
      </w:r>
      <w:r w:rsidR="00FC0BC4">
        <w:t xml:space="preserve"> In current specification, configuration of TCI state list(s) can be included in the configuration of each BWP of a cell. In Rel-17 ICBM, the configured TCI state list(s) can include TCI states which are associated with SSBs from </w:t>
      </w:r>
      <w:r w:rsidR="00CA3FE6">
        <w:t>‘additional’</w:t>
      </w:r>
      <w:r w:rsidR="00FC0BC4">
        <w:t xml:space="preserve"> cells</w:t>
      </w:r>
      <w:r w:rsidR="00ED573F">
        <w:t xml:space="preserve">. </w:t>
      </w:r>
      <w:r w:rsidR="008074BA">
        <w:t>For Rel-18 LTM</w:t>
      </w:r>
      <w:r w:rsidR="00C57D84">
        <w:t>, RAN2 has made following agreement:</w:t>
      </w:r>
    </w:p>
    <w:tbl>
      <w:tblPr>
        <w:tblStyle w:val="TableGrid"/>
        <w:tblW w:w="0" w:type="auto"/>
        <w:tblLook w:val="04A0" w:firstRow="1" w:lastRow="0" w:firstColumn="1" w:lastColumn="0" w:noHBand="0" w:noVBand="1"/>
      </w:tblPr>
      <w:tblGrid>
        <w:gridCol w:w="10188"/>
      </w:tblGrid>
      <w:tr w:rsidR="00C57D84" w14:paraId="6721A8EC" w14:textId="77777777" w:rsidTr="00C57D84">
        <w:tc>
          <w:tcPr>
            <w:tcW w:w="10188" w:type="dxa"/>
          </w:tcPr>
          <w:p w14:paraId="250D23B1" w14:textId="77777777" w:rsidR="00C57D84" w:rsidRDefault="00C57D84" w:rsidP="00C57D84">
            <w:pPr>
              <w:spacing w:before="60"/>
              <w:rPr>
                <w:rFonts w:ascii="Arial" w:eastAsia="MS Mincho" w:hAnsi="Arial"/>
                <w:b/>
                <w:sz w:val="20"/>
                <w:lang w:val="en-GB" w:eastAsia="en-GB"/>
              </w:rPr>
            </w:pPr>
            <w:r>
              <w:rPr>
                <w:rFonts w:ascii="Arial" w:eastAsia="MS Mincho" w:hAnsi="Arial"/>
                <w:b/>
                <w:sz w:val="20"/>
                <w:lang w:val="en-GB" w:eastAsia="en-GB"/>
              </w:rPr>
              <w:lastRenderedPageBreak/>
              <w:t xml:space="preserve">Initial agreements, from RAN2 point of view (may be dep on RAN1 progress). </w:t>
            </w:r>
          </w:p>
          <w:p w14:paraId="041EF161" w14:textId="77777777" w:rsidR="00C57D84" w:rsidRDefault="00C57D84" w:rsidP="00C57D84">
            <w:pPr>
              <w:pStyle w:val="Agreement"/>
              <w:numPr>
                <w:ilvl w:val="0"/>
                <w:numId w:val="18"/>
              </w:numPr>
              <w:spacing w:after="180"/>
            </w:pPr>
            <w:r>
              <w:t xml:space="preserve">The location of </w:t>
            </w:r>
            <w:r w:rsidRPr="00E02AA1">
              <w:t>RS configuration</w:t>
            </w:r>
            <w:r>
              <w:t xml:space="preserve"> for SSB-based measurements of candidate cells is external to the </w:t>
            </w:r>
            <w:proofErr w:type="spellStart"/>
            <w:r>
              <w:t>ServingCellConfig</w:t>
            </w:r>
            <w:proofErr w:type="spellEnd"/>
            <w:r>
              <w:t>(s) of current serving cells and external to the configuration of the LTM candidate cells. The RS configuration, per RAN1 agreement, can include PCI or logical ID, SMTC location, frequency location, and SCS.</w:t>
            </w:r>
          </w:p>
          <w:p w14:paraId="321ED2EE" w14:textId="77777777" w:rsidR="00C57D84" w:rsidRDefault="00C57D84" w:rsidP="00C57D84">
            <w:pPr>
              <w:pStyle w:val="Agreement"/>
              <w:numPr>
                <w:ilvl w:val="0"/>
                <w:numId w:val="18"/>
              </w:numPr>
              <w:spacing w:after="180"/>
            </w:pPr>
            <w:r>
              <w:t xml:space="preserve">RAN2 assumes that the location of configurations of </w:t>
            </w:r>
            <w:r w:rsidRPr="00E02AA1">
              <w:t>TCI states</w:t>
            </w:r>
            <w:r>
              <w:t xml:space="preserve"> for the candidate cells (used before/at cell switch) is external to the </w:t>
            </w:r>
            <w:proofErr w:type="spellStart"/>
            <w:r>
              <w:t>ServingCellConfig</w:t>
            </w:r>
            <w:proofErr w:type="spellEnd"/>
            <w:r>
              <w:t>(s) of current serving cells and external to the configuration of the LTM candidate cells (same location as RS configuration).</w:t>
            </w:r>
          </w:p>
          <w:p w14:paraId="638ED33E" w14:textId="77777777" w:rsidR="00C57D84" w:rsidRDefault="00C57D84" w:rsidP="00C57D84">
            <w:pPr>
              <w:pStyle w:val="Agreement"/>
              <w:numPr>
                <w:ilvl w:val="0"/>
                <w:numId w:val="18"/>
              </w:numPr>
              <w:spacing w:after="180"/>
            </w:pPr>
            <w:r>
              <w:t xml:space="preserve">RAN2 assumes that For L1 measurements of LTM candidate cells, the reporting configuration is placed inside the </w:t>
            </w:r>
            <w:proofErr w:type="spellStart"/>
            <w:r>
              <w:t>ServingCellConfig</w:t>
            </w:r>
            <w:proofErr w:type="spellEnd"/>
            <w:r>
              <w:t xml:space="preserve"> of current serving cell(s). </w:t>
            </w:r>
          </w:p>
          <w:p w14:paraId="79665D99" w14:textId="49DDAD1D" w:rsidR="00C57D84" w:rsidRDefault="00C57D84" w:rsidP="00C57D84">
            <w:r>
              <w:rPr>
                <w:rFonts w:ascii="Arial" w:eastAsia="MS Mincho" w:hAnsi="Arial"/>
                <w:i/>
                <w:iCs/>
                <w:sz w:val="20"/>
                <w:lang w:val="en-GB" w:eastAsia="en-GB"/>
              </w:rPr>
              <w:t xml:space="preserve">Chair: the agreements above may need to be further evaluated, e.g. </w:t>
            </w:r>
            <w:proofErr w:type="spellStart"/>
            <w:r>
              <w:rPr>
                <w:rFonts w:ascii="Arial" w:eastAsia="MS Mincho" w:hAnsi="Arial"/>
                <w:i/>
                <w:iCs/>
                <w:sz w:val="20"/>
                <w:lang w:val="en-GB" w:eastAsia="en-GB"/>
              </w:rPr>
              <w:t>wrt</w:t>
            </w:r>
            <w:proofErr w:type="spellEnd"/>
            <w:r>
              <w:rPr>
                <w:rFonts w:ascii="Arial" w:eastAsia="MS Mincho" w:hAnsi="Arial"/>
                <w:i/>
                <w:iCs/>
                <w:sz w:val="20"/>
                <w:lang w:val="en-GB" w:eastAsia="en-GB"/>
              </w:rPr>
              <w:t xml:space="preserve"> subsequent LTM switches. </w:t>
            </w:r>
          </w:p>
        </w:tc>
      </w:tr>
    </w:tbl>
    <w:p w14:paraId="524B3658" w14:textId="77777777" w:rsidR="00C57D84" w:rsidRDefault="00C57D84" w:rsidP="00E239E3"/>
    <w:p w14:paraId="61939346" w14:textId="31053F24" w:rsidR="00287769" w:rsidRDefault="00352189" w:rsidP="00E239E3">
      <w:r>
        <w:t xml:space="preserve">In addition, RAN2 has begun the discussion of RRC signaling design </w:t>
      </w:r>
      <w:r w:rsidR="002E6F09">
        <w:t>and</w:t>
      </w:r>
      <w:r w:rsidR="00287769">
        <w:t xml:space="preserve"> TCI state list of candidate cell is located under each candidate cell configuration in the latest running RRC CR</w:t>
      </w:r>
      <w:r w:rsidR="004819C0">
        <w:t>.</w:t>
      </w:r>
    </w:p>
    <w:p w14:paraId="0EA278C4" w14:textId="618EA0D4" w:rsidR="00110D16" w:rsidRDefault="00110D16" w:rsidP="00E239E3"/>
    <w:p w14:paraId="33251DB5" w14:textId="540917BF" w:rsidR="00B20E38" w:rsidRDefault="00110D16" w:rsidP="00E239E3">
      <w:r>
        <w:t xml:space="preserve">Under current RRC structure, there are some open issues for multiple TCI state lists </w:t>
      </w:r>
      <w:r w:rsidR="00771184">
        <w:t>management</w:t>
      </w:r>
      <w:r>
        <w:t xml:space="preserve"> at UE side when performing cell switch. In particular, </w:t>
      </w:r>
      <w:r w:rsidR="00771184">
        <w:t xml:space="preserve">UE need to handle </w:t>
      </w:r>
      <w:r>
        <w:t>at least three TCI state lists</w:t>
      </w:r>
      <w:r w:rsidR="00771184">
        <w:t xml:space="preserve">, </w:t>
      </w:r>
      <w:r w:rsidR="008074BA">
        <w:t xml:space="preserve">i.e., </w:t>
      </w:r>
      <w:r w:rsidR="00771184">
        <w:t>source cell TCI state list</w:t>
      </w:r>
      <w:r w:rsidR="003B187C">
        <w:t xml:space="preserve"> before cell switch</w:t>
      </w:r>
      <w:r w:rsidR="00771184">
        <w:t>, candidate cell TCI state</w:t>
      </w:r>
      <w:r w:rsidR="003B187C">
        <w:t xml:space="preserve"> list before cell switch</w:t>
      </w:r>
      <w:r w:rsidR="00771184">
        <w:t>, and target cell TCI state list</w:t>
      </w:r>
      <w:r w:rsidR="003B187C">
        <w:t xml:space="preserve"> after cell switch</w:t>
      </w:r>
      <w:r w:rsidR="00771184">
        <w:t xml:space="preserve">. </w:t>
      </w:r>
    </w:p>
    <w:p w14:paraId="2E398D3D" w14:textId="77777777" w:rsidR="00B20E38" w:rsidRDefault="00B20E38" w:rsidP="00E239E3"/>
    <w:p w14:paraId="37BCCD64" w14:textId="72523642" w:rsidR="00110D16" w:rsidRDefault="00E066D8" w:rsidP="00E239E3">
      <w:r>
        <w:t xml:space="preserve">The relation between the target cell TCI state list after cell switch and the associated </w:t>
      </w:r>
      <w:r w:rsidR="00B20E38">
        <w:t>candidate cell TCI state list before cell switch should be RAN2 decision, i.e., whether and how to merge the two TCI state lists should be up to RAN2 discussion. More RAN1 related open issue is how UE manage source cell TCI state list before cell switch and target cell TCI state list after cell switch.</w:t>
      </w:r>
      <w:r w:rsidR="005548F7">
        <w:t xml:space="preserve"> In RAN1 #114 meeting, </w:t>
      </w:r>
      <w:r w:rsidR="001469F9">
        <w:t>RAN1 had following discussion:</w:t>
      </w:r>
    </w:p>
    <w:tbl>
      <w:tblPr>
        <w:tblStyle w:val="TableGrid"/>
        <w:tblW w:w="0" w:type="auto"/>
        <w:tblLook w:val="04A0" w:firstRow="1" w:lastRow="0" w:firstColumn="1" w:lastColumn="0" w:noHBand="0" w:noVBand="1"/>
      </w:tblPr>
      <w:tblGrid>
        <w:gridCol w:w="10188"/>
      </w:tblGrid>
      <w:tr w:rsidR="001469F9" w14:paraId="6081E848" w14:textId="77777777" w:rsidTr="001469F9">
        <w:tc>
          <w:tcPr>
            <w:tcW w:w="10188" w:type="dxa"/>
          </w:tcPr>
          <w:p w14:paraId="72B8FD60" w14:textId="77777777" w:rsidR="001469F9" w:rsidRPr="004B4178" w:rsidRDefault="001469F9" w:rsidP="001469F9">
            <w:pPr>
              <w:pStyle w:val="ListParagraph"/>
              <w:numPr>
                <w:ilvl w:val="0"/>
                <w:numId w:val="25"/>
              </w:numPr>
              <w:snapToGrid w:val="0"/>
              <w:spacing w:after="100" w:afterAutospacing="1"/>
              <w:contextualSpacing w:val="0"/>
              <w:jc w:val="both"/>
              <w:rPr>
                <w:b/>
                <w:bCs/>
              </w:rPr>
            </w:pPr>
            <w:r w:rsidRPr="004B4178">
              <w:t xml:space="preserve">For UE assumption on the active TCI states for LTM other than the indicated TCI state after the reception of the cell switch command, chose one from the following options: </w:t>
            </w:r>
          </w:p>
          <w:p w14:paraId="3DDD494E" w14:textId="77777777" w:rsidR="001469F9" w:rsidRPr="004B4178" w:rsidRDefault="001469F9" w:rsidP="001469F9">
            <w:pPr>
              <w:pStyle w:val="ListParagraph"/>
              <w:numPr>
                <w:ilvl w:val="1"/>
                <w:numId w:val="25"/>
              </w:numPr>
              <w:snapToGrid w:val="0"/>
              <w:spacing w:after="100" w:afterAutospacing="1"/>
              <w:contextualSpacing w:val="0"/>
              <w:jc w:val="both"/>
            </w:pPr>
            <w:r w:rsidRPr="004B4178">
              <w:t>Option 1. Retain all activate TCI states</w:t>
            </w:r>
          </w:p>
          <w:p w14:paraId="00847E5E" w14:textId="0514A796" w:rsidR="001469F9" w:rsidRPr="004B4178" w:rsidRDefault="001469F9" w:rsidP="001469F9">
            <w:pPr>
              <w:pStyle w:val="ListParagraph"/>
              <w:numPr>
                <w:ilvl w:val="1"/>
                <w:numId w:val="25"/>
              </w:numPr>
              <w:snapToGrid w:val="0"/>
              <w:spacing w:after="100" w:afterAutospacing="1"/>
              <w:contextualSpacing w:val="0"/>
              <w:jc w:val="both"/>
            </w:pPr>
            <w:r w:rsidRPr="004B4178">
              <w:t xml:space="preserve">Option 2. Deactivate all TCI states </w:t>
            </w:r>
          </w:p>
          <w:p w14:paraId="6B596B9A" w14:textId="046DD035" w:rsidR="001469F9" w:rsidRDefault="001469F9" w:rsidP="00583C55">
            <w:pPr>
              <w:pStyle w:val="ListParagraph"/>
              <w:numPr>
                <w:ilvl w:val="1"/>
                <w:numId w:val="25"/>
              </w:numPr>
              <w:snapToGrid w:val="0"/>
              <w:spacing w:after="100" w:afterAutospacing="1"/>
              <w:contextualSpacing w:val="0"/>
              <w:jc w:val="both"/>
            </w:pPr>
            <w:r w:rsidRPr="006528B9">
              <w:t xml:space="preserve">Option 5. Do not specify any </w:t>
            </w:r>
            <w:proofErr w:type="spellStart"/>
            <w:r w:rsidRPr="006528B9">
              <w:t>behaviour</w:t>
            </w:r>
            <w:proofErr w:type="spellEnd"/>
            <w:r w:rsidRPr="006528B9">
              <w:t xml:space="preserve">, i.e. new serving cell need to perform TCI state activation as a target cell (i.e. a new serving cell) has no information about the activated TCI state at a UE other than the indicated TCI state(s)  </w:t>
            </w:r>
          </w:p>
        </w:tc>
      </w:tr>
    </w:tbl>
    <w:p w14:paraId="56F886F9" w14:textId="77777777" w:rsidR="001469F9" w:rsidRDefault="001469F9" w:rsidP="00E239E3"/>
    <w:p w14:paraId="58F545EB" w14:textId="4DC4F20B" w:rsidR="00E066D8" w:rsidRDefault="00E066D8" w:rsidP="00E239E3"/>
    <w:p w14:paraId="2A81A4F8" w14:textId="3191A45B" w:rsidR="00287769" w:rsidRDefault="00DB7010" w:rsidP="00E239E3">
      <w:r>
        <w:t xml:space="preserve">Option 1 is similar to legacy beam management when UE performing beam switch without BWP change and several companies would like to follow similar UE behavior for Rel-18 LTM. However, Rel-18 LTM is targeting mobility </w:t>
      </w:r>
      <w:r w:rsidR="00773924">
        <w:t>scenarios</w:t>
      </w:r>
      <w:r>
        <w:t xml:space="preserve"> and BWP change after cell switch is</w:t>
      </w:r>
      <w:r w:rsidR="00DF70E5" w:rsidRPr="00583C55">
        <w:rPr>
          <w:rFonts w:hint="eastAsia"/>
        </w:rPr>
        <w:t xml:space="preserve"> </w:t>
      </w:r>
      <w:r w:rsidR="00DF70E5" w:rsidRPr="00583C55">
        <w:t>inevitable</w:t>
      </w:r>
      <w:r w:rsidR="00DF70E5">
        <w:t xml:space="preserve">. Therefore, retaining all activate TCI states </w:t>
      </w:r>
      <w:r w:rsidR="008074BA">
        <w:t>from</w:t>
      </w:r>
      <w:r w:rsidR="00DF70E5">
        <w:t xml:space="preserve"> previous BWP is not a desirable UE behavior, regardless of </w:t>
      </w:r>
      <w:r w:rsidR="008074BA">
        <w:t xml:space="preserve">changing </w:t>
      </w:r>
      <w:r w:rsidR="00DF70E5">
        <w:t>serving cell or not. Furthermore, after cell switch, source cell will become candidate cell and retaining all active TCI state from source cell implies some design between the source cell TCI state list before cell switch and the associate candidate TCI state list after cell switch, which requires RAN2 inputs. To minimize the specification impact and UE implementation complexity, at least Option 2 should be supported.</w:t>
      </w:r>
    </w:p>
    <w:p w14:paraId="01955C09" w14:textId="77777777" w:rsidR="00DF70E5" w:rsidRPr="00DF70E5" w:rsidRDefault="00DF70E5" w:rsidP="00E239E3"/>
    <w:p w14:paraId="02AF76D8" w14:textId="7585D678" w:rsidR="001E1209" w:rsidRDefault="004819C0" w:rsidP="00E239E3">
      <w:r>
        <w:t xml:space="preserve">  </w:t>
      </w:r>
    </w:p>
    <w:p w14:paraId="4C098106" w14:textId="762EBAD0" w:rsidR="001E1209" w:rsidRDefault="001E1209" w:rsidP="00E239E3"/>
    <w:p w14:paraId="3935D3DA" w14:textId="02AE957E" w:rsidR="00ED573F" w:rsidRDefault="00ED573F" w:rsidP="00E02AA1">
      <w:pPr>
        <w:pStyle w:val="Caption"/>
        <w:rPr>
          <w:b w:val="0"/>
          <w:bCs w:val="0"/>
        </w:rPr>
      </w:pPr>
      <w:bookmarkStart w:id="2" w:name="_Ref134795818"/>
      <w:bookmarkStart w:id="3" w:name="_Ref127308601"/>
      <w:r>
        <w:t xml:space="preserve">Proposal </w:t>
      </w:r>
      <w:r w:rsidR="00F5034C">
        <w:fldChar w:fldCharType="begin"/>
      </w:r>
      <w:r w:rsidR="00F5034C">
        <w:instrText xml:space="preserve"> SEQ Proposal \* ARABIC </w:instrText>
      </w:r>
      <w:r w:rsidR="00F5034C">
        <w:fldChar w:fldCharType="separate"/>
      </w:r>
      <w:r w:rsidR="00AF5592">
        <w:rPr>
          <w:noProof/>
        </w:rPr>
        <w:t>1</w:t>
      </w:r>
      <w:r w:rsidR="00F5034C">
        <w:rPr>
          <w:noProof/>
        </w:rPr>
        <w:fldChar w:fldCharType="end"/>
      </w:r>
      <w:r>
        <w:t>:</w:t>
      </w:r>
      <w:r w:rsidRPr="00DF74F3">
        <w:t xml:space="preserve"> </w:t>
      </w:r>
      <w:r>
        <w:t xml:space="preserve">For Rel-18 L1/L2 mobility, </w:t>
      </w:r>
      <w:r w:rsidR="00DF70E5" w:rsidRPr="004B4178">
        <w:t xml:space="preserve">UE </w:t>
      </w:r>
      <w:r w:rsidR="00DF70E5">
        <w:t>d</w:t>
      </w:r>
      <w:r w:rsidR="00DF70E5" w:rsidRPr="004B4178">
        <w:t>eactivate</w:t>
      </w:r>
      <w:r w:rsidR="00DF70E5">
        <w:t>s</w:t>
      </w:r>
      <w:r w:rsidR="00DF70E5" w:rsidRPr="004B4178">
        <w:t xml:space="preserve"> all </w:t>
      </w:r>
      <w:r w:rsidR="00DF70E5">
        <w:t xml:space="preserve">active </w:t>
      </w:r>
      <w:r w:rsidR="00DF70E5" w:rsidRPr="004B4178">
        <w:t xml:space="preserve">TCI states for LTM other than the indicated TCI state </w:t>
      </w:r>
      <w:r w:rsidR="00FF0E19">
        <w:t xml:space="preserve">in a cell switch command </w:t>
      </w:r>
      <w:r w:rsidR="00DF70E5" w:rsidRPr="004B4178">
        <w:t>after the reception of the cell switch command</w:t>
      </w:r>
      <w:r w:rsidR="00C57D84">
        <w:t>.</w:t>
      </w:r>
      <w:bookmarkEnd w:id="2"/>
      <w:r w:rsidR="00A535B2">
        <w:t xml:space="preserve"> </w:t>
      </w:r>
      <w:bookmarkEnd w:id="3"/>
    </w:p>
    <w:p w14:paraId="731ED807" w14:textId="77777777" w:rsidR="00A535B2" w:rsidRPr="00176B86" w:rsidRDefault="00A535B2" w:rsidP="00995418">
      <w:pPr>
        <w:pStyle w:val="ListParagraph"/>
        <w:rPr>
          <w:b/>
          <w:bCs/>
        </w:rPr>
      </w:pPr>
    </w:p>
    <w:p w14:paraId="1AA3D773" w14:textId="0F9DEC45" w:rsidR="007E3446" w:rsidRDefault="007E3446" w:rsidP="00926617">
      <w:pPr>
        <w:pStyle w:val="ListParagraph"/>
        <w:numPr>
          <w:ilvl w:val="0"/>
          <w:numId w:val="5"/>
        </w:numPr>
        <w:spacing w:beforeLines="50" w:before="120" w:afterLines="50" w:after="120"/>
        <w:contextualSpacing w:val="0"/>
        <w:outlineLvl w:val="0"/>
        <w:rPr>
          <w:b/>
          <w:sz w:val="28"/>
        </w:rPr>
      </w:pPr>
      <w:r w:rsidRPr="007E3446">
        <w:rPr>
          <w:b/>
          <w:sz w:val="28"/>
        </w:rPr>
        <w:t>RAN1-centric discussion</w:t>
      </w:r>
    </w:p>
    <w:p w14:paraId="7725B77E" w14:textId="77777777" w:rsidR="00926617" w:rsidRDefault="00926617" w:rsidP="00926617"/>
    <w:p w14:paraId="436C2871" w14:textId="068A3B8E" w:rsidR="00926617" w:rsidRDefault="00D640A0" w:rsidP="00926617">
      <w:pPr>
        <w:rPr>
          <w:u w:val="single"/>
        </w:rPr>
      </w:pPr>
      <w:r w:rsidRPr="00561DA8">
        <w:rPr>
          <w:u w:val="single"/>
        </w:rPr>
        <w:t>L1 measurement enhancement</w:t>
      </w:r>
    </w:p>
    <w:p w14:paraId="001B6F9C" w14:textId="37956FEA" w:rsidR="00D640A0" w:rsidRDefault="00D640A0" w:rsidP="00926617">
      <w:pPr>
        <w:rPr>
          <w:u w:val="single"/>
        </w:rPr>
      </w:pPr>
    </w:p>
    <w:p w14:paraId="692CE241" w14:textId="5C3674DA" w:rsidR="00B60771" w:rsidRDefault="00CB5072" w:rsidP="00926617">
      <w:r>
        <w:t>S</w:t>
      </w:r>
      <w:r w:rsidR="008F2FB7">
        <w:t xml:space="preserve">everal companies showed the support of reporting L1-SINR in addition to L1-RSRP. However, to the best of our understanding, no analytical or simulation result has been shown to support the benefit of reporting L1-SINR. In our view, an instance of L1-SINR might not reflect the actual interference in the candidate cells </w:t>
      </w:r>
      <w:r w:rsidR="0004159C">
        <w:t xml:space="preserve">and L3-SINR might draw a more complete picture of interference. </w:t>
      </w:r>
      <w:r w:rsidR="00B60771">
        <w:t>Without further justification, we suggest not to introduce L1-SINR as reporting quantity for L1 measurement</w:t>
      </w:r>
      <w:r w:rsidR="00544119">
        <w:t xml:space="preserve"> in the maintenance phase</w:t>
      </w:r>
      <w:r w:rsidR="00CC3BE4">
        <w:t xml:space="preserve"> with a clear decision</w:t>
      </w:r>
      <w:r w:rsidR="00B60771">
        <w:t>.</w:t>
      </w:r>
    </w:p>
    <w:p w14:paraId="2560D7F3" w14:textId="77777777" w:rsidR="00B60771" w:rsidRDefault="00B60771" w:rsidP="00926617"/>
    <w:p w14:paraId="3915293B" w14:textId="2E515C4B" w:rsidR="00B60771" w:rsidRDefault="008F2FB7" w:rsidP="00B60771">
      <w:pPr>
        <w:pStyle w:val="Caption"/>
      </w:pPr>
      <w:r>
        <w:t xml:space="preserve"> </w:t>
      </w:r>
      <w:bookmarkStart w:id="4" w:name="_Ref127308614"/>
      <w:r w:rsidR="00B60771">
        <w:t xml:space="preserve">Proposal </w:t>
      </w:r>
      <w:r w:rsidR="00F5034C">
        <w:fldChar w:fldCharType="begin"/>
      </w:r>
      <w:r w:rsidR="00F5034C">
        <w:instrText xml:space="preserve"> SEQ Proposal \* ARABIC </w:instrText>
      </w:r>
      <w:r w:rsidR="00F5034C">
        <w:fldChar w:fldCharType="separate"/>
      </w:r>
      <w:r w:rsidR="00AF5592">
        <w:rPr>
          <w:noProof/>
        </w:rPr>
        <w:t>2</w:t>
      </w:r>
      <w:r w:rsidR="00F5034C">
        <w:rPr>
          <w:noProof/>
        </w:rPr>
        <w:fldChar w:fldCharType="end"/>
      </w:r>
      <w:r w:rsidR="00B60771">
        <w:t>:</w:t>
      </w:r>
      <w:r w:rsidR="00B60771" w:rsidRPr="00DF74F3">
        <w:t xml:space="preserve"> </w:t>
      </w:r>
      <w:r w:rsidR="00B60771">
        <w:t>For Rel-18 L1/L2 mobility, L1-SINR is not supported for intra and inter-frequency candidate cell measurement.</w:t>
      </w:r>
      <w:bookmarkEnd w:id="4"/>
    </w:p>
    <w:p w14:paraId="4E2B2AF8" w14:textId="5ADA7641" w:rsidR="008F2FB7" w:rsidRDefault="008F2FB7" w:rsidP="00926617"/>
    <w:p w14:paraId="784193B4" w14:textId="46C78D1C" w:rsidR="00581AB4" w:rsidRDefault="00581AB4" w:rsidP="00581AB4">
      <w:r>
        <w:t>One issue mentioned in RAN2 LS [2] is the need of the filtering design for the potential ping-pong effect occurs under the dynamic cell switching procedure. However, in the same LS, RAN2 also agreed to support sequential cell switching in Rel-18 mobility enhancements. Based on the information, the ping-pong effect seems to be a minor issue from Rel-18 mobility enhancement point of view and further optimization on the L1 measurement filtering might hinder the dynamic cell switching procedure. Furthermore, how to process the L1 measurement results is up to network implementation, and network can apply further L1 measurement filtering before sending the cell switching command to address the ping-pong effect.</w:t>
      </w:r>
      <w:r w:rsidR="00544119">
        <w:t xml:space="preserve"> Therefore, we suggest no to introduce UE-based filtering in Rel-18 maintenance phase.</w:t>
      </w:r>
    </w:p>
    <w:p w14:paraId="06CC4CF7" w14:textId="77777777" w:rsidR="00581AB4" w:rsidRDefault="00581AB4" w:rsidP="00581AB4"/>
    <w:p w14:paraId="66B15AD9" w14:textId="78EB367D" w:rsidR="00581AB4" w:rsidRDefault="00581AB4" w:rsidP="00581AB4">
      <w:pPr>
        <w:pStyle w:val="Caption"/>
      </w:pPr>
      <w:bookmarkStart w:id="5" w:name="_Ref127308619"/>
      <w:r>
        <w:t xml:space="preserve">Proposal </w:t>
      </w:r>
      <w:r w:rsidR="00F5034C">
        <w:fldChar w:fldCharType="begin"/>
      </w:r>
      <w:r w:rsidR="00F5034C">
        <w:instrText xml:space="preserve"> SEQ Proposal \* ARABIC </w:instrText>
      </w:r>
      <w:r w:rsidR="00F5034C">
        <w:fldChar w:fldCharType="separate"/>
      </w:r>
      <w:r w:rsidR="00AF5592">
        <w:rPr>
          <w:noProof/>
        </w:rPr>
        <w:t>3</w:t>
      </w:r>
      <w:r w:rsidR="00F5034C">
        <w:rPr>
          <w:noProof/>
        </w:rPr>
        <w:fldChar w:fldCharType="end"/>
      </w:r>
      <w:r>
        <w:t>:</w:t>
      </w:r>
      <w:r w:rsidRPr="00DF74F3">
        <w:t xml:space="preserve"> </w:t>
      </w:r>
      <w:r>
        <w:t xml:space="preserve">For Rel-18 L1/L2 mobility, </w:t>
      </w:r>
      <w:r w:rsidRPr="003157E5">
        <w:t>UE</w:t>
      </w:r>
      <w:r>
        <w:t>-</w:t>
      </w:r>
      <w:r w:rsidRPr="003157E5">
        <w:t>based filtering to L1 measurement results</w:t>
      </w:r>
      <w:r>
        <w:t xml:space="preserve"> is not supported.</w:t>
      </w:r>
      <w:bookmarkEnd w:id="5"/>
    </w:p>
    <w:p w14:paraId="09F788A3" w14:textId="4F4B3F47" w:rsidR="00581AB4" w:rsidRDefault="00581AB4" w:rsidP="00926617"/>
    <w:p w14:paraId="7AE20872" w14:textId="77777777" w:rsidR="008F2FB7" w:rsidRPr="00D640A0" w:rsidRDefault="008F2FB7" w:rsidP="00926617"/>
    <w:p w14:paraId="7B609860" w14:textId="4E9CE7CD" w:rsidR="00D640A0" w:rsidRDefault="00D640A0" w:rsidP="00926617">
      <w:pPr>
        <w:rPr>
          <w:u w:val="single"/>
        </w:rPr>
      </w:pPr>
      <w:r w:rsidRPr="00561DA8">
        <w:rPr>
          <w:u w:val="single"/>
        </w:rPr>
        <w:t>Beam management enhancement</w:t>
      </w:r>
    </w:p>
    <w:p w14:paraId="74757FB5" w14:textId="5AB13398" w:rsidR="00794A6A" w:rsidRDefault="00794A6A" w:rsidP="00926617">
      <w:pPr>
        <w:rPr>
          <w:u w:val="single"/>
        </w:rPr>
      </w:pPr>
    </w:p>
    <w:p w14:paraId="5B153D56" w14:textId="6C625D76" w:rsidR="00794A6A" w:rsidRDefault="009B441A" w:rsidP="00926617">
      <w:r>
        <w:t xml:space="preserve">In RAN1 #111 meeting, it has been agreed that the beam indication together with cell switch command is supported and other beam indication timing, i.e., before and after cell switch command, will be further discussed. </w:t>
      </w:r>
      <w:r w:rsidR="00C92391">
        <w:t>In our view, separate cell switching procedure into two stages can complicate the design especially when considering at least one of them is failed. For example, UE behavior when only receiving cell switch command without the beam indication signaling should be carefully designed. In addition to the procedure design complication, the actual benefit of two stage cell switching procedure is not clear. One potential benefit of having beam indication before cell switch command is to receive DL from candidate cell as Rel-17 ICBM. However, such benefit might not be feasible when the candidate cell is in inter-frequency.</w:t>
      </w:r>
      <w:r w:rsidR="00DC0887">
        <w:t xml:space="preserve"> Furthermore, </w:t>
      </w:r>
      <w:r w:rsidR="00DC0887" w:rsidRPr="00DC0887">
        <w:t xml:space="preserve">simultaneous operation of Rel-17 ICBM and Rel-18 LTM feature </w:t>
      </w:r>
      <w:r w:rsidR="00DC0887">
        <w:t>seem to be optimization and the discussion can be deprioritized</w:t>
      </w:r>
      <w:r w:rsidR="002866E8">
        <w:t xml:space="preserve">. </w:t>
      </w:r>
    </w:p>
    <w:p w14:paraId="3E7AD530" w14:textId="09515D25" w:rsidR="002866E8" w:rsidRDefault="002866E8" w:rsidP="00926617"/>
    <w:p w14:paraId="0B9D5E08" w14:textId="75346595" w:rsidR="002866E8" w:rsidRDefault="002866E8" w:rsidP="002866E8">
      <w:pPr>
        <w:pStyle w:val="Caption"/>
      </w:pPr>
      <w:bookmarkStart w:id="6" w:name="_Ref127308624"/>
      <w:r>
        <w:t xml:space="preserve">Proposal </w:t>
      </w:r>
      <w:r w:rsidR="00F5034C">
        <w:fldChar w:fldCharType="begin"/>
      </w:r>
      <w:r w:rsidR="00F5034C">
        <w:instrText xml:space="preserve"> SEQ Proposal \* ARABIC </w:instrText>
      </w:r>
      <w:r w:rsidR="00F5034C">
        <w:fldChar w:fldCharType="separate"/>
      </w:r>
      <w:r w:rsidR="00AF5592">
        <w:rPr>
          <w:noProof/>
        </w:rPr>
        <w:t>4</w:t>
      </w:r>
      <w:r w:rsidR="00F5034C">
        <w:rPr>
          <w:noProof/>
        </w:rPr>
        <w:fldChar w:fldCharType="end"/>
      </w:r>
      <w:r>
        <w:t>:</w:t>
      </w:r>
      <w:r w:rsidRPr="00DF74F3">
        <w:t xml:space="preserve"> </w:t>
      </w:r>
      <w:r>
        <w:t xml:space="preserve">For Rel-18 L1/L2 mobility, Scenario </w:t>
      </w:r>
      <w:r w:rsidR="005066EB">
        <w:t xml:space="preserve">1 </w:t>
      </w:r>
      <w:r>
        <w:t xml:space="preserve">(beam indication </w:t>
      </w:r>
      <w:r w:rsidR="005066EB">
        <w:t xml:space="preserve">before </w:t>
      </w:r>
      <w:r>
        <w:t xml:space="preserve">cell switch command) </w:t>
      </w:r>
      <w:r w:rsidR="004C6DC5">
        <w:t xml:space="preserve">is </w:t>
      </w:r>
      <w:r>
        <w:t>not supported.</w:t>
      </w:r>
      <w:bookmarkEnd w:id="6"/>
    </w:p>
    <w:p w14:paraId="24BAEA6E" w14:textId="31C0358F" w:rsidR="00A415E1" w:rsidRDefault="00A415E1" w:rsidP="00A415E1"/>
    <w:p w14:paraId="76DC6720" w14:textId="44F0F505" w:rsidR="005066EB" w:rsidRDefault="00D10CCD" w:rsidP="00A415E1">
      <w:r>
        <w:t>In RAN1 #112bis-e meeting, the following agreement is achieved</w:t>
      </w:r>
      <w:r w:rsidR="00437F6B">
        <w:t xml:space="preserve"> where TCI state activation of a candidate cell can be received before the beam indication in a cell switch command. </w:t>
      </w:r>
    </w:p>
    <w:p w14:paraId="6CA18892" w14:textId="77777777" w:rsidR="00D10CCD" w:rsidRDefault="00D10CCD" w:rsidP="00A415E1"/>
    <w:tbl>
      <w:tblPr>
        <w:tblStyle w:val="TableGrid"/>
        <w:tblW w:w="0" w:type="auto"/>
        <w:tblLook w:val="04A0" w:firstRow="1" w:lastRow="0" w:firstColumn="1" w:lastColumn="0" w:noHBand="0" w:noVBand="1"/>
      </w:tblPr>
      <w:tblGrid>
        <w:gridCol w:w="10188"/>
      </w:tblGrid>
      <w:tr w:rsidR="00D10CCD" w14:paraId="5E8C900C" w14:textId="77777777" w:rsidTr="00D10CCD">
        <w:tc>
          <w:tcPr>
            <w:tcW w:w="10188" w:type="dxa"/>
          </w:tcPr>
          <w:p w14:paraId="517EF41A" w14:textId="77777777" w:rsidR="00D10CCD" w:rsidRPr="00C42753" w:rsidRDefault="00D10CCD" w:rsidP="00D10CCD">
            <w:pPr>
              <w:rPr>
                <w:highlight w:val="green"/>
              </w:rPr>
            </w:pPr>
            <w:r w:rsidRPr="00C42753">
              <w:rPr>
                <w:highlight w:val="green"/>
              </w:rPr>
              <w:t>Agreement</w:t>
            </w:r>
          </w:p>
          <w:p w14:paraId="0E6757D3" w14:textId="77777777" w:rsidR="00D10CCD" w:rsidRPr="00C42753" w:rsidRDefault="00D10CCD" w:rsidP="00D10CCD">
            <w:r w:rsidRPr="00C42753">
              <w:rPr>
                <w:rFonts w:hint="eastAsia"/>
              </w:rPr>
              <w:lastRenderedPageBreak/>
              <w:t>For the Rel-17 unified TCI based beam indication in Rel-18 LTM, at least Alt 1 is supported:</w:t>
            </w:r>
          </w:p>
          <w:p w14:paraId="2DA0ECFB" w14:textId="77777777" w:rsidR="00D10CCD" w:rsidRPr="00C42753" w:rsidRDefault="00D10CCD" w:rsidP="00D10CCD">
            <w:pPr>
              <w:numPr>
                <w:ilvl w:val="0"/>
                <w:numId w:val="21"/>
              </w:numPr>
              <w:snapToGrid w:val="0"/>
              <w:jc w:val="both"/>
              <w:rPr>
                <w:rFonts w:ascii="Calibri" w:hAnsi="Calibri" w:cs="Calibri"/>
                <w:sz w:val="22"/>
                <w:szCs w:val="22"/>
              </w:rPr>
            </w:pPr>
            <w:r w:rsidRPr="00C42753">
              <w:rPr>
                <w:rFonts w:hint="eastAsia"/>
              </w:rPr>
              <w:t xml:space="preserve">Alt 1: TCI state activation of </w:t>
            </w:r>
            <w:r w:rsidRPr="00C42753">
              <w:t>a</w:t>
            </w:r>
            <w:r w:rsidRPr="00C42753">
              <w:rPr>
                <w:rFonts w:hint="eastAsia"/>
              </w:rPr>
              <w:t xml:space="preserve"> </w:t>
            </w:r>
            <w:r w:rsidRPr="00C42753">
              <w:t>candidate</w:t>
            </w:r>
            <w:r w:rsidRPr="00C42753">
              <w:rPr>
                <w:rFonts w:hint="eastAsia"/>
              </w:rPr>
              <w:t xml:space="preserve"> cell is received before the reception of beam indication of the </w:t>
            </w:r>
            <w:r w:rsidRPr="00C42753">
              <w:t>candidate</w:t>
            </w:r>
            <w:r w:rsidRPr="00C42753">
              <w:rPr>
                <w:rFonts w:hint="eastAsia"/>
              </w:rPr>
              <w:t xml:space="preserve"> cell, </w:t>
            </w:r>
          </w:p>
          <w:p w14:paraId="11B01CEC" w14:textId="77777777" w:rsidR="00D10CCD" w:rsidRPr="00C42753" w:rsidRDefault="00D10CCD" w:rsidP="00D10CCD">
            <w:pPr>
              <w:numPr>
                <w:ilvl w:val="0"/>
                <w:numId w:val="21"/>
              </w:numPr>
              <w:snapToGrid w:val="0"/>
              <w:jc w:val="both"/>
            </w:pPr>
            <w:r w:rsidRPr="00C42753">
              <w:rPr>
                <w:rFonts w:hint="eastAsia"/>
              </w:rPr>
              <w:t xml:space="preserve">Alt 2: TCI state activation of </w:t>
            </w:r>
            <w:r w:rsidRPr="00C42753">
              <w:t>a candidate</w:t>
            </w:r>
            <w:r w:rsidRPr="00C42753">
              <w:rPr>
                <w:rFonts w:hint="eastAsia"/>
              </w:rPr>
              <w:t xml:space="preserve"> cell is received together with the reception of beam indication of the </w:t>
            </w:r>
            <w:r w:rsidRPr="00C42753">
              <w:t>candidate</w:t>
            </w:r>
            <w:r w:rsidRPr="00C42753">
              <w:rPr>
                <w:rFonts w:hint="eastAsia"/>
              </w:rPr>
              <w:t xml:space="preserve"> cell</w:t>
            </w:r>
          </w:p>
          <w:p w14:paraId="2C524501" w14:textId="77777777" w:rsidR="00D10CCD" w:rsidRPr="00C42753" w:rsidRDefault="00D10CCD" w:rsidP="00D10CCD">
            <w:pPr>
              <w:numPr>
                <w:ilvl w:val="1"/>
                <w:numId w:val="21"/>
              </w:numPr>
              <w:snapToGrid w:val="0"/>
              <w:jc w:val="both"/>
              <w:rPr>
                <w:rFonts w:ascii="Yu Gothic" w:hAnsi="Yu Gothic"/>
              </w:rPr>
            </w:pPr>
            <w:r w:rsidRPr="00C42753">
              <w:rPr>
                <w:rFonts w:hint="eastAsia"/>
              </w:rPr>
              <w:t xml:space="preserve">FFS: </w:t>
            </w:r>
            <w:proofErr w:type="spellStart"/>
            <w:r w:rsidRPr="00C42753">
              <w:rPr>
                <w:rFonts w:hint="eastAsia"/>
              </w:rPr>
              <w:t>signalling</w:t>
            </w:r>
            <w:proofErr w:type="spellEnd"/>
            <w:r w:rsidRPr="00C42753">
              <w:rPr>
                <w:rFonts w:hint="eastAsia"/>
              </w:rPr>
              <w:t xml:space="preserve"> details for TCI state indication, if both activation and indication are done in the same MAC CE message carrying switch command</w:t>
            </w:r>
          </w:p>
          <w:p w14:paraId="6B2E04D6" w14:textId="77777777" w:rsidR="00D10CCD" w:rsidRPr="00C42753" w:rsidRDefault="00D10CCD" w:rsidP="00D10CCD">
            <w:pPr>
              <w:numPr>
                <w:ilvl w:val="0"/>
                <w:numId w:val="21"/>
              </w:numPr>
              <w:snapToGrid w:val="0"/>
              <w:jc w:val="both"/>
            </w:pPr>
            <w:r w:rsidRPr="00C42753">
              <w:rPr>
                <w:rFonts w:hint="eastAsia"/>
              </w:rPr>
              <w:t>Alt 3: Alt 1 and/or Alt 2 can be supported based on the UE capability</w:t>
            </w:r>
          </w:p>
          <w:p w14:paraId="5F7C7EE6" w14:textId="77777777" w:rsidR="00D10CCD" w:rsidRPr="00C42753" w:rsidRDefault="00D10CCD" w:rsidP="00D10CCD">
            <w:r w:rsidRPr="00C42753">
              <w:rPr>
                <w:rFonts w:hint="eastAsia"/>
              </w:rPr>
              <w:t xml:space="preserve">FFS: </w:t>
            </w:r>
            <w:proofErr w:type="spellStart"/>
            <w:r w:rsidRPr="00C42753">
              <w:rPr>
                <w:rFonts w:hint="eastAsia"/>
              </w:rPr>
              <w:t>signalling</w:t>
            </w:r>
            <w:proofErr w:type="spellEnd"/>
            <w:r w:rsidRPr="00C42753">
              <w:rPr>
                <w:rFonts w:hint="eastAsia"/>
              </w:rPr>
              <w:t xml:space="preserve"> details for TCI state activation</w:t>
            </w:r>
          </w:p>
          <w:p w14:paraId="461D32D1" w14:textId="77777777" w:rsidR="00D10CCD" w:rsidRPr="00C42753" w:rsidRDefault="00D10CCD" w:rsidP="00D10CCD">
            <w:r w:rsidRPr="00C42753">
              <w:rPr>
                <w:rFonts w:hint="eastAsia"/>
              </w:rPr>
              <w:t xml:space="preserve">FFS: </w:t>
            </w:r>
            <w:r w:rsidRPr="00C42753">
              <w:t xml:space="preserve">For Alt 1, </w:t>
            </w:r>
            <w:r w:rsidRPr="00C42753">
              <w:rPr>
                <w:rFonts w:hint="eastAsia"/>
              </w:rPr>
              <w:t>whether/how TCI state activation for candidate cell(s) is allowed</w:t>
            </w:r>
          </w:p>
          <w:p w14:paraId="4D5F5D56" w14:textId="77777777" w:rsidR="00D10CCD" w:rsidRDefault="00D10CCD" w:rsidP="00A415E1"/>
        </w:tc>
      </w:tr>
    </w:tbl>
    <w:p w14:paraId="485C9B95" w14:textId="77777777" w:rsidR="00D10CCD" w:rsidRDefault="00D10CCD" w:rsidP="00A415E1"/>
    <w:p w14:paraId="1C2ED66C" w14:textId="41E7A891" w:rsidR="0017192A" w:rsidRDefault="0017192A" w:rsidP="00A415E1">
      <w:r>
        <w:t xml:space="preserve">In RAN1#113 meeting, </w:t>
      </w:r>
      <w:r w:rsidR="00B73833">
        <w:t xml:space="preserve">further agreement is achieved on Alt2, i.e., </w:t>
      </w:r>
      <w:r>
        <w:t>a beam indication and activation included in the cell switch is supported.</w:t>
      </w:r>
    </w:p>
    <w:p w14:paraId="11FF6574" w14:textId="0DE3BE87" w:rsidR="0017192A" w:rsidRDefault="0017192A" w:rsidP="00A415E1"/>
    <w:tbl>
      <w:tblPr>
        <w:tblStyle w:val="TableGrid"/>
        <w:tblW w:w="0" w:type="auto"/>
        <w:tblLook w:val="04A0" w:firstRow="1" w:lastRow="0" w:firstColumn="1" w:lastColumn="0" w:noHBand="0" w:noVBand="1"/>
      </w:tblPr>
      <w:tblGrid>
        <w:gridCol w:w="10188"/>
      </w:tblGrid>
      <w:tr w:rsidR="00B73833" w14:paraId="4AA320F2" w14:textId="77777777" w:rsidTr="00B73833">
        <w:tc>
          <w:tcPr>
            <w:tcW w:w="10188" w:type="dxa"/>
          </w:tcPr>
          <w:p w14:paraId="7C17A81A" w14:textId="77777777" w:rsidR="00B73833" w:rsidRPr="00183296" w:rsidRDefault="00B73833" w:rsidP="00B73833">
            <w:pPr>
              <w:shd w:val="clear" w:color="auto" w:fill="FFFFFF"/>
              <w:rPr>
                <w:highlight w:val="green"/>
              </w:rPr>
            </w:pPr>
            <w:r w:rsidRPr="00183296">
              <w:rPr>
                <w:highlight w:val="green"/>
              </w:rPr>
              <w:t>Agreement </w:t>
            </w:r>
          </w:p>
          <w:p w14:paraId="2D41A6A7" w14:textId="360EFB24" w:rsidR="00B73833" w:rsidRDefault="00B73833">
            <w:r w:rsidRPr="00183296">
              <w:t xml:space="preserve">A UE </w:t>
            </w:r>
            <w:r>
              <w:t>can</w:t>
            </w:r>
            <w:r w:rsidRPr="00183296">
              <w:t xml:space="preserve"> be indicated and activated a single joint TCI state or a pair of UL/DL TCI state in the cell switch command.</w:t>
            </w:r>
          </w:p>
        </w:tc>
      </w:tr>
    </w:tbl>
    <w:p w14:paraId="7510FB09" w14:textId="77777777" w:rsidR="0017192A" w:rsidRDefault="0017192A" w:rsidP="00A415E1"/>
    <w:p w14:paraId="4448A74B" w14:textId="69D62F02" w:rsidR="00544119" w:rsidRDefault="00544119" w:rsidP="00A415E1">
      <w:r>
        <w:t xml:space="preserve">In RAN1#114 meeting, </w:t>
      </w:r>
      <w:r w:rsidR="00024E16">
        <w:t>further agreement is achieve</w:t>
      </w:r>
      <w:r w:rsidR="00E5341A">
        <w:t>d</w:t>
      </w:r>
      <w:r w:rsidR="00024E16">
        <w:t xml:space="preserve"> to clarify </w:t>
      </w:r>
      <w:r w:rsidR="00E5341A">
        <w:t xml:space="preserve">that </w:t>
      </w:r>
      <w:r w:rsidR="00024E16">
        <w:t>Alt1 allow</w:t>
      </w:r>
      <w:r w:rsidR="00E5341A">
        <w:t>s</w:t>
      </w:r>
      <w:r w:rsidR="00024E16">
        <w:t xml:space="preserve"> TCI states from more than one candidate cells can be activated before cell switch</w:t>
      </w:r>
    </w:p>
    <w:p w14:paraId="15F2A56D" w14:textId="18C102EB" w:rsidR="00024E16" w:rsidRDefault="00024E16" w:rsidP="00A415E1"/>
    <w:tbl>
      <w:tblPr>
        <w:tblStyle w:val="TableGrid"/>
        <w:tblW w:w="0" w:type="auto"/>
        <w:tblLook w:val="04A0" w:firstRow="1" w:lastRow="0" w:firstColumn="1" w:lastColumn="0" w:noHBand="0" w:noVBand="1"/>
      </w:tblPr>
      <w:tblGrid>
        <w:gridCol w:w="10188"/>
      </w:tblGrid>
      <w:tr w:rsidR="00024E16" w14:paraId="4AD4FE84" w14:textId="77777777" w:rsidTr="00024E16">
        <w:tc>
          <w:tcPr>
            <w:tcW w:w="10188" w:type="dxa"/>
          </w:tcPr>
          <w:p w14:paraId="6834F80D" w14:textId="77777777" w:rsidR="00024E16" w:rsidRDefault="00024E16" w:rsidP="00024E16">
            <w:pPr>
              <w:rPr>
                <w:rFonts w:eastAsia="DengXian"/>
                <w:highlight w:val="green"/>
              </w:rPr>
            </w:pPr>
            <w:r w:rsidRPr="00915AFB">
              <w:rPr>
                <w:rFonts w:eastAsia="DengXian"/>
                <w:highlight w:val="green"/>
              </w:rPr>
              <w:t>Agreement</w:t>
            </w:r>
          </w:p>
          <w:p w14:paraId="1CAA42E5" w14:textId="531CEC5A" w:rsidR="00024E16" w:rsidRDefault="00024E16" w:rsidP="00024E16">
            <w:r w:rsidRPr="006A037C">
              <w:t>TCI state activation by MAC CE before cell switch command for one or more than one candidate cells is allowed</w:t>
            </w:r>
          </w:p>
        </w:tc>
      </w:tr>
    </w:tbl>
    <w:p w14:paraId="3F99AD50" w14:textId="77777777" w:rsidR="00024E16" w:rsidRDefault="00024E16" w:rsidP="00A415E1"/>
    <w:p w14:paraId="70972C41" w14:textId="40B8E8D9" w:rsidR="00A3709C" w:rsidRDefault="00841FBF" w:rsidP="00A415E1">
      <w:r>
        <w:t xml:space="preserve">Based on current wording of Alt1 </w:t>
      </w:r>
      <w:r w:rsidR="00024E16">
        <w:t xml:space="preserve">and the clarification </w:t>
      </w:r>
      <w:r>
        <w:t>in the agreement</w:t>
      </w:r>
      <w:r w:rsidR="00E5341A">
        <w:t>s</w:t>
      </w:r>
      <w:r>
        <w:t>, it is not clear that whether more than one TCI state of a candidate</w:t>
      </w:r>
      <w:r w:rsidR="00CC3BE4">
        <w:t xml:space="preserve"> cell</w:t>
      </w:r>
      <w:r>
        <w:t xml:space="preserve"> can be activated before cell switch command reception. In addition, </w:t>
      </w:r>
      <w:r w:rsidR="0041507C">
        <w:t xml:space="preserve">the need to activate more than 1 TCI state of a candidate before cell switch is not clear since UE will only utilize one TCI state for DL reception after the cell switch. </w:t>
      </w:r>
      <w:r w:rsidR="00024E16">
        <w:t xml:space="preserve">To avoid overdesign </w:t>
      </w:r>
      <w:r w:rsidR="00421401">
        <w:t xml:space="preserve">of </w:t>
      </w:r>
      <w:r w:rsidR="00024E16">
        <w:t>TCI state activation mechanism for impra</w:t>
      </w:r>
      <w:r w:rsidR="0029411B">
        <w:t>c</w:t>
      </w:r>
      <w:r w:rsidR="00024E16">
        <w:t>tical use cases, we propose to allow only one activated TCI state per candidate cell before cell switch.</w:t>
      </w:r>
    </w:p>
    <w:p w14:paraId="1CEEA250" w14:textId="6C7604C9" w:rsidR="00F90491" w:rsidRDefault="00F90491" w:rsidP="00A415E1"/>
    <w:p w14:paraId="06A2854A" w14:textId="27E78FD2" w:rsidR="00F90491" w:rsidRDefault="00F90491" w:rsidP="00A415E1"/>
    <w:p w14:paraId="76566DC3" w14:textId="075F3490" w:rsidR="00A3709C" w:rsidRDefault="00A3709C" w:rsidP="00A3709C">
      <w:pPr>
        <w:pStyle w:val="Caption"/>
      </w:pPr>
      <w:bookmarkStart w:id="7" w:name="_Ref146750382"/>
      <w:r>
        <w:t xml:space="preserve">Proposal </w:t>
      </w:r>
      <w:fldSimple w:instr=" SEQ Proposal \* ARABIC ">
        <w:r w:rsidR="00AF5592">
          <w:rPr>
            <w:noProof/>
          </w:rPr>
          <w:t>5</w:t>
        </w:r>
      </w:fldSimple>
      <w:r>
        <w:t>:</w:t>
      </w:r>
      <w:r w:rsidRPr="00DF74F3">
        <w:t xml:space="preserve"> </w:t>
      </w:r>
      <w:r w:rsidRPr="00E02AA1">
        <w:rPr>
          <w:rFonts w:hint="eastAsia"/>
          <w:bCs w:val="0"/>
        </w:rPr>
        <w:t>For the Rel-17 unified TCI based beam indication in Rel-18 LTM</w:t>
      </w:r>
      <w:r>
        <w:rPr>
          <w:bCs w:val="0"/>
        </w:rPr>
        <w:t>, support only</w:t>
      </w:r>
      <w:r>
        <w:t xml:space="preserve"> one TCI states per candidate cell can be activated before cell switch command reception.</w:t>
      </w:r>
      <w:bookmarkEnd w:id="7"/>
    </w:p>
    <w:p w14:paraId="4DF82FF0" w14:textId="77777777" w:rsidR="00A3709C" w:rsidRDefault="00A3709C" w:rsidP="00A415E1"/>
    <w:p w14:paraId="65B05DA9" w14:textId="77777777" w:rsidR="00437F6B" w:rsidRDefault="00437F6B" w:rsidP="00A415E1"/>
    <w:p w14:paraId="539400FE" w14:textId="16F6DDB4" w:rsidR="00F90491" w:rsidRDefault="00F90491" w:rsidP="00A415E1"/>
    <w:p w14:paraId="17A3FD49" w14:textId="55F45F6A" w:rsidR="00F90491" w:rsidRDefault="00F90491" w:rsidP="00A415E1">
      <w:r>
        <w:t xml:space="preserve">Another open issue for the TCI state activation and beam indication of candidate cell is the QCL resource associated with the TCI state. Based on current spec, the TCI state used for reception of PDCCH and PDSCH should be QCL type-A with TRS. However, during initial cell search phase, the following </w:t>
      </w:r>
      <w:r w:rsidR="00BD56D7">
        <w:t xml:space="preserve">UE </w:t>
      </w:r>
      <w:r>
        <w:t>behavior</w:t>
      </w:r>
      <w:r w:rsidR="00BD56D7">
        <w:t xml:space="preserve"> using SSB as QCL source</w:t>
      </w:r>
      <w:r>
        <w:t xml:space="preserve"> is specified for PDCCH monitoring and MIB reception.</w:t>
      </w:r>
    </w:p>
    <w:tbl>
      <w:tblPr>
        <w:tblStyle w:val="TableGrid"/>
        <w:tblW w:w="0" w:type="auto"/>
        <w:tblLook w:val="04A0" w:firstRow="1" w:lastRow="0" w:firstColumn="1" w:lastColumn="0" w:noHBand="0" w:noVBand="1"/>
      </w:tblPr>
      <w:tblGrid>
        <w:gridCol w:w="10188"/>
      </w:tblGrid>
      <w:tr w:rsidR="00F90491" w14:paraId="1E9EAC25" w14:textId="77777777" w:rsidTr="00F90491">
        <w:tc>
          <w:tcPr>
            <w:tcW w:w="10188" w:type="dxa"/>
          </w:tcPr>
          <w:p w14:paraId="404ACA51" w14:textId="37D369E2" w:rsidR="00F90491" w:rsidRDefault="00F90491" w:rsidP="00F90491">
            <w:r>
              <w:t>TS 38.213 Clause 10.1</w:t>
            </w:r>
          </w:p>
          <w:p w14:paraId="4491D599" w14:textId="667D07C2" w:rsidR="00F90491" w:rsidRDefault="00F90491" w:rsidP="00F90491">
            <w:r>
              <w:t>…</w:t>
            </w:r>
          </w:p>
          <w:p w14:paraId="6909A798" w14:textId="70C49310" w:rsidR="00F90491" w:rsidRDefault="00F90491" w:rsidP="00F90491">
            <w:r w:rsidRPr="00E02AA1">
              <w:rPr>
                <w:b/>
                <w:bCs/>
              </w:rPr>
              <w:t xml:space="preserve">The UE may assume that the DM-RS antenna port associated with PDCCH receptions in the CORESET configured by </w:t>
            </w:r>
            <w:r w:rsidRPr="00E02AA1">
              <w:rPr>
                <w:b/>
                <w:bCs/>
                <w:i/>
              </w:rPr>
              <w:t>pdcch-ConfigSIB1</w:t>
            </w:r>
            <w:r w:rsidRPr="00E02AA1">
              <w:rPr>
                <w:b/>
                <w:bCs/>
              </w:rPr>
              <w:t xml:space="preserve"> </w:t>
            </w:r>
            <w:r w:rsidRPr="00E02AA1">
              <w:rPr>
                <w:rFonts w:eastAsia="MS Mincho"/>
                <w:b/>
                <w:bCs/>
              </w:rPr>
              <w:t xml:space="preserve">in </w:t>
            </w:r>
            <w:r w:rsidRPr="00E02AA1">
              <w:rPr>
                <w:b/>
                <w:bCs/>
                <w:i/>
              </w:rPr>
              <w:t>MIB</w:t>
            </w:r>
            <w:r w:rsidRPr="00E02AA1">
              <w:rPr>
                <w:b/>
                <w:bCs/>
                <w:iCs/>
              </w:rPr>
              <w:t>, the DM-RS antenna port associated with</w:t>
            </w:r>
            <w:r w:rsidRPr="00E02AA1">
              <w:rPr>
                <w:b/>
                <w:bCs/>
              </w:rPr>
              <w:t xml:space="preserve"> corresponding PDSCH receptions, and the corresponding SS/PBCH block are quasi co-located with respect to average gain, quasi co-location '</w:t>
            </w:r>
            <w:proofErr w:type="spellStart"/>
            <w:r w:rsidRPr="00E02AA1">
              <w:rPr>
                <w:b/>
                <w:bCs/>
              </w:rPr>
              <w:t>typeA</w:t>
            </w:r>
            <w:proofErr w:type="spellEnd"/>
            <w:r w:rsidRPr="00E02AA1">
              <w:rPr>
                <w:b/>
                <w:bCs/>
              </w:rPr>
              <w:t>' and '</w:t>
            </w:r>
            <w:proofErr w:type="spellStart"/>
            <w:r w:rsidRPr="00E02AA1">
              <w:rPr>
                <w:b/>
                <w:bCs/>
              </w:rPr>
              <w:t>typeD</w:t>
            </w:r>
            <w:proofErr w:type="spellEnd"/>
            <w:r w:rsidRPr="00E02AA1">
              <w:rPr>
                <w:b/>
                <w:bCs/>
              </w:rPr>
              <w:t>' properties, when applicable</w:t>
            </w:r>
            <w:r w:rsidRPr="00E02AA1">
              <w:rPr>
                <w:b/>
                <w:bCs/>
                <w:kern w:val="2"/>
              </w:rPr>
              <w:t xml:space="preserve"> </w:t>
            </w:r>
            <w:r w:rsidRPr="00E02AA1">
              <w:rPr>
                <w:b/>
                <w:bCs/>
                <w:kern w:val="2"/>
              </w:rPr>
              <w:lastRenderedPageBreak/>
              <w:t xml:space="preserve">[6, TS 38.214], if the UE is not provided a TCI state indicating </w:t>
            </w:r>
            <w:r w:rsidRPr="00E02AA1">
              <w:rPr>
                <w:b/>
                <w:bCs/>
              </w:rPr>
              <w:t>quasi co-location information of the DM-RS antenna port for PDCCH reception in the CORESET</w:t>
            </w:r>
            <w:r w:rsidRPr="00B916EC">
              <w:t>. The value for the DM</w:t>
            </w:r>
            <w:r>
              <w:t>-</w:t>
            </w:r>
            <w:r w:rsidRPr="00B916EC">
              <w:t>RS scrambling sequence initialization is the cell ID.</w:t>
            </w:r>
            <w:r>
              <w:t xml:space="preserve"> For operation without shared spectrum channel access</w:t>
            </w:r>
            <w:r w:rsidRPr="00B27E56">
              <w:t xml:space="preserve"> in FR1 and FR2-1</w:t>
            </w:r>
            <w:r>
              <w:t xml:space="preserve">, a SCS is provided by </w:t>
            </w:r>
            <w:proofErr w:type="spellStart"/>
            <w:r w:rsidRPr="00543F29">
              <w:rPr>
                <w:i/>
              </w:rPr>
              <w:t>subCarrierSpacingCommon</w:t>
            </w:r>
            <w:proofErr w:type="spellEnd"/>
            <w:r>
              <w:t xml:space="preserve"> </w:t>
            </w:r>
            <w:r>
              <w:rPr>
                <w:rFonts w:eastAsia="MS Mincho"/>
              </w:rPr>
              <w:t>in</w:t>
            </w:r>
            <w:r w:rsidRPr="00B916EC">
              <w:rPr>
                <w:rFonts w:eastAsia="MS Mincho"/>
              </w:rPr>
              <w:t xml:space="preserve"> </w:t>
            </w:r>
            <w:r>
              <w:rPr>
                <w:i/>
              </w:rPr>
              <w:t>MIB</w:t>
            </w:r>
            <w:r>
              <w:t xml:space="preserve">. For operation with shared spectrum channel access </w:t>
            </w:r>
            <w:r w:rsidRPr="00B27E56">
              <w:t>in FR1 and for operation in FR2-2</w:t>
            </w:r>
            <w:r>
              <w:t>, a SCS is same as the SCS of a corresponding SS/PBCH block.</w:t>
            </w:r>
          </w:p>
          <w:p w14:paraId="6B225188" w14:textId="77777777" w:rsidR="00F90491" w:rsidRDefault="00F90491" w:rsidP="00A415E1"/>
        </w:tc>
      </w:tr>
    </w:tbl>
    <w:p w14:paraId="5AE0701E" w14:textId="77777777" w:rsidR="00F90491" w:rsidRDefault="00F90491" w:rsidP="00A415E1"/>
    <w:p w14:paraId="75DAB524" w14:textId="52F503FC" w:rsidR="00BD56D7" w:rsidRDefault="00BD56D7" w:rsidP="00926617">
      <w:r>
        <w:t>Further, after BFR procedure, the following UE behavior using SSB as QCL source is specified for all DL reception.</w:t>
      </w:r>
    </w:p>
    <w:tbl>
      <w:tblPr>
        <w:tblStyle w:val="TableGrid"/>
        <w:tblW w:w="0" w:type="auto"/>
        <w:tblLook w:val="04A0" w:firstRow="1" w:lastRow="0" w:firstColumn="1" w:lastColumn="0" w:noHBand="0" w:noVBand="1"/>
      </w:tblPr>
      <w:tblGrid>
        <w:gridCol w:w="10188"/>
      </w:tblGrid>
      <w:tr w:rsidR="00BD56D7" w14:paraId="06B4154E" w14:textId="77777777" w:rsidTr="00BD56D7">
        <w:tc>
          <w:tcPr>
            <w:tcW w:w="10188" w:type="dxa"/>
          </w:tcPr>
          <w:p w14:paraId="3B726CA4" w14:textId="77777777" w:rsidR="00BD56D7" w:rsidRDefault="00BD56D7" w:rsidP="00BD56D7">
            <w:pPr>
              <w:tabs>
                <w:tab w:val="left" w:pos="2116"/>
              </w:tabs>
              <w:rPr>
                <w:iCs/>
              </w:rPr>
            </w:pPr>
          </w:p>
          <w:p w14:paraId="47E12E57" w14:textId="3ADC95FA" w:rsidR="00BD56D7" w:rsidRPr="00F415B1" w:rsidRDefault="00BD56D7" w:rsidP="00BD56D7">
            <w:pPr>
              <w:tabs>
                <w:tab w:val="left" w:pos="2116"/>
              </w:tabs>
            </w:pPr>
            <w:r w:rsidRPr="00F415B1">
              <w:rPr>
                <w:iCs/>
              </w:rPr>
              <w:t xml:space="preserve">If a UE is provided </w:t>
            </w:r>
            <w:r>
              <w:rPr>
                <w:rFonts w:cs="Times"/>
                <w:i/>
                <w:szCs w:val="18"/>
              </w:rPr>
              <w:t>dl-</w:t>
            </w:r>
            <w:proofErr w:type="spellStart"/>
            <w:r>
              <w:rPr>
                <w:rFonts w:cs="Times"/>
                <w:i/>
                <w:szCs w:val="18"/>
              </w:rPr>
              <w:t>OrJoint</w:t>
            </w:r>
            <w:r w:rsidRPr="00997ADD">
              <w:rPr>
                <w:rFonts w:cs="Times"/>
                <w:i/>
                <w:szCs w:val="18"/>
              </w:rPr>
              <w:t>TCI</w:t>
            </w:r>
            <w:proofErr w:type="spellEnd"/>
            <w:r>
              <w:rPr>
                <w:rFonts w:cs="Times"/>
                <w:i/>
                <w:szCs w:val="18"/>
              </w:rPr>
              <w:t>-</w:t>
            </w:r>
            <w:proofErr w:type="spellStart"/>
            <w:r w:rsidRPr="00997ADD">
              <w:rPr>
                <w:rFonts w:cs="Times"/>
                <w:i/>
                <w:szCs w:val="18"/>
              </w:rPr>
              <w:t>StateList</w:t>
            </w:r>
            <w:proofErr w:type="spellEnd"/>
            <w:r>
              <w:rPr>
                <w:rFonts w:cs="Times"/>
                <w:iCs/>
                <w:szCs w:val="18"/>
              </w:rPr>
              <w:t xml:space="preserve"> </w:t>
            </w:r>
            <w:r w:rsidRPr="00037243">
              <w:rPr>
                <w:rFonts w:cs="Times"/>
                <w:iCs/>
                <w:szCs w:val="18"/>
              </w:rPr>
              <w:t>or</w:t>
            </w:r>
            <w:r w:rsidRPr="00037243">
              <w:t xml:space="preserve"> </w:t>
            </w:r>
            <w:r w:rsidRPr="00980D55">
              <w:rPr>
                <w:i/>
                <w:iCs/>
              </w:rPr>
              <w:t>TCI-UL-State</w:t>
            </w:r>
            <w:r>
              <w:rPr>
                <w:iCs/>
              </w:rPr>
              <w:t xml:space="preserve"> </w:t>
            </w:r>
            <w:r w:rsidRPr="00F415B1">
              <w:rPr>
                <w:iCs/>
              </w:rPr>
              <w:t xml:space="preserve">indicating a unified TCI state for the </w:t>
            </w:r>
            <w:proofErr w:type="spellStart"/>
            <w:r w:rsidRPr="00F415B1">
              <w:rPr>
                <w:iCs/>
              </w:rPr>
              <w:t>PCell</w:t>
            </w:r>
            <w:proofErr w:type="spellEnd"/>
            <w:r w:rsidRPr="00F415B1">
              <w:rPr>
                <w:iCs/>
              </w:rPr>
              <w:t xml:space="preserve"> or the </w:t>
            </w:r>
            <w:proofErr w:type="spellStart"/>
            <w:r w:rsidRPr="00F415B1">
              <w:rPr>
                <w:iCs/>
              </w:rPr>
              <w:t>PSCell</w:t>
            </w:r>
            <w:proofErr w:type="spellEnd"/>
            <w:r w:rsidRPr="00F415B1">
              <w:rPr>
                <w:iCs/>
              </w:rPr>
              <w:t xml:space="preserve"> [6, TS 38.214]</w:t>
            </w:r>
            <w:r>
              <w:rPr>
                <w:iCs/>
              </w:rPr>
              <w:t xml:space="preserve">, </w:t>
            </w:r>
            <w:r w:rsidRPr="00F415B1">
              <w:rPr>
                <w:iCs/>
              </w:rPr>
              <w:t xml:space="preserve">after </w:t>
            </w:r>
            <w:r>
              <w:rPr>
                <w:iCs/>
              </w:rPr>
              <w:t>28</w:t>
            </w:r>
            <w:r w:rsidRPr="00F415B1">
              <w:rPr>
                <w:iCs/>
              </w:rPr>
              <w:t xml:space="preserve"> symbols from a last symbol of </w:t>
            </w:r>
            <w:r w:rsidRPr="00F415B1">
              <w:t xml:space="preserve">a first PDCCH reception in a search space set provided by </w:t>
            </w:r>
            <w:proofErr w:type="spellStart"/>
            <w:r w:rsidRPr="00F415B1">
              <w:rPr>
                <w:i/>
                <w:iCs/>
              </w:rPr>
              <w:t>recoverySearchSpaceId</w:t>
            </w:r>
            <w:proofErr w:type="spellEnd"/>
            <w:r w:rsidRPr="00F415B1">
              <w:rPr>
                <w:iCs/>
              </w:rPr>
              <w:t xml:space="preserve"> </w:t>
            </w:r>
            <w:r w:rsidRPr="00F415B1">
              <w:t>where the UE detects a DCI format with CRC scrambled by C-RNTI or MCS-C-RNTI, the UE</w:t>
            </w:r>
          </w:p>
          <w:p w14:paraId="24BB8B96" w14:textId="77777777" w:rsidR="00BD56D7" w:rsidRPr="00F415B1" w:rsidRDefault="00BD56D7" w:rsidP="00BD56D7">
            <w:pPr>
              <w:pStyle w:val="B1"/>
              <w:rPr>
                <w:iCs/>
              </w:rPr>
            </w:pPr>
            <w:r>
              <w:t>-</w:t>
            </w:r>
            <w:r>
              <w:tab/>
              <w:t xml:space="preserve">if </w:t>
            </w:r>
            <w:r w:rsidRPr="009559F5">
              <w:rPr>
                <w:i/>
                <w:szCs w:val="22"/>
                <w:lang w:eastAsia="sv-SE"/>
              </w:rPr>
              <w:t>SSB-MTC-</w:t>
            </w:r>
            <w:proofErr w:type="spellStart"/>
            <w:r w:rsidRPr="009559F5">
              <w:rPr>
                <w:i/>
                <w:szCs w:val="22"/>
                <w:lang w:eastAsia="sv-SE"/>
              </w:rPr>
              <w:t>AdditionalPCI</w:t>
            </w:r>
            <w:proofErr w:type="spellEnd"/>
            <w:r>
              <w:t xml:space="preserve"> is not provided, </w:t>
            </w:r>
            <w:r w:rsidRPr="00F415B1">
              <w:t>monitors PDCCH in all CORESETs, and receives PDSCH and aperiodic CSI-RS resource in a CSI-RS resource set</w:t>
            </w:r>
            <w:r>
              <w:t xml:space="preserve"> with same indicated TCI state as for the PDCCH and PDSCH</w:t>
            </w:r>
            <w:r w:rsidRPr="00F415B1">
              <w:t xml:space="preserve">, using the </w:t>
            </w:r>
            <w:r w:rsidRPr="00F415B1">
              <w:rPr>
                <w:iCs/>
                <w:lang w:eastAsia="ja-JP"/>
              </w:rPr>
              <w:t xml:space="preserve">same antenna port quasi co-location parameters as the ones associated with the corresponding index </w:t>
            </w:r>
            <m:oMath>
              <m:sSub>
                <m:sSubPr>
                  <m:ctrlPr>
                    <w:rPr>
                      <w:rFonts w:ascii="Cambria Math" w:hAnsi="Cambria Math"/>
                      <w:i/>
                      <w:iCs/>
                    </w:rPr>
                  </m:ctrlPr>
                </m:sSubPr>
                <m:e>
                  <m:r>
                    <w:rPr>
                      <w:rFonts w:ascii="Cambria Math"/>
                    </w:rPr>
                    <m:t>q</m:t>
                  </m:r>
                </m:e>
                <m:sub>
                  <m:r>
                    <m:rPr>
                      <m:nor/>
                    </m:rPr>
                    <w:rPr>
                      <w:rFonts w:ascii="Cambria Math"/>
                      <w:iCs/>
                    </w:rPr>
                    <m:t>new</m:t>
                  </m:r>
                  <m:ctrlPr>
                    <w:rPr>
                      <w:rFonts w:ascii="Cambria Math" w:hAnsi="Cambria Math"/>
                      <w:iCs/>
                    </w:rPr>
                  </m:ctrlPr>
                </m:sub>
              </m:sSub>
            </m:oMath>
            <w:r w:rsidRPr="00F415B1">
              <w:rPr>
                <w:iCs/>
              </w:rPr>
              <w:t>, if any</w:t>
            </w:r>
          </w:p>
          <w:p w14:paraId="04D8A810" w14:textId="77777777" w:rsidR="00BD56D7" w:rsidRDefault="00BD56D7" w:rsidP="00926617"/>
        </w:tc>
      </w:tr>
    </w:tbl>
    <w:p w14:paraId="4138CA37" w14:textId="77777777" w:rsidR="00BD56D7" w:rsidRDefault="00BD56D7" w:rsidP="00926617"/>
    <w:p w14:paraId="7A82CAF3" w14:textId="0132226D" w:rsidR="00E5341A" w:rsidRDefault="00BD56D7">
      <w:r>
        <w:t xml:space="preserve">Similarly, for Rel-18 LTM, the same mechanism can be reused and the TCI state in the beam indication of candidate cell can </w:t>
      </w:r>
      <w:r w:rsidR="00001DBE">
        <w:t>indicate</w:t>
      </w:r>
      <w:r>
        <w:t xml:space="preserve"> candidate cell SSB</w:t>
      </w:r>
      <w:r w:rsidR="00001DBE">
        <w:t xml:space="preserve"> as QCL source</w:t>
      </w:r>
      <w:r>
        <w:t xml:space="preserve">. </w:t>
      </w:r>
      <w:r w:rsidR="00CC3BE4">
        <w:t xml:space="preserve">That is, SSB can be configured as QCL source of a TCI </w:t>
      </w:r>
      <w:r w:rsidR="00CC3BE4" w:rsidRPr="00CC3BE4">
        <w:t>state</w:t>
      </w:r>
      <w:r w:rsidR="00CC3BE4">
        <w:t xml:space="preserve"> used to receive PDCCH/PDSCH after cell switch. </w:t>
      </w:r>
      <w:r w:rsidR="003657F7" w:rsidRPr="00CC3BE4">
        <w:t>Alternatively</w:t>
      </w:r>
      <w:r w:rsidR="003657F7">
        <w:t xml:space="preserve">, the TCI state in the beam indication of candidate cell can </w:t>
      </w:r>
      <w:r w:rsidR="00001DBE">
        <w:t xml:space="preserve">indicate </w:t>
      </w:r>
      <w:r w:rsidR="003657F7">
        <w:t xml:space="preserve">candidate cell TRS </w:t>
      </w:r>
      <w:r w:rsidR="00001DBE">
        <w:t xml:space="preserve">as QCL source </w:t>
      </w:r>
      <w:r w:rsidR="003657F7">
        <w:t>to minimize the spec impact</w:t>
      </w:r>
      <w:r w:rsidR="007C447E">
        <w:t xml:space="preserve"> with the potential cell switching delay if the indicated TCI state is not activated before cell switch.</w:t>
      </w:r>
    </w:p>
    <w:p w14:paraId="477BFE30" w14:textId="0EE4FA02" w:rsidR="00E5341A" w:rsidRDefault="00E5341A"/>
    <w:p w14:paraId="0157C924" w14:textId="6C5C38E0" w:rsidR="00E5341A" w:rsidRDefault="00E5341A">
      <w:r>
        <w:t xml:space="preserve">Regarding the RS in the TCI state </w:t>
      </w:r>
      <w:r w:rsidR="00C154E0">
        <w:t xml:space="preserve">of a candidate cell </w:t>
      </w:r>
      <w:r>
        <w:t>before cell swi</w:t>
      </w:r>
      <w:r w:rsidR="00C154E0">
        <w:t xml:space="preserve">tch, it is agreed that both SSB and TRS can be configured as RS of a TCI state. On the other hand, RAN1 also concluded that there is no consensus to support TRS tracking for candidate cell. Based on current RAN1 discussion, UE behavior is not clear </w:t>
      </w:r>
      <w:r w:rsidR="00C154E0" w:rsidRPr="00C154E0">
        <w:t>when TRS is configured in a TCI state and the TCI state is activated before cell switch</w:t>
      </w:r>
      <w:r w:rsidR="00C154E0">
        <w:t>. To reflect current discussion and minimize specification impact, we propose to leave the UE behavior up to implementation.</w:t>
      </w:r>
    </w:p>
    <w:p w14:paraId="737CEEEE" w14:textId="02F06470" w:rsidR="00E5341A" w:rsidRDefault="00E5341A"/>
    <w:p w14:paraId="5B49C539" w14:textId="7850C28D" w:rsidR="008546A5" w:rsidRDefault="008546A5" w:rsidP="008546A5">
      <w:pPr>
        <w:pStyle w:val="Caption"/>
      </w:pPr>
      <w:bookmarkStart w:id="8" w:name="_Ref146750395"/>
      <w:r>
        <w:t xml:space="preserve">Proposal </w:t>
      </w:r>
      <w:r w:rsidR="00F5034C">
        <w:fldChar w:fldCharType="begin"/>
      </w:r>
      <w:r w:rsidR="00F5034C">
        <w:instrText xml:space="preserve"> SEQ Proposal \* ARABIC </w:instrText>
      </w:r>
      <w:r w:rsidR="00F5034C">
        <w:fldChar w:fldCharType="separate"/>
      </w:r>
      <w:r w:rsidR="00AF5592">
        <w:rPr>
          <w:noProof/>
        </w:rPr>
        <w:t>6</w:t>
      </w:r>
      <w:r w:rsidR="00F5034C">
        <w:rPr>
          <w:noProof/>
        </w:rPr>
        <w:fldChar w:fldCharType="end"/>
      </w:r>
      <w:r>
        <w:t>:</w:t>
      </w:r>
      <w:r w:rsidRPr="00DF74F3">
        <w:t xml:space="preserve"> </w:t>
      </w:r>
      <w:r>
        <w:t xml:space="preserve">For Rel-18 L1/L2 mobility, when SSB </w:t>
      </w:r>
      <w:r w:rsidRPr="008546A5">
        <w:t>is configured in the TCI state indicated in cell switch command</w:t>
      </w:r>
      <w:r>
        <w:t>,</w:t>
      </w:r>
      <w:r w:rsidRPr="00C154E0">
        <w:t xml:space="preserve"> </w:t>
      </w:r>
      <w:r>
        <w:t>the indicated TCI state</w:t>
      </w:r>
      <w:r w:rsidRPr="009F2F17">
        <w:t xml:space="preserve"> applies to signals/channels that follow or are configured to follow Rel-17 unified TCI at the target cell(s)</w:t>
      </w:r>
      <w:r>
        <w:t xml:space="preserve"> </w:t>
      </w:r>
      <w:r w:rsidR="000D52C0">
        <w:t>before</w:t>
      </w:r>
      <w:r>
        <w:t xml:space="preserve"> a new TCI state for target cell is indicated.</w:t>
      </w:r>
      <w:bookmarkEnd w:id="8"/>
    </w:p>
    <w:p w14:paraId="3EA5B2D1" w14:textId="77777777" w:rsidR="008546A5" w:rsidRDefault="008546A5"/>
    <w:p w14:paraId="3E335893" w14:textId="2AB37B93" w:rsidR="00C154E0" w:rsidRDefault="00C154E0" w:rsidP="00C154E0">
      <w:pPr>
        <w:pStyle w:val="Caption"/>
      </w:pPr>
      <w:bookmarkStart w:id="9" w:name="_Ref146750403"/>
      <w:r>
        <w:t xml:space="preserve">Proposal </w:t>
      </w:r>
      <w:r w:rsidR="00F5034C">
        <w:fldChar w:fldCharType="begin"/>
      </w:r>
      <w:r w:rsidR="00F5034C">
        <w:instrText xml:space="preserve"> SEQ Proposal \* ARABIC </w:instrText>
      </w:r>
      <w:r w:rsidR="00F5034C">
        <w:fldChar w:fldCharType="separate"/>
      </w:r>
      <w:r w:rsidR="00AF5592">
        <w:rPr>
          <w:noProof/>
        </w:rPr>
        <w:t>7</w:t>
      </w:r>
      <w:r w:rsidR="00F5034C">
        <w:rPr>
          <w:noProof/>
        </w:rPr>
        <w:fldChar w:fldCharType="end"/>
      </w:r>
      <w:r>
        <w:t>:</w:t>
      </w:r>
      <w:r w:rsidRPr="00DF74F3">
        <w:t xml:space="preserve"> </w:t>
      </w:r>
      <w:r>
        <w:t>For Rel-18 L1/L2 mobility, when candidate cell TRS is configured in a TCI state and the TCI state is activated before reception of cell switch command,</w:t>
      </w:r>
      <w:r w:rsidRPr="00C154E0">
        <w:t xml:space="preserve"> UE is not required to track </w:t>
      </w:r>
      <w:r>
        <w:t xml:space="preserve">the </w:t>
      </w:r>
      <w:r w:rsidRPr="00C154E0">
        <w:t xml:space="preserve">candidate cell TRS </w:t>
      </w:r>
      <w:r w:rsidR="000708BD">
        <w:t xml:space="preserve">before cell switch </w:t>
      </w:r>
      <w:r w:rsidRPr="00C154E0">
        <w:t xml:space="preserve">and how UE utilizes the TRS </w:t>
      </w:r>
      <w:r w:rsidR="000708BD">
        <w:t xml:space="preserve">before cell switch </w:t>
      </w:r>
      <w:r w:rsidRPr="00C154E0">
        <w:t>is up to UE implementation</w:t>
      </w:r>
      <w:bookmarkEnd w:id="9"/>
    </w:p>
    <w:p w14:paraId="0EDABFEC" w14:textId="79018477" w:rsidR="000D52C0" w:rsidRDefault="000D52C0" w:rsidP="000D52C0"/>
    <w:p w14:paraId="26BE6B9F" w14:textId="13BE2217" w:rsidR="000D52C0" w:rsidRDefault="000D52C0" w:rsidP="000D52C0">
      <w:pPr>
        <w:pStyle w:val="Caption"/>
      </w:pPr>
      <w:bookmarkStart w:id="10" w:name="_Ref146750410"/>
      <w:r>
        <w:t xml:space="preserve">Proposal </w:t>
      </w:r>
      <w:fldSimple w:instr=" SEQ Proposal \* ARABIC ">
        <w:r w:rsidR="00AF5592">
          <w:rPr>
            <w:noProof/>
          </w:rPr>
          <w:t>8</w:t>
        </w:r>
      </w:fldSimple>
      <w:r>
        <w:t>:</w:t>
      </w:r>
      <w:r w:rsidRPr="00DF74F3">
        <w:t xml:space="preserve"> </w:t>
      </w:r>
      <w:r>
        <w:t xml:space="preserve">For Rel-18 L1/L2 mobility, </w:t>
      </w:r>
      <w:r w:rsidR="004C3C8D">
        <w:t xml:space="preserve">it is allowed </w:t>
      </w:r>
      <w:r>
        <w:t>to configure TRS</w:t>
      </w:r>
      <w:r w:rsidRPr="008546A5">
        <w:t xml:space="preserve"> in </w:t>
      </w:r>
      <w:r w:rsidR="004C3C8D">
        <w:t>the</w:t>
      </w:r>
      <w:r w:rsidRPr="008546A5">
        <w:t xml:space="preserve"> TCI state indicated in cell switch command</w:t>
      </w:r>
      <w:r w:rsidR="00AF5592">
        <w:t xml:space="preserve"> without activating the TCI state before cell switch</w:t>
      </w:r>
      <w:r>
        <w:t>.</w:t>
      </w:r>
      <w:bookmarkEnd w:id="10"/>
    </w:p>
    <w:p w14:paraId="4A43D13A" w14:textId="77777777" w:rsidR="000D52C0" w:rsidRPr="000D52C0" w:rsidRDefault="000D52C0" w:rsidP="00583C55"/>
    <w:p w14:paraId="3C2DA583" w14:textId="77777777" w:rsidR="00C154E0" w:rsidRDefault="00C154E0"/>
    <w:tbl>
      <w:tblPr>
        <w:tblStyle w:val="TableGrid"/>
        <w:tblW w:w="0" w:type="auto"/>
        <w:tblLook w:val="04A0" w:firstRow="1" w:lastRow="0" w:firstColumn="1" w:lastColumn="0" w:noHBand="0" w:noVBand="1"/>
      </w:tblPr>
      <w:tblGrid>
        <w:gridCol w:w="10188"/>
      </w:tblGrid>
      <w:tr w:rsidR="00E5341A" w14:paraId="06D0ED14" w14:textId="77777777" w:rsidTr="00E5341A">
        <w:tc>
          <w:tcPr>
            <w:tcW w:w="10188" w:type="dxa"/>
          </w:tcPr>
          <w:p w14:paraId="1823DE1A" w14:textId="77777777" w:rsidR="00E5341A" w:rsidRPr="00430C6D" w:rsidRDefault="00E5341A" w:rsidP="00E5341A">
            <w:pPr>
              <w:rPr>
                <w:highlight w:val="green"/>
              </w:rPr>
            </w:pPr>
            <w:r w:rsidRPr="00430C6D">
              <w:rPr>
                <w:b/>
                <w:bCs/>
                <w:highlight w:val="green"/>
              </w:rPr>
              <w:t>Agreement</w:t>
            </w:r>
          </w:p>
          <w:p w14:paraId="330C4A03" w14:textId="77777777" w:rsidR="00E5341A" w:rsidRDefault="00E5341A" w:rsidP="00E5341A">
            <w:r>
              <w:t xml:space="preserve">In R18 LTM, on the QCL source of the TCI state before/during the cell switch command, </w:t>
            </w:r>
          </w:p>
          <w:p w14:paraId="79802243" w14:textId="77777777" w:rsidR="00E5341A" w:rsidRPr="00C922E0" w:rsidRDefault="00E5341A" w:rsidP="00E5341A">
            <w:pPr>
              <w:pStyle w:val="ListParagraph"/>
              <w:numPr>
                <w:ilvl w:val="0"/>
                <w:numId w:val="24"/>
              </w:numPr>
              <w:snapToGrid w:val="0"/>
              <w:spacing w:after="100" w:afterAutospacing="1"/>
              <w:contextualSpacing w:val="0"/>
            </w:pPr>
            <w:r w:rsidRPr="00C922E0">
              <w:lastRenderedPageBreak/>
              <w:t>SSB or TRS can be configured in a TCI state for the candidate cell(s) before/during cell switch command</w:t>
            </w:r>
          </w:p>
          <w:p w14:paraId="43AF67FD" w14:textId="77777777" w:rsidR="00E5341A" w:rsidRPr="00C922E0" w:rsidRDefault="00E5341A" w:rsidP="00E5341A">
            <w:pPr>
              <w:pStyle w:val="ListParagraph"/>
              <w:numPr>
                <w:ilvl w:val="1"/>
                <w:numId w:val="24"/>
              </w:numPr>
              <w:snapToGrid w:val="0"/>
              <w:spacing w:after="100" w:afterAutospacing="1"/>
              <w:contextualSpacing w:val="0"/>
            </w:pPr>
            <w:r w:rsidRPr="00C922E0">
              <w:t>Whether the TRS can be used for the candidate cell(s) before/during cell switch command is up to UE capability</w:t>
            </w:r>
          </w:p>
          <w:p w14:paraId="62FC5EE2" w14:textId="77777777" w:rsidR="00E5341A" w:rsidRDefault="00E5341A"/>
        </w:tc>
      </w:tr>
    </w:tbl>
    <w:p w14:paraId="166F1327" w14:textId="77777777" w:rsidR="00E5341A" w:rsidRDefault="00E5341A"/>
    <w:p w14:paraId="4E3BDB1A" w14:textId="77777777" w:rsidR="003657F7" w:rsidRDefault="003657F7" w:rsidP="00A415E1"/>
    <w:tbl>
      <w:tblPr>
        <w:tblStyle w:val="TableGrid"/>
        <w:tblW w:w="0" w:type="auto"/>
        <w:tblLook w:val="04A0" w:firstRow="1" w:lastRow="0" w:firstColumn="1" w:lastColumn="0" w:noHBand="0" w:noVBand="1"/>
      </w:tblPr>
      <w:tblGrid>
        <w:gridCol w:w="10188"/>
      </w:tblGrid>
      <w:tr w:rsidR="003657F7" w14:paraId="51EDFF45" w14:textId="77777777" w:rsidTr="003657F7">
        <w:tc>
          <w:tcPr>
            <w:tcW w:w="10188" w:type="dxa"/>
          </w:tcPr>
          <w:p w14:paraId="16526AD1" w14:textId="77777777" w:rsidR="003657F7" w:rsidRPr="0058456A" w:rsidRDefault="003657F7" w:rsidP="003657F7">
            <w:r w:rsidRPr="0058456A">
              <w:rPr>
                <w:b/>
                <w:bCs/>
              </w:rPr>
              <w:t>Conclusion</w:t>
            </w:r>
          </w:p>
          <w:p w14:paraId="72D89BB4" w14:textId="77777777" w:rsidR="003657F7" w:rsidRPr="003822F3" w:rsidRDefault="003657F7" w:rsidP="003657F7">
            <w:r w:rsidRPr="003822F3">
              <w:t>There is no consensus</w:t>
            </w:r>
            <w:r>
              <w:t xml:space="preserve"> to</w:t>
            </w:r>
            <w:r w:rsidRPr="003822F3">
              <w:t> </w:t>
            </w:r>
            <w:r>
              <w:t xml:space="preserve">introduce additional mechanism </w:t>
            </w:r>
            <w:r w:rsidRPr="003822F3">
              <w:t xml:space="preserve">to </w:t>
            </w:r>
            <w:r>
              <w:t>support</w:t>
            </w:r>
            <w:r w:rsidRPr="003822F3">
              <w:t xml:space="preserve"> the following procedures prior to</w:t>
            </w:r>
            <w:r>
              <w:t xml:space="preserve"> and joint</w:t>
            </w:r>
            <w:r w:rsidRPr="003822F3">
              <w:t xml:space="preserve"> </w:t>
            </w:r>
            <w:r>
              <w:t xml:space="preserve">with </w:t>
            </w:r>
            <w:r w:rsidRPr="003822F3">
              <w:t>the reception of L1/L2 cell switch command aiming at the reduction of handover delay/interruption in Rel-18 LTM</w:t>
            </w:r>
          </w:p>
          <w:p w14:paraId="7ADA490A" w14:textId="77777777" w:rsidR="003657F7" w:rsidRDefault="003657F7" w:rsidP="003657F7">
            <w:r w:rsidRPr="003822F3">
              <w:t xml:space="preserve">-        TRS tracking for candidate cells </w:t>
            </w:r>
          </w:p>
          <w:p w14:paraId="23310031" w14:textId="77777777" w:rsidR="003657F7" w:rsidRDefault="003657F7" w:rsidP="003657F7">
            <w:r w:rsidRPr="00FE4CCE">
              <w:t>FFS: </w:t>
            </w:r>
            <w:r>
              <w:t>Whether/</w:t>
            </w:r>
            <w:r w:rsidRPr="00FE4CCE">
              <w:t>How the QCL reference information of TCI states of the candidate cell should be mapped to the source SSB</w:t>
            </w:r>
          </w:p>
          <w:p w14:paraId="29E11F82" w14:textId="77777777" w:rsidR="003657F7" w:rsidRPr="00FE4CCE" w:rsidRDefault="003657F7" w:rsidP="003657F7">
            <w:r w:rsidRPr="00FE4CCE">
              <w:t xml:space="preserve">Note: At least for the candidate cells which are current serving cells, TRS tracking prior to cell switch command </w:t>
            </w:r>
            <w:r>
              <w:t>is</w:t>
            </w:r>
            <w:r w:rsidRPr="00FE4CCE">
              <w:t xml:space="preserve"> supported</w:t>
            </w:r>
          </w:p>
          <w:p w14:paraId="50907BE6" w14:textId="77777777" w:rsidR="003657F7" w:rsidRDefault="003657F7" w:rsidP="00A415E1"/>
        </w:tc>
      </w:tr>
    </w:tbl>
    <w:p w14:paraId="6021FDAD" w14:textId="105C4F83" w:rsidR="00F90491" w:rsidRDefault="003657F7" w:rsidP="00A415E1">
      <w:r>
        <w:t xml:space="preserve"> </w:t>
      </w:r>
    </w:p>
    <w:p w14:paraId="5AADB8D4" w14:textId="5400FD14" w:rsidR="00BD56D7" w:rsidRDefault="00BD56D7" w:rsidP="00A415E1"/>
    <w:p w14:paraId="7C528C99" w14:textId="77777777" w:rsidR="00794A6A" w:rsidRPr="00561DA8" w:rsidRDefault="00794A6A" w:rsidP="00926617">
      <w:pPr>
        <w:rPr>
          <w:u w:val="single"/>
        </w:rPr>
      </w:pPr>
    </w:p>
    <w:p w14:paraId="387DBC0E" w14:textId="77777777" w:rsidR="00926617" w:rsidRPr="00926617" w:rsidRDefault="00926617" w:rsidP="00926617"/>
    <w:p w14:paraId="04799358" w14:textId="77777777" w:rsidR="00FD3E20" w:rsidRPr="000D5DFA"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Conclusion</w:t>
      </w:r>
    </w:p>
    <w:p w14:paraId="74EC4488" w14:textId="4DC60DD2" w:rsidR="001B6935" w:rsidRDefault="00372849" w:rsidP="00FD3E20">
      <w:pPr>
        <w:spacing w:afterLines="50" w:after="120"/>
        <w:rPr>
          <w:b/>
          <w:bCs/>
        </w:rPr>
      </w:pPr>
      <w:r w:rsidRPr="00D528A5">
        <w:rPr>
          <w:b/>
          <w:bCs/>
        </w:rPr>
        <w:t>In summary, we have the following proposals.</w:t>
      </w:r>
    </w:p>
    <w:p w14:paraId="33673B57" w14:textId="77777777" w:rsidR="008F428F" w:rsidRPr="0079105B" w:rsidRDefault="008F428F" w:rsidP="00FD3E20">
      <w:pPr>
        <w:spacing w:afterLines="50" w:after="120"/>
        <w:rPr>
          <w:b/>
          <w:bCs/>
        </w:rPr>
      </w:pPr>
    </w:p>
    <w:p w14:paraId="508BCDF3" w14:textId="2441E83B" w:rsidR="0079105B" w:rsidRPr="006466E6" w:rsidRDefault="008F428F" w:rsidP="00FD3E20">
      <w:pPr>
        <w:spacing w:afterLines="50" w:after="120"/>
        <w:rPr>
          <w:b/>
          <w:bCs/>
        </w:rPr>
      </w:pPr>
      <w:r w:rsidRPr="00E02AA1">
        <w:rPr>
          <w:b/>
          <w:bCs/>
        </w:rPr>
        <w:fldChar w:fldCharType="begin"/>
      </w:r>
      <w:r w:rsidRPr="00E02AA1">
        <w:rPr>
          <w:b/>
          <w:bCs/>
        </w:rPr>
        <w:instrText xml:space="preserve"> REF _Ref134795818 \h </w:instrText>
      </w:r>
      <w:r w:rsidR="002518D2" w:rsidRPr="00E02AA1">
        <w:rPr>
          <w:b/>
          <w:bCs/>
        </w:rPr>
        <w:instrText xml:space="preserve"> \* MERGEFORMAT </w:instrText>
      </w:r>
      <w:r w:rsidRPr="00E02AA1">
        <w:rPr>
          <w:b/>
          <w:bCs/>
        </w:rPr>
      </w:r>
      <w:r w:rsidRPr="00E02AA1">
        <w:rPr>
          <w:b/>
          <w:bCs/>
        </w:rPr>
        <w:fldChar w:fldCharType="separate"/>
      </w:r>
      <w:r w:rsidR="00AF5592" w:rsidRPr="00583C55">
        <w:rPr>
          <w:b/>
          <w:bCs/>
        </w:rPr>
        <w:t xml:space="preserve">Proposal </w:t>
      </w:r>
      <w:r w:rsidR="00AF5592" w:rsidRPr="00583C55">
        <w:rPr>
          <w:b/>
          <w:bCs/>
          <w:noProof/>
        </w:rPr>
        <w:t>1</w:t>
      </w:r>
      <w:r w:rsidR="00AF5592" w:rsidRPr="00583C55">
        <w:rPr>
          <w:b/>
          <w:bCs/>
        </w:rPr>
        <w:t xml:space="preserve">: For Rel-18 L1/L2 mobility, UE deactivates all active TCI states for LTM other than the indicated TCI </w:t>
      </w:r>
      <w:r w:rsidR="00AF5592" w:rsidRPr="00583C55">
        <w:rPr>
          <w:b/>
          <w:bCs/>
          <w:noProof/>
        </w:rPr>
        <w:t>state</w:t>
      </w:r>
      <w:r w:rsidR="00AF5592" w:rsidRPr="00583C55">
        <w:rPr>
          <w:b/>
          <w:bCs/>
        </w:rPr>
        <w:t xml:space="preserve"> in a cell switch command after the reception of </w:t>
      </w:r>
      <w:r w:rsidR="00AF5592" w:rsidRPr="00583C55">
        <w:rPr>
          <w:b/>
          <w:bCs/>
          <w:noProof/>
        </w:rPr>
        <w:t>the</w:t>
      </w:r>
      <w:r w:rsidR="00AF5592" w:rsidRPr="00583C55">
        <w:rPr>
          <w:b/>
          <w:bCs/>
        </w:rPr>
        <w:t xml:space="preserve"> cell switch command.</w:t>
      </w:r>
      <w:r w:rsidRPr="00E02AA1">
        <w:rPr>
          <w:b/>
          <w:bCs/>
        </w:rPr>
        <w:fldChar w:fldCharType="end"/>
      </w:r>
      <w:r w:rsidR="00982AEA" w:rsidRPr="006466E6">
        <w:rPr>
          <w:b/>
          <w:bCs/>
        </w:rPr>
        <w:t xml:space="preserve"> </w:t>
      </w:r>
    </w:p>
    <w:p w14:paraId="34E98587" w14:textId="77777777" w:rsidR="0079105B" w:rsidRPr="006466E6" w:rsidRDefault="0079105B" w:rsidP="00FD3E20">
      <w:pPr>
        <w:spacing w:afterLines="50" w:after="120"/>
        <w:rPr>
          <w:b/>
          <w:bCs/>
        </w:rPr>
      </w:pPr>
    </w:p>
    <w:p w14:paraId="68489783" w14:textId="3F65A865" w:rsidR="0079105B" w:rsidRPr="006466E6" w:rsidRDefault="0079105B" w:rsidP="00FD3E20">
      <w:pPr>
        <w:spacing w:afterLines="50" w:after="120"/>
        <w:rPr>
          <w:b/>
          <w:bCs/>
        </w:rPr>
      </w:pPr>
      <w:r w:rsidRPr="00BA4F87">
        <w:rPr>
          <w:b/>
          <w:bCs/>
        </w:rPr>
        <w:fldChar w:fldCharType="begin"/>
      </w:r>
      <w:r w:rsidRPr="006466E6">
        <w:rPr>
          <w:b/>
          <w:bCs/>
        </w:rPr>
        <w:instrText xml:space="preserve"> REF _Ref127308614 \h </w:instrText>
      </w:r>
      <w:r w:rsidR="006466E6" w:rsidRPr="00561DA8">
        <w:rPr>
          <w:b/>
          <w:bCs/>
        </w:rPr>
        <w:instrText xml:space="preserve"> \* MERGEFORMAT </w:instrText>
      </w:r>
      <w:r w:rsidRPr="00BA4F87">
        <w:rPr>
          <w:b/>
          <w:bCs/>
        </w:rPr>
      </w:r>
      <w:r w:rsidRPr="00BA4F87">
        <w:rPr>
          <w:b/>
          <w:bCs/>
        </w:rPr>
        <w:fldChar w:fldCharType="separate"/>
      </w:r>
      <w:r w:rsidR="00AF5592" w:rsidRPr="00583C55">
        <w:rPr>
          <w:b/>
          <w:bCs/>
        </w:rPr>
        <w:t xml:space="preserve">Proposal </w:t>
      </w:r>
      <w:r w:rsidR="00AF5592" w:rsidRPr="00583C55">
        <w:rPr>
          <w:b/>
          <w:bCs/>
          <w:noProof/>
        </w:rPr>
        <w:t>2</w:t>
      </w:r>
      <w:r w:rsidR="00AF5592" w:rsidRPr="00583C55">
        <w:rPr>
          <w:b/>
          <w:bCs/>
        </w:rPr>
        <w:t>: For Rel-18 L1/L2 mobility, L1-SINR is not supported for intra and inter-frequency candidate cell measurement.</w:t>
      </w:r>
      <w:r w:rsidRPr="00BA4F87">
        <w:rPr>
          <w:b/>
          <w:bCs/>
        </w:rPr>
        <w:fldChar w:fldCharType="end"/>
      </w:r>
    </w:p>
    <w:p w14:paraId="6EF52E76" w14:textId="77777777" w:rsidR="0079105B" w:rsidRPr="006466E6" w:rsidRDefault="0079105B" w:rsidP="00FD3E20">
      <w:pPr>
        <w:spacing w:afterLines="50" w:after="120"/>
        <w:rPr>
          <w:b/>
          <w:bCs/>
        </w:rPr>
      </w:pPr>
    </w:p>
    <w:p w14:paraId="473D8239" w14:textId="2CBFA632" w:rsidR="008F428F" w:rsidRDefault="0079105B" w:rsidP="00FD3E20">
      <w:pPr>
        <w:spacing w:afterLines="50" w:after="120"/>
        <w:rPr>
          <w:b/>
          <w:bCs/>
        </w:rPr>
      </w:pPr>
      <w:r w:rsidRPr="00BA4F87">
        <w:rPr>
          <w:b/>
          <w:bCs/>
        </w:rPr>
        <w:fldChar w:fldCharType="begin"/>
      </w:r>
      <w:r w:rsidRPr="006466E6">
        <w:rPr>
          <w:b/>
          <w:bCs/>
        </w:rPr>
        <w:instrText xml:space="preserve"> REF _Ref127308619 \h </w:instrText>
      </w:r>
      <w:r w:rsidR="006466E6" w:rsidRPr="00561DA8">
        <w:rPr>
          <w:b/>
          <w:bCs/>
        </w:rPr>
        <w:instrText xml:space="preserve"> \* MERGEFORMAT </w:instrText>
      </w:r>
      <w:r w:rsidRPr="00BA4F87">
        <w:rPr>
          <w:b/>
          <w:bCs/>
        </w:rPr>
      </w:r>
      <w:r w:rsidRPr="00BA4F87">
        <w:rPr>
          <w:b/>
          <w:bCs/>
        </w:rPr>
        <w:fldChar w:fldCharType="separate"/>
      </w:r>
      <w:r w:rsidR="00AF5592" w:rsidRPr="00583C55">
        <w:rPr>
          <w:b/>
          <w:bCs/>
        </w:rPr>
        <w:t xml:space="preserve">Proposal </w:t>
      </w:r>
      <w:r w:rsidR="00AF5592" w:rsidRPr="00583C55">
        <w:rPr>
          <w:b/>
          <w:bCs/>
          <w:noProof/>
        </w:rPr>
        <w:t>3</w:t>
      </w:r>
      <w:r w:rsidR="00AF5592" w:rsidRPr="00583C55">
        <w:rPr>
          <w:b/>
          <w:bCs/>
        </w:rPr>
        <w:t>: For Rel-18 L1/L2 mobility, UE-based filtering to L1 measurement results is not supported.</w:t>
      </w:r>
      <w:r w:rsidRPr="00BA4F87">
        <w:rPr>
          <w:b/>
          <w:bCs/>
        </w:rPr>
        <w:fldChar w:fldCharType="end"/>
      </w:r>
      <w:r w:rsidR="008F428F">
        <w:rPr>
          <w:b/>
          <w:bCs/>
        </w:rPr>
        <w:fldChar w:fldCharType="begin"/>
      </w:r>
      <w:r w:rsidR="008F428F">
        <w:rPr>
          <w:b/>
          <w:bCs/>
        </w:rPr>
        <w:instrText xml:space="preserve"> REF _Ref134795854 \h </w:instrText>
      </w:r>
      <w:r w:rsidR="008F428F">
        <w:rPr>
          <w:b/>
          <w:bCs/>
        </w:rPr>
      </w:r>
      <w:r w:rsidR="008F428F">
        <w:rPr>
          <w:b/>
          <w:bCs/>
        </w:rPr>
        <w:fldChar w:fldCharType="end"/>
      </w:r>
    </w:p>
    <w:p w14:paraId="7E3AA62D" w14:textId="4DF06100" w:rsidR="008F428F" w:rsidRDefault="008F428F" w:rsidP="00FD3E20">
      <w:pPr>
        <w:spacing w:afterLines="50" w:after="120"/>
        <w:rPr>
          <w:b/>
          <w:bCs/>
        </w:rPr>
      </w:pPr>
    </w:p>
    <w:p w14:paraId="19C60CE0" w14:textId="2FB567BA" w:rsidR="008F428F" w:rsidRPr="00B1156A" w:rsidRDefault="008F428F" w:rsidP="00FD3E20">
      <w:pPr>
        <w:spacing w:afterLines="50" w:after="120"/>
        <w:rPr>
          <w:b/>
          <w:bCs/>
        </w:rPr>
      </w:pPr>
      <w:r w:rsidRPr="00E02AA1">
        <w:rPr>
          <w:b/>
          <w:bCs/>
        </w:rPr>
        <w:fldChar w:fldCharType="begin"/>
      </w:r>
      <w:r w:rsidRPr="00E02AA1">
        <w:rPr>
          <w:b/>
          <w:bCs/>
        </w:rPr>
        <w:instrText xml:space="preserve"> REF _Ref127308624 \h  \* MERGEFORMAT </w:instrText>
      </w:r>
      <w:r w:rsidRPr="00E02AA1">
        <w:rPr>
          <w:b/>
          <w:bCs/>
        </w:rPr>
      </w:r>
      <w:r w:rsidRPr="00E02AA1">
        <w:rPr>
          <w:b/>
          <w:bCs/>
        </w:rPr>
        <w:fldChar w:fldCharType="separate"/>
      </w:r>
      <w:r w:rsidR="00AF5592" w:rsidRPr="00583C55">
        <w:rPr>
          <w:b/>
          <w:bCs/>
        </w:rPr>
        <w:t xml:space="preserve">Proposal </w:t>
      </w:r>
      <w:r w:rsidR="00AF5592" w:rsidRPr="00583C55">
        <w:rPr>
          <w:b/>
          <w:bCs/>
          <w:noProof/>
        </w:rPr>
        <w:t>4</w:t>
      </w:r>
      <w:r w:rsidR="00AF5592" w:rsidRPr="00583C55">
        <w:rPr>
          <w:b/>
          <w:bCs/>
        </w:rPr>
        <w:t>: For Rel-18 L1/L2 mobility, Scenario 1 (beam indication before cell switch command) is not supported.</w:t>
      </w:r>
      <w:r w:rsidRPr="00E02AA1">
        <w:rPr>
          <w:b/>
          <w:bCs/>
        </w:rPr>
        <w:fldChar w:fldCharType="end"/>
      </w:r>
    </w:p>
    <w:p w14:paraId="6AB573F9" w14:textId="1A747583" w:rsidR="00A3709C" w:rsidRDefault="00A3709C" w:rsidP="00FD3E20">
      <w:pPr>
        <w:spacing w:afterLines="50" w:after="120"/>
        <w:rPr>
          <w:b/>
          <w:bCs/>
        </w:rPr>
      </w:pPr>
      <w:r>
        <w:rPr>
          <w:b/>
          <w:bCs/>
        </w:rPr>
        <w:fldChar w:fldCharType="begin"/>
      </w:r>
      <w:r>
        <w:rPr>
          <w:b/>
          <w:bCs/>
        </w:rPr>
        <w:instrText xml:space="preserve"> REF _Ref146750261 \h </w:instrText>
      </w:r>
      <w:r>
        <w:rPr>
          <w:b/>
          <w:bCs/>
        </w:rPr>
      </w:r>
      <w:r>
        <w:rPr>
          <w:b/>
          <w:bCs/>
        </w:rPr>
        <w:fldChar w:fldCharType="end"/>
      </w:r>
    </w:p>
    <w:p w14:paraId="2B9EA32F" w14:textId="36E63A64" w:rsidR="00D85219" w:rsidRPr="007C447E" w:rsidRDefault="00A3709C" w:rsidP="00FD3E20">
      <w:pPr>
        <w:spacing w:afterLines="50" w:after="120"/>
        <w:rPr>
          <w:b/>
          <w:bCs/>
        </w:rPr>
      </w:pPr>
      <w:r w:rsidRPr="00B5684B">
        <w:rPr>
          <w:b/>
          <w:bCs/>
        </w:rPr>
        <w:fldChar w:fldCharType="begin"/>
      </w:r>
      <w:r w:rsidRPr="00583C55">
        <w:rPr>
          <w:b/>
          <w:bCs/>
        </w:rPr>
        <w:instrText xml:space="preserve"> REF _Ref146750382 \h </w:instrText>
      </w:r>
      <w:r w:rsidR="00D85219" w:rsidRPr="00583C55">
        <w:rPr>
          <w:b/>
          <w:bCs/>
        </w:rPr>
        <w:instrText xml:space="preserve"> \* MERGEFORMAT </w:instrText>
      </w:r>
      <w:r w:rsidRPr="00B5684B">
        <w:rPr>
          <w:b/>
          <w:bCs/>
        </w:rPr>
      </w:r>
      <w:r w:rsidRPr="00B5684B">
        <w:rPr>
          <w:b/>
          <w:bCs/>
        </w:rPr>
        <w:fldChar w:fldCharType="separate"/>
      </w:r>
      <w:r w:rsidR="00AF5592" w:rsidRPr="00583C55">
        <w:rPr>
          <w:b/>
          <w:bCs/>
        </w:rPr>
        <w:t xml:space="preserve">Proposal </w:t>
      </w:r>
      <w:r w:rsidR="00AF5592" w:rsidRPr="00583C55">
        <w:rPr>
          <w:b/>
          <w:bCs/>
          <w:noProof/>
        </w:rPr>
        <w:t>5</w:t>
      </w:r>
      <w:r w:rsidR="00AF5592" w:rsidRPr="00583C55">
        <w:rPr>
          <w:b/>
          <w:bCs/>
        </w:rPr>
        <w:t xml:space="preserve">: </w:t>
      </w:r>
      <w:r w:rsidR="00AF5592" w:rsidRPr="00583C55">
        <w:rPr>
          <w:rFonts w:hint="eastAsia"/>
          <w:b/>
          <w:bCs/>
        </w:rPr>
        <w:t>For the Rel-17 unified TCI based beam indication in Rel-18 LTM</w:t>
      </w:r>
      <w:r w:rsidR="00AF5592" w:rsidRPr="00583C55">
        <w:rPr>
          <w:b/>
          <w:bCs/>
        </w:rPr>
        <w:t>, support only one TCI states per candidate cell can be activated before cell switch command reception.</w:t>
      </w:r>
      <w:r w:rsidRPr="00B5684B">
        <w:rPr>
          <w:b/>
          <w:bCs/>
        </w:rPr>
        <w:fldChar w:fldCharType="end"/>
      </w:r>
    </w:p>
    <w:p w14:paraId="34093258" w14:textId="5FDD22A6" w:rsidR="00A3709C" w:rsidRPr="00B5684B" w:rsidRDefault="00A3709C" w:rsidP="00FD3E20">
      <w:pPr>
        <w:spacing w:afterLines="50" w:after="120"/>
        <w:rPr>
          <w:b/>
          <w:bCs/>
        </w:rPr>
      </w:pPr>
    </w:p>
    <w:p w14:paraId="41871B7D" w14:textId="13BD7A5A" w:rsidR="00A3709C" w:rsidRPr="007C447E" w:rsidRDefault="00A3709C" w:rsidP="00FD3E20">
      <w:pPr>
        <w:spacing w:afterLines="50" w:after="120"/>
        <w:rPr>
          <w:b/>
          <w:bCs/>
        </w:rPr>
      </w:pPr>
      <w:r w:rsidRPr="00B5684B">
        <w:rPr>
          <w:b/>
          <w:bCs/>
        </w:rPr>
        <w:fldChar w:fldCharType="begin"/>
      </w:r>
      <w:r w:rsidRPr="00583C55">
        <w:rPr>
          <w:b/>
          <w:bCs/>
        </w:rPr>
        <w:instrText xml:space="preserve"> REF _Ref146750395 \h </w:instrText>
      </w:r>
      <w:r w:rsidR="00D85219" w:rsidRPr="00583C55">
        <w:rPr>
          <w:b/>
          <w:bCs/>
        </w:rPr>
        <w:instrText xml:space="preserve"> \* MERGEFORMAT </w:instrText>
      </w:r>
      <w:r w:rsidRPr="00B5684B">
        <w:rPr>
          <w:b/>
          <w:bCs/>
        </w:rPr>
      </w:r>
      <w:r w:rsidRPr="00B5684B">
        <w:rPr>
          <w:b/>
          <w:bCs/>
        </w:rPr>
        <w:fldChar w:fldCharType="separate"/>
      </w:r>
      <w:r w:rsidR="00AF5592" w:rsidRPr="00583C55">
        <w:rPr>
          <w:b/>
          <w:bCs/>
        </w:rPr>
        <w:t xml:space="preserve">Proposal </w:t>
      </w:r>
      <w:r w:rsidR="00AF5592" w:rsidRPr="00583C55">
        <w:rPr>
          <w:b/>
          <w:bCs/>
          <w:noProof/>
        </w:rPr>
        <w:t>6</w:t>
      </w:r>
      <w:r w:rsidR="00AF5592" w:rsidRPr="00583C55">
        <w:rPr>
          <w:b/>
          <w:bCs/>
        </w:rPr>
        <w:t>: For Rel-18 L1/L2 mobility, when SSB is configured in the TCI state indicated in cell switch command, the indicated TCI state applies to signals/channels that follow or are configured to follow Rel-17 unified TCI at the target cell(s) before a new TCI state for target cell is indicated.</w:t>
      </w:r>
      <w:r w:rsidRPr="00B5684B">
        <w:rPr>
          <w:b/>
          <w:bCs/>
        </w:rPr>
        <w:fldChar w:fldCharType="end"/>
      </w:r>
    </w:p>
    <w:p w14:paraId="77CAEAC8" w14:textId="3E9DF3BE" w:rsidR="00A3709C" w:rsidRPr="00B5684B" w:rsidRDefault="00A3709C" w:rsidP="00FD3E20">
      <w:pPr>
        <w:spacing w:afterLines="50" w:after="120"/>
        <w:rPr>
          <w:b/>
          <w:bCs/>
        </w:rPr>
      </w:pPr>
    </w:p>
    <w:p w14:paraId="4C9C87E1" w14:textId="6D29AF5A" w:rsidR="00A3709C" w:rsidRPr="007C447E" w:rsidRDefault="00A3709C" w:rsidP="00FD3E20">
      <w:pPr>
        <w:spacing w:afterLines="50" w:after="120"/>
        <w:rPr>
          <w:b/>
          <w:bCs/>
        </w:rPr>
      </w:pPr>
      <w:r w:rsidRPr="00B5684B">
        <w:rPr>
          <w:b/>
          <w:bCs/>
        </w:rPr>
        <w:fldChar w:fldCharType="begin"/>
      </w:r>
      <w:r w:rsidRPr="00583C55">
        <w:rPr>
          <w:b/>
          <w:bCs/>
        </w:rPr>
        <w:instrText xml:space="preserve"> REF _Ref146750403 \h </w:instrText>
      </w:r>
      <w:r w:rsidR="00D85219" w:rsidRPr="00583C55">
        <w:rPr>
          <w:b/>
          <w:bCs/>
        </w:rPr>
        <w:instrText xml:space="preserve"> \* MERGEFORMAT </w:instrText>
      </w:r>
      <w:r w:rsidRPr="00B5684B">
        <w:rPr>
          <w:b/>
          <w:bCs/>
        </w:rPr>
      </w:r>
      <w:r w:rsidRPr="00B5684B">
        <w:rPr>
          <w:b/>
          <w:bCs/>
        </w:rPr>
        <w:fldChar w:fldCharType="separate"/>
      </w:r>
      <w:r w:rsidR="00AF5592" w:rsidRPr="00583C55">
        <w:rPr>
          <w:b/>
          <w:bCs/>
        </w:rPr>
        <w:t xml:space="preserve">Proposal </w:t>
      </w:r>
      <w:r w:rsidR="00AF5592" w:rsidRPr="00583C55">
        <w:rPr>
          <w:b/>
          <w:bCs/>
          <w:noProof/>
        </w:rPr>
        <w:t>7</w:t>
      </w:r>
      <w:r w:rsidR="00AF5592" w:rsidRPr="00583C55">
        <w:rPr>
          <w:b/>
          <w:bCs/>
        </w:rPr>
        <w:t>: For Rel-18 L1/L2 mobility, when candidate cell TRS is configured in a TCI state and the TCI state is activated before reception of cell switch command, UE is not required to track the candidate cell TRS before cell switch and how UE utilizes the TRS before cell switch is up to UE implementation</w:t>
      </w:r>
      <w:r w:rsidRPr="00B5684B">
        <w:rPr>
          <w:b/>
          <w:bCs/>
        </w:rPr>
        <w:fldChar w:fldCharType="end"/>
      </w:r>
    </w:p>
    <w:p w14:paraId="3462FF44" w14:textId="54E7A4B3" w:rsidR="00A3709C" w:rsidRPr="00B5684B" w:rsidRDefault="00A3709C" w:rsidP="00FD3E20">
      <w:pPr>
        <w:spacing w:afterLines="50" w:after="120"/>
        <w:rPr>
          <w:b/>
          <w:bCs/>
        </w:rPr>
      </w:pPr>
    </w:p>
    <w:p w14:paraId="7F2379A2" w14:textId="53DC522D" w:rsidR="001F590A" w:rsidRPr="007C447E" w:rsidRDefault="00A3709C" w:rsidP="00FD3E20">
      <w:pPr>
        <w:spacing w:afterLines="50" w:after="120"/>
        <w:rPr>
          <w:b/>
          <w:bCs/>
        </w:rPr>
      </w:pPr>
      <w:r w:rsidRPr="00B5684B">
        <w:rPr>
          <w:b/>
          <w:bCs/>
        </w:rPr>
        <w:fldChar w:fldCharType="begin"/>
      </w:r>
      <w:r w:rsidRPr="00583C55">
        <w:rPr>
          <w:b/>
          <w:bCs/>
        </w:rPr>
        <w:instrText xml:space="preserve"> REF _Ref146750410 \h </w:instrText>
      </w:r>
      <w:r w:rsidR="00D85219" w:rsidRPr="00583C55">
        <w:rPr>
          <w:b/>
          <w:bCs/>
        </w:rPr>
        <w:instrText xml:space="preserve"> \* MERGEFORMAT </w:instrText>
      </w:r>
      <w:r w:rsidRPr="00B5684B">
        <w:rPr>
          <w:b/>
          <w:bCs/>
        </w:rPr>
      </w:r>
      <w:r w:rsidRPr="00B5684B">
        <w:rPr>
          <w:b/>
          <w:bCs/>
        </w:rPr>
        <w:fldChar w:fldCharType="separate"/>
      </w:r>
      <w:r w:rsidR="00AF5592" w:rsidRPr="00583C55">
        <w:rPr>
          <w:b/>
          <w:bCs/>
        </w:rPr>
        <w:t xml:space="preserve">Proposal </w:t>
      </w:r>
      <w:r w:rsidR="00AF5592" w:rsidRPr="00583C55">
        <w:rPr>
          <w:b/>
          <w:bCs/>
          <w:noProof/>
        </w:rPr>
        <w:t>8</w:t>
      </w:r>
      <w:r w:rsidR="00AF5592" w:rsidRPr="00583C55">
        <w:rPr>
          <w:b/>
          <w:bCs/>
        </w:rPr>
        <w:t>: For Rel-18 L1/L2 mobility, it is allowed to configure TRS in the TCI state indicated in cell switch command without activating the TCI state before cell switch.</w:t>
      </w:r>
      <w:r w:rsidRPr="00B5684B">
        <w:rPr>
          <w:b/>
          <w:bCs/>
        </w:rPr>
        <w:fldChar w:fldCharType="end"/>
      </w:r>
      <w:r w:rsidR="00982AEA" w:rsidRPr="00B5684B">
        <w:rPr>
          <w:b/>
          <w:bCs/>
        </w:rPr>
        <w:fldChar w:fldCharType="begin"/>
      </w:r>
      <w:r w:rsidR="00982AEA" w:rsidRPr="00583C55">
        <w:rPr>
          <w:b/>
          <w:bCs/>
        </w:rPr>
        <w:instrText xml:space="preserve"> REF _Ref142634957 \h  \* MERGEFORMAT </w:instrText>
      </w:r>
      <w:r w:rsidR="00982AEA" w:rsidRPr="00B5684B">
        <w:rPr>
          <w:b/>
          <w:bCs/>
        </w:rPr>
      </w:r>
      <w:r w:rsidR="00982AEA" w:rsidRPr="00B5684B">
        <w:rPr>
          <w:b/>
          <w:bCs/>
        </w:rPr>
        <w:fldChar w:fldCharType="end"/>
      </w:r>
    </w:p>
    <w:p w14:paraId="445DB541" w14:textId="77777777" w:rsidR="00982AEA" w:rsidRDefault="00982AEA" w:rsidP="00FD3E20">
      <w:pPr>
        <w:spacing w:afterLines="50" w:after="120"/>
        <w:rPr>
          <w:b/>
          <w:bCs/>
        </w:rPr>
      </w:pPr>
    </w:p>
    <w:p w14:paraId="14774718" w14:textId="299BC598" w:rsidR="002958F9" w:rsidRPr="00E02AA1" w:rsidRDefault="001F590A" w:rsidP="00FD3E20">
      <w:pPr>
        <w:spacing w:afterLines="50" w:after="120"/>
        <w:rPr>
          <w:b/>
          <w:bCs/>
        </w:rPr>
      </w:pPr>
      <w:r w:rsidRPr="00E02AA1">
        <w:rPr>
          <w:b/>
          <w:bCs/>
        </w:rPr>
        <w:fldChar w:fldCharType="begin"/>
      </w:r>
      <w:r w:rsidRPr="00E02AA1">
        <w:rPr>
          <w:b/>
          <w:bCs/>
        </w:rPr>
        <w:instrText xml:space="preserve"> REF _Ref134798790 \h  \* MERGEFORMAT </w:instrText>
      </w:r>
      <w:r w:rsidRPr="00E02AA1">
        <w:rPr>
          <w:b/>
          <w:bCs/>
        </w:rPr>
      </w:r>
      <w:r w:rsidRPr="00E02AA1">
        <w:rPr>
          <w:b/>
          <w:bCs/>
        </w:rPr>
        <w:fldChar w:fldCharType="end"/>
      </w:r>
    </w:p>
    <w:p w14:paraId="4D201C0D" w14:textId="77777777" w:rsidR="00372849" w:rsidRPr="00BA227D" w:rsidRDefault="00372849" w:rsidP="00FD3E20">
      <w:pPr>
        <w:spacing w:afterLines="50" w:after="120"/>
        <w:rPr>
          <w:b/>
          <w:bCs/>
        </w:rPr>
      </w:pPr>
    </w:p>
    <w:p w14:paraId="798A870D" w14:textId="5AFFFD67" w:rsidR="00FD3E20" w:rsidRPr="00AD111F" w:rsidRDefault="00FD3E20" w:rsidP="00FD3E20">
      <w:pPr>
        <w:pStyle w:val="ListParagraph"/>
        <w:numPr>
          <w:ilvl w:val="0"/>
          <w:numId w:val="5"/>
        </w:numPr>
        <w:spacing w:beforeLines="50" w:before="120" w:afterLines="50" w:after="120"/>
        <w:contextualSpacing w:val="0"/>
        <w:outlineLvl w:val="0"/>
        <w:rPr>
          <w:rFonts w:eastAsia="SimSun"/>
          <w:b/>
          <w:sz w:val="28"/>
        </w:rPr>
      </w:pPr>
      <w:r w:rsidRPr="00AD111F">
        <w:rPr>
          <w:b/>
          <w:sz w:val="28"/>
        </w:rPr>
        <w:t>References</w:t>
      </w:r>
    </w:p>
    <w:p w14:paraId="1A37EDAE" w14:textId="6B43FB40" w:rsidR="001243FA" w:rsidRDefault="00AD69D0" w:rsidP="00AD69D0">
      <w:pPr>
        <w:numPr>
          <w:ilvl w:val="0"/>
          <w:numId w:val="6"/>
        </w:numPr>
        <w:spacing w:afterLines="50" w:after="120"/>
      </w:pPr>
      <w:bookmarkStart w:id="11" w:name="_Ref40449526"/>
      <w:bookmarkStart w:id="12" w:name="_Ref528680018"/>
      <w:bookmarkStart w:id="13" w:name="_Ref481596356"/>
      <w:bookmarkStart w:id="14" w:name="_Ref481781528"/>
      <w:bookmarkStart w:id="15" w:name="_Ref481782557"/>
      <w:r>
        <w:t>RP-</w:t>
      </w:r>
      <w:r w:rsidR="00C64B96">
        <w:t>2</w:t>
      </w:r>
      <w:r w:rsidR="00F4110D">
        <w:t>22</w:t>
      </w:r>
      <w:r w:rsidR="00C64B96">
        <w:t>3</w:t>
      </w:r>
      <w:r w:rsidR="00F4110D">
        <w:t>32</w:t>
      </w:r>
      <w:r w:rsidR="003E577B">
        <w:t>, “</w:t>
      </w:r>
      <w:r w:rsidR="00F4110D" w:rsidRPr="00F4110D">
        <w:t>Revised WID on Further NR mobility enhancements</w:t>
      </w:r>
      <w:r w:rsidR="003E577B">
        <w:t xml:space="preserve">”, </w:t>
      </w:r>
      <w:r w:rsidR="00F4110D">
        <w:t>September</w:t>
      </w:r>
      <w:r w:rsidR="003E577B">
        <w:t>, 202</w:t>
      </w:r>
      <w:bookmarkEnd w:id="11"/>
      <w:r w:rsidR="00F4110D">
        <w:t>2</w:t>
      </w:r>
    </w:p>
    <w:p w14:paraId="2A0AA7B2" w14:textId="36987E8C" w:rsidR="00D528A5" w:rsidRDefault="00D528A5" w:rsidP="00AD69D0">
      <w:pPr>
        <w:numPr>
          <w:ilvl w:val="0"/>
          <w:numId w:val="6"/>
        </w:numPr>
        <w:spacing w:afterLines="50" w:after="120"/>
      </w:pPr>
      <w:r>
        <w:t>R1-</w:t>
      </w:r>
      <w:r w:rsidR="00967DD6">
        <w:t>2210810,”</w:t>
      </w:r>
      <w:r w:rsidR="00967DD6" w:rsidRPr="00967DD6">
        <w:t xml:space="preserve"> LS on RAN2 agreements about L1/L2-triggered mobility (LTM)</w:t>
      </w:r>
      <w:r w:rsidR="00967DD6">
        <w:t>”, November, 2022</w:t>
      </w:r>
    </w:p>
    <w:bookmarkEnd w:id="1"/>
    <w:bookmarkEnd w:id="12"/>
    <w:bookmarkEnd w:id="13"/>
    <w:bookmarkEnd w:id="14"/>
    <w:bookmarkEnd w:id="15"/>
    <w:p w14:paraId="0D9A8F86" w14:textId="5FB3FD30" w:rsidR="00E04988" w:rsidRDefault="00E04988" w:rsidP="001F73DE">
      <w:pPr>
        <w:spacing w:afterLines="50" w:after="120"/>
      </w:pPr>
    </w:p>
    <w:sectPr w:rsidR="00E04988" w:rsidSect="0048132D">
      <w:footnotePr>
        <w:numFmt w:val="chicago"/>
      </w:footnotePr>
      <w:pgSz w:w="12240" w:h="15840" w:code="1"/>
      <w:pgMar w:top="1021" w:right="1021" w:bottom="1021" w:left="1021" w:header="720" w:footer="578"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A5E9177" w14:textId="77777777" w:rsidR="00F5034C" w:rsidRDefault="00F5034C">
      <w:r>
        <w:separator/>
      </w:r>
    </w:p>
  </w:endnote>
  <w:endnote w:type="continuationSeparator" w:id="0">
    <w:p w14:paraId="19B7F6A1" w14:textId="77777777" w:rsidR="00F5034C" w:rsidRDefault="00F503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onotype Sorts">
    <w:charset w:val="02"/>
    <w:family w:val="auto"/>
    <w:pitch w:val="variable"/>
    <w:sig w:usb0="00000000" w:usb1="10000000" w:usb2="00000000" w:usb3="00000000" w:csb0="80000000" w:csb1="00000000"/>
  </w:font>
  <w:font w:name="PMingLiU">
    <w:altName w:val="新細明體"/>
    <w:panose1 w:val="02020500000000000000"/>
    <w:charset w:val="88"/>
    <w:family w:val="roman"/>
    <w:pitch w:val="variable"/>
    <w:sig w:usb0="A00002FF" w:usb1="28CFFCFA" w:usb2="00000016" w:usb3="00000000" w:csb0="00100001" w:csb1="00000000"/>
  </w:font>
  <w:font w:name="Webdings">
    <w:panose1 w:val="05030102010509060703"/>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EEB38F0" w14:textId="77777777" w:rsidR="00F5034C" w:rsidRDefault="00F5034C">
      <w:r>
        <w:separator/>
      </w:r>
    </w:p>
  </w:footnote>
  <w:footnote w:type="continuationSeparator" w:id="0">
    <w:p w14:paraId="704D0BEF" w14:textId="77777777" w:rsidR="00F5034C" w:rsidRDefault="00F503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4073F30"/>
    <w:multiLevelType w:val="multilevel"/>
    <w:tmpl w:val="04073F30"/>
    <w:lvl w:ilvl="0">
      <w:start w:val="1"/>
      <w:numFmt w:val="bullet"/>
      <w:lvlText w:val=""/>
      <w:lvlJc w:val="left"/>
      <w:pPr>
        <w:ind w:left="2280" w:hanging="480"/>
      </w:pPr>
      <w:rPr>
        <w:rFonts w:ascii="Symbol" w:hAnsi="Symbol" w:hint="default"/>
      </w:rPr>
    </w:lvl>
    <w:lvl w:ilvl="1">
      <w:start w:val="1"/>
      <w:numFmt w:val="bullet"/>
      <w:lvlText w:val=""/>
      <w:lvlJc w:val="left"/>
      <w:pPr>
        <w:ind w:left="1920" w:hanging="480"/>
      </w:pPr>
      <w:rPr>
        <w:rFonts w:ascii="Wingdings" w:hAnsi="Wingdings" w:hint="default"/>
      </w:rPr>
    </w:lvl>
    <w:lvl w:ilvl="2">
      <w:start w:val="1"/>
      <w:numFmt w:val="bullet"/>
      <w:lvlText w:val=""/>
      <w:lvlJc w:val="left"/>
      <w:pPr>
        <w:ind w:left="2400" w:hanging="480"/>
      </w:pPr>
      <w:rPr>
        <w:rFonts w:ascii="Wingdings" w:hAnsi="Wingdings" w:hint="default"/>
      </w:rPr>
    </w:lvl>
    <w:lvl w:ilvl="3">
      <w:start w:val="1"/>
      <w:numFmt w:val="bullet"/>
      <w:lvlText w:val=""/>
      <w:lvlJc w:val="left"/>
      <w:pPr>
        <w:ind w:left="2880" w:hanging="480"/>
      </w:pPr>
      <w:rPr>
        <w:rFonts w:ascii="Wingdings" w:hAnsi="Wingdings" w:hint="default"/>
      </w:rPr>
    </w:lvl>
    <w:lvl w:ilvl="4">
      <w:start w:val="1"/>
      <w:numFmt w:val="bullet"/>
      <w:lvlText w:val=""/>
      <w:lvlJc w:val="left"/>
      <w:pPr>
        <w:ind w:left="3360" w:hanging="480"/>
      </w:pPr>
      <w:rPr>
        <w:rFonts w:ascii="Wingdings" w:hAnsi="Wingdings" w:hint="default"/>
      </w:rPr>
    </w:lvl>
    <w:lvl w:ilvl="5">
      <w:start w:val="1"/>
      <w:numFmt w:val="bullet"/>
      <w:lvlText w:val=""/>
      <w:lvlJc w:val="left"/>
      <w:pPr>
        <w:ind w:left="3840" w:hanging="480"/>
      </w:pPr>
      <w:rPr>
        <w:rFonts w:ascii="Wingdings" w:hAnsi="Wingdings" w:hint="default"/>
      </w:rPr>
    </w:lvl>
    <w:lvl w:ilvl="6">
      <w:start w:val="1"/>
      <w:numFmt w:val="bullet"/>
      <w:lvlText w:val=""/>
      <w:lvlJc w:val="left"/>
      <w:pPr>
        <w:ind w:left="4320" w:hanging="480"/>
      </w:pPr>
      <w:rPr>
        <w:rFonts w:ascii="Wingdings" w:hAnsi="Wingdings" w:hint="default"/>
      </w:rPr>
    </w:lvl>
    <w:lvl w:ilvl="7">
      <w:start w:val="1"/>
      <w:numFmt w:val="bullet"/>
      <w:lvlText w:val=""/>
      <w:lvlJc w:val="left"/>
      <w:pPr>
        <w:ind w:left="4800" w:hanging="480"/>
      </w:pPr>
      <w:rPr>
        <w:rFonts w:ascii="Wingdings" w:hAnsi="Wingdings" w:hint="default"/>
      </w:rPr>
    </w:lvl>
    <w:lvl w:ilvl="8">
      <w:start w:val="1"/>
      <w:numFmt w:val="bullet"/>
      <w:lvlText w:val=""/>
      <w:lvlJc w:val="left"/>
      <w:pPr>
        <w:ind w:left="5280" w:hanging="480"/>
      </w:pPr>
      <w:rPr>
        <w:rFonts w:ascii="Wingdings" w:hAnsi="Wingdings" w:hint="default"/>
      </w:rPr>
    </w:lvl>
  </w:abstractNum>
  <w:abstractNum w:abstractNumId="1" w15:restartNumberingAfterBreak="0">
    <w:nsid w:val="0AF21B72"/>
    <w:multiLevelType w:val="hybridMultilevel"/>
    <w:tmpl w:val="1A64B5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start w:val="1"/>
      <w:numFmt w:val="bullet"/>
      <w:lvlText w:val=""/>
      <w:lvlJc w:val="left"/>
      <w:pPr>
        <w:ind w:left="2340" w:hanging="420"/>
      </w:pPr>
      <w:rPr>
        <w:rFonts w:ascii="Wingdings" w:hAnsi="Wingdings" w:hint="default"/>
      </w:rPr>
    </w:lvl>
    <w:lvl w:ilvl="3" w:tplc="04090001">
      <w:start w:val="1"/>
      <w:numFmt w:val="bullet"/>
      <w:lvlText w:val=""/>
      <w:lvlJc w:val="left"/>
      <w:pPr>
        <w:ind w:left="2760" w:hanging="420"/>
      </w:pPr>
      <w:rPr>
        <w:rFonts w:ascii="Wingdings" w:hAnsi="Wingdings" w:hint="default"/>
      </w:rPr>
    </w:lvl>
    <w:lvl w:ilvl="4" w:tplc="04090003">
      <w:start w:val="1"/>
      <w:numFmt w:val="bullet"/>
      <w:lvlText w:val=""/>
      <w:lvlJc w:val="left"/>
      <w:pPr>
        <w:ind w:left="3180" w:hanging="420"/>
      </w:pPr>
      <w:rPr>
        <w:rFonts w:ascii="Wingdings" w:hAnsi="Wingdings" w:hint="default"/>
      </w:rPr>
    </w:lvl>
    <w:lvl w:ilvl="5" w:tplc="04090005">
      <w:start w:val="1"/>
      <w:numFmt w:val="bullet"/>
      <w:lvlText w:val=""/>
      <w:lvlJc w:val="left"/>
      <w:pPr>
        <w:ind w:left="3600" w:hanging="420"/>
      </w:pPr>
      <w:rPr>
        <w:rFonts w:ascii="Wingdings" w:hAnsi="Wingdings" w:hint="default"/>
      </w:rPr>
    </w:lvl>
    <w:lvl w:ilvl="6" w:tplc="04090001">
      <w:start w:val="1"/>
      <w:numFmt w:val="bullet"/>
      <w:lvlText w:val=""/>
      <w:lvlJc w:val="left"/>
      <w:pPr>
        <w:ind w:left="4020" w:hanging="420"/>
      </w:pPr>
      <w:rPr>
        <w:rFonts w:ascii="Wingdings" w:hAnsi="Wingdings" w:hint="default"/>
      </w:rPr>
    </w:lvl>
    <w:lvl w:ilvl="7" w:tplc="04090003">
      <w:start w:val="1"/>
      <w:numFmt w:val="bullet"/>
      <w:lvlText w:val=""/>
      <w:lvlJc w:val="left"/>
      <w:pPr>
        <w:ind w:left="4440" w:hanging="420"/>
      </w:pPr>
      <w:rPr>
        <w:rFonts w:ascii="Wingdings" w:hAnsi="Wingdings" w:hint="default"/>
      </w:rPr>
    </w:lvl>
    <w:lvl w:ilvl="8" w:tplc="04090005">
      <w:start w:val="1"/>
      <w:numFmt w:val="bullet"/>
      <w:lvlText w:val=""/>
      <w:lvlJc w:val="left"/>
      <w:pPr>
        <w:ind w:left="4860" w:hanging="420"/>
      </w:pPr>
      <w:rPr>
        <w:rFonts w:ascii="Wingdings" w:hAnsi="Wingdings" w:hint="default"/>
      </w:rPr>
    </w:lvl>
  </w:abstractNum>
  <w:abstractNum w:abstractNumId="3" w15:restartNumberingAfterBreak="0">
    <w:nsid w:val="0E1C74E7"/>
    <w:multiLevelType w:val="hybridMultilevel"/>
    <w:tmpl w:val="46EE7566"/>
    <w:lvl w:ilvl="0" w:tplc="A704DE8E">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4" w15:restartNumberingAfterBreak="0">
    <w:nsid w:val="0F933894"/>
    <w:multiLevelType w:val="hybridMultilevel"/>
    <w:tmpl w:val="8AF443EC"/>
    <w:lvl w:ilvl="0" w:tplc="04090001">
      <w:start w:val="1"/>
      <w:numFmt w:val="bullet"/>
      <w:lvlText w:val=""/>
      <w:lvlJc w:val="left"/>
      <w:pPr>
        <w:ind w:left="838" w:hanging="360"/>
      </w:pPr>
      <w:rPr>
        <w:rFonts w:ascii="Symbol" w:hAnsi="Symbol" w:hint="default"/>
      </w:rPr>
    </w:lvl>
    <w:lvl w:ilvl="1" w:tplc="04090003" w:tentative="1">
      <w:start w:val="1"/>
      <w:numFmt w:val="bullet"/>
      <w:lvlText w:val="o"/>
      <w:lvlJc w:val="left"/>
      <w:pPr>
        <w:ind w:left="1558" w:hanging="360"/>
      </w:pPr>
      <w:rPr>
        <w:rFonts w:ascii="Courier New" w:hAnsi="Courier New" w:cs="Courier New" w:hint="default"/>
      </w:rPr>
    </w:lvl>
    <w:lvl w:ilvl="2" w:tplc="04090005" w:tentative="1">
      <w:start w:val="1"/>
      <w:numFmt w:val="bullet"/>
      <w:lvlText w:val=""/>
      <w:lvlJc w:val="left"/>
      <w:pPr>
        <w:ind w:left="2278" w:hanging="360"/>
      </w:pPr>
      <w:rPr>
        <w:rFonts w:ascii="Wingdings" w:hAnsi="Wingdings" w:hint="default"/>
      </w:rPr>
    </w:lvl>
    <w:lvl w:ilvl="3" w:tplc="04090001" w:tentative="1">
      <w:start w:val="1"/>
      <w:numFmt w:val="bullet"/>
      <w:lvlText w:val=""/>
      <w:lvlJc w:val="left"/>
      <w:pPr>
        <w:ind w:left="2998" w:hanging="360"/>
      </w:pPr>
      <w:rPr>
        <w:rFonts w:ascii="Symbol" w:hAnsi="Symbol" w:hint="default"/>
      </w:rPr>
    </w:lvl>
    <w:lvl w:ilvl="4" w:tplc="04090003" w:tentative="1">
      <w:start w:val="1"/>
      <w:numFmt w:val="bullet"/>
      <w:lvlText w:val="o"/>
      <w:lvlJc w:val="left"/>
      <w:pPr>
        <w:ind w:left="3718" w:hanging="360"/>
      </w:pPr>
      <w:rPr>
        <w:rFonts w:ascii="Courier New" w:hAnsi="Courier New" w:cs="Courier New" w:hint="default"/>
      </w:rPr>
    </w:lvl>
    <w:lvl w:ilvl="5" w:tplc="04090005" w:tentative="1">
      <w:start w:val="1"/>
      <w:numFmt w:val="bullet"/>
      <w:lvlText w:val=""/>
      <w:lvlJc w:val="left"/>
      <w:pPr>
        <w:ind w:left="4438" w:hanging="360"/>
      </w:pPr>
      <w:rPr>
        <w:rFonts w:ascii="Wingdings" w:hAnsi="Wingdings" w:hint="default"/>
      </w:rPr>
    </w:lvl>
    <w:lvl w:ilvl="6" w:tplc="04090001" w:tentative="1">
      <w:start w:val="1"/>
      <w:numFmt w:val="bullet"/>
      <w:lvlText w:val=""/>
      <w:lvlJc w:val="left"/>
      <w:pPr>
        <w:ind w:left="5158" w:hanging="360"/>
      </w:pPr>
      <w:rPr>
        <w:rFonts w:ascii="Symbol" w:hAnsi="Symbol" w:hint="default"/>
      </w:rPr>
    </w:lvl>
    <w:lvl w:ilvl="7" w:tplc="04090003" w:tentative="1">
      <w:start w:val="1"/>
      <w:numFmt w:val="bullet"/>
      <w:lvlText w:val="o"/>
      <w:lvlJc w:val="left"/>
      <w:pPr>
        <w:ind w:left="5878" w:hanging="360"/>
      </w:pPr>
      <w:rPr>
        <w:rFonts w:ascii="Courier New" w:hAnsi="Courier New" w:cs="Courier New" w:hint="default"/>
      </w:rPr>
    </w:lvl>
    <w:lvl w:ilvl="8" w:tplc="04090005" w:tentative="1">
      <w:start w:val="1"/>
      <w:numFmt w:val="bullet"/>
      <w:lvlText w:val=""/>
      <w:lvlJc w:val="left"/>
      <w:pPr>
        <w:ind w:left="6598" w:hanging="360"/>
      </w:pPr>
      <w:rPr>
        <w:rFonts w:ascii="Wingdings" w:hAnsi="Wingdings" w:hint="default"/>
      </w:rPr>
    </w:lvl>
  </w:abstractNum>
  <w:abstractNum w:abstractNumId="5"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6" w15:restartNumberingAfterBreak="0">
    <w:nsid w:val="22F121D1"/>
    <w:multiLevelType w:val="hybridMultilevel"/>
    <w:tmpl w:val="479CB148"/>
    <w:lvl w:ilvl="0" w:tplc="A7CCAC7E">
      <w:start w:val="1"/>
      <w:numFmt w:val="bullet"/>
      <w:lvlText w:val=""/>
      <w:lvlJc w:val="left"/>
      <w:pPr>
        <w:ind w:left="480" w:hanging="480"/>
      </w:pPr>
      <w:rPr>
        <w:rFonts w:ascii="Symbol" w:hAnsi="Symbol" w:hint="default"/>
      </w:rPr>
    </w:lvl>
    <w:lvl w:ilvl="1" w:tplc="04090003">
      <w:start w:val="1"/>
      <w:numFmt w:val="bullet"/>
      <w:lvlText w:val=""/>
      <w:lvlJc w:val="left"/>
      <w:pPr>
        <w:ind w:left="1160" w:hanging="480"/>
      </w:pPr>
      <w:rPr>
        <w:rFonts w:ascii="Wingdings" w:hAnsi="Wingdings" w:hint="default"/>
      </w:rPr>
    </w:lvl>
    <w:lvl w:ilvl="2" w:tplc="04090005">
      <w:start w:val="1"/>
      <w:numFmt w:val="bullet"/>
      <w:lvlText w:val=""/>
      <w:lvlJc w:val="left"/>
      <w:pPr>
        <w:ind w:left="1640" w:hanging="480"/>
      </w:pPr>
      <w:rPr>
        <w:rFonts w:ascii="Wingdings" w:hAnsi="Wingdings" w:hint="default"/>
      </w:rPr>
    </w:lvl>
    <w:lvl w:ilvl="3" w:tplc="0409000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7" w15:restartNumberingAfterBreak="0">
    <w:nsid w:val="262C2003"/>
    <w:multiLevelType w:val="hybridMultilevel"/>
    <w:tmpl w:val="3FE828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AB80FC6"/>
    <w:multiLevelType w:val="multilevel"/>
    <w:tmpl w:val="EA1233A8"/>
    <w:lvl w:ilvl="0">
      <w:start w:val="1"/>
      <w:numFmt w:val="decimal"/>
      <w:lvlText w:val="%1."/>
      <w:lvlJc w:val="left"/>
      <w:pPr>
        <w:ind w:left="360" w:hanging="360"/>
      </w:pPr>
      <w:rPr>
        <w:rFonts w:ascii="Times New Roman" w:eastAsiaTheme="minorEastAsia" w:hAnsi="Times New Roman" w:cs="Times New Roman" w:hint="default"/>
      </w:rPr>
    </w:lvl>
    <w:lvl w:ilvl="1">
      <w:start w:val="1"/>
      <w:numFmt w:val="decimal"/>
      <w:lvlText w:val="%1.%2."/>
      <w:lvlJc w:val="left"/>
      <w:pPr>
        <w:ind w:left="432" w:hanging="432"/>
      </w:pPr>
      <w:rPr>
        <w:rFonts w:hint="eastAsia"/>
        <w:sz w:val="24"/>
        <w:szCs w:val="24"/>
      </w:rPr>
    </w:lvl>
    <w:lvl w:ilvl="2">
      <w:start w:val="1"/>
      <w:numFmt w:val="decimal"/>
      <w:lvlText w:val="%1.%2.%3."/>
      <w:lvlJc w:val="left"/>
      <w:pPr>
        <w:ind w:left="77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9" w15:restartNumberingAfterBreak="0">
    <w:nsid w:val="2ACB6591"/>
    <w:multiLevelType w:val="hybridMultilevel"/>
    <w:tmpl w:val="8D8A4812"/>
    <w:lvl w:ilvl="0" w:tplc="7160FA6A">
      <w:start w:val="1"/>
      <w:numFmt w:val="decimal"/>
      <w:lvlText w:val="[%1]"/>
      <w:lvlJc w:val="left"/>
      <w:pPr>
        <w:ind w:left="36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802A39"/>
    <w:multiLevelType w:val="multilevel"/>
    <w:tmpl w:val="31802A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2" w15:restartNumberingAfterBreak="0">
    <w:nsid w:val="4DEB6AAB"/>
    <w:multiLevelType w:val="hybridMultilevel"/>
    <w:tmpl w:val="1FB6F73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0132CD0"/>
    <w:multiLevelType w:val="hybridMultilevel"/>
    <w:tmpl w:val="C3841C10"/>
    <w:lvl w:ilvl="0" w:tplc="04090001">
      <w:start w:val="1"/>
      <w:numFmt w:val="bullet"/>
      <w:lvlText w:val=""/>
      <w:lvlJc w:val="left"/>
      <w:pPr>
        <w:ind w:left="959" w:hanging="360"/>
      </w:pPr>
      <w:rPr>
        <w:rFonts w:ascii="Symbol" w:hAnsi="Symbol" w:hint="default"/>
      </w:rPr>
    </w:lvl>
    <w:lvl w:ilvl="1" w:tplc="04090003">
      <w:start w:val="1"/>
      <w:numFmt w:val="bullet"/>
      <w:lvlText w:val="o"/>
      <w:lvlJc w:val="left"/>
      <w:pPr>
        <w:ind w:left="1679" w:hanging="360"/>
      </w:pPr>
      <w:rPr>
        <w:rFonts w:ascii="Courier New" w:hAnsi="Courier New" w:cs="Courier New" w:hint="default"/>
      </w:rPr>
    </w:lvl>
    <w:lvl w:ilvl="2" w:tplc="04090005">
      <w:start w:val="1"/>
      <w:numFmt w:val="bullet"/>
      <w:lvlText w:val=""/>
      <w:lvlJc w:val="left"/>
      <w:pPr>
        <w:ind w:left="2399" w:hanging="360"/>
      </w:pPr>
      <w:rPr>
        <w:rFonts w:ascii="Wingdings" w:hAnsi="Wingdings" w:hint="default"/>
      </w:rPr>
    </w:lvl>
    <w:lvl w:ilvl="3" w:tplc="04090001" w:tentative="1">
      <w:start w:val="1"/>
      <w:numFmt w:val="bullet"/>
      <w:lvlText w:val=""/>
      <w:lvlJc w:val="left"/>
      <w:pPr>
        <w:ind w:left="3119" w:hanging="360"/>
      </w:pPr>
      <w:rPr>
        <w:rFonts w:ascii="Symbol" w:hAnsi="Symbol" w:hint="default"/>
      </w:rPr>
    </w:lvl>
    <w:lvl w:ilvl="4" w:tplc="04090003" w:tentative="1">
      <w:start w:val="1"/>
      <w:numFmt w:val="bullet"/>
      <w:lvlText w:val="o"/>
      <w:lvlJc w:val="left"/>
      <w:pPr>
        <w:ind w:left="3839" w:hanging="360"/>
      </w:pPr>
      <w:rPr>
        <w:rFonts w:ascii="Courier New" w:hAnsi="Courier New" w:cs="Courier New" w:hint="default"/>
      </w:rPr>
    </w:lvl>
    <w:lvl w:ilvl="5" w:tplc="04090005" w:tentative="1">
      <w:start w:val="1"/>
      <w:numFmt w:val="bullet"/>
      <w:lvlText w:val=""/>
      <w:lvlJc w:val="left"/>
      <w:pPr>
        <w:ind w:left="4559" w:hanging="360"/>
      </w:pPr>
      <w:rPr>
        <w:rFonts w:ascii="Wingdings" w:hAnsi="Wingdings" w:hint="default"/>
      </w:rPr>
    </w:lvl>
    <w:lvl w:ilvl="6" w:tplc="04090001" w:tentative="1">
      <w:start w:val="1"/>
      <w:numFmt w:val="bullet"/>
      <w:lvlText w:val=""/>
      <w:lvlJc w:val="left"/>
      <w:pPr>
        <w:ind w:left="5279" w:hanging="360"/>
      </w:pPr>
      <w:rPr>
        <w:rFonts w:ascii="Symbol" w:hAnsi="Symbol" w:hint="default"/>
      </w:rPr>
    </w:lvl>
    <w:lvl w:ilvl="7" w:tplc="04090003" w:tentative="1">
      <w:start w:val="1"/>
      <w:numFmt w:val="bullet"/>
      <w:lvlText w:val="o"/>
      <w:lvlJc w:val="left"/>
      <w:pPr>
        <w:ind w:left="5999" w:hanging="360"/>
      </w:pPr>
      <w:rPr>
        <w:rFonts w:ascii="Courier New" w:hAnsi="Courier New" w:cs="Courier New" w:hint="default"/>
      </w:rPr>
    </w:lvl>
    <w:lvl w:ilvl="8" w:tplc="04090005" w:tentative="1">
      <w:start w:val="1"/>
      <w:numFmt w:val="bullet"/>
      <w:lvlText w:val=""/>
      <w:lvlJc w:val="left"/>
      <w:pPr>
        <w:ind w:left="6719" w:hanging="360"/>
      </w:pPr>
      <w:rPr>
        <w:rFonts w:ascii="Wingdings" w:hAnsi="Wingdings" w:hint="default"/>
      </w:rPr>
    </w:lvl>
  </w:abstractNum>
  <w:abstractNum w:abstractNumId="14" w15:restartNumberingAfterBreak="0">
    <w:nsid w:val="51C403C4"/>
    <w:multiLevelType w:val="hybridMultilevel"/>
    <w:tmpl w:val="44A2892A"/>
    <w:lvl w:ilvl="0" w:tplc="7A84A7BC">
      <w:start w:val="1"/>
      <w:numFmt w:val="decimal"/>
      <w:lvlText w:val="%1."/>
      <w:lvlJc w:val="left"/>
      <w:pPr>
        <w:ind w:left="720" w:hanging="360"/>
      </w:pPr>
    </w:lvl>
    <w:lvl w:ilvl="1" w:tplc="04090019">
      <w:start w:val="1"/>
      <w:numFmt w:val="lowerLetter"/>
      <w:lvlText w:val="%2)"/>
      <w:lvlJc w:val="left"/>
      <w:pPr>
        <w:ind w:left="1200" w:hanging="420"/>
      </w:pPr>
    </w:lvl>
    <w:lvl w:ilvl="2" w:tplc="0409001B">
      <w:start w:val="1"/>
      <w:numFmt w:val="lowerRoman"/>
      <w:lvlText w:val="%3."/>
      <w:lvlJc w:val="right"/>
      <w:pPr>
        <w:ind w:left="1620" w:hanging="420"/>
      </w:pPr>
    </w:lvl>
    <w:lvl w:ilvl="3" w:tplc="0409000F">
      <w:start w:val="1"/>
      <w:numFmt w:val="decimal"/>
      <w:lvlText w:val="%4."/>
      <w:lvlJc w:val="left"/>
      <w:pPr>
        <w:ind w:left="2040" w:hanging="420"/>
      </w:pPr>
    </w:lvl>
    <w:lvl w:ilvl="4" w:tplc="04090019">
      <w:start w:val="1"/>
      <w:numFmt w:val="lowerLetter"/>
      <w:lvlText w:val="%5)"/>
      <w:lvlJc w:val="left"/>
      <w:pPr>
        <w:ind w:left="2460" w:hanging="420"/>
      </w:pPr>
    </w:lvl>
    <w:lvl w:ilvl="5" w:tplc="0409001B">
      <w:start w:val="1"/>
      <w:numFmt w:val="lowerRoman"/>
      <w:lvlText w:val="%6."/>
      <w:lvlJc w:val="right"/>
      <w:pPr>
        <w:ind w:left="2880" w:hanging="420"/>
      </w:pPr>
    </w:lvl>
    <w:lvl w:ilvl="6" w:tplc="0409000F">
      <w:start w:val="1"/>
      <w:numFmt w:val="decimal"/>
      <w:lvlText w:val="%7."/>
      <w:lvlJc w:val="left"/>
      <w:pPr>
        <w:ind w:left="3300" w:hanging="420"/>
      </w:pPr>
    </w:lvl>
    <w:lvl w:ilvl="7" w:tplc="04090019">
      <w:start w:val="1"/>
      <w:numFmt w:val="lowerLetter"/>
      <w:lvlText w:val="%8)"/>
      <w:lvlJc w:val="left"/>
      <w:pPr>
        <w:ind w:left="3720" w:hanging="420"/>
      </w:pPr>
    </w:lvl>
    <w:lvl w:ilvl="8" w:tplc="0409001B">
      <w:start w:val="1"/>
      <w:numFmt w:val="lowerRoman"/>
      <w:lvlText w:val="%9."/>
      <w:lvlJc w:val="right"/>
      <w:pPr>
        <w:ind w:left="4140" w:hanging="420"/>
      </w:pPr>
    </w:lvl>
  </w:abstractNum>
  <w:abstractNum w:abstractNumId="1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16" w15:restartNumberingAfterBreak="0">
    <w:nsid w:val="5EF103FA"/>
    <w:multiLevelType w:val="hybridMultilevel"/>
    <w:tmpl w:val="9FD416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17210A3"/>
    <w:multiLevelType w:val="multilevel"/>
    <w:tmpl w:val="617210A3"/>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18"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19" w15:restartNumberingAfterBreak="0">
    <w:nsid w:val="64573561"/>
    <w:multiLevelType w:val="hybridMultilevel"/>
    <w:tmpl w:val="7C80DB1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648B65DC"/>
    <w:multiLevelType w:val="multilevel"/>
    <w:tmpl w:val="648B65DC"/>
    <w:lvl w:ilvl="0">
      <w:numFmt w:val="bullet"/>
      <w:lvlText w:val="-"/>
      <w:lvlJc w:val="left"/>
      <w:pPr>
        <w:ind w:left="360" w:hanging="360"/>
      </w:pPr>
      <w:rPr>
        <w:rFonts w:ascii="Calibri" w:eastAsia="Calibri" w:hAnsi="Calibri" w:cs="Calibri"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1" w15:restartNumberingAfterBreak="0">
    <w:nsid w:val="6A627FD0"/>
    <w:multiLevelType w:val="hybridMultilevel"/>
    <w:tmpl w:val="0DE447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76420D13"/>
    <w:multiLevelType w:val="hybridMultilevel"/>
    <w:tmpl w:val="9598938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AE21539"/>
    <w:multiLevelType w:val="hybridMultilevel"/>
    <w:tmpl w:val="D5582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5"/>
  </w:num>
  <w:num w:numId="3">
    <w:abstractNumId w:val="11"/>
  </w:num>
  <w:num w:numId="4">
    <w:abstractNumId w:val="5"/>
  </w:num>
  <w:num w:numId="5">
    <w:abstractNumId w:val="8"/>
  </w:num>
  <w:num w:numId="6">
    <w:abstractNumId w:val="9"/>
  </w:num>
  <w:num w:numId="7">
    <w:abstractNumId w:val="24"/>
  </w:num>
  <w:num w:numId="8">
    <w:abstractNumId w:val="21"/>
  </w:num>
  <w:num w:numId="9">
    <w:abstractNumId w:val="19"/>
  </w:num>
  <w:num w:numId="10">
    <w:abstractNumId w:val="1"/>
  </w:num>
  <w:num w:numId="1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20"/>
  </w:num>
  <w:num w:numId="14">
    <w:abstractNumId w:val="13"/>
  </w:num>
  <w:num w:numId="15">
    <w:abstractNumId w:val="4"/>
  </w:num>
  <w:num w:numId="16">
    <w:abstractNumId w:val="16"/>
  </w:num>
  <w:num w:numId="17">
    <w:abstractNumId w:val="7"/>
  </w:num>
  <w:num w:numId="18">
    <w:abstractNumId w:val="3"/>
  </w:num>
  <w:num w:numId="19">
    <w:abstractNumId w:val="0"/>
  </w:num>
  <w:num w:numId="20">
    <w:abstractNumId w:val="17"/>
  </w:num>
  <w:num w:numId="21">
    <w:abstractNumId w:val="23"/>
  </w:num>
  <w:num w:numId="22">
    <w:abstractNumId w:val="12"/>
  </w:num>
  <w:num w:numId="23">
    <w:abstractNumId w:val="6"/>
  </w:num>
  <w:num w:numId="24">
    <w:abstractNumId w:val="10"/>
  </w:num>
  <w:num w:numId="25">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proofState w:spelling="clean"/>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numFmt w:val="chicago"/>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361F7"/>
    <w:rsid w:val="00000857"/>
    <w:rsid w:val="00000FDA"/>
    <w:rsid w:val="00001215"/>
    <w:rsid w:val="00001239"/>
    <w:rsid w:val="00001825"/>
    <w:rsid w:val="00001DBE"/>
    <w:rsid w:val="000036F1"/>
    <w:rsid w:val="00003EE8"/>
    <w:rsid w:val="00006925"/>
    <w:rsid w:val="00006B8B"/>
    <w:rsid w:val="0000759B"/>
    <w:rsid w:val="00010471"/>
    <w:rsid w:val="000110AC"/>
    <w:rsid w:val="0001424D"/>
    <w:rsid w:val="000158B4"/>
    <w:rsid w:val="00016194"/>
    <w:rsid w:val="00017715"/>
    <w:rsid w:val="00020508"/>
    <w:rsid w:val="00020FD3"/>
    <w:rsid w:val="00021832"/>
    <w:rsid w:val="00021CC2"/>
    <w:rsid w:val="00021EE8"/>
    <w:rsid w:val="00021FE9"/>
    <w:rsid w:val="00023899"/>
    <w:rsid w:val="00024E16"/>
    <w:rsid w:val="00025A48"/>
    <w:rsid w:val="00026BE5"/>
    <w:rsid w:val="00027BA6"/>
    <w:rsid w:val="00027BEB"/>
    <w:rsid w:val="000315DA"/>
    <w:rsid w:val="00031647"/>
    <w:rsid w:val="00034199"/>
    <w:rsid w:val="00040278"/>
    <w:rsid w:val="00040981"/>
    <w:rsid w:val="0004159C"/>
    <w:rsid w:val="00042D66"/>
    <w:rsid w:val="00045399"/>
    <w:rsid w:val="000457AE"/>
    <w:rsid w:val="00045845"/>
    <w:rsid w:val="00045C1B"/>
    <w:rsid w:val="00046B73"/>
    <w:rsid w:val="00047056"/>
    <w:rsid w:val="00051988"/>
    <w:rsid w:val="00052194"/>
    <w:rsid w:val="00052330"/>
    <w:rsid w:val="00053F90"/>
    <w:rsid w:val="00054272"/>
    <w:rsid w:val="00055A41"/>
    <w:rsid w:val="00056B54"/>
    <w:rsid w:val="00056CC9"/>
    <w:rsid w:val="00057A5C"/>
    <w:rsid w:val="00057A8F"/>
    <w:rsid w:val="00061957"/>
    <w:rsid w:val="00061CB1"/>
    <w:rsid w:val="00061F48"/>
    <w:rsid w:val="00062231"/>
    <w:rsid w:val="00062A93"/>
    <w:rsid w:val="0006315D"/>
    <w:rsid w:val="00063398"/>
    <w:rsid w:val="00063F24"/>
    <w:rsid w:val="000647C0"/>
    <w:rsid w:val="00065C0F"/>
    <w:rsid w:val="00065D70"/>
    <w:rsid w:val="00066C1A"/>
    <w:rsid w:val="00067374"/>
    <w:rsid w:val="00067A78"/>
    <w:rsid w:val="000708BD"/>
    <w:rsid w:val="000710D3"/>
    <w:rsid w:val="00073375"/>
    <w:rsid w:val="000734C8"/>
    <w:rsid w:val="00073BC3"/>
    <w:rsid w:val="0007517C"/>
    <w:rsid w:val="00075251"/>
    <w:rsid w:val="00075492"/>
    <w:rsid w:val="00075540"/>
    <w:rsid w:val="000761F5"/>
    <w:rsid w:val="00076B98"/>
    <w:rsid w:val="00076E75"/>
    <w:rsid w:val="000773DA"/>
    <w:rsid w:val="000804BA"/>
    <w:rsid w:val="00080D27"/>
    <w:rsid w:val="000816D0"/>
    <w:rsid w:val="00081B12"/>
    <w:rsid w:val="0008248F"/>
    <w:rsid w:val="00082F17"/>
    <w:rsid w:val="00083027"/>
    <w:rsid w:val="00083331"/>
    <w:rsid w:val="0008343C"/>
    <w:rsid w:val="000834AF"/>
    <w:rsid w:val="00083D5E"/>
    <w:rsid w:val="00084A7D"/>
    <w:rsid w:val="00084E70"/>
    <w:rsid w:val="000867DC"/>
    <w:rsid w:val="00086E32"/>
    <w:rsid w:val="000870F6"/>
    <w:rsid w:val="00087302"/>
    <w:rsid w:val="00087331"/>
    <w:rsid w:val="00087E96"/>
    <w:rsid w:val="00087FA3"/>
    <w:rsid w:val="0009117E"/>
    <w:rsid w:val="00091B98"/>
    <w:rsid w:val="00091C8A"/>
    <w:rsid w:val="00093F56"/>
    <w:rsid w:val="0009449D"/>
    <w:rsid w:val="00094A5D"/>
    <w:rsid w:val="00094DEA"/>
    <w:rsid w:val="000955C4"/>
    <w:rsid w:val="00095AD3"/>
    <w:rsid w:val="000A0327"/>
    <w:rsid w:val="000A21D8"/>
    <w:rsid w:val="000A36DD"/>
    <w:rsid w:val="000A3C08"/>
    <w:rsid w:val="000A471A"/>
    <w:rsid w:val="000A55D4"/>
    <w:rsid w:val="000A7B1E"/>
    <w:rsid w:val="000B3299"/>
    <w:rsid w:val="000B565C"/>
    <w:rsid w:val="000B69C4"/>
    <w:rsid w:val="000B6D1E"/>
    <w:rsid w:val="000B7E80"/>
    <w:rsid w:val="000C1B39"/>
    <w:rsid w:val="000C358C"/>
    <w:rsid w:val="000C39EA"/>
    <w:rsid w:val="000C4244"/>
    <w:rsid w:val="000C47BF"/>
    <w:rsid w:val="000C498F"/>
    <w:rsid w:val="000C4C01"/>
    <w:rsid w:val="000C5611"/>
    <w:rsid w:val="000C632B"/>
    <w:rsid w:val="000C63C5"/>
    <w:rsid w:val="000C6F99"/>
    <w:rsid w:val="000C7651"/>
    <w:rsid w:val="000D19CD"/>
    <w:rsid w:val="000D1B18"/>
    <w:rsid w:val="000D21E2"/>
    <w:rsid w:val="000D2A94"/>
    <w:rsid w:val="000D3990"/>
    <w:rsid w:val="000D47D9"/>
    <w:rsid w:val="000D52C0"/>
    <w:rsid w:val="000D59E3"/>
    <w:rsid w:val="000D5DFA"/>
    <w:rsid w:val="000D6052"/>
    <w:rsid w:val="000D62C5"/>
    <w:rsid w:val="000D7C8F"/>
    <w:rsid w:val="000E0152"/>
    <w:rsid w:val="000E13E3"/>
    <w:rsid w:val="000E2279"/>
    <w:rsid w:val="000E3102"/>
    <w:rsid w:val="000E3AC1"/>
    <w:rsid w:val="000E4BBD"/>
    <w:rsid w:val="000E4BCD"/>
    <w:rsid w:val="000E639C"/>
    <w:rsid w:val="000E7581"/>
    <w:rsid w:val="000F0538"/>
    <w:rsid w:val="000F1E63"/>
    <w:rsid w:val="000F4B50"/>
    <w:rsid w:val="000F4C3D"/>
    <w:rsid w:val="000F57F2"/>
    <w:rsid w:val="000F5FE4"/>
    <w:rsid w:val="000F757F"/>
    <w:rsid w:val="00100ACC"/>
    <w:rsid w:val="00101E9C"/>
    <w:rsid w:val="001020DB"/>
    <w:rsid w:val="001031E2"/>
    <w:rsid w:val="001032BA"/>
    <w:rsid w:val="001032D6"/>
    <w:rsid w:val="001036C1"/>
    <w:rsid w:val="001054D7"/>
    <w:rsid w:val="00105D24"/>
    <w:rsid w:val="00105E44"/>
    <w:rsid w:val="00110248"/>
    <w:rsid w:val="0011044A"/>
    <w:rsid w:val="00110756"/>
    <w:rsid w:val="00110D16"/>
    <w:rsid w:val="00111E05"/>
    <w:rsid w:val="00112895"/>
    <w:rsid w:val="001136F0"/>
    <w:rsid w:val="00114BF2"/>
    <w:rsid w:val="00115BEE"/>
    <w:rsid w:val="00117C64"/>
    <w:rsid w:val="00120A67"/>
    <w:rsid w:val="00120B5F"/>
    <w:rsid w:val="00121200"/>
    <w:rsid w:val="001218E5"/>
    <w:rsid w:val="001225B7"/>
    <w:rsid w:val="00122847"/>
    <w:rsid w:val="00122E72"/>
    <w:rsid w:val="001236A4"/>
    <w:rsid w:val="0012372F"/>
    <w:rsid w:val="00123908"/>
    <w:rsid w:val="001243FA"/>
    <w:rsid w:val="00125716"/>
    <w:rsid w:val="00125CE8"/>
    <w:rsid w:val="00131534"/>
    <w:rsid w:val="00132821"/>
    <w:rsid w:val="00133D1F"/>
    <w:rsid w:val="00133FF6"/>
    <w:rsid w:val="00134325"/>
    <w:rsid w:val="001355BF"/>
    <w:rsid w:val="00135C00"/>
    <w:rsid w:val="00135CC2"/>
    <w:rsid w:val="00135D0C"/>
    <w:rsid w:val="00136AC2"/>
    <w:rsid w:val="00137F31"/>
    <w:rsid w:val="00137F3D"/>
    <w:rsid w:val="00137F5E"/>
    <w:rsid w:val="00140A1B"/>
    <w:rsid w:val="00140F99"/>
    <w:rsid w:val="00141ADC"/>
    <w:rsid w:val="00141C60"/>
    <w:rsid w:val="0014253C"/>
    <w:rsid w:val="0014305D"/>
    <w:rsid w:val="00146391"/>
    <w:rsid w:val="00146558"/>
    <w:rsid w:val="00146721"/>
    <w:rsid w:val="001469F9"/>
    <w:rsid w:val="00146AA4"/>
    <w:rsid w:val="00147033"/>
    <w:rsid w:val="001473AD"/>
    <w:rsid w:val="00147826"/>
    <w:rsid w:val="001479BA"/>
    <w:rsid w:val="00150097"/>
    <w:rsid w:val="00150C61"/>
    <w:rsid w:val="00152DB4"/>
    <w:rsid w:val="00153063"/>
    <w:rsid w:val="001531AA"/>
    <w:rsid w:val="001542A6"/>
    <w:rsid w:val="001547AD"/>
    <w:rsid w:val="00156128"/>
    <w:rsid w:val="00157297"/>
    <w:rsid w:val="001601AD"/>
    <w:rsid w:val="00160343"/>
    <w:rsid w:val="0016069A"/>
    <w:rsid w:val="00161062"/>
    <w:rsid w:val="00162FB0"/>
    <w:rsid w:val="00163269"/>
    <w:rsid w:val="001633D3"/>
    <w:rsid w:val="0016444C"/>
    <w:rsid w:val="00164ED6"/>
    <w:rsid w:val="00164F24"/>
    <w:rsid w:val="00165D4D"/>
    <w:rsid w:val="001667BD"/>
    <w:rsid w:val="00167084"/>
    <w:rsid w:val="0017192A"/>
    <w:rsid w:val="00171C1F"/>
    <w:rsid w:val="001720CF"/>
    <w:rsid w:val="00173652"/>
    <w:rsid w:val="00173DFD"/>
    <w:rsid w:val="00173E11"/>
    <w:rsid w:val="00173FA6"/>
    <w:rsid w:val="00175D3A"/>
    <w:rsid w:val="00175FE6"/>
    <w:rsid w:val="00177FC5"/>
    <w:rsid w:val="00180126"/>
    <w:rsid w:val="00180E36"/>
    <w:rsid w:val="001818C8"/>
    <w:rsid w:val="0018358E"/>
    <w:rsid w:val="00183EF3"/>
    <w:rsid w:val="001846D0"/>
    <w:rsid w:val="001849CF"/>
    <w:rsid w:val="001900ED"/>
    <w:rsid w:val="00190B3D"/>
    <w:rsid w:val="00190C77"/>
    <w:rsid w:val="00190D08"/>
    <w:rsid w:val="00190DFE"/>
    <w:rsid w:val="00192F8D"/>
    <w:rsid w:val="0019328A"/>
    <w:rsid w:val="00194486"/>
    <w:rsid w:val="00194682"/>
    <w:rsid w:val="001948C2"/>
    <w:rsid w:val="0019491B"/>
    <w:rsid w:val="00195483"/>
    <w:rsid w:val="00195717"/>
    <w:rsid w:val="00196470"/>
    <w:rsid w:val="00196F20"/>
    <w:rsid w:val="0019740A"/>
    <w:rsid w:val="00197675"/>
    <w:rsid w:val="00197CD0"/>
    <w:rsid w:val="00197CF7"/>
    <w:rsid w:val="001A0B1E"/>
    <w:rsid w:val="001A28FE"/>
    <w:rsid w:val="001A2F1C"/>
    <w:rsid w:val="001A2FF5"/>
    <w:rsid w:val="001A73AC"/>
    <w:rsid w:val="001A741F"/>
    <w:rsid w:val="001A7B82"/>
    <w:rsid w:val="001B062D"/>
    <w:rsid w:val="001B11C8"/>
    <w:rsid w:val="001B1CB4"/>
    <w:rsid w:val="001B4281"/>
    <w:rsid w:val="001B457A"/>
    <w:rsid w:val="001B5424"/>
    <w:rsid w:val="001B5E24"/>
    <w:rsid w:val="001B6935"/>
    <w:rsid w:val="001B71EE"/>
    <w:rsid w:val="001C101A"/>
    <w:rsid w:val="001C15F6"/>
    <w:rsid w:val="001C17C4"/>
    <w:rsid w:val="001C17D4"/>
    <w:rsid w:val="001C2B3F"/>
    <w:rsid w:val="001C3CC4"/>
    <w:rsid w:val="001C401F"/>
    <w:rsid w:val="001C5151"/>
    <w:rsid w:val="001C5FF7"/>
    <w:rsid w:val="001C6262"/>
    <w:rsid w:val="001C6FCD"/>
    <w:rsid w:val="001C7FAE"/>
    <w:rsid w:val="001D2C74"/>
    <w:rsid w:val="001D3D7B"/>
    <w:rsid w:val="001E0B66"/>
    <w:rsid w:val="001E1209"/>
    <w:rsid w:val="001E3EE1"/>
    <w:rsid w:val="001E6038"/>
    <w:rsid w:val="001E6370"/>
    <w:rsid w:val="001E799C"/>
    <w:rsid w:val="001F0231"/>
    <w:rsid w:val="001F1303"/>
    <w:rsid w:val="001F1DA2"/>
    <w:rsid w:val="001F1DE9"/>
    <w:rsid w:val="001F24B6"/>
    <w:rsid w:val="001F3EBE"/>
    <w:rsid w:val="001F4E0E"/>
    <w:rsid w:val="001F4EC9"/>
    <w:rsid w:val="001F590A"/>
    <w:rsid w:val="001F6982"/>
    <w:rsid w:val="001F703D"/>
    <w:rsid w:val="001F73DE"/>
    <w:rsid w:val="00200E87"/>
    <w:rsid w:val="00201774"/>
    <w:rsid w:val="00201860"/>
    <w:rsid w:val="00201DAA"/>
    <w:rsid w:val="00202C9A"/>
    <w:rsid w:val="00202D37"/>
    <w:rsid w:val="002043FC"/>
    <w:rsid w:val="00204F59"/>
    <w:rsid w:val="00205B9A"/>
    <w:rsid w:val="00205D8B"/>
    <w:rsid w:val="00205EAF"/>
    <w:rsid w:val="002067A2"/>
    <w:rsid w:val="002076C2"/>
    <w:rsid w:val="00210590"/>
    <w:rsid w:val="002106E1"/>
    <w:rsid w:val="002106ED"/>
    <w:rsid w:val="00215285"/>
    <w:rsid w:val="00215987"/>
    <w:rsid w:val="002164D8"/>
    <w:rsid w:val="00216B15"/>
    <w:rsid w:val="0021718D"/>
    <w:rsid w:val="00217F2E"/>
    <w:rsid w:val="002201C1"/>
    <w:rsid w:val="002214BF"/>
    <w:rsid w:val="00221A15"/>
    <w:rsid w:val="00221AE6"/>
    <w:rsid w:val="002223C2"/>
    <w:rsid w:val="00223789"/>
    <w:rsid w:val="00223E88"/>
    <w:rsid w:val="00223F2E"/>
    <w:rsid w:val="002240F3"/>
    <w:rsid w:val="00224ECC"/>
    <w:rsid w:val="002259D0"/>
    <w:rsid w:val="00227192"/>
    <w:rsid w:val="00227213"/>
    <w:rsid w:val="00230019"/>
    <w:rsid w:val="0023012B"/>
    <w:rsid w:val="002309F0"/>
    <w:rsid w:val="00230A90"/>
    <w:rsid w:val="0023102D"/>
    <w:rsid w:val="002312A4"/>
    <w:rsid w:val="00232F53"/>
    <w:rsid w:val="00234B24"/>
    <w:rsid w:val="00235A20"/>
    <w:rsid w:val="00235FDB"/>
    <w:rsid w:val="00236AA8"/>
    <w:rsid w:val="00237B6F"/>
    <w:rsid w:val="00241112"/>
    <w:rsid w:val="00241ABA"/>
    <w:rsid w:val="00241B7E"/>
    <w:rsid w:val="00242CE2"/>
    <w:rsid w:val="00243DC2"/>
    <w:rsid w:val="0024455E"/>
    <w:rsid w:val="00244F69"/>
    <w:rsid w:val="00246837"/>
    <w:rsid w:val="00247F87"/>
    <w:rsid w:val="002518D2"/>
    <w:rsid w:val="002526F7"/>
    <w:rsid w:val="0025362F"/>
    <w:rsid w:val="002538ED"/>
    <w:rsid w:val="00255F76"/>
    <w:rsid w:val="002579A0"/>
    <w:rsid w:val="002607F3"/>
    <w:rsid w:val="00261353"/>
    <w:rsid w:val="00261EF6"/>
    <w:rsid w:val="00261F70"/>
    <w:rsid w:val="002621FF"/>
    <w:rsid w:val="00263EEA"/>
    <w:rsid w:val="002648D9"/>
    <w:rsid w:val="00264B95"/>
    <w:rsid w:val="002666EF"/>
    <w:rsid w:val="00267909"/>
    <w:rsid w:val="0027054C"/>
    <w:rsid w:val="00271467"/>
    <w:rsid w:val="0027235C"/>
    <w:rsid w:val="002729C4"/>
    <w:rsid w:val="00273551"/>
    <w:rsid w:val="0027414C"/>
    <w:rsid w:val="00274C62"/>
    <w:rsid w:val="002761FB"/>
    <w:rsid w:val="00276C2C"/>
    <w:rsid w:val="00280103"/>
    <w:rsid w:val="00281EB7"/>
    <w:rsid w:val="00282694"/>
    <w:rsid w:val="00282F61"/>
    <w:rsid w:val="00284421"/>
    <w:rsid w:val="002852B9"/>
    <w:rsid w:val="00285A32"/>
    <w:rsid w:val="00286309"/>
    <w:rsid w:val="002866E8"/>
    <w:rsid w:val="00286987"/>
    <w:rsid w:val="00287769"/>
    <w:rsid w:val="00290736"/>
    <w:rsid w:val="00290E8E"/>
    <w:rsid w:val="00290FF7"/>
    <w:rsid w:val="00291CF7"/>
    <w:rsid w:val="00292686"/>
    <w:rsid w:val="00292AB5"/>
    <w:rsid w:val="0029315B"/>
    <w:rsid w:val="00293799"/>
    <w:rsid w:val="0029411B"/>
    <w:rsid w:val="002946A4"/>
    <w:rsid w:val="002952E1"/>
    <w:rsid w:val="002958F9"/>
    <w:rsid w:val="00295A80"/>
    <w:rsid w:val="00296E15"/>
    <w:rsid w:val="00297B83"/>
    <w:rsid w:val="00297FA3"/>
    <w:rsid w:val="002A0AD7"/>
    <w:rsid w:val="002A29D4"/>
    <w:rsid w:val="002A3DB9"/>
    <w:rsid w:val="002A62C3"/>
    <w:rsid w:val="002A6AD4"/>
    <w:rsid w:val="002A75D2"/>
    <w:rsid w:val="002A7B32"/>
    <w:rsid w:val="002B04E1"/>
    <w:rsid w:val="002B0BA9"/>
    <w:rsid w:val="002B2653"/>
    <w:rsid w:val="002B276E"/>
    <w:rsid w:val="002B364B"/>
    <w:rsid w:val="002B39D5"/>
    <w:rsid w:val="002B4D54"/>
    <w:rsid w:val="002B51AC"/>
    <w:rsid w:val="002B6BF2"/>
    <w:rsid w:val="002B71A5"/>
    <w:rsid w:val="002B7A18"/>
    <w:rsid w:val="002C041B"/>
    <w:rsid w:val="002C106E"/>
    <w:rsid w:val="002C145E"/>
    <w:rsid w:val="002C1AD7"/>
    <w:rsid w:val="002C1C5A"/>
    <w:rsid w:val="002C3B6F"/>
    <w:rsid w:val="002C3C7E"/>
    <w:rsid w:val="002C3DE0"/>
    <w:rsid w:val="002C4854"/>
    <w:rsid w:val="002C4988"/>
    <w:rsid w:val="002C64F0"/>
    <w:rsid w:val="002C6E28"/>
    <w:rsid w:val="002C7BC1"/>
    <w:rsid w:val="002D0A17"/>
    <w:rsid w:val="002D182B"/>
    <w:rsid w:val="002D1B45"/>
    <w:rsid w:val="002D1F31"/>
    <w:rsid w:val="002D3847"/>
    <w:rsid w:val="002D3AFB"/>
    <w:rsid w:val="002D3D98"/>
    <w:rsid w:val="002D4E8F"/>
    <w:rsid w:val="002D572D"/>
    <w:rsid w:val="002D76D2"/>
    <w:rsid w:val="002E0FB3"/>
    <w:rsid w:val="002E1F10"/>
    <w:rsid w:val="002E20C2"/>
    <w:rsid w:val="002E21B0"/>
    <w:rsid w:val="002E29E7"/>
    <w:rsid w:val="002E4747"/>
    <w:rsid w:val="002E6394"/>
    <w:rsid w:val="002E6F09"/>
    <w:rsid w:val="002E732C"/>
    <w:rsid w:val="002E78BC"/>
    <w:rsid w:val="002F0B0B"/>
    <w:rsid w:val="002F0F16"/>
    <w:rsid w:val="002F13D0"/>
    <w:rsid w:val="002F1ADD"/>
    <w:rsid w:val="002F4E48"/>
    <w:rsid w:val="002F5F4D"/>
    <w:rsid w:val="002F67C2"/>
    <w:rsid w:val="002F6F9D"/>
    <w:rsid w:val="003027C8"/>
    <w:rsid w:val="00302A97"/>
    <w:rsid w:val="00303028"/>
    <w:rsid w:val="00303875"/>
    <w:rsid w:val="00303A46"/>
    <w:rsid w:val="00303C1F"/>
    <w:rsid w:val="00304298"/>
    <w:rsid w:val="00304DC0"/>
    <w:rsid w:val="00305D34"/>
    <w:rsid w:val="00305F4D"/>
    <w:rsid w:val="00307020"/>
    <w:rsid w:val="00307E56"/>
    <w:rsid w:val="00310403"/>
    <w:rsid w:val="00310C4A"/>
    <w:rsid w:val="00310D31"/>
    <w:rsid w:val="00311789"/>
    <w:rsid w:val="00312706"/>
    <w:rsid w:val="00312D33"/>
    <w:rsid w:val="0031308F"/>
    <w:rsid w:val="00313C56"/>
    <w:rsid w:val="00313CFE"/>
    <w:rsid w:val="0031425D"/>
    <w:rsid w:val="00314490"/>
    <w:rsid w:val="003157E5"/>
    <w:rsid w:val="00315A08"/>
    <w:rsid w:val="00317608"/>
    <w:rsid w:val="00317EB4"/>
    <w:rsid w:val="00317F48"/>
    <w:rsid w:val="00320BC8"/>
    <w:rsid w:val="003214DD"/>
    <w:rsid w:val="00321707"/>
    <w:rsid w:val="00321A55"/>
    <w:rsid w:val="00322050"/>
    <w:rsid w:val="00323B77"/>
    <w:rsid w:val="003261F7"/>
    <w:rsid w:val="00326615"/>
    <w:rsid w:val="003276BC"/>
    <w:rsid w:val="00327E72"/>
    <w:rsid w:val="00330F0B"/>
    <w:rsid w:val="00331A3A"/>
    <w:rsid w:val="00333217"/>
    <w:rsid w:val="00335660"/>
    <w:rsid w:val="00336533"/>
    <w:rsid w:val="003367E0"/>
    <w:rsid w:val="003374E0"/>
    <w:rsid w:val="00341882"/>
    <w:rsid w:val="00341C60"/>
    <w:rsid w:val="0034247C"/>
    <w:rsid w:val="003427C0"/>
    <w:rsid w:val="0034354A"/>
    <w:rsid w:val="00343A2F"/>
    <w:rsid w:val="00345CE7"/>
    <w:rsid w:val="003460CA"/>
    <w:rsid w:val="0034687F"/>
    <w:rsid w:val="0035139C"/>
    <w:rsid w:val="0035140D"/>
    <w:rsid w:val="00352189"/>
    <w:rsid w:val="003521AD"/>
    <w:rsid w:val="003530DA"/>
    <w:rsid w:val="003531AC"/>
    <w:rsid w:val="003536CA"/>
    <w:rsid w:val="00354230"/>
    <w:rsid w:val="00354E8A"/>
    <w:rsid w:val="00355A6E"/>
    <w:rsid w:val="00355D12"/>
    <w:rsid w:val="003560F8"/>
    <w:rsid w:val="003566C3"/>
    <w:rsid w:val="00357492"/>
    <w:rsid w:val="00361736"/>
    <w:rsid w:val="00363652"/>
    <w:rsid w:val="00363A69"/>
    <w:rsid w:val="00364844"/>
    <w:rsid w:val="00364A69"/>
    <w:rsid w:val="003656B5"/>
    <w:rsid w:val="003657F7"/>
    <w:rsid w:val="00366C9C"/>
    <w:rsid w:val="00366DB4"/>
    <w:rsid w:val="00366EF6"/>
    <w:rsid w:val="003672AD"/>
    <w:rsid w:val="00367D46"/>
    <w:rsid w:val="00370DD4"/>
    <w:rsid w:val="003714E2"/>
    <w:rsid w:val="003726ED"/>
    <w:rsid w:val="00372849"/>
    <w:rsid w:val="003733CE"/>
    <w:rsid w:val="00373729"/>
    <w:rsid w:val="00373993"/>
    <w:rsid w:val="003753D9"/>
    <w:rsid w:val="0037642B"/>
    <w:rsid w:val="0038016E"/>
    <w:rsid w:val="00381577"/>
    <w:rsid w:val="0038181F"/>
    <w:rsid w:val="00382B2A"/>
    <w:rsid w:val="00383E98"/>
    <w:rsid w:val="00384CBA"/>
    <w:rsid w:val="003857A4"/>
    <w:rsid w:val="00385B7E"/>
    <w:rsid w:val="00386FFB"/>
    <w:rsid w:val="0039058F"/>
    <w:rsid w:val="00390BE4"/>
    <w:rsid w:val="003914B8"/>
    <w:rsid w:val="0039243A"/>
    <w:rsid w:val="00392ED5"/>
    <w:rsid w:val="00392EFB"/>
    <w:rsid w:val="00392F53"/>
    <w:rsid w:val="00393073"/>
    <w:rsid w:val="0039451F"/>
    <w:rsid w:val="00395F40"/>
    <w:rsid w:val="003961CF"/>
    <w:rsid w:val="00396DB1"/>
    <w:rsid w:val="0039712C"/>
    <w:rsid w:val="003A1996"/>
    <w:rsid w:val="003A272B"/>
    <w:rsid w:val="003A373F"/>
    <w:rsid w:val="003A3841"/>
    <w:rsid w:val="003A55B7"/>
    <w:rsid w:val="003A6393"/>
    <w:rsid w:val="003A6706"/>
    <w:rsid w:val="003A6CD7"/>
    <w:rsid w:val="003A76B1"/>
    <w:rsid w:val="003B03A1"/>
    <w:rsid w:val="003B08F0"/>
    <w:rsid w:val="003B112D"/>
    <w:rsid w:val="003B187C"/>
    <w:rsid w:val="003B1C2E"/>
    <w:rsid w:val="003B30B2"/>
    <w:rsid w:val="003B4327"/>
    <w:rsid w:val="003B4964"/>
    <w:rsid w:val="003B4C50"/>
    <w:rsid w:val="003B5366"/>
    <w:rsid w:val="003B5A3B"/>
    <w:rsid w:val="003B5BD9"/>
    <w:rsid w:val="003B665E"/>
    <w:rsid w:val="003B70F8"/>
    <w:rsid w:val="003B7160"/>
    <w:rsid w:val="003B7CBA"/>
    <w:rsid w:val="003B7F0F"/>
    <w:rsid w:val="003C053B"/>
    <w:rsid w:val="003C11BB"/>
    <w:rsid w:val="003C1253"/>
    <w:rsid w:val="003C20D3"/>
    <w:rsid w:val="003C2301"/>
    <w:rsid w:val="003C26FA"/>
    <w:rsid w:val="003C2775"/>
    <w:rsid w:val="003C2F5E"/>
    <w:rsid w:val="003C637E"/>
    <w:rsid w:val="003C7202"/>
    <w:rsid w:val="003C74B3"/>
    <w:rsid w:val="003D02F1"/>
    <w:rsid w:val="003D04AB"/>
    <w:rsid w:val="003D063F"/>
    <w:rsid w:val="003D13A1"/>
    <w:rsid w:val="003D266A"/>
    <w:rsid w:val="003D2687"/>
    <w:rsid w:val="003D39BE"/>
    <w:rsid w:val="003D46BE"/>
    <w:rsid w:val="003D46D1"/>
    <w:rsid w:val="003D4AF3"/>
    <w:rsid w:val="003D4B3A"/>
    <w:rsid w:val="003D4BC8"/>
    <w:rsid w:val="003D4DD1"/>
    <w:rsid w:val="003D4F68"/>
    <w:rsid w:val="003D51BD"/>
    <w:rsid w:val="003D5B75"/>
    <w:rsid w:val="003D76D4"/>
    <w:rsid w:val="003D7971"/>
    <w:rsid w:val="003D7BD4"/>
    <w:rsid w:val="003E23AB"/>
    <w:rsid w:val="003E2F37"/>
    <w:rsid w:val="003E30AE"/>
    <w:rsid w:val="003E4EF1"/>
    <w:rsid w:val="003E577B"/>
    <w:rsid w:val="003E5B41"/>
    <w:rsid w:val="003F0199"/>
    <w:rsid w:val="003F10BD"/>
    <w:rsid w:val="003F17AD"/>
    <w:rsid w:val="003F1D19"/>
    <w:rsid w:val="003F1D8E"/>
    <w:rsid w:val="003F22F5"/>
    <w:rsid w:val="003F2EE5"/>
    <w:rsid w:val="003F47CB"/>
    <w:rsid w:val="003F4D51"/>
    <w:rsid w:val="003F50B7"/>
    <w:rsid w:val="003F5555"/>
    <w:rsid w:val="003F5F57"/>
    <w:rsid w:val="003F698B"/>
    <w:rsid w:val="003F7051"/>
    <w:rsid w:val="003F7D6F"/>
    <w:rsid w:val="004006F8"/>
    <w:rsid w:val="004009C0"/>
    <w:rsid w:val="00401EDB"/>
    <w:rsid w:val="00402D16"/>
    <w:rsid w:val="004036E8"/>
    <w:rsid w:val="00404D0B"/>
    <w:rsid w:val="00405104"/>
    <w:rsid w:val="004063B2"/>
    <w:rsid w:val="004064E9"/>
    <w:rsid w:val="0041168B"/>
    <w:rsid w:val="004120B8"/>
    <w:rsid w:val="004141EB"/>
    <w:rsid w:val="00414ACF"/>
    <w:rsid w:val="0041507C"/>
    <w:rsid w:val="0041604B"/>
    <w:rsid w:val="00416EEA"/>
    <w:rsid w:val="004170CE"/>
    <w:rsid w:val="004171DB"/>
    <w:rsid w:val="00421346"/>
    <w:rsid w:val="00421401"/>
    <w:rsid w:val="004215AC"/>
    <w:rsid w:val="0042233F"/>
    <w:rsid w:val="00423D8A"/>
    <w:rsid w:val="004244F2"/>
    <w:rsid w:val="00425206"/>
    <w:rsid w:val="00425CF2"/>
    <w:rsid w:val="00426912"/>
    <w:rsid w:val="0042691E"/>
    <w:rsid w:val="004269C1"/>
    <w:rsid w:val="00427F43"/>
    <w:rsid w:val="00430C8E"/>
    <w:rsid w:val="004320D4"/>
    <w:rsid w:val="00432B61"/>
    <w:rsid w:val="00433B31"/>
    <w:rsid w:val="00433CA0"/>
    <w:rsid w:val="00434D2E"/>
    <w:rsid w:val="00435207"/>
    <w:rsid w:val="00435E41"/>
    <w:rsid w:val="0043623D"/>
    <w:rsid w:val="004366E0"/>
    <w:rsid w:val="00437807"/>
    <w:rsid w:val="00437A20"/>
    <w:rsid w:val="00437E50"/>
    <w:rsid w:val="00437F6B"/>
    <w:rsid w:val="004406C3"/>
    <w:rsid w:val="00440B68"/>
    <w:rsid w:val="004431C3"/>
    <w:rsid w:val="00444567"/>
    <w:rsid w:val="00444947"/>
    <w:rsid w:val="00444F89"/>
    <w:rsid w:val="00445DD0"/>
    <w:rsid w:val="0044680C"/>
    <w:rsid w:val="00446E61"/>
    <w:rsid w:val="00447636"/>
    <w:rsid w:val="00450D8B"/>
    <w:rsid w:val="00450E40"/>
    <w:rsid w:val="00450F30"/>
    <w:rsid w:val="00451275"/>
    <w:rsid w:val="004514D8"/>
    <w:rsid w:val="004517BF"/>
    <w:rsid w:val="0045256C"/>
    <w:rsid w:val="00452697"/>
    <w:rsid w:val="004530CB"/>
    <w:rsid w:val="004544F0"/>
    <w:rsid w:val="004546B9"/>
    <w:rsid w:val="004549B7"/>
    <w:rsid w:val="00455435"/>
    <w:rsid w:val="00456650"/>
    <w:rsid w:val="00456FAC"/>
    <w:rsid w:val="004570C2"/>
    <w:rsid w:val="004572F5"/>
    <w:rsid w:val="0045783B"/>
    <w:rsid w:val="0045794A"/>
    <w:rsid w:val="0046067E"/>
    <w:rsid w:val="004607C3"/>
    <w:rsid w:val="00460945"/>
    <w:rsid w:val="00460F5C"/>
    <w:rsid w:val="00463383"/>
    <w:rsid w:val="00463C56"/>
    <w:rsid w:val="004657D9"/>
    <w:rsid w:val="0046657C"/>
    <w:rsid w:val="004671D5"/>
    <w:rsid w:val="004702BE"/>
    <w:rsid w:val="004706A4"/>
    <w:rsid w:val="004709F4"/>
    <w:rsid w:val="00471ADC"/>
    <w:rsid w:val="004724D3"/>
    <w:rsid w:val="004726AB"/>
    <w:rsid w:val="004727F8"/>
    <w:rsid w:val="004731A6"/>
    <w:rsid w:val="00473714"/>
    <w:rsid w:val="00474A6D"/>
    <w:rsid w:val="00474EA4"/>
    <w:rsid w:val="004750C2"/>
    <w:rsid w:val="004755C2"/>
    <w:rsid w:val="00475787"/>
    <w:rsid w:val="00476CB2"/>
    <w:rsid w:val="0047741B"/>
    <w:rsid w:val="00480132"/>
    <w:rsid w:val="004804B7"/>
    <w:rsid w:val="00480C37"/>
    <w:rsid w:val="00480C51"/>
    <w:rsid w:val="00480CF0"/>
    <w:rsid w:val="0048132D"/>
    <w:rsid w:val="004819C0"/>
    <w:rsid w:val="00481D56"/>
    <w:rsid w:val="00482252"/>
    <w:rsid w:val="004828F8"/>
    <w:rsid w:val="004837E5"/>
    <w:rsid w:val="00483DAC"/>
    <w:rsid w:val="00484723"/>
    <w:rsid w:val="00486335"/>
    <w:rsid w:val="00490857"/>
    <w:rsid w:val="00491024"/>
    <w:rsid w:val="004912B8"/>
    <w:rsid w:val="00491813"/>
    <w:rsid w:val="00492483"/>
    <w:rsid w:val="0049335A"/>
    <w:rsid w:val="00493ACB"/>
    <w:rsid w:val="00494DC2"/>
    <w:rsid w:val="004963EA"/>
    <w:rsid w:val="00496643"/>
    <w:rsid w:val="004973F5"/>
    <w:rsid w:val="00497F15"/>
    <w:rsid w:val="004A0FE0"/>
    <w:rsid w:val="004A1878"/>
    <w:rsid w:val="004A2CB8"/>
    <w:rsid w:val="004A35DC"/>
    <w:rsid w:val="004A440A"/>
    <w:rsid w:val="004A4436"/>
    <w:rsid w:val="004A5716"/>
    <w:rsid w:val="004A6738"/>
    <w:rsid w:val="004A7655"/>
    <w:rsid w:val="004B0426"/>
    <w:rsid w:val="004B05A5"/>
    <w:rsid w:val="004B168A"/>
    <w:rsid w:val="004B1775"/>
    <w:rsid w:val="004B44C4"/>
    <w:rsid w:val="004B45F3"/>
    <w:rsid w:val="004B4948"/>
    <w:rsid w:val="004B4EC9"/>
    <w:rsid w:val="004B6601"/>
    <w:rsid w:val="004C00AD"/>
    <w:rsid w:val="004C0CB8"/>
    <w:rsid w:val="004C150F"/>
    <w:rsid w:val="004C15AF"/>
    <w:rsid w:val="004C1910"/>
    <w:rsid w:val="004C2B58"/>
    <w:rsid w:val="004C33A5"/>
    <w:rsid w:val="004C3696"/>
    <w:rsid w:val="004C3C8D"/>
    <w:rsid w:val="004C4198"/>
    <w:rsid w:val="004C41F5"/>
    <w:rsid w:val="004C45F5"/>
    <w:rsid w:val="004C468A"/>
    <w:rsid w:val="004C605B"/>
    <w:rsid w:val="004C60CF"/>
    <w:rsid w:val="004C6DA0"/>
    <w:rsid w:val="004C6DC5"/>
    <w:rsid w:val="004D03A8"/>
    <w:rsid w:val="004D2EC3"/>
    <w:rsid w:val="004D3E46"/>
    <w:rsid w:val="004D44EA"/>
    <w:rsid w:val="004D4CEF"/>
    <w:rsid w:val="004D56D8"/>
    <w:rsid w:val="004D662F"/>
    <w:rsid w:val="004E01EA"/>
    <w:rsid w:val="004E2D81"/>
    <w:rsid w:val="004E2EA2"/>
    <w:rsid w:val="004E2FB9"/>
    <w:rsid w:val="004E470A"/>
    <w:rsid w:val="004E59E5"/>
    <w:rsid w:val="004E5A17"/>
    <w:rsid w:val="004E7930"/>
    <w:rsid w:val="004E7F30"/>
    <w:rsid w:val="004F16E7"/>
    <w:rsid w:val="004F2271"/>
    <w:rsid w:val="004F354A"/>
    <w:rsid w:val="004F4BA5"/>
    <w:rsid w:val="004F5E1C"/>
    <w:rsid w:val="004F6594"/>
    <w:rsid w:val="004F6810"/>
    <w:rsid w:val="004F6D51"/>
    <w:rsid w:val="004F72EE"/>
    <w:rsid w:val="004F778F"/>
    <w:rsid w:val="0050043D"/>
    <w:rsid w:val="0050174D"/>
    <w:rsid w:val="00501B78"/>
    <w:rsid w:val="005021AD"/>
    <w:rsid w:val="00502AD7"/>
    <w:rsid w:val="00503D6B"/>
    <w:rsid w:val="005053B9"/>
    <w:rsid w:val="005061FA"/>
    <w:rsid w:val="005066EB"/>
    <w:rsid w:val="00511316"/>
    <w:rsid w:val="00511BDD"/>
    <w:rsid w:val="00512A49"/>
    <w:rsid w:val="00513927"/>
    <w:rsid w:val="005140CF"/>
    <w:rsid w:val="0051580B"/>
    <w:rsid w:val="00515E0F"/>
    <w:rsid w:val="00516D9D"/>
    <w:rsid w:val="00517038"/>
    <w:rsid w:val="00517CB2"/>
    <w:rsid w:val="00522ED6"/>
    <w:rsid w:val="00524312"/>
    <w:rsid w:val="00524DCF"/>
    <w:rsid w:val="00525055"/>
    <w:rsid w:val="00525433"/>
    <w:rsid w:val="0052558F"/>
    <w:rsid w:val="0052566B"/>
    <w:rsid w:val="00525D28"/>
    <w:rsid w:val="005273BD"/>
    <w:rsid w:val="005306FF"/>
    <w:rsid w:val="00533CE0"/>
    <w:rsid w:val="00535C64"/>
    <w:rsid w:val="00535F46"/>
    <w:rsid w:val="005362A1"/>
    <w:rsid w:val="005365C9"/>
    <w:rsid w:val="0054126A"/>
    <w:rsid w:val="00541BFD"/>
    <w:rsid w:val="0054263A"/>
    <w:rsid w:val="00543AAF"/>
    <w:rsid w:val="00544119"/>
    <w:rsid w:val="0054455E"/>
    <w:rsid w:val="00544883"/>
    <w:rsid w:val="0054509E"/>
    <w:rsid w:val="00545B11"/>
    <w:rsid w:val="00550D87"/>
    <w:rsid w:val="0055114D"/>
    <w:rsid w:val="00551422"/>
    <w:rsid w:val="00552CF7"/>
    <w:rsid w:val="00552ED8"/>
    <w:rsid w:val="0055330E"/>
    <w:rsid w:val="00553B1D"/>
    <w:rsid w:val="00553CAE"/>
    <w:rsid w:val="005543B3"/>
    <w:rsid w:val="005548F7"/>
    <w:rsid w:val="00557BA0"/>
    <w:rsid w:val="00560EF2"/>
    <w:rsid w:val="00561760"/>
    <w:rsid w:val="00561DA8"/>
    <w:rsid w:val="00562A66"/>
    <w:rsid w:val="00562C91"/>
    <w:rsid w:val="005639B0"/>
    <w:rsid w:val="00564265"/>
    <w:rsid w:val="00564AFC"/>
    <w:rsid w:val="00564B03"/>
    <w:rsid w:val="00564D60"/>
    <w:rsid w:val="00564E38"/>
    <w:rsid w:val="00565540"/>
    <w:rsid w:val="00566BE6"/>
    <w:rsid w:val="005701A9"/>
    <w:rsid w:val="00572500"/>
    <w:rsid w:val="00572AFD"/>
    <w:rsid w:val="00573041"/>
    <w:rsid w:val="0057312F"/>
    <w:rsid w:val="00573E52"/>
    <w:rsid w:val="00573F31"/>
    <w:rsid w:val="00574EAF"/>
    <w:rsid w:val="0057698B"/>
    <w:rsid w:val="0058085F"/>
    <w:rsid w:val="00581AB4"/>
    <w:rsid w:val="0058357F"/>
    <w:rsid w:val="00583C55"/>
    <w:rsid w:val="00583EB3"/>
    <w:rsid w:val="00583F03"/>
    <w:rsid w:val="00584C38"/>
    <w:rsid w:val="00584E22"/>
    <w:rsid w:val="00585D2C"/>
    <w:rsid w:val="0058733E"/>
    <w:rsid w:val="00587DFB"/>
    <w:rsid w:val="00590229"/>
    <w:rsid w:val="00590551"/>
    <w:rsid w:val="00590615"/>
    <w:rsid w:val="00590F80"/>
    <w:rsid w:val="0059141C"/>
    <w:rsid w:val="0059192C"/>
    <w:rsid w:val="00591D3D"/>
    <w:rsid w:val="00592106"/>
    <w:rsid w:val="0059237F"/>
    <w:rsid w:val="00592912"/>
    <w:rsid w:val="0059309B"/>
    <w:rsid w:val="00593806"/>
    <w:rsid w:val="00593B74"/>
    <w:rsid w:val="005945C5"/>
    <w:rsid w:val="00595970"/>
    <w:rsid w:val="00595A83"/>
    <w:rsid w:val="00596CBE"/>
    <w:rsid w:val="00596FDB"/>
    <w:rsid w:val="0059722A"/>
    <w:rsid w:val="005975E4"/>
    <w:rsid w:val="005975E8"/>
    <w:rsid w:val="005A1934"/>
    <w:rsid w:val="005A1DDB"/>
    <w:rsid w:val="005A2711"/>
    <w:rsid w:val="005A36F1"/>
    <w:rsid w:val="005A4C13"/>
    <w:rsid w:val="005A5A40"/>
    <w:rsid w:val="005A5CE4"/>
    <w:rsid w:val="005A701A"/>
    <w:rsid w:val="005B1155"/>
    <w:rsid w:val="005B187A"/>
    <w:rsid w:val="005B5D3D"/>
    <w:rsid w:val="005B635F"/>
    <w:rsid w:val="005B67AD"/>
    <w:rsid w:val="005B67F5"/>
    <w:rsid w:val="005C01EF"/>
    <w:rsid w:val="005C0E96"/>
    <w:rsid w:val="005C149A"/>
    <w:rsid w:val="005C1686"/>
    <w:rsid w:val="005C223E"/>
    <w:rsid w:val="005C25EC"/>
    <w:rsid w:val="005C41F1"/>
    <w:rsid w:val="005C4F36"/>
    <w:rsid w:val="005C6179"/>
    <w:rsid w:val="005C6A36"/>
    <w:rsid w:val="005C6F1E"/>
    <w:rsid w:val="005C6FC6"/>
    <w:rsid w:val="005C7BC1"/>
    <w:rsid w:val="005D1527"/>
    <w:rsid w:val="005D17F9"/>
    <w:rsid w:val="005D1937"/>
    <w:rsid w:val="005D20F1"/>
    <w:rsid w:val="005D3C81"/>
    <w:rsid w:val="005D6123"/>
    <w:rsid w:val="005D66E6"/>
    <w:rsid w:val="005D687F"/>
    <w:rsid w:val="005D75E9"/>
    <w:rsid w:val="005D7E2B"/>
    <w:rsid w:val="005E00E4"/>
    <w:rsid w:val="005E0265"/>
    <w:rsid w:val="005E0D0C"/>
    <w:rsid w:val="005E10EE"/>
    <w:rsid w:val="005E117C"/>
    <w:rsid w:val="005E12CA"/>
    <w:rsid w:val="005E1EF3"/>
    <w:rsid w:val="005E22C3"/>
    <w:rsid w:val="005E22FD"/>
    <w:rsid w:val="005E29A5"/>
    <w:rsid w:val="005E346B"/>
    <w:rsid w:val="005E44FD"/>
    <w:rsid w:val="005E5326"/>
    <w:rsid w:val="005E5494"/>
    <w:rsid w:val="005F0197"/>
    <w:rsid w:val="005F123A"/>
    <w:rsid w:val="005F14D8"/>
    <w:rsid w:val="005F1C7D"/>
    <w:rsid w:val="005F1DAC"/>
    <w:rsid w:val="005F2E9A"/>
    <w:rsid w:val="005F49DE"/>
    <w:rsid w:val="005F63B1"/>
    <w:rsid w:val="005F64FF"/>
    <w:rsid w:val="005F6B14"/>
    <w:rsid w:val="005F75A1"/>
    <w:rsid w:val="005F7976"/>
    <w:rsid w:val="005F79DE"/>
    <w:rsid w:val="006010E0"/>
    <w:rsid w:val="006012DC"/>
    <w:rsid w:val="00602BAE"/>
    <w:rsid w:val="00603F7B"/>
    <w:rsid w:val="006052E5"/>
    <w:rsid w:val="00605CFD"/>
    <w:rsid w:val="00605E58"/>
    <w:rsid w:val="006063F1"/>
    <w:rsid w:val="00606BAA"/>
    <w:rsid w:val="00607302"/>
    <w:rsid w:val="006079CB"/>
    <w:rsid w:val="00610541"/>
    <w:rsid w:val="00611909"/>
    <w:rsid w:val="0061233F"/>
    <w:rsid w:val="006138E8"/>
    <w:rsid w:val="0061399B"/>
    <w:rsid w:val="00613C8C"/>
    <w:rsid w:val="006166F0"/>
    <w:rsid w:val="00617343"/>
    <w:rsid w:val="006173EF"/>
    <w:rsid w:val="00620165"/>
    <w:rsid w:val="00620BE8"/>
    <w:rsid w:val="00620F89"/>
    <w:rsid w:val="00621246"/>
    <w:rsid w:val="00621EE9"/>
    <w:rsid w:val="00623ECE"/>
    <w:rsid w:val="0062462F"/>
    <w:rsid w:val="006246ED"/>
    <w:rsid w:val="00624837"/>
    <w:rsid w:val="00624887"/>
    <w:rsid w:val="0062587D"/>
    <w:rsid w:val="00630416"/>
    <w:rsid w:val="00630A64"/>
    <w:rsid w:val="00631265"/>
    <w:rsid w:val="00631CD9"/>
    <w:rsid w:val="006342DE"/>
    <w:rsid w:val="00635623"/>
    <w:rsid w:val="00636D1E"/>
    <w:rsid w:val="006371E0"/>
    <w:rsid w:val="00637358"/>
    <w:rsid w:val="006377D0"/>
    <w:rsid w:val="00637D46"/>
    <w:rsid w:val="00640298"/>
    <w:rsid w:val="006407B5"/>
    <w:rsid w:val="006414B7"/>
    <w:rsid w:val="006432E7"/>
    <w:rsid w:val="00645856"/>
    <w:rsid w:val="00645F4C"/>
    <w:rsid w:val="006466E6"/>
    <w:rsid w:val="00646844"/>
    <w:rsid w:val="0064702E"/>
    <w:rsid w:val="00647180"/>
    <w:rsid w:val="006471B0"/>
    <w:rsid w:val="006509A7"/>
    <w:rsid w:val="006525B0"/>
    <w:rsid w:val="006531AD"/>
    <w:rsid w:val="006538B5"/>
    <w:rsid w:val="00654E6E"/>
    <w:rsid w:val="0065586D"/>
    <w:rsid w:val="00655B65"/>
    <w:rsid w:val="00655E6C"/>
    <w:rsid w:val="00656559"/>
    <w:rsid w:val="006573AC"/>
    <w:rsid w:val="0066201D"/>
    <w:rsid w:val="00662C60"/>
    <w:rsid w:val="00663C30"/>
    <w:rsid w:val="00663D3E"/>
    <w:rsid w:val="00664204"/>
    <w:rsid w:val="00665FBF"/>
    <w:rsid w:val="00666E4E"/>
    <w:rsid w:val="00667C5E"/>
    <w:rsid w:val="006713F3"/>
    <w:rsid w:val="00672EDB"/>
    <w:rsid w:val="006735ED"/>
    <w:rsid w:val="00673D75"/>
    <w:rsid w:val="00674657"/>
    <w:rsid w:val="00674805"/>
    <w:rsid w:val="00674BBB"/>
    <w:rsid w:val="00674EC5"/>
    <w:rsid w:val="00675676"/>
    <w:rsid w:val="006760DE"/>
    <w:rsid w:val="0067627C"/>
    <w:rsid w:val="0067740E"/>
    <w:rsid w:val="00680A5A"/>
    <w:rsid w:val="00681EA2"/>
    <w:rsid w:val="006832D4"/>
    <w:rsid w:val="006834F7"/>
    <w:rsid w:val="00683927"/>
    <w:rsid w:val="006843EF"/>
    <w:rsid w:val="00691650"/>
    <w:rsid w:val="00691983"/>
    <w:rsid w:val="00692FCE"/>
    <w:rsid w:val="00693ADB"/>
    <w:rsid w:val="00693FAE"/>
    <w:rsid w:val="00694C4A"/>
    <w:rsid w:val="00695123"/>
    <w:rsid w:val="00695414"/>
    <w:rsid w:val="00695FE9"/>
    <w:rsid w:val="0069640D"/>
    <w:rsid w:val="00697BBB"/>
    <w:rsid w:val="006A1E6E"/>
    <w:rsid w:val="006A1F50"/>
    <w:rsid w:val="006A1FFD"/>
    <w:rsid w:val="006A242F"/>
    <w:rsid w:val="006A2454"/>
    <w:rsid w:val="006A2A64"/>
    <w:rsid w:val="006A2B03"/>
    <w:rsid w:val="006A3540"/>
    <w:rsid w:val="006A427B"/>
    <w:rsid w:val="006A456A"/>
    <w:rsid w:val="006A4F06"/>
    <w:rsid w:val="006A5640"/>
    <w:rsid w:val="006A5FB0"/>
    <w:rsid w:val="006A6267"/>
    <w:rsid w:val="006A7C52"/>
    <w:rsid w:val="006B0486"/>
    <w:rsid w:val="006B0507"/>
    <w:rsid w:val="006B1479"/>
    <w:rsid w:val="006B15AA"/>
    <w:rsid w:val="006B16A6"/>
    <w:rsid w:val="006B16D0"/>
    <w:rsid w:val="006B1B05"/>
    <w:rsid w:val="006B1C90"/>
    <w:rsid w:val="006B2E86"/>
    <w:rsid w:val="006B39AD"/>
    <w:rsid w:val="006B44A8"/>
    <w:rsid w:val="006B4657"/>
    <w:rsid w:val="006B48E8"/>
    <w:rsid w:val="006B5406"/>
    <w:rsid w:val="006B5DFA"/>
    <w:rsid w:val="006B65AC"/>
    <w:rsid w:val="006B7F53"/>
    <w:rsid w:val="006C0827"/>
    <w:rsid w:val="006C0CA7"/>
    <w:rsid w:val="006C1381"/>
    <w:rsid w:val="006C16FA"/>
    <w:rsid w:val="006C187A"/>
    <w:rsid w:val="006C1D67"/>
    <w:rsid w:val="006C212B"/>
    <w:rsid w:val="006C2731"/>
    <w:rsid w:val="006C2FAE"/>
    <w:rsid w:val="006C346B"/>
    <w:rsid w:val="006C3C52"/>
    <w:rsid w:val="006C4340"/>
    <w:rsid w:val="006C6181"/>
    <w:rsid w:val="006C65D7"/>
    <w:rsid w:val="006C66AD"/>
    <w:rsid w:val="006C6861"/>
    <w:rsid w:val="006D0FDF"/>
    <w:rsid w:val="006D1CDD"/>
    <w:rsid w:val="006D407B"/>
    <w:rsid w:val="006D4C32"/>
    <w:rsid w:val="006D51F8"/>
    <w:rsid w:val="006D6280"/>
    <w:rsid w:val="006E0AB8"/>
    <w:rsid w:val="006E111E"/>
    <w:rsid w:val="006E143C"/>
    <w:rsid w:val="006E1F0B"/>
    <w:rsid w:val="006E1FBE"/>
    <w:rsid w:val="006E26DD"/>
    <w:rsid w:val="006E2EF2"/>
    <w:rsid w:val="006E31ED"/>
    <w:rsid w:val="006E4BA2"/>
    <w:rsid w:val="006E6392"/>
    <w:rsid w:val="006E7A57"/>
    <w:rsid w:val="006F36CB"/>
    <w:rsid w:val="006F3968"/>
    <w:rsid w:val="006F54EA"/>
    <w:rsid w:val="006F57F1"/>
    <w:rsid w:val="006F614A"/>
    <w:rsid w:val="006F7B83"/>
    <w:rsid w:val="006F7BAF"/>
    <w:rsid w:val="0070098C"/>
    <w:rsid w:val="00701078"/>
    <w:rsid w:val="00702C58"/>
    <w:rsid w:val="00703A98"/>
    <w:rsid w:val="00703BAC"/>
    <w:rsid w:val="007057C9"/>
    <w:rsid w:val="007057F3"/>
    <w:rsid w:val="007067CD"/>
    <w:rsid w:val="00706EEA"/>
    <w:rsid w:val="00710EC2"/>
    <w:rsid w:val="00710F30"/>
    <w:rsid w:val="00710FFE"/>
    <w:rsid w:val="00711A44"/>
    <w:rsid w:val="0071236A"/>
    <w:rsid w:val="00712516"/>
    <w:rsid w:val="00714F11"/>
    <w:rsid w:val="007151BC"/>
    <w:rsid w:val="007166F9"/>
    <w:rsid w:val="0071713B"/>
    <w:rsid w:val="00717340"/>
    <w:rsid w:val="007177D7"/>
    <w:rsid w:val="00720036"/>
    <w:rsid w:val="007208DC"/>
    <w:rsid w:val="00720AEA"/>
    <w:rsid w:val="0072100D"/>
    <w:rsid w:val="0072205D"/>
    <w:rsid w:val="0072212C"/>
    <w:rsid w:val="00723CBA"/>
    <w:rsid w:val="00724E92"/>
    <w:rsid w:val="0072574D"/>
    <w:rsid w:val="007303BB"/>
    <w:rsid w:val="007310DB"/>
    <w:rsid w:val="00735673"/>
    <w:rsid w:val="007358BD"/>
    <w:rsid w:val="00735CE6"/>
    <w:rsid w:val="007364B4"/>
    <w:rsid w:val="007371B6"/>
    <w:rsid w:val="00741157"/>
    <w:rsid w:val="00741B34"/>
    <w:rsid w:val="00742CAF"/>
    <w:rsid w:val="00742FAA"/>
    <w:rsid w:val="00743177"/>
    <w:rsid w:val="00743460"/>
    <w:rsid w:val="007444B1"/>
    <w:rsid w:val="0074456C"/>
    <w:rsid w:val="007458D6"/>
    <w:rsid w:val="00746FF0"/>
    <w:rsid w:val="00747DDC"/>
    <w:rsid w:val="0075095F"/>
    <w:rsid w:val="0075123C"/>
    <w:rsid w:val="00751498"/>
    <w:rsid w:val="00753021"/>
    <w:rsid w:val="007531A2"/>
    <w:rsid w:val="007539B2"/>
    <w:rsid w:val="00753F2B"/>
    <w:rsid w:val="00756103"/>
    <w:rsid w:val="0075633B"/>
    <w:rsid w:val="0075740A"/>
    <w:rsid w:val="00757E72"/>
    <w:rsid w:val="007605FD"/>
    <w:rsid w:val="00760782"/>
    <w:rsid w:val="007626E5"/>
    <w:rsid w:val="00762743"/>
    <w:rsid w:val="007633E6"/>
    <w:rsid w:val="007639F1"/>
    <w:rsid w:val="00765514"/>
    <w:rsid w:val="007667C1"/>
    <w:rsid w:val="00766B89"/>
    <w:rsid w:val="0076746E"/>
    <w:rsid w:val="007675FE"/>
    <w:rsid w:val="007705B1"/>
    <w:rsid w:val="007706E9"/>
    <w:rsid w:val="00771184"/>
    <w:rsid w:val="00771323"/>
    <w:rsid w:val="007721E6"/>
    <w:rsid w:val="007729A6"/>
    <w:rsid w:val="00772E36"/>
    <w:rsid w:val="00772F24"/>
    <w:rsid w:val="00773924"/>
    <w:rsid w:val="00773AA3"/>
    <w:rsid w:val="00773B13"/>
    <w:rsid w:val="00774409"/>
    <w:rsid w:val="00775074"/>
    <w:rsid w:val="00775AEE"/>
    <w:rsid w:val="00775F3A"/>
    <w:rsid w:val="00776F34"/>
    <w:rsid w:val="007773A5"/>
    <w:rsid w:val="007773CA"/>
    <w:rsid w:val="007775E1"/>
    <w:rsid w:val="00780F9D"/>
    <w:rsid w:val="0078114C"/>
    <w:rsid w:val="00781432"/>
    <w:rsid w:val="007815A3"/>
    <w:rsid w:val="00783E63"/>
    <w:rsid w:val="00785A0E"/>
    <w:rsid w:val="00785C38"/>
    <w:rsid w:val="00786361"/>
    <w:rsid w:val="00786DA7"/>
    <w:rsid w:val="0078701F"/>
    <w:rsid w:val="00787ED2"/>
    <w:rsid w:val="00790B4C"/>
    <w:rsid w:val="0079105B"/>
    <w:rsid w:val="00791FCE"/>
    <w:rsid w:val="00792718"/>
    <w:rsid w:val="00794443"/>
    <w:rsid w:val="00794A6A"/>
    <w:rsid w:val="007956A3"/>
    <w:rsid w:val="007971E2"/>
    <w:rsid w:val="007A19F3"/>
    <w:rsid w:val="007A1CC4"/>
    <w:rsid w:val="007A295B"/>
    <w:rsid w:val="007A41F6"/>
    <w:rsid w:val="007A4749"/>
    <w:rsid w:val="007A4D83"/>
    <w:rsid w:val="007A5761"/>
    <w:rsid w:val="007A5E04"/>
    <w:rsid w:val="007A5EB6"/>
    <w:rsid w:val="007A622C"/>
    <w:rsid w:val="007A6BD3"/>
    <w:rsid w:val="007A7564"/>
    <w:rsid w:val="007A7595"/>
    <w:rsid w:val="007A78FD"/>
    <w:rsid w:val="007B1B06"/>
    <w:rsid w:val="007B43A9"/>
    <w:rsid w:val="007B46E7"/>
    <w:rsid w:val="007B4F4C"/>
    <w:rsid w:val="007B5B43"/>
    <w:rsid w:val="007B5E3A"/>
    <w:rsid w:val="007B5E9F"/>
    <w:rsid w:val="007B6DA3"/>
    <w:rsid w:val="007B6FFB"/>
    <w:rsid w:val="007B76FE"/>
    <w:rsid w:val="007C04E7"/>
    <w:rsid w:val="007C21A5"/>
    <w:rsid w:val="007C246A"/>
    <w:rsid w:val="007C3431"/>
    <w:rsid w:val="007C3D15"/>
    <w:rsid w:val="007C3E52"/>
    <w:rsid w:val="007C447E"/>
    <w:rsid w:val="007C4928"/>
    <w:rsid w:val="007C4FDB"/>
    <w:rsid w:val="007C50E5"/>
    <w:rsid w:val="007C5637"/>
    <w:rsid w:val="007C636F"/>
    <w:rsid w:val="007C667A"/>
    <w:rsid w:val="007C7232"/>
    <w:rsid w:val="007C7EC1"/>
    <w:rsid w:val="007D0233"/>
    <w:rsid w:val="007D080A"/>
    <w:rsid w:val="007D0A68"/>
    <w:rsid w:val="007D1BE8"/>
    <w:rsid w:val="007D255B"/>
    <w:rsid w:val="007D26C1"/>
    <w:rsid w:val="007D3362"/>
    <w:rsid w:val="007D4109"/>
    <w:rsid w:val="007D465C"/>
    <w:rsid w:val="007D4AAC"/>
    <w:rsid w:val="007D6BAE"/>
    <w:rsid w:val="007D7432"/>
    <w:rsid w:val="007D7A33"/>
    <w:rsid w:val="007E04F4"/>
    <w:rsid w:val="007E0F32"/>
    <w:rsid w:val="007E21EA"/>
    <w:rsid w:val="007E2765"/>
    <w:rsid w:val="007E3446"/>
    <w:rsid w:val="007E36DB"/>
    <w:rsid w:val="007E3EFF"/>
    <w:rsid w:val="007E40DA"/>
    <w:rsid w:val="007E52E1"/>
    <w:rsid w:val="007E5AAE"/>
    <w:rsid w:val="007E6677"/>
    <w:rsid w:val="007E6A07"/>
    <w:rsid w:val="007E6EFB"/>
    <w:rsid w:val="007E762A"/>
    <w:rsid w:val="007F1623"/>
    <w:rsid w:val="007F16B7"/>
    <w:rsid w:val="007F1936"/>
    <w:rsid w:val="007F1DB8"/>
    <w:rsid w:val="007F206A"/>
    <w:rsid w:val="007F20C0"/>
    <w:rsid w:val="007F2DC3"/>
    <w:rsid w:val="007F3315"/>
    <w:rsid w:val="007F33F5"/>
    <w:rsid w:val="007F4BB0"/>
    <w:rsid w:val="007F7B50"/>
    <w:rsid w:val="008003E3"/>
    <w:rsid w:val="008004A9"/>
    <w:rsid w:val="00801BB7"/>
    <w:rsid w:val="00802351"/>
    <w:rsid w:val="008026F7"/>
    <w:rsid w:val="00802BAD"/>
    <w:rsid w:val="00802D97"/>
    <w:rsid w:val="00803B9C"/>
    <w:rsid w:val="00804F1B"/>
    <w:rsid w:val="00806378"/>
    <w:rsid w:val="008074BA"/>
    <w:rsid w:val="00810A3A"/>
    <w:rsid w:val="00812A1D"/>
    <w:rsid w:val="008132F0"/>
    <w:rsid w:val="0081386B"/>
    <w:rsid w:val="0081483F"/>
    <w:rsid w:val="00815506"/>
    <w:rsid w:val="00815850"/>
    <w:rsid w:val="00816D90"/>
    <w:rsid w:val="00821311"/>
    <w:rsid w:val="00821ADC"/>
    <w:rsid w:val="008233F0"/>
    <w:rsid w:val="00823C3E"/>
    <w:rsid w:val="00823C69"/>
    <w:rsid w:val="00823FE1"/>
    <w:rsid w:val="00824F30"/>
    <w:rsid w:val="00825069"/>
    <w:rsid w:val="008266A6"/>
    <w:rsid w:val="00827A7A"/>
    <w:rsid w:val="00827CDD"/>
    <w:rsid w:val="00831642"/>
    <w:rsid w:val="00831D4E"/>
    <w:rsid w:val="00833393"/>
    <w:rsid w:val="008342E9"/>
    <w:rsid w:val="00834484"/>
    <w:rsid w:val="008351C1"/>
    <w:rsid w:val="008369BD"/>
    <w:rsid w:val="00836DF0"/>
    <w:rsid w:val="00836E0A"/>
    <w:rsid w:val="00837A66"/>
    <w:rsid w:val="00841883"/>
    <w:rsid w:val="00841FBF"/>
    <w:rsid w:val="00843CAB"/>
    <w:rsid w:val="00844738"/>
    <w:rsid w:val="00844775"/>
    <w:rsid w:val="008454A6"/>
    <w:rsid w:val="00845F42"/>
    <w:rsid w:val="008504A1"/>
    <w:rsid w:val="008511BD"/>
    <w:rsid w:val="00851664"/>
    <w:rsid w:val="0085176D"/>
    <w:rsid w:val="00851E57"/>
    <w:rsid w:val="0085257C"/>
    <w:rsid w:val="00852894"/>
    <w:rsid w:val="00852C56"/>
    <w:rsid w:val="0085358E"/>
    <w:rsid w:val="0085402E"/>
    <w:rsid w:val="0085438A"/>
    <w:rsid w:val="008546A5"/>
    <w:rsid w:val="00854FB3"/>
    <w:rsid w:val="0085517F"/>
    <w:rsid w:val="00855942"/>
    <w:rsid w:val="00855953"/>
    <w:rsid w:val="00855A87"/>
    <w:rsid w:val="00856670"/>
    <w:rsid w:val="00857B0E"/>
    <w:rsid w:val="008602E4"/>
    <w:rsid w:val="00861277"/>
    <w:rsid w:val="00863EFD"/>
    <w:rsid w:val="008640D4"/>
    <w:rsid w:val="00864E4A"/>
    <w:rsid w:val="008655A7"/>
    <w:rsid w:val="00866459"/>
    <w:rsid w:val="00867B4C"/>
    <w:rsid w:val="00867C8A"/>
    <w:rsid w:val="00867F57"/>
    <w:rsid w:val="008715DA"/>
    <w:rsid w:val="00871CC7"/>
    <w:rsid w:val="00872FD5"/>
    <w:rsid w:val="008732C5"/>
    <w:rsid w:val="00873E57"/>
    <w:rsid w:val="00873F88"/>
    <w:rsid w:val="0087537B"/>
    <w:rsid w:val="0087729D"/>
    <w:rsid w:val="00877A8E"/>
    <w:rsid w:val="00880546"/>
    <w:rsid w:val="00881C58"/>
    <w:rsid w:val="00881DDA"/>
    <w:rsid w:val="00882846"/>
    <w:rsid w:val="00883380"/>
    <w:rsid w:val="00884482"/>
    <w:rsid w:val="00884582"/>
    <w:rsid w:val="00886D7C"/>
    <w:rsid w:val="008909B3"/>
    <w:rsid w:val="008913BD"/>
    <w:rsid w:val="0089260E"/>
    <w:rsid w:val="00892E43"/>
    <w:rsid w:val="00892EF1"/>
    <w:rsid w:val="00893B6A"/>
    <w:rsid w:val="008940FE"/>
    <w:rsid w:val="00894C8F"/>
    <w:rsid w:val="00894DA9"/>
    <w:rsid w:val="00894FD8"/>
    <w:rsid w:val="00895F04"/>
    <w:rsid w:val="00896264"/>
    <w:rsid w:val="008969FF"/>
    <w:rsid w:val="00896EEB"/>
    <w:rsid w:val="008A2437"/>
    <w:rsid w:val="008A25FB"/>
    <w:rsid w:val="008A2AC0"/>
    <w:rsid w:val="008A3C16"/>
    <w:rsid w:val="008A5849"/>
    <w:rsid w:val="008A5C74"/>
    <w:rsid w:val="008A62F8"/>
    <w:rsid w:val="008A66EA"/>
    <w:rsid w:val="008A74E8"/>
    <w:rsid w:val="008B001A"/>
    <w:rsid w:val="008B08BB"/>
    <w:rsid w:val="008B3735"/>
    <w:rsid w:val="008B5576"/>
    <w:rsid w:val="008B5A17"/>
    <w:rsid w:val="008B6786"/>
    <w:rsid w:val="008B6CB9"/>
    <w:rsid w:val="008C18F6"/>
    <w:rsid w:val="008C4247"/>
    <w:rsid w:val="008C5852"/>
    <w:rsid w:val="008C7FB8"/>
    <w:rsid w:val="008D05C7"/>
    <w:rsid w:val="008D0C16"/>
    <w:rsid w:val="008D0E94"/>
    <w:rsid w:val="008D118F"/>
    <w:rsid w:val="008D2719"/>
    <w:rsid w:val="008D318C"/>
    <w:rsid w:val="008D52F9"/>
    <w:rsid w:val="008D539A"/>
    <w:rsid w:val="008D53E3"/>
    <w:rsid w:val="008D5A30"/>
    <w:rsid w:val="008D61F1"/>
    <w:rsid w:val="008D6930"/>
    <w:rsid w:val="008D7224"/>
    <w:rsid w:val="008D7FE3"/>
    <w:rsid w:val="008E08A3"/>
    <w:rsid w:val="008E093F"/>
    <w:rsid w:val="008E20AD"/>
    <w:rsid w:val="008E2E28"/>
    <w:rsid w:val="008E3116"/>
    <w:rsid w:val="008E38E0"/>
    <w:rsid w:val="008E7348"/>
    <w:rsid w:val="008E7957"/>
    <w:rsid w:val="008E79C4"/>
    <w:rsid w:val="008F06D9"/>
    <w:rsid w:val="008F0808"/>
    <w:rsid w:val="008F26DD"/>
    <w:rsid w:val="008F2727"/>
    <w:rsid w:val="008F2FB7"/>
    <w:rsid w:val="008F300C"/>
    <w:rsid w:val="008F428F"/>
    <w:rsid w:val="008F5767"/>
    <w:rsid w:val="008F57BA"/>
    <w:rsid w:val="008F5E05"/>
    <w:rsid w:val="008F7A9D"/>
    <w:rsid w:val="00900B4D"/>
    <w:rsid w:val="00900E9F"/>
    <w:rsid w:val="0090194F"/>
    <w:rsid w:val="00901A96"/>
    <w:rsid w:val="00901EFB"/>
    <w:rsid w:val="009025D4"/>
    <w:rsid w:val="00904101"/>
    <w:rsid w:val="00904ADE"/>
    <w:rsid w:val="00905793"/>
    <w:rsid w:val="00905796"/>
    <w:rsid w:val="00905BFC"/>
    <w:rsid w:val="00905E97"/>
    <w:rsid w:val="00906CF5"/>
    <w:rsid w:val="00906F53"/>
    <w:rsid w:val="009078BD"/>
    <w:rsid w:val="00910EA4"/>
    <w:rsid w:val="009115AB"/>
    <w:rsid w:val="009119BA"/>
    <w:rsid w:val="009128CE"/>
    <w:rsid w:val="00912AEB"/>
    <w:rsid w:val="00913C3D"/>
    <w:rsid w:val="00914820"/>
    <w:rsid w:val="009158B5"/>
    <w:rsid w:val="00916D1C"/>
    <w:rsid w:val="009179FE"/>
    <w:rsid w:val="0092083F"/>
    <w:rsid w:val="00926617"/>
    <w:rsid w:val="00926D0A"/>
    <w:rsid w:val="00930042"/>
    <w:rsid w:val="00930DE8"/>
    <w:rsid w:val="009313EC"/>
    <w:rsid w:val="0093219C"/>
    <w:rsid w:val="00933B8B"/>
    <w:rsid w:val="0093428B"/>
    <w:rsid w:val="00934C72"/>
    <w:rsid w:val="00934F3C"/>
    <w:rsid w:val="0093637F"/>
    <w:rsid w:val="00936E6E"/>
    <w:rsid w:val="00937D5D"/>
    <w:rsid w:val="00940542"/>
    <w:rsid w:val="00940D5A"/>
    <w:rsid w:val="00942E74"/>
    <w:rsid w:val="00943023"/>
    <w:rsid w:val="009434B9"/>
    <w:rsid w:val="00943A1D"/>
    <w:rsid w:val="009443C1"/>
    <w:rsid w:val="00945913"/>
    <w:rsid w:val="009461C2"/>
    <w:rsid w:val="00946E75"/>
    <w:rsid w:val="0094708D"/>
    <w:rsid w:val="009474F5"/>
    <w:rsid w:val="009506E5"/>
    <w:rsid w:val="0095231B"/>
    <w:rsid w:val="00952DF2"/>
    <w:rsid w:val="009532AD"/>
    <w:rsid w:val="00954F2B"/>
    <w:rsid w:val="0095542F"/>
    <w:rsid w:val="0095565F"/>
    <w:rsid w:val="00957C1A"/>
    <w:rsid w:val="009613D3"/>
    <w:rsid w:val="009633F8"/>
    <w:rsid w:val="009647DF"/>
    <w:rsid w:val="009656D2"/>
    <w:rsid w:val="009657AF"/>
    <w:rsid w:val="00966D1A"/>
    <w:rsid w:val="00967DD6"/>
    <w:rsid w:val="0097142B"/>
    <w:rsid w:val="00971C1A"/>
    <w:rsid w:val="00971C49"/>
    <w:rsid w:val="009720D8"/>
    <w:rsid w:val="00972138"/>
    <w:rsid w:val="009722BA"/>
    <w:rsid w:val="0097391E"/>
    <w:rsid w:val="00973D7F"/>
    <w:rsid w:val="00973FCA"/>
    <w:rsid w:val="0097447C"/>
    <w:rsid w:val="00976AB9"/>
    <w:rsid w:val="00976F0C"/>
    <w:rsid w:val="00980795"/>
    <w:rsid w:val="00981427"/>
    <w:rsid w:val="0098174A"/>
    <w:rsid w:val="00981FB1"/>
    <w:rsid w:val="00982A90"/>
    <w:rsid w:val="00982AEA"/>
    <w:rsid w:val="00984CF2"/>
    <w:rsid w:val="00986608"/>
    <w:rsid w:val="009867F6"/>
    <w:rsid w:val="00986F47"/>
    <w:rsid w:val="0098718A"/>
    <w:rsid w:val="009906ED"/>
    <w:rsid w:val="00990E3C"/>
    <w:rsid w:val="00993FE7"/>
    <w:rsid w:val="009948B0"/>
    <w:rsid w:val="0099522A"/>
    <w:rsid w:val="0099523E"/>
    <w:rsid w:val="00995418"/>
    <w:rsid w:val="009959D8"/>
    <w:rsid w:val="009964F3"/>
    <w:rsid w:val="0099715E"/>
    <w:rsid w:val="0099739A"/>
    <w:rsid w:val="009A0866"/>
    <w:rsid w:val="009A160C"/>
    <w:rsid w:val="009A1744"/>
    <w:rsid w:val="009A1DFF"/>
    <w:rsid w:val="009A213D"/>
    <w:rsid w:val="009A22A6"/>
    <w:rsid w:val="009A2478"/>
    <w:rsid w:val="009A3D18"/>
    <w:rsid w:val="009A3F89"/>
    <w:rsid w:val="009A4445"/>
    <w:rsid w:val="009A47BD"/>
    <w:rsid w:val="009A4A76"/>
    <w:rsid w:val="009A56DC"/>
    <w:rsid w:val="009A6428"/>
    <w:rsid w:val="009A67D0"/>
    <w:rsid w:val="009A7308"/>
    <w:rsid w:val="009A7497"/>
    <w:rsid w:val="009B06B4"/>
    <w:rsid w:val="009B09F4"/>
    <w:rsid w:val="009B12FD"/>
    <w:rsid w:val="009B1BD9"/>
    <w:rsid w:val="009B2BDC"/>
    <w:rsid w:val="009B2FDE"/>
    <w:rsid w:val="009B378E"/>
    <w:rsid w:val="009B441A"/>
    <w:rsid w:val="009B4AB8"/>
    <w:rsid w:val="009B67BA"/>
    <w:rsid w:val="009B6AD6"/>
    <w:rsid w:val="009C1424"/>
    <w:rsid w:val="009C165C"/>
    <w:rsid w:val="009C1A77"/>
    <w:rsid w:val="009C1D1C"/>
    <w:rsid w:val="009C3870"/>
    <w:rsid w:val="009C3D95"/>
    <w:rsid w:val="009C3FA8"/>
    <w:rsid w:val="009C54CF"/>
    <w:rsid w:val="009C59A8"/>
    <w:rsid w:val="009C5F3F"/>
    <w:rsid w:val="009C63A4"/>
    <w:rsid w:val="009C6586"/>
    <w:rsid w:val="009C6E4E"/>
    <w:rsid w:val="009C7E8B"/>
    <w:rsid w:val="009D0BC0"/>
    <w:rsid w:val="009D1D40"/>
    <w:rsid w:val="009D2519"/>
    <w:rsid w:val="009D348B"/>
    <w:rsid w:val="009D350D"/>
    <w:rsid w:val="009D3CCE"/>
    <w:rsid w:val="009D57D0"/>
    <w:rsid w:val="009D5A26"/>
    <w:rsid w:val="009D5B55"/>
    <w:rsid w:val="009D5F23"/>
    <w:rsid w:val="009D77FF"/>
    <w:rsid w:val="009E0B86"/>
    <w:rsid w:val="009E172D"/>
    <w:rsid w:val="009E2369"/>
    <w:rsid w:val="009E250B"/>
    <w:rsid w:val="009E2919"/>
    <w:rsid w:val="009E3882"/>
    <w:rsid w:val="009E4645"/>
    <w:rsid w:val="009E5534"/>
    <w:rsid w:val="009E6665"/>
    <w:rsid w:val="009E699D"/>
    <w:rsid w:val="009E6BE5"/>
    <w:rsid w:val="009E7222"/>
    <w:rsid w:val="009F00E5"/>
    <w:rsid w:val="009F09EC"/>
    <w:rsid w:val="009F0F77"/>
    <w:rsid w:val="009F1EAB"/>
    <w:rsid w:val="009F2ACD"/>
    <w:rsid w:val="009F33E5"/>
    <w:rsid w:val="009F4E11"/>
    <w:rsid w:val="009F5C15"/>
    <w:rsid w:val="009F6EFF"/>
    <w:rsid w:val="009F74F9"/>
    <w:rsid w:val="009F75E2"/>
    <w:rsid w:val="00A002C9"/>
    <w:rsid w:val="00A01276"/>
    <w:rsid w:val="00A01EC7"/>
    <w:rsid w:val="00A020F2"/>
    <w:rsid w:val="00A027CA"/>
    <w:rsid w:val="00A03DE9"/>
    <w:rsid w:val="00A04B72"/>
    <w:rsid w:val="00A06305"/>
    <w:rsid w:val="00A06610"/>
    <w:rsid w:val="00A0695F"/>
    <w:rsid w:val="00A076CE"/>
    <w:rsid w:val="00A07AB7"/>
    <w:rsid w:val="00A07D77"/>
    <w:rsid w:val="00A11E6E"/>
    <w:rsid w:val="00A12141"/>
    <w:rsid w:val="00A145AC"/>
    <w:rsid w:val="00A14AC1"/>
    <w:rsid w:val="00A14B16"/>
    <w:rsid w:val="00A152C7"/>
    <w:rsid w:val="00A15989"/>
    <w:rsid w:val="00A16569"/>
    <w:rsid w:val="00A1698C"/>
    <w:rsid w:val="00A16FE9"/>
    <w:rsid w:val="00A17456"/>
    <w:rsid w:val="00A208DA"/>
    <w:rsid w:val="00A20927"/>
    <w:rsid w:val="00A20BFD"/>
    <w:rsid w:val="00A21221"/>
    <w:rsid w:val="00A2129F"/>
    <w:rsid w:val="00A2163F"/>
    <w:rsid w:val="00A21D4A"/>
    <w:rsid w:val="00A2217B"/>
    <w:rsid w:val="00A24A8B"/>
    <w:rsid w:val="00A24C5D"/>
    <w:rsid w:val="00A251BF"/>
    <w:rsid w:val="00A25453"/>
    <w:rsid w:val="00A25759"/>
    <w:rsid w:val="00A25A7C"/>
    <w:rsid w:val="00A279F2"/>
    <w:rsid w:val="00A27D25"/>
    <w:rsid w:val="00A322AE"/>
    <w:rsid w:val="00A330E3"/>
    <w:rsid w:val="00A337B5"/>
    <w:rsid w:val="00A3537F"/>
    <w:rsid w:val="00A35A06"/>
    <w:rsid w:val="00A361F7"/>
    <w:rsid w:val="00A3709C"/>
    <w:rsid w:val="00A3735C"/>
    <w:rsid w:val="00A3743A"/>
    <w:rsid w:val="00A375EE"/>
    <w:rsid w:val="00A400B4"/>
    <w:rsid w:val="00A4056E"/>
    <w:rsid w:val="00A40F6D"/>
    <w:rsid w:val="00A4119E"/>
    <w:rsid w:val="00A415E1"/>
    <w:rsid w:val="00A4161E"/>
    <w:rsid w:val="00A41D84"/>
    <w:rsid w:val="00A42F3A"/>
    <w:rsid w:val="00A43B56"/>
    <w:rsid w:val="00A440DC"/>
    <w:rsid w:val="00A443D7"/>
    <w:rsid w:val="00A455B5"/>
    <w:rsid w:val="00A461B2"/>
    <w:rsid w:val="00A4672B"/>
    <w:rsid w:val="00A46EF7"/>
    <w:rsid w:val="00A47012"/>
    <w:rsid w:val="00A47700"/>
    <w:rsid w:val="00A47A7A"/>
    <w:rsid w:val="00A52A70"/>
    <w:rsid w:val="00A535B2"/>
    <w:rsid w:val="00A55B67"/>
    <w:rsid w:val="00A55C93"/>
    <w:rsid w:val="00A56873"/>
    <w:rsid w:val="00A57B71"/>
    <w:rsid w:val="00A60016"/>
    <w:rsid w:val="00A6031C"/>
    <w:rsid w:val="00A60A64"/>
    <w:rsid w:val="00A62CE6"/>
    <w:rsid w:val="00A62F0A"/>
    <w:rsid w:val="00A635CC"/>
    <w:rsid w:val="00A63812"/>
    <w:rsid w:val="00A6542B"/>
    <w:rsid w:val="00A659F7"/>
    <w:rsid w:val="00A65B0C"/>
    <w:rsid w:val="00A66934"/>
    <w:rsid w:val="00A66BB2"/>
    <w:rsid w:val="00A677FA"/>
    <w:rsid w:val="00A710B0"/>
    <w:rsid w:val="00A7184D"/>
    <w:rsid w:val="00A7463D"/>
    <w:rsid w:val="00A76F86"/>
    <w:rsid w:val="00A778E5"/>
    <w:rsid w:val="00A80E3B"/>
    <w:rsid w:val="00A81FFD"/>
    <w:rsid w:val="00A838E5"/>
    <w:rsid w:val="00A83B05"/>
    <w:rsid w:val="00A842F8"/>
    <w:rsid w:val="00A86F97"/>
    <w:rsid w:val="00A906EE"/>
    <w:rsid w:val="00A90CAC"/>
    <w:rsid w:val="00A918CD"/>
    <w:rsid w:val="00A91A49"/>
    <w:rsid w:val="00A94F0D"/>
    <w:rsid w:val="00A95003"/>
    <w:rsid w:val="00A9653F"/>
    <w:rsid w:val="00A9739D"/>
    <w:rsid w:val="00A97C61"/>
    <w:rsid w:val="00AA253F"/>
    <w:rsid w:val="00AA3723"/>
    <w:rsid w:val="00AA39BD"/>
    <w:rsid w:val="00AA3E26"/>
    <w:rsid w:val="00AA46A3"/>
    <w:rsid w:val="00AA4F98"/>
    <w:rsid w:val="00AA572D"/>
    <w:rsid w:val="00AA5E5F"/>
    <w:rsid w:val="00AA6932"/>
    <w:rsid w:val="00AA735F"/>
    <w:rsid w:val="00AB065D"/>
    <w:rsid w:val="00AB08E6"/>
    <w:rsid w:val="00AB0EAB"/>
    <w:rsid w:val="00AB1B76"/>
    <w:rsid w:val="00AB1C9F"/>
    <w:rsid w:val="00AB286D"/>
    <w:rsid w:val="00AB42D9"/>
    <w:rsid w:val="00AB495C"/>
    <w:rsid w:val="00AB4B47"/>
    <w:rsid w:val="00AB6020"/>
    <w:rsid w:val="00AB62B1"/>
    <w:rsid w:val="00AB6BA4"/>
    <w:rsid w:val="00AB7529"/>
    <w:rsid w:val="00AB76CF"/>
    <w:rsid w:val="00AB7BA4"/>
    <w:rsid w:val="00AC10A4"/>
    <w:rsid w:val="00AC12CE"/>
    <w:rsid w:val="00AC1453"/>
    <w:rsid w:val="00AC1D4F"/>
    <w:rsid w:val="00AC296E"/>
    <w:rsid w:val="00AC3E18"/>
    <w:rsid w:val="00AC4702"/>
    <w:rsid w:val="00AC4ED7"/>
    <w:rsid w:val="00AC63D1"/>
    <w:rsid w:val="00AC677C"/>
    <w:rsid w:val="00AC68C9"/>
    <w:rsid w:val="00AD111F"/>
    <w:rsid w:val="00AD1FC7"/>
    <w:rsid w:val="00AD2049"/>
    <w:rsid w:val="00AD2A54"/>
    <w:rsid w:val="00AD4162"/>
    <w:rsid w:val="00AD44A7"/>
    <w:rsid w:val="00AD457D"/>
    <w:rsid w:val="00AD45B0"/>
    <w:rsid w:val="00AD562B"/>
    <w:rsid w:val="00AD69D0"/>
    <w:rsid w:val="00AD7618"/>
    <w:rsid w:val="00AD780D"/>
    <w:rsid w:val="00AD7E85"/>
    <w:rsid w:val="00AE1B95"/>
    <w:rsid w:val="00AE23C8"/>
    <w:rsid w:val="00AE245E"/>
    <w:rsid w:val="00AE4161"/>
    <w:rsid w:val="00AE5062"/>
    <w:rsid w:val="00AE6ADA"/>
    <w:rsid w:val="00AE7EA7"/>
    <w:rsid w:val="00AF050C"/>
    <w:rsid w:val="00AF05D1"/>
    <w:rsid w:val="00AF3C3B"/>
    <w:rsid w:val="00AF53D1"/>
    <w:rsid w:val="00AF5592"/>
    <w:rsid w:val="00AF7D55"/>
    <w:rsid w:val="00B0107B"/>
    <w:rsid w:val="00B018E0"/>
    <w:rsid w:val="00B02135"/>
    <w:rsid w:val="00B04F85"/>
    <w:rsid w:val="00B05314"/>
    <w:rsid w:val="00B05597"/>
    <w:rsid w:val="00B068A9"/>
    <w:rsid w:val="00B07019"/>
    <w:rsid w:val="00B07169"/>
    <w:rsid w:val="00B073C4"/>
    <w:rsid w:val="00B079C8"/>
    <w:rsid w:val="00B10652"/>
    <w:rsid w:val="00B10E94"/>
    <w:rsid w:val="00B10F46"/>
    <w:rsid w:val="00B1156A"/>
    <w:rsid w:val="00B11E57"/>
    <w:rsid w:val="00B12BF5"/>
    <w:rsid w:val="00B1307E"/>
    <w:rsid w:val="00B130AC"/>
    <w:rsid w:val="00B133B6"/>
    <w:rsid w:val="00B15770"/>
    <w:rsid w:val="00B16908"/>
    <w:rsid w:val="00B179B8"/>
    <w:rsid w:val="00B17EA9"/>
    <w:rsid w:val="00B17F9C"/>
    <w:rsid w:val="00B20B4A"/>
    <w:rsid w:val="00B20E38"/>
    <w:rsid w:val="00B22106"/>
    <w:rsid w:val="00B2242E"/>
    <w:rsid w:val="00B2316C"/>
    <w:rsid w:val="00B24298"/>
    <w:rsid w:val="00B24C67"/>
    <w:rsid w:val="00B24DA7"/>
    <w:rsid w:val="00B26145"/>
    <w:rsid w:val="00B2662F"/>
    <w:rsid w:val="00B272E5"/>
    <w:rsid w:val="00B30931"/>
    <w:rsid w:val="00B31096"/>
    <w:rsid w:val="00B31B90"/>
    <w:rsid w:val="00B31D9B"/>
    <w:rsid w:val="00B31F66"/>
    <w:rsid w:val="00B32A2A"/>
    <w:rsid w:val="00B332C0"/>
    <w:rsid w:val="00B3393D"/>
    <w:rsid w:val="00B33E9A"/>
    <w:rsid w:val="00B3460C"/>
    <w:rsid w:val="00B34D9F"/>
    <w:rsid w:val="00B363F9"/>
    <w:rsid w:val="00B367AA"/>
    <w:rsid w:val="00B36A67"/>
    <w:rsid w:val="00B36A8A"/>
    <w:rsid w:val="00B36C33"/>
    <w:rsid w:val="00B3714D"/>
    <w:rsid w:val="00B374C0"/>
    <w:rsid w:val="00B37A45"/>
    <w:rsid w:val="00B40521"/>
    <w:rsid w:val="00B406F6"/>
    <w:rsid w:val="00B412FC"/>
    <w:rsid w:val="00B41743"/>
    <w:rsid w:val="00B41FD4"/>
    <w:rsid w:val="00B42122"/>
    <w:rsid w:val="00B43C59"/>
    <w:rsid w:val="00B442C8"/>
    <w:rsid w:val="00B458E5"/>
    <w:rsid w:val="00B461F1"/>
    <w:rsid w:val="00B475D1"/>
    <w:rsid w:val="00B47ACC"/>
    <w:rsid w:val="00B50369"/>
    <w:rsid w:val="00B52476"/>
    <w:rsid w:val="00B52E20"/>
    <w:rsid w:val="00B53AEC"/>
    <w:rsid w:val="00B5684B"/>
    <w:rsid w:val="00B571FB"/>
    <w:rsid w:val="00B60171"/>
    <w:rsid w:val="00B60667"/>
    <w:rsid w:val="00B60771"/>
    <w:rsid w:val="00B60F19"/>
    <w:rsid w:val="00B61385"/>
    <w:rsid w:val="00B6298D"/>
    <w:rsid w:val="00B63F66"/>
    <w:rsid w:val="00B652AB"/>
    <w:rsid w:val="00B66CD4"/>
    <w:rsid w:val="00B67093"/>
    <w:rsid w:val="00B7034B"/>
    <w:rsid w:val="00B70D6A"/>
    <w:rsid w:val="00B71DE1"/>
    <w:rsid w:val="00B72EEA"/>
    <w:rsid w:val="00B733D1"/>
    <w:rsid w:val="00B73833"/>
    <w:rsid w:val="00B73DD8"/>
    <w:rsid w:val="00B74A2F"/>
    <w:rsid w:val="00B7627B"/>
    <w:rsid w:val="00B76646"/>
    <w:rsid w:val="00B77B3A"/>
    <w:rsid w:val="00B82644"/>
    <w:rsid w:val="00B83373"/>
    <w:rsid w:val="00B8361E"/>
    <w:rsid w:val="00B83FC8"/>
    <w:rsid w:val="00B85374"/>
    <w:rsid w:val="00B8577D"/>
    <w:rsid w:val="00B85BBF"/>
    <w:rsid w:val="00B8722F"/>
    <w:rsid w:val="00B87533"/>
    <w:rsid w:val="00B8772E"/>
    <w:rsid w:val="00B87E7F"/>
    <w:rsid w:val="00B90437"/>
    <w:rsid w:val="00B90AF0"/>
    <w:rsid w:val="00B92819"/>
    <w:rsid w:val="00B92B0D"/>
    <w:rsid w:val="00B94B33"/>
    <w:rsid w:val="00B94CC2"/>
    <w:rsid w:val="00B9514F"/>
    <w:rsid w:val="00B9589B"/>
    <w:rsid w:val="00B95FEE"/>
    <w:rsid w:val="00B96C62"/>
    <w:rsid w:val="00B97256"/>
    <w:rsid w:val="00B9777B"/>
    <w:rsid w:val="00BA10A3"/>
    <w:rsid w:val="00BA1854"/>
    <w:rsid w:val="00BA1B76"/>
    <w:rsid w:val="00BA227D"/>
    <w:rsid w:val="00BA22C7"/>
    <w:rsid w:val="00BA2FCB"/>
    <w:rsid w:val="00BA34B1"/>
    <w:rsid w:val="00BA4CE0"/>
    <w:rsid w:val="00BA4E15"/>
    <w:rsid w:val="00BA4F87"/>
    <w:rsid w:val="00BA57C0"/>
    <w:rsid w:val="00BA6430"/>
    <w:rsid w:val="00BA7FCC"/>
    <w:rsid w:val="00BB00DE"/>
    <w:rsid w:val="00BB04AB"/>
    <w:rsid w:val="00BB2346"/>
    <w:rsid w:val="00BB274A"/>
    <w:rsid w:val="00BB2926"/>
    <w:rsid w:val="00BB31E5"/>
    <w:rsid w:val="00BB39AE"/>
    <w:rsid w:val="00BB4078"/>
    <w:rsid w:val="00BB51C3"/>
    <w:rsid w:val="00BB5767"/>
    <w:rsid w:val="00BB6824"/>
    <w:rsid w:val="00BB70D8"/>
    <w:rsid w:val="00BB710A"/>
    <w:rsid w:val="00BB71D3"/>
    <w:rsid w:val="00BC01A3"/>
    <w:rsid w:val="00BC11F1"/>
    <w:rsid w:val="00BC26CE"/>
    <w:rsid w:val="00BC2E32"/>
    <w:rsid w:val="00BC2EBF"/>
    <w:rsid w:val="00BC2F4C"/>
    <w:rsid w:val="00BC45E3"/>
    <w:rsid w:val="00BC46E3"/>
    <w:rsid w:val="00BC482C"/>
    <w:rsid w:val="00BC544A"/>
    <w:rsid w:val="00BC60F0"/>
    <w:rsid w:val="00BC6292"/>
    <w:rsid w:val="00BC6D0D"/>
    <w:rsid w:val="00BC6D25"/>
    <w:rsid w:val="00BC728A"/>
    <w:rsid w:val="00BC757F"/>
    <w:rsid w:val="00BD0E56"/>
    <w:rsid w:val="00BD2120"/>
    <w:rsid w:val="00BD431A"/>
    <w:rsid w:val="00BD43EE"/>
    <w:rsid w:val="00BD46FD"/>
    <w:rsid w:val="00BD4D84"/>
    <w:rsid w:val="00BD52AE"/>
    <w:rsid w:val="00BD56D7"/>
    <w:rsid w:val="00BD5D3F"/>
    <w:rsid w:val="00BD753B"/>
    <w:rsid w:val="00BD7BBB"/>
    <w:rsid w:val="00BD7DF4"/>
    <w:rsid w:val="00BE05CB"/>
    <w:rsid w:val="00BE0AB3"/>
    <w:rsid w:val="00BE1791"/>
    <w:rsid w:val="00BE2181"/>
    <w:rsid w:val="00BE2681"/>
    <w:rsid w:val="00BE2BE3"/>
    <w:rsid w:val="00BE3B16"/>
    <w:rsid w:val="00BE4428"/>
    <w:rsid w:val="00BE6D62"/>
    <w:rsid w:val="00BE6F56"/>
    <w:rsid w:val="00BE7406"/>
    <w:rsid w:val="00BE796E"/>
    <w:rsid w:val="00BF01C0"/>
    <w:rsid w:val="00BF0828"/>
    <w:rsid w:val="00BF0EC1"/>
    <w:rsid w:val="00BF191E"/>
    <w:rsid w:val="00BF1C70"/>
    <w:rsid w:val="00BF2355"/>
    <w:rsid w:val="00BF5766"/>
    <w:rsid w:val="00BF5A89"/>
    <w:rsid w:val="00BF6335"/>
    <w:rsid w:val="00C003B8"/>
    <w:rsid w:val="00C007A7"/>
    <w:rsid w:val="00C00AF2"/>
    <w:rsid w:val="00C01156"/>
    <w:rsid w:val="00C01959"/>
    <w:rsid w:val="00C02196"/>
    <w:rsid w:val="00C0242D"/>
    <w:rsid w:val="00C02BD2"/>
    <w:rsid w:val="00C03A02"/>
    <w:rsid w:val="00C064DF"/>
    <w:rsid w:val="00C0684E"/>
    <w:rsid w:val="00C07867"/>
    <w:rsid w:val="00C07975"/>
    <w:rsid w:val="00C079F6"/>
    <w:rsid w:val="00C10410"/>
    <w:rsid w:val="00C11634"/>
    <w:rsid w:val="00C121E9"/>
    <w:rsid w:val="00C131A2"/>
    <w:rsid w:val="00C13777"/>
    <w:rsid w:val="00C13AAA"/>
    <w:rsid w:val="00C13EE8"/>
    <w:rsid w:val="00C14424"/>
    <w:rsid w:val="00C14E11"/>
    <w:rsid w:val="00C15130"/>
    <w:rsid w:val="00C154E0"/>
    <w:rsid w:val="00C15E97"/>
    <w:rsid w:val="00C1745B"/>
    <w:rsid w:val="00C2031B"/>
    <w:rsid w:val="00C2068C"/>
    <w:rsid w:val="00C2294C"/>
    <w:rsid w:val="00C22A63"/>
    <w:rsid w:val="00C2325B"/>
    <w:rsid w:val="00C2521A"/>
    <w:rsid w:val="00C25BD8"/>
    <w:rsid w:val="00C2677C"/>
    <w:rsid w:val="00C26FD0"/>
    <w:rsid w:val="00C273A7"/>
    <w:rsid w:val="00C27A4F"/>
    <w:rsid w:val="00C30115"/>
    <w:rsid w:val="00C30201"/>
    <w:rsid w:val="00C304F0"/>
    <w:rsid w:val="00C30EA7"/>
    <w:rsid w:val="00C313A4"/>
    <w:rsid w:val="00C31F06"/>
    <w:rsid w:val="00C31F55"/>
    <w:rsid w:val="00C31FFF"/>
    <w:rsid w:val="00C3250A"/>
    <w:rsid w:val="00C32C31"/>
    <w:rsid w:val="00C32D3E"/>
    <w:rsid w:val="00C32F15"/>
    <w:rsid w:val="00C33509"/>
    <w:rsid w:val="00C3372D"/>
    <w:rsid w:val="00C337E7"/>
    <w:rsid w:val="00C340E5"/>
    <w:rsid w:val="00C34B21"/>
    <w:rsid w:val="00C358F2"/>
    <w:rsid w:val="00C35959"/>
    <w:rsid w:val="00C36DC2"/>
    <w:rsid w:val="00C419A3"/>
    <w:rsid w:val="00C41C39"/>
    <w:rsid w:val="00C42068"/>
    <w:rsid w:val="00C42C45"/>
    <w:rsid w:val="00C43381"/>
    <w:rsid w:val="00C437BC"/>
    <w:rsid w:val="00C43D2B"/>
    <w:rsid w:val="00C44742"/>
    <w:rsid w:val="00C46206"/>
    <w:rsid w:val="00C46570"/>
    <w:rsid w:val="00C4696E"/>
    <w:rsid w:val="00C474CB"/>
    <w:rsid w:val="00C47932"/>
    <w:rsid w:val="00C47CBF"/>
    <w:rsid w:val="00C52152"/>
    <w:rsid w:val="00C54284"/>
    <w:rsid w:val="00C548CB"/>
    <w:rsid w:val="00C54EF2"/>
    <w:rsid w:val="00C56966"/>
    <w:rsid w:val="00C56B56"/>
    <w:rsid w:val="00C57D84"/>
    <w:rsid w:val="00C57F07"/>
    <w:rsid w:val="00C61275"/>
    <w:rsid w:val="00C61324"/>
    <w:rsid w:val="00C62A2F"/>
    <w:rsid w:val="00C62CCB"/>
    <w:rsid w:val="00C63576"/>
    <w:rsid w:val="00C6413D"/>
    <w:rsid w:val="00C64278"/>
    <w:rsid w:val="00C64B96"/>
    <w:rsid w:val="00C65BF5"/>
    <w:rsid w:val="00C676FF"/>
    <w:rsid w:val="00C7021D"/>
    <w:rsid w:val="00C707F4"/>
    <w:rsid w:val="00C711CA"/>
    <w:rsid w:val="00C7183E"/>
    <w:rsid w:val="00C72DB4"/>
    <w:rsid w:val="00C751B0"/>
    <w:rsid w:val="00C753E0"/>
    <w:rsid w:val="00C77178"/>
    <w:rsid w:val="00C77940"/>
    <w:rsid w:val="00C811F5"/>
    <w:rsid w:val="00C8271B"/>
    <w:rsid w:val="00C8297D"/>
    <w:rsid w:val="00C83050"/>
    <w:rsid w:val="00C84390"/>
    <w:rsid w:val="00C84A21"/>
    <w:rsid w:val="00C87F13"/>
    <w:rsid w:val="00C87FEB"/>
    <w:rsid w:val="00C91077"/>
    <w:rsid w:val="00C915BC"/>
    <w:rsid w:val="00C915F3"/>
    <w:rsid w:val="00C920BE"/>
    <w:rsid w:val="00C92391"/>
    <w:rsid w:val="00C92937"/>
    <w:rsid w:val="00C93576"/>
    <w:rsid w:val="00C94D69"/>
    <w:rsid w:val="00C95239"/>
    <w:rsid w:val="00C96CCF"/>
    <w:rsid w:val="00CA0854"/>
    <w:rsid w:val="00CA097A"/>
    <w:rsid w:val="00CA0B3A"/>
    <w:rsid w:val="00CA1B9E"/>
    <w:rsid w:val="00CA1E59"/>
    <w:rsid w:val="00CA38EF"/>
    <w:rsid w:val="00CA3FE6"/>
    <w:rsid w:val="00CA5C25"/>
    <w:rsid w:val="00CB077B"/>
    <w:rsid w:val="00CB088F"/>
    <w:rsid w:val="00CB0918"/>
    <w:rsid w:val="00CB0F16"/>
    <w:rsid w:val="00CB0F45"/>
    <w:rsid w:val="00CB175E"/>
    <w:rsid w:val="00CB218C"/>
    <w:rsid w:val="00CB241A"/>
    <w:rsid w:val="00CB25A6"/>
    <w:rsid w:val="00CB346E"/>
    <w:rsid w:val="00CB3A30"/>
    <w:rsid w:val="00CB48B8"/>
    <w:rsid w:val="00CB4FD5"/>
    <w:rsid w:val="00CB5072"/>
    <w:rsid w:val="00CB530F"/>
    <w:rsid w:val="00CB5B3E"/>
    <w:rsid w:val="00CB6236"/>
    <w:rsid w:val="00CB6C40"/>
    <w:rsid w:val="00CB731B"/>
    <w:rsid w:val="00CB7892"/>
    <w:rsid w:val="00CB794F"/>
    <w:rsid w:val="00CB7E36"/>
    <w:rsid w:val="00CC3682"/>
    <w:rsid w:val="00CC39A0"/>
    <w:rsid w:val="00CC3BE4"/>
    <w:rsid w:val="00CC3F20"/>
    <w:rsid w:val="00CC40AD"/>
    <w:rsid w:val="00CC6A99"/>
    <w:rsid w:val="00CC7624"/>
    <w:rsid w:val="00CC793F"/>
    <w:rsid w:val="00CD2B38"/>
    <w:rsid w:val="00CD2D45"/>
    <w:rsid w:val="00CD467F"/>
    <w:rsid w:val="00CD6DD8"/>
    <w:rsid w:val="00CD7644"/>
    <w:rsid w:val="00CD7C9C"/>
    <w:rsid w:val="00CD7D5F"/>
    <w:rsid w:val="00CE05BC"/>
    <w:rsid w:val="00CE1493"/>
    <w:rsid w:val="00CE2709"/>
    <w:rsid w:val="00CE2A7D"/>
    <w:rsid w:val="00CE510B"/>
    <w:rsid w:val="00CE53CD"/>
    <w:rsid w:val="00CE5B0C"/>
    <w:rsid w:val="00CE67D7"/>
    <w:rsid w:val="00CE6957"/>
    <w:rsid w:val="00CE70CF"/>
    <w:rsid w:val="00CE7774"/>
    <w:rsid w:val="00CE7DBA"/>
    <w:rsid w:val="00CF1DFC"/>
    <w:rsid w:val="00CF3DF8"/>
    <w:rsid w:val="00CF443F"/>
    <w:rsid w:val="00CF4571"/>
    <w:rsid w:val="00CF655F"/>
    <w:rsid w:val="00CF65DA"/>
    <w:rsid w:val="00CF6EF5"/>
    <w:rsid w:val="00D0229D"/>
    <w:rsid w:val="00D03376"/>
    <w:rsid w:val="00D03619"/>
    <w:rsid w:val="00D03F61"/>
    <w:rsid w:val="00D05C42"/>
    <w:rsid w:val="00D06242"/>
    <w:rsid w:val="00D0637B"/>
    <w:rsid w:val="00D06695"/>
    <w:rsid w:val="00D0768D"/>
    <w:rsid w:val="00D106F1"/>
    <w:rsid w:val="00D10BE1"/>
    <w:rsid w:val="00D10CCD"/>
    <w:rsid w:val="00D14E73"/>
    <w:rsid w:val="00D15404"/>
    <w:rsid w:val="00D15CEF"/>
    <w:rsid w:val="00D16619"/>
    <w:rsid w:val="00D20392"/>
    <w:rsid w:val="00D20570"/>
    <w:rsid w:val="00D2211E"/>
    <w:rsid w:val="00D2272A"/>
    <w:rsid w:val="00D2311C"/>
    <w:rsid w:val="00D25D52"/>
    <w:rsid w:val="00D261B0"/>
    <w:rsid w:val="00D261DB"/>
    <w:rsid w:val="00D265A5"/>
    <w:rsid w:val="00D268F5"/>
    <w:rsid w:val="00D26B0C"/>
    <w:rsid w:val="00D26BA5"/>
    <w:rsid w:val="00D27804"/>
    <w:rsid w:val="00D27ABC"/>
    <w:rsid w:val="00D30B09"/>
    <w:rsid w:val="00D31F18"/>
    <w:rsid w:val="00D33196"/>
    <w:rsid w:val="00D33A14"/>
    <w:rsid w:val="00D33D47"/>
    <w:rsid w:val="00D33E32"/>
    <w:rsid w:val="00D353E4"/>
    <w:rsid w:val="00D35868"/>
    <w:rsid w:val="00D362CB"/>
    <w:rsid w:val="00D373A6"/>
    <w:rsid w:val="00D375F7"/>
    <w:rsid w:val="00D4075D"/>
    <w:rsid w:val="00D4192D"/>
    <w:rsid w:val="00D43236"/>
    <w:rsid w:val="00D43E7F"/>
    <w:rsid w:val="00D44351"/>
    <w:rsid w:val="00D44911"/>
    <w:rsid w:val="00D4659A"/>
    <w:rsid w:val="00D46A8B"/>
    <w:rsid w:val="00D4734E"/>
    <w:rsid w:val="00D50E5B"/>
    <w:rsid w:val="00D512E0"/>
    <w:rsid w:val="00D5182D"/>
    <w:rsid w:val="00D51C82"/>
    <w:rsid w:val="00D528A5"/>
    <w:rsid w:val="00D52B35"/>
    <w:rsid w:val="00D5403D"/>
    <w:rsid w:val="00D54B45"/>
    <w:rsid w:val="00D5707B"/>
    <w:rsid w:val="00D57412"/>
    <w:rsid w:val="00D574A6"/>
    <w:rsid w:val="00D602CE"/>
    <w:rsid w:val="00D603CE"/>
    <w:rsid w:val="00D60605"/>
    <w:rsid w:val="00D60D3F"/>
    <w:rsid w:val="00D615FE"/>
    <w:rsid w:val="00D636F8"/>
    <w:rsid w:val="00D64029"/>
    <w:rsid w:val="00D640A0"/>
    <w:rsid w:val="00D64474"/>
    <w:rsid w:val="00D64A46"/>
    <w:rsid w:val="00D64DCE"/>
    <w:rsid w:val="00D64E61"/>
    <w:rsid w:val="00D64E99"/>
    <w:rsid w:val="00D66219"/>
    <w:rsid w:val="00D662CC"/>
    <w:rsid w:val="00D676BE"/>
    <w:rsid w:val="00D67D2D"/>
    <w:rsid w:val="00D67F0E"/>
    <w:rsid w:val="00D703C5"/>
    <w:rsid w:val="00D71D95"/>
    <w:rsid w:val="00D72C9B"/>
    <w:rsid w:val="00D72ED8"/>
    <w:rsid w:val="00D73980"/>
    <w:rsid w:val="00D73993"/>
    <w:rsid w:val="00D74800"/>
    <w:rsid w:val="00D75D5B"/>
    <w:rsid w:val="00D7651E"/>
    <w:rsid w:val="00D7685B"/>
    <w:rsid w:val="00D76EF6"/>
    <w:rsid w:val="00D80372"/>
    <w:rsid w:val="00D803D1"/>
    <w:rsid w:val="00D8077A"/>
    <w:rsid w:val="00D81345"/>
    <w:rsid w:val="00D83133"/>
    <w:rsid w:val="00D840FF"/>
    <w:rsid w:val="00D84389"/>
    <w:rsid w:val="00D84489"/>
    <w:rsid w:val="00D84BD3"/>
    <w:rsid w:val="00D84C8C"/>
    <w:rsid w:val="00D84D1F"/>
    <w:rsid w:val="00D851E0"/>
    <w:rsid w:val="00D85219"/>
    <w:rsid w:val="00D85612"/>
    <w:rsid w:val="00D85EFD"/>
    <w:rsid w:val="00D864CD"/>
    <w:rsid w:val="00D87D18"/>
    <w:rsid w:val="00D9018C"/>
    <w:rsid w:val="00D901FB"/>
    <w:rsid w:val="00D9132E"/>
    <w:rsid w:val="00D91BFD"/>
    <w:rsid w:val="00D939AA"/>
    <w:rsid w:val="00D9757E"/>
    <w:rsid w:val="00D9764F"/>
    <w:rsid w:val="00D97A89"/>
    <w:rsid w:val="00DA0244"/>
    <w:rsid w:val="00DA0303"/>
    <w:rsid w:val="00DA0B74"/>
    <w:rsid w:val="00DA0C09"/>
    <w:rsid w:val="00DA12A0"/>
    <w:rsid w:val="00DA1881"/>
    <w:rsid w:val="00DA2FCC"/>
    <w:rsid w:val="00DA34D6"/>
    <w:rsid w:val="00DA3647"/>
    <w:rsid w:val="00DA38F6"/>
    <w:rsid w:val="00DA3D0E"/>
    <w:rsid w:val="00DA41AA"/>
    <w:rsid w:val="00DA4395"/>
    <w:rsid w:val="00DA506C"/>
    <w:rsid w:val="00DA5D4A"/>
    <w:rsid w:val="00DA7294"/>
    <w:rsid w:val="00DB36EF"/>
    <w:rsid w:val="00DB6CCD"/>
    <w:rsid w:val="00DB7010"/>
    <w:rsid w:val="00DB750E"/>
    <w:rsid w:val="00DC04D8"/>
    <w:rsid w:val="00DC0887"/>
    <w:rsid w:val="00DC0BA9"/>
    <w:rsid w:val="00DC20BE"/>
    <w:rsid w:val="00DC2D6B"/>
    <w:rsid w:val="00DC37A0"/>
    <w:rsid w:val="00DC384E"/>
    <w:rsid w:val="00DC393B"/>
    <w:rsid w:val="00DC3A8B"/>
    <w:rsid w:val="00DC44F8"/>
    <w:rsid w:val="00DC4812"/>
    <w:rsid w:val="00DC5D8D"/>
    <w:rsid w:val="00DC692C"/>
    <w:rsid w:val="00DC6F2B"/>
    <w:rsid w:val="00DD11E4"/>
    <w:rsid w:val="00DD14C2"/>
    <w:rsid w:val="00DD1669"/>
    <w:rsid w:val="00DD1794"/>
    <w:rsid w:val="00DD17AC"/>
    <w:rsid w:val="00DD1E1B"/>
    <w:rsid w:val="00DD2B3A"/>
    <w:rsid w:val="00DD3BE4"/>
    <w:rsid w:val="00DD4406"/>
    <w:rsid w:val="00DD454B"/>
    <w:rsid w:val="00DD47E9"/>
    <w:rsid w:val="00DD4A2A"/>
    <w:rsid w:val="00DD5628"/>
    <w:rsid w:val="00DD5E20"/>
    <w:rsid w:val="00DD6009"/>
    <w:rsid w:val="00DD628C"/>
    <w:rsid w:val="00DD643C"/>
    <w:rsid w:val="00DD6A84"/>
    <w:rsid w:val="00DD7033"/>
    <w:rsid w:val="00DE1383"/>
    <w:rsid w:val="00DE1561"/>
    <w:rsid w:val="00DE2A83"/>
    <w:rsid w:val="00DE30B8"/>
    <w:rsid w:val="00DE3F47"/>
    <w:rsid w:val="00DE403B"/>
    <w:rsid w:val="00DE52DB"/>
    <w:rsid w:val="00DE5B4A"/>
    <w:rsid w:val="00DE6FAC"/>
    <w:rsid w:val="00DE7751"/>
    <w:rsid w:val="00DE7D75"/>
    <w:rsid w:val="00DF0656"/>
    <w:rsid w:val="00DF0C43"/>
    <w:rsid w:val="00DF0F21"/>
    <w:rsid w:val="00DF2742"/>
    <w:rsid w:val="00DF27EE"/>
    <w:rsid w:val="00DF3AB5"/>
    <w:rsid w:val="00DF407E"/>
    <w:rsid w:val="00DF4466"/>
    <w:rsid w:val="00DF5053"/>
    <w:rsid w:val="00DF55C4"/>
    <w:rsid w:val="00DF5FBC"/>
    <w:rsid w:val="00DF69E2"/>
    <w:rsid w:val="00DF6A3C"/>
    <w:rsid w:val="00DF70E5"/>
    <w:rsid w:val="00DF74F3"/>
    <w:rsid w:val="00DF758E"/>
    <w:rsid w:val="00DF7AC0"/>
    <w:rsid w:val="00E00E89"/>
    <w:rsid w:val="00E024C2"/>
    <w:rsid w:val="00E029E7"/>
    <w:rsid w:val="00E02AA1"/>
    <w:rsid w:val="00E02D92"/>
    <w:rsid w:val="00E03053"/>
    <w:rsid w:val="00E03240"/>
    <w:rsid w:val="00E0339C"/>
    <w:rsid w:val="00E04516"/>
    <w:rsid w:val="00E04988"/>
    <w:rsid w:val="00E05762"/>
    <w:rsid w:val="00E059AC"/>
    <w:rsid w:val="00E05DF5"/>
    <w:rsid w:val="00E066D8"/>
    <w:rsid w:val="00E069E3"/>
    <w:rsid w:val="00E06D7D"/>
    <w:rsid w:val="00E11798"/>
    <w:rsid w:val="00E11E19"/>
    <w:rsid w:val="00E12FA8"/>
    <w:rsid w:val="00E1379E"/>
    <w:rsid w:val="00E1584E"/>
    <w:rsid w:val="00E15AE7"/>
    <w:rsid w:val="00E16AE3"/>
    <w:rsid w:val="00E16EE4"/>
    <w:rsid w:val="00E16F16"/>
    <w:rsid w:val="00E17314"/>
    <w:rsid w:val="00E17839"/>
    <w:rsid w:val="00E2001A"/>
    <w:rsid w:val="00E20051"/>
    <w:rsid w:val="00E209EB"/>
    <w:rsid w:val="00E22B0D"/>
    <w:rsid w:val="00E23776"/>
    <w:rsid w:val="00E239E3"/>
    <w:rsid w:val="00E246CB"/>
    <w:rsid w:val="00E24DA7"/>
    <w:rsid w:val="00E30A24"/>
    <w:rsid w:val="00E31617"/>
    <w:rsid w:val="00E31B32"/>
    <w:rsid w:val="00E31DF3"/>
    <w:rsid w:val="00E31EF6"/>
    <w:rsid w:val="00E32671"/>
    <w:rsid w:val="00E32F65"/>
    <w:rsid w:val="00E34399"/>
    <w:rsid w:val="00E34436"/>
    <w:rsid w:val="00E35F86"/>
    <w:rsid w:val="00E3770B"/>
    <w:rsid w:val="00E403FC"/>
    <w:rsid w:val="00E4133A"/>
    <w:rsid w:val="00E41442"/>
    <w:rsid w:val="00E4161B"/>
    <w:rsid w:val="00E41A19"/>
    <w:rsid w:val="00E42445"/>
    <w:rsid w:val="00E437E7"/>
    <w:rsid w:val="00E4434F"/>
    <w:rsid w:val="00E450DB"/>
    <w:rsid w:val="00E457EC"/>
    <w:rsid w:val="00E47B2A"/>
    <w:rsid w:val="00E50392"/>
    <w:rsid w:val="00E506B6"/>
    <w:rsid w:val="00E50CE8"/>
    <w:rsid w:val="00E5147F"/>
    <w:rsid w:val="00E51C64"/>
    <w:rsid w:val="00E525E0"/>
    <w:rsid w:val="00E5341A"/>
    <w:rsid w:val="00E5439C"/>
    <w:rsid w:val="00E54928"/>
    <w:rsid w:val="00E552F2"/>
    <w:rsid w:val="00E5617F"/>
    <w:rsid w:val="00E5698F"/>
    <w:rsid w:val="00E5727A"/>
    <w:rsid w:val="00E61C67"/>
    <w:rsid w:val="00E62048"/>
    <w:rsid w:val="00E63B06"/>
    <w:rsid w:val="00E64B2F"/>
    <w:rsid w:val="00E65043"/>
    <w:rsid w:val="00E65951"/>
    <w:rsid w:val="00E6785A"/>
    <w:rsid w:val="00E67880"/>
    <w:rsid w:val="00E70CD8"/>
    <w:rsid w:val="00E7111A"/>
    <w:rsid w:val="00E71D9A"/>
    <w:rsid w:val="00E7276D"/>
    <w:rsid w:val="00E73323"/>
    <w:rsid w:val="00E74330"/>
    <w:rsid w:val="00E748E5"/>
    <w:rsid w:val="00E7491B"/>
    <w:rsid w:val="00E75AEB"/>
    <w:rsid w:val="00E775E1"/>
    <w:rsid w:val="00E77F50"/>
    <w:rsid w:val="00E81647"/>
    <w:rsid w:val="00E828A9"/>
    <w:rsid w:val="00E82A03"/>
    <w:rsid w:val="00E83001"/>
    <w:rsid w:val="00E848E7"/>
    <w:rsid w:val="00E85D5E"/>
    <w:rsid w:val="00E860BD"/>
    <w:rsid w:val="00E8623F"/>
    <w:rsid w:val="00E8646A"/>
    <w:rsid w:val="00E86F26"/>
    <w:rsid w:val="00E920F6"/>
    <w:rsid w:val="00E9353F"/>
    <w:rsid w:val="00E94DEF"/>
    <w:rsid w:val="00E95A52"/>
    <w:rsid w:val="00E96155"/>
    <w:rsid w:val="00E969B9"/>
    <w:rsid w:val="00E97874"/>
    <w:rsid w:val="00E97CB2"/>
    <w:rsid w:val="00E97E6E"/>
    <w:rsid w:val="00EA18AF"/>
    <w:rsid w:val="00EA3ECD"/>
    <w:rsid w:val="00EA4496"/>
    <w:rsid w:val="00EA5671"/>
    <w:rsid w:val="00EA59C7"/>
    <w:rsid w:val="00EA5E2E"/>
    <w:rsid w:val="00EA608A"/>
    <w:rsid w:val="00EA664C"/>
    <w:rsid w:val="00EA6815"/>
    <w:rsid w:val="00EA6F1B"/>
    <w:rsid w:val="00EB04B9"/>
    <w:rsid w:val="00EB11A0"/>
    <w:rsid w:val="00EB1E27"/>
    <w:rsid w:val="00EB337C"/>
    <w:rsid w:val="00EB36BF"/>
    <w:rsid w:val="00EB39E5"/>
    <w:rsid w:val="00EB4457"/>
    <w:rsid w:val="00EB4517"/>
    <w:rsid w:val="00EB4B9C"/>
    <w:rsid w:val="00EB4D13"/>
    <w:rsid w:val="00EB51D5"/>
    <w:rsid w:val="00EB5224"/>
    <w:rsid w:val="00EB5A1C"/>
    <w:rsid w:val="00EB6FA4"/>
    <w:rsid w:val="00EC07BE"/>
    <w:rsid w:val="00EC23C7"/>
    <w:rsid w:val="00EC308A"/>
    <w:rsid w:val="00EC5EF1"/>
    <w:rsid w:val="00EC640E"/>
    <w:rsid w:val="00EC6B84"/>
    <w:rsid w:val="00EC70E6"/>
    <w:rsid w:val="00EC7509"/>
    <w:rsid w:val="00EC7A11"/>
    <w:rsid w:val="00EC7CAA"/>
    <w:rsid w:val="00EC7DBD"/>
    <w:rsid w:val="00EC7E5B"/>
    <w:rsid w:val="00EC7F2E"/>
    <w:rsid w:val="00ED15F7"/>
    <w:rsid w:val="00ED22ED"/>
    <w:rsid w:val="00ED3371"/>
    <w:rsid w:val="00ED39A8"/>
    <w:rsid w:val="00ED46BB"/>
    <w:rsid w:val="00ED4842"/>
    <w:rsid w:val="00ED4F29"/>
    <w:rsid w:val="00ED573F"/>
    <w:rsid w:val="00ED5C52"/>
    <w:rsid w:val="00ED5FCC"/>
    <w:rsid w:val="00ED72B8"/>
    <w:rsid w:val="00ED78C0"/>
    <w:rsid w:val="00EE0981"/>
    <w:rsid w:val="00EE0F5D"/>
    <w:rsid w:val="00EE0F74"/>
    <w:rsid w:val="00EE2D71"/>
    <w:rsid w:val="00EE2FD4"/>
    <w:rsid w:val="00EE3B83"/>
    <w:rsid w:val="00EE5AD4"/>
    <w:rsid w:val="00EE5D95"/>
    <w:rsid w:val="00EE694F"/>
    <w:rsid w:val="00EE72F2"/>
    <w:rsid w:val="00EF0CD7"/>
    <w:rsid w:val="00EF28FD"/>
    <w:rsid w:val="00EF29A0"/>
    <w:rsid w:val="00EF370C"/>
    <w:rsid w:val="00EF501A"/>
    <w:rsid w:val="00EF5314"/>
    <w:rsid w:val="00EF6EAD"/>
    <w:rsid w:val="00EF7C8D"/>
    <w:rsid w:val="00F006C2"/>
    <w:rsid w:val="00F0112D"/>
    <w:rsid w:val="00F015CB"/>
    <w:rsid w:val="00F0211C"/>
    <w:rsid w:val="00F0230A"/>
    <w:rsid w:val="00F02375"/>
    <w:rsid w:val="00F02C8B"/>
    <w:rsid w:val="00F02CBF"/>
    <w:rsid w:val="00F03B13"/>
    <w:rsid w:val="00F0418A"/>
    <w:rsid w:val="00F05BE6"/>
    <w:rsid w:val="00F06485"/>
    <w:rsid w:val="00F06BD8"/>
    <w:rsid w:val="00F07AB2"/>
    <w:rsid w:val="00F106A6"/>
    <w:rsid w:val="00F10E58"/>
    <w:rsid w:val="00F115DB"/>
    <w:rsid w:val="00F1269D"/>
    <w:rsid w:val="00F12AE2"/>
    <w:rsid w:val="00F12C12"/>
    <w:rsid w:val="00F132BB"/>
    <w:rsid w:val="00F14579"/>
    <w:rsid w:val="00F152CB"/>
    <w:rsid w:val="00F15A00"/>
    <w:rsid w:val="00F15B6D"/>
    <w:rsid w:val="00F15E0C"/>
    <w:rsid w:val="00F15E9C"/>
    <w:rsid w:val="00F15F9B"/>
    <w:rsid w:val="00F16657"/>
    <w:rsid w:val="00F17590"/>
    <w:rsid w:val="00F17B82"/>
    <w:rsid w:val="00F2038C"/>
    <w:rsid w:val="00F2045B"/>
    <w:rsid w:val="00F2068D"/>
    <w:rsid w:val="00F20869"/>
    <w:rsid w:val="00F2195C"/>
    <w:rsid w:val="00F23C10"/>
    <w:rsid w:val="00F251D8"/>
    <w:rsid w:val="00F25AF6"/>
    <w:rsid w:val="00F267B6"/>
    <w:rsid w:val="00F268AC"/>
    <w:rsid w:val="00F26F66"/>
    <w:rsid w:val="00F30805"/>
    <w:rsid w:val="00F30FD0"/>
    <w:rsid w:val="00F34040"/>
    <w:rsid w:val="00F35369"/>
    <w:rsid w:val="00F3608D"/>
    <w:rsid w:val="00F36132"/>
    <w:rsid w:val="00F36F47"/>
    <w:rsid w:val="00F4110D"/>
    <w:rsid w:val="00F41427"/>
    <w:rsid w:val="00F41FD5"/>
    <w:rsid w:val="00F42CF5"/>
    <w:rsid w:val="00F43723"/>
    <w:rsid w:val="00F43826"/>
    <w:rsid w:val="00F45A22"/>
    <w:rsid w:val="00F45C95"/>
    <w:rsid w:val="00F45FA3"/>
    <w:rsid w:val="00F471ED"/>
    <w:rsid w:val="00F4785D"/>
    <w:rsid w:val="00F50030"/>
    <w:rsid w:val="00F5034C"/>
    <w:rsid w:val="00F5113D"/>
    <w:rsid w:val="00F51365"/>
    <w:rsid w:val="00F527E9"/>
    <w:rsid w:val="00F528D9"/>
    <w:rsid w:val="00F52928"/>
    <w:rsid w:val="00F53004"/>
    <w:rsid w:val="00F5417F"/>
    <w:rsid w:val="00F549FC"/>
    <w:rsid w:val="00F54BEA"/>
    <w:rsid w:val="00F5550E"/>
    <w:rsid w:val="00F55589"/>
    <w:rsid w:val="00F55A6C"/>
    <w:rsid w:val="00F5648C"/>
    <w:rsid w:val="00F564BC"/>
    <w:rsid w:val="00F5676C"/>
    <w:rsid w:val="00F57747"/>
    <w:rsid w:val="00F60928"/>
    <w:rsid w:val="00F60C2D"/>
    <w:rsid w:val="00F60D04"/>
    <w:rsid w:val="00F61D7B"/>
    <w:rsid w:val="00F628FE"/>
    <w:rsid w:val="00F63176"/>
    <w:rsid w:val="00F658BC"/>
    <w:rsid w:val="00F67BC9"/>
    <w:rsid w:val="00F701B7"/>
    <w:rsid w:val="00F71084"/>
    <w:rsid w:val="00F719DD"/>
    <w:rsid w:val="00F71B8F"/>
    <w:rsid w:val="00F72A1C"/>
    <w:rsid w:val="00F73D2B"/>
    <w:rsid w:val="00F755CE"/>
    <w:rsid w:val="00F7656A"/>
    <w:rsid w:val="00F8001F"/>
    <w:rsid w:val="00F80EAC"/>
    <w:rsid w:val="00F815AF"/>
    <w:rsid w:val="00F82816"/>
    <w:rsid w:val="00F8348A"/>
    <w:rsid w:val="00F8399D"/>
    <w:rsid w:val="00F84430"/>
    <w:rsid w:val="00F84FE7"/>
    <w:rsid w:val="00F850AB"/>
    <w:rsid w:val="00F853B3"/>
    <w:rsid w:val="00F86617"/>
    <w:rsid w:val="00F86D83"/>
    <w:rsid w:val="00F900C8"/>
    <w:rsid w:val="00F90491"/>
    <w:rsid w:val="00F910C7"/>
    <w:rsid w:val="00F920E0"/>
    <w:rsid w:val="00F92466"/>
    <w:rsid w:val="00F92C62"/>
    <w:rsid w:val="00F944C7"/>
    <w:rsid w:val="00F94C30"/>
    <w:rsid w:val="00F95D19"/>
    <w:rsid w:val="00F95DA0"/>
    <w:rsid w:val="00F960CA"/>
    <w:rsid w:val="00F960E7"/>
    <w:rsid w:val="00F967D2"/>
    <w:rsid w:val="00F96B1A"/>
    <w:rsid w:val="00FA16E6"/>
    <w:rsid w:val="00FA29F6"/>
    <w:rsid w:val="00FA2A19"/>
    <w:rsid w:val="00FA2F0C"/>
    <w:rsid w:val="00FA2FD6"/>
    <w:rsid w:val="00FA36B9"/>
    <w:rsid w:val="00FA3999"/>
    <w:rsid w:val="00FA3DA1"/>
    <w:rsid w:val="00FA721C"/>
    <w:rsid w:val="00FA7CE7"/>
    <w:rsid w:val="00FB061F"/>
    <w:rsid w:val="00FB1380"/>
    <w:rsid w:val="00FB1663"/>
    <w:rsid w:val="00FB1718"/>
    <w:rsid w:val="00FB171A"/>
    <w:rsid w:val="00FB514B"/>
    <w:rsid w:val="00FB56A5"/>
    <w:rsid w:val="00FB6575"/>
    <w:rsid w:val="00FB6F4B"/>
    <w:rsid w:val="00FC054B"/>
    <w:rsid w:val="00FC0BC4"/>
    <w:rsid w:val="00FC25CF"/>
    <w:rsid w:val="00FC39E4"/>
    <w:rsid w:val="00FC4920"/>
    <w:rsid w:val="00FC4AE0"/>
    <w:rsid w:val="00FC590E"/>
    <w:rsid w:val="00FC5B86"/>
    <w:rsid w:val="00FC5B95"/>
    <w:rsid w:val="00FC61DB"/>
    <w:rsid w:val="00FC6693"/>
    <w:rsid w:val="00FC7F1E"/>
    <w:rsid w:val="00FD044C"/>
    <w:rsid w:val="00FD13F9"/>
    <w:rsid w:val="00FD29DA"/>
    <w:rsid w:val="00FD3E20"/>
    <w:rsid w:val="00FD42F0"/>
    <w:rsid w:val="00FD4A75"/>
    <w:rsid w:val="00FD5337"/>
    <w:rsid w:val="00FD60B5"/>
    <w:rsid w:val="00FD6F2C"/>
    <w:rsid w:val="00FE0166"/>
    <w:rsid w:val="00FE0B35"/>
    <w:rsid w:val="00FE1AAB"/>
    <w:rsid w:val="00FE273A"/>
    <w:rsid w:val="00FE2B69"/>
    <w:rsid w:val="00FE38DC"/>
    <w:rsid w:val="00FE53BA"/>
    <w:rsid w:val="00FE5561"/>
    <w:rsid w:val="00FE5998"/>
    <w:rsid w:val="00FE71E5"/>
    <w:rsid w:val="00FE7D28"/>
    <w:rsid w:val="00FE7D4F"/>
    <w:rsid w:val="00FF0739"/>
    <w:rsid w:val="00FF08FB"/>
    <w:rsid w:val="00FF0E19"/>
    <w:rsid w:val="00FF0F49"/>
    <w:rsid w:val="00FF303C"/>
    <w:rsid w:val="00FF34A1"/>
    <w:rsid w:val="00FF38CE"/>
    <w:rsid w:val="00FF3C32"/>
    <w:rsid w:val="00FF4355"/>
    <w:rsid w:val="00FF581E"/>
    <w:rsid w:val="00FF78E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2219E2E"/>
  <w15:chartTrackingRefBased/>
  <w15:docId w15:val="{9E8A05F8-A577-4469-ABD9-E7CF84590A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PMingLiU"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46B73"/>
    <w:rPr>
      <w:rFonts w:eastAsia="Times New Roman"/>
      <w:sz w:val="24"/>
      <w:szCs w:val="24"/>
    </w:rPr>
  </w:style>
  <w:style w:type="paragraph" w:styleId="Heading1">
    <w:name w:val="heading 1"/>
    <w:aliases w:val="H1,h1"/>
    <w:basedOn w:val="Normal"/>
    <w:next w:val="Normal"/>
    <w:link w:val="Heading1Char"/>
    <w:qFormat/>
    <w:rsid w:val="00986F47"/>
    <w:pPr>
      <w:keepNext/>
      <w:spacing w:after="240"/>
      <w:ind w:right="284"/>
      <w:outlineLvl w:val="0"/>
    </w:pPr>
    <w:rPr>
      <w:rFonts w:ascii="Arial" w:hAnsi="Arial"/>
      <w:b/>
    </w:rPr>
  </w:style>
  <w:style w:type="paragraph" w:styleId="Heading2">
    <w:name w:val="heading 2"/>
    <w:aliases w:val="H2,h2"/>
    <w:basedOn w:val="Normal"/>
    <w:next w:val="Normal"/>
    <w:link w:val="Heading2Char"/>
    <w:qFormat/>
    <w:rsid w:val="008E7348"/>
    <w:pPr>
      <w:keepNext/>
      <w:ind w:right="284"/>
      <w:outlineLvl w:val="1"/>
    </w:pPr>
    <w:rPr>
      <w:rFonts w:ascii="Arial" w:hAnsi="Arial"/>
      <w:b/>
      <w:sz w:val="22"/>
    </w:rPr>
  </w:style>
  <w:style w:type="paragraph" w:styleId="Heading3">
    <w:name w:val="heading 3"/>
    <w:aliases w:val="H3,h3"/>
    <w:basedOn w:val="Normal"/>
    <w:next w:val="Normal"/>
    <w:qFormat/>
    <w:pPr>
      <w:keepNext/>
      <w:outlineLvl w:val="2"/>
    </w:p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rPr>
  </w:style>
  <w:style w:type="paragraph" w:styleId="Heading6">
    <w:name w:val="heading 6"/>
    <w:aliases w:val="h6"/>
    <w:basedOn w:val="Normal"/>
    <w:next w:val="Normal"/>
    <w:qFormat/>
    <w:pPr>
      <w:keepNext/>
      <w:outlineLvl w:val="5"/>
    </w:pPr>
    <w:rPr>
      <w:rFonts w:ascii="Arial" w:hAnsi="Arial"/>
      <w:b/>
      <w:color w:val="C0C0C0"/>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ind w:left="1985" w:hanging="1985"/>
      <w:outlineLvl w:val="7"/>
    </w:pPr>
    <w:rPr>
      <w:rFonts w:ascii="Arial" w:hAnsi="Arial"/>
      <w:b/>
      <w:sz w:val="22"/>
    </w:rPr>
  </w:style>
  <w:style w:type="paragraph" w:styleId="Heading9">
    <w:name w:val="heading 9"/>
    <w:basedOn w:val="Normal"/>
    <w:next w:val="Normal"/>
    <w:qFormat/>
    <w:pPr>
      <w:keepNext/>
      <w:ind w:left="1985" w:hanging="1985"/>
      <w:outlineLvl w:val="8"/>
    </w:pPr>
    <w:rPr>
      <w:rFonts w:ascii="Arial" w:hAnsi="Arial"/>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rPr>
  </w:style>
  <w:style w:type="paragraph" w:customStyle="1" w:styleId="a">
    <w:name w:val="??"/>
    <w:pPr>
      <w:widowControl w:val="0"/>
      <w:spacing w:after="120"/>
    </w:pPr>
    <w:rPr>
      <w:lang w:eastAsia="en-US"/>
    </w:rPr>
  </w:style>
  <w:style w:type="paragraph" w:customStyle="1" w:styleId="2">
    <w:name w:val="??? 2"/>
    <w:basedOn w:val="a"/>
    <w:next w:val="a"/>
    <w:pPr>
      <w:keepNext/>
    </w:pPr>
    <w:rPr>
      <w:rFonts w:ascii="Arial" w:hAnsi="Arial"/>
      <w:b/>
      <w:sz w:val="24"/>
    </w:rPr>
  </w:style>
  <w:style w:type="character" w:styleId="CommentReference">
    <w:name w:val="annotation reference"/>
    <w:semiHidden/>
    <w:rPr>
      <w:sz w:val="16"/>
    </w:rPr>
  </w:style>
  <w:style w:type="paragraph" w:customStyle="1" w:styleId="DECISION">
    <w:name w:val="DECISION"/>
    <w:basedOn w:val="Normal"/>
    <w:pPr>
      <w:widowControl w:val="0"/>
      <w:numPr>
        <w:numId w:val="1"/>
      </w:numPr>
      <w:spacing w:before="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361F7"/>
    <w:rPr>
      <w:rFonts w:ascii="Segoe UI" w:hAnsi="Segoe UI" w:cs="Segoe UI"/>
      <w:sz w:val="18"/>
      <w:szCs w:val="18"/>
    </w:rPr>
  </w:style>
  <w:style w:type="character" w:customStyle="1" w:styleId="BalloonTextChar">
    <w:name w:val="Balloon Text Char"/>
    <w:link w:val="BalloonText"/>
    <w:uiPriority w:val="99"/>
    <w:semiHidden/>
    <w:rsid w:val="00A361F7"/>
    <w:rPr>
      <w:rFonts w:ascii="Segoe UI" w:hAnsi="Segoe UI" w:cs="Segoe UI"/>
      <w:sz w:val="18"/>
      <w:szCs w:val="18"/>
      <w:lang w:eastAsia="en-US"/>
    </w:rPr>
  </w:style>
  <w:style w:type="table" w:styleId="TableGrid">
    <w:name w:val="Table Grid"/>
    <w:basedOn w:val="TableNormal"/>
    <w:uiPriority w:val="39"/>
    <w:qFormat/>
    <w:rsid w:val="00205D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basedOn w:val="Normal"/>
    <w:next w:val="Normal"/>
    <w:uiPriority w:val="35"/>
    <w:unhideWhenUsed/>
    <w:qFormat/>
    <w:rsid w:val="008003E3"/>
    <w:rPr>
      <w:b/>
      <w:bCs/>
    </w:rPr>
  </w:style>
  <w:style w:type="character" w:styleId="Hyperlink">
    <w:name w:val="Hyperlink"/>
    <w:uiPriority w:val="99"/>
    <w:unhideWhenUsed/>
    <w:rsid w:val="008003E3"/>
    <w:rPr>
      <w:color w:val="0563C1"/>
      <w:u w:val="single"/>
    </w:rPr>
  </w:style>
  <w:style w:type="character" w:customStyle="1" w:styleId="Heading1Char">
    <w:name w:val="Heading 1 Char"/>
    <w:aliases w:val="H1 Char,h1 Char"/>
    <w:link w:val="Heading1"/>
    <w:rsid w:val="006B48E8"/>
    <w:rPr>
      <w:rFonts w:ascii="Arial" w:hAnsi="Arial"/>
      <w:b/>
      <w:sz w:val="24"/>
      <w:lang w:val="en-GB" w:eastAsia="en-US"/>
    </w:rPr>
  </w:style>
  <w:style w:type="paragraph" w:styleId="FootnoteText">
    <w:name w:val="footnote text"/>
    <w:basedOn w:val="Normal"/>
    <w:link w:val="FootnoteTextChar"/>
    <w:uiPriority w:val="99"/>
    <w:semiHidden/>
    <w:unhideWhenUsed/>
    <w:rsid w:val="00D901FB"/>
  </w:style>
  <w:style w:type="character" w:customStyle="1" w:styleId="FootnoteTextChar">
    <w:name w:val="Footnote Text Char"/>
    <w:link w:val="FootnoteText"/>
    <w:uiPriority w:val="99"/>
    <w:semiHidden/>
    <w:rsid w:val="00D901FB"/>
    <w:rPr>
      <w:lang w:val="en-GB" w:eastAsia="en-US"/>
    </w:rPr>
  </w:style>
  <w:style w:type="character" w:styleId="FootnoteReference">
    <w:name w:val="footnote reference"/>
    <w:uiPriority w:val="99"/>
    <w:unhideWhenUsed/>
    <w:rsid w:val="00D901FB"/>
    <w:rPr>
      <w:vertAlign w:val="superscript"/>
    </w:rPr>
  </w:style>
  <w:style w:type="paragraph" w:styleId="NormalWeb">
    <w:name w:val="Normal (Web)"/>
    <w:basedOn w:val="Normal"/>
    <w:uiPriority w:val="99"/>
    <w:unhideWhenUsed/>
    <w:rsid w:val="006C346B"/>
    <w:pPr>
      <w:spacing w:before="100" w:beforeAutospacing="1" w:after="100" w:afterAutospacing="1"/>
    </w:pPr>
  </w:style>
  <w:style w:type="paragraph" w:styleId="ListParagraph">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
    <w:basedOn w:val="Normal"/>
    <w:link w:val="ListParagraphChar"/>
    <w:qFormat/>
    <w:rsid w:val="006C346B"/>
    <w:pPr>
      <w:ind w:left="720"/>
      <w:contextualSpacing/>
    </w:pPr>
  </w:style>
  <w:style w:type="character" w:styleId="PlaceholderText">
    <w:name w:val="Placeholder Text"/>
    <w:basedOn w:val="DefaultParagraphFont"/>
    <w:uiPriority w:val="99"/>
    <w:semiHidden/>
    <w:rsid w:val="007E36DB"/>
    <w:rPr>
      <w:color w:val="808080"/>
    </w:rPr>
  </w:style>
  <w:style w:type="paragraph" w:customStyle="1" w:styleId="EQ">
    <w:name w:val="EQ"/>
    <w:basedOn w:val="Normal"/>
    <w:next w:val="Normal"/>
    <w:rsid w:val="00D84C8C"/>
    <w:pPr>
      <w:keepLines/>
      <w:tabs>
        <w:tab w:val="center" w:pos="4536"/>
        <w:tab w:val="right" w:pos="9072"/>
      </w:tabs>
      <w:spacing w:after="180"/>
    </w:pPr>
    <w:rPr>
      <w:rFonts w:eastAsia="Malgun Gothic"/>
      <w:noProof/>
      <w:lang w:val="en-GB"/>
    </w:rPr>
  </w:style>
  <w:style w:type="character" w:customStyle="1" w:styleId="Heading2Char">
    <w:name w:val="Heading 2 Char"/>
    <w:aliases w:val="H2 Char,h2 Char"/>
    <w:basedOn w:val="DefaultParagraphFont"/>
    <w:link w:val="Heading2"/>
    <w:rsid w:val="00355D12"/>
    <w:rPr>
      <w:rFonts w:ascii="Arial" w:hAnsi="Arial"/>
      <w:b/>
      <w:sz w:val="22"/>
      <w:lang w:eastAsia="en-US"/>
    </w:rPr>
  </w:style>
  <w:style w:type="paragraph" w:styleId="Revision">
    <w:name w:val="Revision"/>
    <w:hidden/>
    <w:uiPriority w:val="99"/>
    <w:semiHidden/>
    <w:rsid w:val="00ED46BB"/>
    <w:rPr>
      <w:lang w:eastAsia="en-US"/>
    </w:r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Paragrafo elenco Char"/>
    <w:link w:val="ListParagraph"/>
    <w:uiPriority w:val="34"/>
    <w:qFormat/>
    <w:rsid w:val="00482252"/>
    <w:rPr>
      <w:rFonts w:eastAsia="Times New Roman"/>
      <w:sz w:val="24"/>
      <w:szCs w:val="24"/>
    </w:rPr>
  </w:style>
  <w:style w:type="table" w:styleId="PlainTable3">
    <w:name w:val="Plain Table 3"/>
    <w:basedOn w:val="TableNormal"/>
    <w:uiPriority w:val="43"/>
    <w:rsid w:val="001054D7"/>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GridTable2">
    <w:name w:val="Grid Table 2"/>
    <w:basedOn w:val="TableNormal"/>
    <w:uiPriority w:val="47"/>
    <w:rsid w:val="001054D7"/>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Accent3">
    <w:name w:val="Grid Table 5 Dark Accent 3"/>
    <w:basedOn w:val="TableNormal"/>
    <w:uiPriority w:val="50"/>
    <w:rsid w:val="001054D7"/>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character" w:customStyle="1" w:styleId="B1Char">
    <w:name w:val="B1 Char"/>
    <w:link w:val="B1"/>
    <w:rsid w:val="00AC4702"/>
    <w:rPr>
      <w:rFonts w:ascii="Arial" w:eastAsia="Times New Roman" w:hAnsi="Arial"/>
      <w:sz w:val="24"/>
      <w:szCs w:val="24"/>
    </w:rPr>
  </w:style>
  <w:style w:type="table" w:styleId="GridTable5Dark-Accent1">
    <w:name w:val="Grid Table 5 Dark Accent 1"/>
    <w:basedOn w:val="TableNormal"/>
    <w:uiPriority w:val="50"/>
    <w:rsid w:val="00AC4702"/>
    <w:rPr>
      <w:rFonts w:eastAsia="Batang"/>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table" w:styleId="GridTable4">
    <w:name w:val="Grid Table 4"/>
    <w:basedOn w:val="TableNormal"/>
    <w:uiPriority w:val="49"/>
    <w:rsid w:val="00E2001A"/>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6Colorful">
    <w:name w:val="Grid Table 6 Colorful"/>
    <w:basedOn w:val="TableNormal"/>
    <w:uiPriority w:val="51"/>
    <w:rsid w:val="00E2001A"/>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dTable5Dark">
    <w:name w:val="Grid Table 5 Dark"/>
    <w:basedOn w:val="TableNormal"/>
    <w:uiPriority w:val="50"/>
    <w:rsid w:val="00E2001A"/>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4-Accent3">
    <w:name w:val="Grid Table 4 Accent 3"/>
    <w:basedOn w:val="TableNormal"/>
    <w:uiPriority w:val="49"/>
    <w:rsid w:val="000E3102"/>
    <w:tblPr>
      <w:tblStyleRowBandSize w:val="1"/>
      <w:tblStyleColBandSize w:val="1"/>
      <w:tblBorders>
        <w:top w:val="single" w:sz="4" w:space="0" w:color="C9C9C9" w:themeColor="accent3" w:themeTint="99"/>
        <w:left w:val="single" w:sz="4" w:space="0" w:color="C9C9C9" w:themeColor="accent3" w:themeTint="99"/>
        <w:bottom w:val="single" w:sz="4" w:space="0" w:color="C9C9C9" w:themeColor="accent3" w:themeTint="99"/>
        <w:right w:val="single" w:sz="4" w:space="0" w:color="C9C9C9" w:themeColor="accent3" w:themeTint="99"/>
        <w:insideH w:val="single" w:sz="4" w:space="0" w:color="C9C9C9" w:themeColor="accent3" w:themeTint="99"/>
        <w:insideV w:val="single" w:sz="4" w:space="0" w:color="C9C9C9" w:themeColor="accent3" w:themeTint="99"/>
      </w:tblBorders>
    </w:tblPr>
    <w:tblStylePr w:type="firstRow">
      <w:rPr>
        <w:b/>
        <w:bCs/>
        <w:color w:val="FFFFFF" w:themeColor="background1"/>
      </w:rPr>
      <w:tblPr/>
      <w:tcPr>
        <w:tcBorders>
          <w:top w:val="single" w:sz="4" w:space="0" w:color="A5A5A5" w:themeColor="accent3"/>
          <w:left w:val="single" w:sz="4" w:space="0" w:color="A5A5A5" w:themeColor="accent3"/>
          <w:bottom w:val="single" w:sz="4" w:space="0" w:color="A5A5A5" w:themeColor="accent3"/>
          <w:right w:val="single" w:sz="4" w:space="0" w:color="A5A5A5" w:themeColor="accent3"/>
          <w:insideH w:val="nil"/>
          <w:insideV w:val="nil"/>
        </w:tcBorders>
        <w:shd w:val="clear" w:color="auto" w:fill="A5A5A5" w:themeFill="accent3"/>
      </w:tcPr>
    </w:tblStylePr>
    <w:tblStylePr w:type="lastRow">
      <w:rPr>
        <w:b/>
        <w:bCs/>
      </w:rPr>
      <w:tblPr/>
      <w:tcPr>
        <w:tcBorders>
          <w:top w:val="double" w:sz="4" w:space="0" w:color="A5A5A5" w:themeColor="accent3"/>
        </w:tcBorders>
      </w:tcPr>
    </w:tblStylePr>
    <w:tblStylePr w:type="firstCol">
      <w:rPr>
        <w:b/>
        <w:bCs/>
      </w:rPr>
    </w:tblStylePr>
    <w:tblStylePr w:type="lastCol">
      <w:rPr>
        <w:b/>
        <w:bCs/>
      </w:rPr>
    </w:tblStylePr>
    <w:tblStylePr w:type="band1Vert">
      <w:tblPr/>
      <w:tcPr>
        <w:shd w:val="clear" w:color="auto" w:fill="EDEDED" w:themeFill="accent3" w:themeFillTint="33"/>
      </w:tcPr>
    </w:tblStylePr>
    <w:tblStylePr w:type="band1Horz">
      <w:tblPr/>
      <w:tcPr>
        <w:shd w:val="clear" w:color="auto" w:fill="EDEDED" w:themeFill="accent3" w:themeFillTint="33"/>
      </w:tcPr>
    </w:tblStylePr>
  </w:style>
  <w:style w:type="table" w:styleId="GridTable7Colorful">
    <w:name w:val="Grid Table 7 Colorful"/>
    <w:basedOn w:val="TableNormal"/>
    <w:uiPriority w:val="52"/>
    <w:rsid w:val="00743460"/>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paragraph" w:customStyle="1" w:styleId="TAH">
    <w:name w:val="TAH"/>
    <w:basedOn w:val="TAC"/>
    <w:link w:val="TAHCar"/>
    <w:rsid w:val="00E11798"/>
    <w:rPr>
      <w:b/>
    </w:rPr>
  </w:style>
  <w:style w:type="paragraph" w:customStyle="1" w:styleId="TAC">
    <w:name w:val="TAC"/>
    <w:basedOn w:val="Normal"/>
    <w:link w:val="TACChar"/>
    <w:rsid w:val="00E11798"/>
    <w:pPr>
      <w:keepNext/>
      <w:keepLines/>
      <w:jc w:val="center"/>
    </w:pPr>
    <w:rPr>
      <w:rFonts w:ascii="Arial" w:eastAsia="MS Mincho" w:hAnsi="Arial"/>
      <w:sz w:val="18"/>
      <w:szCs w:val="20"/>
      <w:lang w:val="en-GB" w:eastAsia="en-US"/>
    </w:rPr>
  </w:style>
  <w:style w:type="character" w:customStyle="1" w:styleId="TACChar">
    <w:name w:val="TAC Char"/>
    <w:link w:val="TAC"/>
    <w:rsid w:val="00E11798"/>
    <w:rPr>
      <w:rFonts w:ascii="Arial" w:eastAsia="MS Mincho" w:hAnsi="Arial"/>
      <w:sz w:val="18"/>
      <w:lang w:val="en-GB" w:eastAsia="en-US"/>
    </w:rPr>
  </w:style>
  <w:style w:type="character" w:customStyle="1" w:styleId="TAHCar">
    <w:name w:val="TAH Car"/>
    <w:link w:val="TAH"/>
    <w:rsid w:val="00E11798"/>
    <w:rPr>
      <w:rFonts w:ascii="Arial" w:eastAsia="MS Mincho" w:hAnsi="Arial"/>
      <w:b/>
      <w:sz w:val="18"/>
      <w:lang w:val="en-GB" w:eastAsia="en-US"/>
    </w:rPr>
  </w:style>
  <w:style w:type="paragraph" w:styleId="TableofFigures">
    <w:name w:val="table of figures"/>
    <w:basedOn w:val="Normal"/>
    <w:next w:val="Normal"/>
    <w:uiPriority w:val="99"/>
    <w:unhideWhenUsed/>
    <w:rsid w:val="009F2ACD"/>
  </w:style>
  <w:style w:type="paragraph" w:customStyle="1" w:styleId="Agreement">
    <w:name w:val="Agreement"/>
    <w:basedOn w:val="Normal"/>
    <w:next w:val="Normal"/>
    <w:uiPriority w:val="99"/>
    <w:qFormat/>
    <w:rsid w:val="00C57D84"/>
    <w:pPr>
      <w:spacing w:before="60"/>
    </w:pPr>
    <w:rPr>
      <w:rFonts w:ascii="Arial" w:eastAsia="MS Mincho" w:hAnsi="Arial"/>
      <w:b/>
      <w:sz w:val="20"/>
      <w:lang w:val="en-GB" w:eastAsia="en-GB"/>
    </w:rPr>
  </w:style>
  <w:style w:type="character" w:customStyle="1" w:styleId="B1Zchn">
    <w:name w:val="B1 Zchn"/>
    <w:qFormat/>
    <w:rsid w:val="00BD56D7"/>
    <w:rPr>
      <w:lang w:val="x-none" w:eastAsia="en-US"/>
    </w:rPr>
  </w:style>
  <w:style w:type="character" w:customStyle="1" w:styleId="ui-provider">
    <w:name w:val="ui-provider"/>
    <w:basedOn w:val="DefaultParagraphFont"/>
    <w:rsid w:val="00BD56D7"/>
  </w:style>
  <w:style w:type="character" w:customStyle="1" w:styleId="ListParagraphChar1">
    <w:name w:val="List Paragraph Char1"/>
    <w:qFormat/>
    <w:rsid w:val="001469F9"/>
    <w:rPr>
      <w:rFonts w:ascii="Times New Roman" w:eastAsia="MS Gothic" w:hAnsi="Times New Roman"/>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01937">
      <w:bodyDiv w:val="1"/>
      <w:marLeft w:val="0"/>
      <w:marRight w:val="0"/>
      <w:marTop w:val="0"/>
      <w:marBottom w:val="0"/>
      <w:divBdr>
        <w:top w:val="none" w:sz="0" w:space="0" w:color="auto"/>
        <w:left w:val="none" w:sz="0" w:space="0" w:color="auto"/>
        <w:bottom w:val="none" w:sz="0" w:space="0" w:color="auto"/>
        <w:right w:val="none" w:sz="0" w:space="0" w:color="auto"/>
      </w:divBdr>
      <w:divsChild>
        <w:div w:id="185599790">
          <w:marLeft w:val="360"/>
          <w:marRight w:val="0"/>
          <w:marTop w:val="0"/>
          <w:marBottom w:val="0"/>
          <w:divBdr>
            <w:top w:val="none" w:sz="0" w:space="0" w:color="auto"/>
            <w:left w:val="none" w:sz="0" w:space="0" w:color="auto"/>
            <w:bottom w:val="none" w:sz="0" w:space="0" w:color="auto"/>
            <w:right w:val="none" w:sz="0" w:space="0" w:color="auto"/>
          </w:divBdr>
        </w:div>
      </w:divsChild>
    </w:div>
    <w:div w:id="31466157">
      <w:bodyDiv w:val="1"/>
      <w:marLeft w:val="0"/>
      <w:marRight w:val="0"/>
      <w:marTop w:val="0"/>
      <w:marBottom w:val="0"/>
      <w:divBdr>
        <w:top w:val="none" w:sz="0" w:space="0" w:color="auto"/>
        <w:left w:val="none" w:sz="0" w:space="0" w:color="auto"/>
        <w:bottom w:val="none" w:sz="0" w:space="0" w:color="auto"/>
        <w:right w:val="none" w:sz="0" w:space="0" w:color="auto"/>
      </w:divBdr>
      <w:divsChild>
        <w:div w:id="351615569">
          <w:marLeft w:val="360"/>
          <w:marRight w:val="0"/>
          <w:marTop w:val="0"/>
          <w:marBottom w:val="0"/>
          <w:divBdr>
            <w:top w:val="none" w:sz="0" w:space="0" w:color="auto"/>
            <w:left w:val="none" w:sz="0" w:space="0" w:color="auto"/>
            <w:bottom w:val="none" w:sz="0" w:space="0" w:color="auto"/>
            <w:right w:val="none" w:sz="0" w:space="0" w:color="auto"/>
          </w:divBdr>
        </w:div>
        <w:div w:id="376316522">
          <w:marLeft w:val="446"/>
          <w:marRight w:val="0"/>
          <w:marTop w:val="0"/>
          <w:marBottom w:val="0"/>
          <w:divBdr>
            <w:top w:val="none" w:sz="0" w:space="0" w:color="auto"/>
            <w:left w:val="none" w:sz="0" w:space="0" w:color="auto"/>
            <w:bottom w:val="none" w:sz="0" w:space="0" w:color="auto"/>
            <w:right w:val="none" w:sz="0" w:space="0" w:color="auto"/>
          </w:divBdr>
        </w:div>
        <w:div w:id="708456372">
          <w:marLeft w:val="360"/>
          <w:marRight w:val="0"/>
          <w:marTop w:val="0"/>
          <w:marBottom w:val="0"/>
          <w:divBdr>
            <w:top w:val="none" w:sz="0" w:space="0" w:color="auto"/>
            <w:left w:val="none" w:sz="0" w:space="0" w:color="auto"/>
            <w:bottom w:val="none" w:sz="0" w:space="0" w:color="auto"/>
            <w:right w:val="none" w:sz="0" w:space="0" w:color="auto"/>
          </w:divBdr>
        </w:div>
        <w:div w:id="1217398435">
          <w:marLeft w:val="360"/>
          <w:marRight w:val="0"/>
          <w:marTop w:val="0"/>
          <w:marBottom w:val="0"/>
          <w:divBdr>
            <w:top w:val="none" w:sz="0" w:space="0" w:color="auto"/>
            <w:left w:val="none" w:sz="0" w:space="0" w:color="auto"/>
            <w:bottom w:val="none" w:sz="0" w:space="0" w:color="auto"/>
            <w:right w:val="none" w:sz="0" w:space="0" w:color="auto"/>
          </w:divBdr>
        </w:div>
        <w:div w:id="1313680892">
          <w:marLeft w:val="360"/>
          <w:marRight w:val="0"/>
          <w:marTop w:val="0"/>
          <w:marBottom w:val="0"/>
          <w:divBdr>
            <w:top w:val="none" w:sz="0" w:space="0" w:color="auto"/>
            <w:left w:val="none" w:sz="0" w:space="0" w:color="auto"/>
            <w:bottom w:val="none" w:sz="0" w:space="0" w:color="auto"/>
            <w:right w:val="none" w:sz="0" w:space="0" w:color="auto"/>
          </w:divBdr>
        </w:div>
        <w:div w:id="1407997051">
          <w:marLeft w:val="274"/>
          <w:marRight w:val="0"/>
          <w:marTop w:val="0"/>
          <w:marBottom w:val="0"/>
          <w:divBdr>
            <w:top w:val="none" w:sz="0" w:space="0" w:color="auto"/>
            <w:left w:val="none" w:sz="0" w:space="0" w:color="auto"/>
            <w:bottom w:val="none" w:sz="0" w:space="0" w:color="auto"/>
            <w:right w:val="none" w:sz="0" w:space="0" w:color="auto"/>
          </w:divBdr>
        </w:div>
        <w:div w:id="1549218399">
          <w:marLeft w:val="360"/>
          <w:marRight w:val="0"/>
          <w:marTop w:val="0"/>
          <w:marBottom w:val="0"/>
          <w:divBdr>
            <w:top w:val="none" w:sz="0" w:space="0" w:color="auto"/>
            <w:left w:val="none" w:sz="0" w:space="0" w:color="auto"/>
            <w:bottom w:val="none" w:sz="0" w:space="0" w:color="auto"/>
            <w:right w:val="none" w:sz="0" w:space="0" w:color="auto"/>
          </w:divBdr>
        </w:div>
        <w:div w:id="2115323002">
          <w:marLeft w:val="274"/>
          <w:marRight w:val="0"/>
          <w:marTop w:val="0"/>
          <w:marBottom w:val="0"/>
          <w:divBdr>
            <w:top w:val="none" w:sz="0" w:space="0" w:color="auto"/>
            <w:left w:val="none" w:sz="0" w:space="0" w:color="auto"/>
            <w:bottom w:val="none" w:sz="0" w:space="0" w:color="auto"/>
            <w:right w:val="none" w:sz="0" w:space="0" w:color="auto"/>
          </w:divBdr>
        </w:div>
      </w:divsChild>
    </w:div>
    <w:div w:id="35350509">
      <w:bodyDiv w:val="1"/>
      <w:marLeft w:val="0"/>
      <w:marRight w:val="0"/>
      <w:marTop w:val="0"/>
      <w:marBottom w:val="0"/>
      <w:divBdr>
        <w:top w:val="none" w:sz="0" w:space="0" w:color="auto"/>
        <w:left w:val="none" w:sz="0" w:space="0" w:color="auto"/>
        <w:bottom w:val="none" w:sz="0" w:space="0" w:color="auto"/>
        <w:right w:val="none" w:sz="0" w:space="0" w:color="auto"/>
      </w:divBdr>
    </w:div>
    <w:div w:id="126163608">
      <w:bodyDiv w:val="1"/>
      <w:marLeft w:val="0"/>
      <w:marRight w:val="0"/>
      <w:marTop w:val="0"/>
      <w:marBottom w:val="0"/>
      <w:divBdr>
        <w:top w:val="none" w:sz="0" w:space="0" w:color="auto"/>
        <w:left w:val="none" w:sz="0" w:space="0" w:color="auto"/>
        <w:bottom w:val="none" w:sz="0" w:space="0" w:color="auto"/>
        <w:right w:val="none" w:sz="0" w:space="0" w:color="auto"/>
      </w:divBdr>
    </w:div>
    <w:div w:id="129058626">
      <w:bodyDiv w:val="1"/>
      <w:marLeft w:val="0"/>
      <w:marRight w:val="0"/>
      <w:marTop w:val="0"/>
      <w:marBottom w:val="0"/>
      <w:divBdr>
        <w:top w:val="none" w:sz="0" w:space="0" w:color="auto"/>
        <w:left w:val="none" w:sz="0" w:space="0" w:color="auto"/>
        <w:bottom w:val="none" w:sz="0" w:space="0" w:color="auto"/>
        <w:right w:val="none" w:sz="0" w:space="0" w:color="auto"/>
      </w:divBdr>
      <w:divsChild>
        <w:div w:id="273251336">
          <w:marLeft w:val="446"/>
          <w:marRight w:val="0"/>
          <w:marTop w:val="0"/>
          <w:marBottom w:val="0"/>
          <w:divBdr>
            <w:top w:val="none" w:sz="0" w:space="0" w:color="auto"/>
            <w:left w:val="none" w:sz="0" w:space="0" w:color="auto"/>
            <w:bottom w:val="none" w:sz="0" w:space="0" w:color="auto"/>
            <w:right w:val="none" w:sz="0" w:space="0" w:color="auto"/>
          </w:divBdr>
        </w:div>
        <w:div w:id="475295212">
          <w:marLeft w:val="446"/>
          <w:marRight w:val="0"/>
          <w:marTop w:val="0"/>
          <w:marBottom w:val="0"/>
          <w:divBdr>
            <w:top w:val="none" w:sz="0" w:space="0" w:color="auto"/>
            <w:left w:val="none" w:sz="0" w:space="0" w:color="auto"/>
            <w:bottom w:val="none" w:sz="0" w:space="0" w:color="auto"/>
            <w:right w:val="none" w:sz="0" w:space="0" w:color="auto"/>
          </w:divBdr>
        </w:div>
        <w:div w:id="524251049">
          <w:marLeft w:val="446"/>
          <w:marRight w:val="0"/>
          <w:marTop w:val="0"/>
          <w:marBottom w:val="0"/>
          <w:divBdr>
            <w:top w:val="none" w:sz="0" w:space="0" w:color="auto"/>
            <w:left w:val="none" w:sz="0" w:space="0" w:color="auto"/>
            <w:bottom w:val="none" w:sz="0" w:space="0" w:color="auto"/>
            <w:right w:val="none" w:sz="0" w:space="0" w:color="auto"/>
          </w:divBdr>
        </w:div>
        <w:div w:id="792748551">
          <w:marLeft w:val="446"/>
          <w:marRight w:val="0"/>
          <w:marTop w:val="0"/>
          <w:marBottom w:val="0"/>
          <w:divBdr>
            <w:top w:val="none" w:sz="0" w:space="0" w:color="auto"/>
            <w:left w:val="none" w:sz="0" w:space="0" w:color="auto"/>
            <w:bottom w:val="none" w:sz="0" w:space="0" w:color="auto"/>
            <w:right w:val="none" w:sz="0" w:space="0" w:color="auto"/>
          </w:divBdr>
        </w:div>
        <w:div w:id="846944573">
          <w:marLeft w:val="446"/>
          <w:marRight w:val="0"/>
          <w:marTop w:val="0"/>
          <w:marBottom w:val="0"/>
          <w:divBdr>
            <w:top w:val="none" w:sz="0" w:space="0" w:color="auto"/>
            <w:left w:val="none" w:sz="0" w:space="0" w:color="auto"/>
            <w:bottom w:val="none" w:sz="0" w:space="0" w:color="auto"/>
            <w:right w:val="none" w:sz="0" w:space="0" w:color="auto"/>
          </w:divBdr>
        </w:div>
        <w:div w:id="869729937">
          <w:marLeft w:val="446"/>
          <w:marRight w:val="0"/>
          <w:marTop w:val="0"/>
          <w:marBottom w:val="0"/>
          <w:divBdr>
            <w:top w:val="none" w:sz="0" w:space="0" w:color="auto"/>
            <w:left w:val="none" w:sz="0" w:space="0" w:color="auto"/>
            <w:bottom w:val="none" w:sz="0" w:space="0" w:color="auto"/>
            <w:right w:val="none" w:sz="0" w:space="0" w:color="auto"/>
          </w:divBdr>
        </w:div>
        <w:div w:id="879168452">
          <w:marLeft w:val="446"/>
          <w:marRight w:val="0"/>
          <w:marTop w:val="0"/>
          <w:marBottom w:val="0"/>
          <w:divBdr>
            <w:top w:val="none" w:sz="0" w:space="0" w:color="auto"/>
            <w:left w:val="none" w:sz="0" w:space="0" w:color="auto"/>
            <w:bottom w:val="none" w:sz="0" w:space="0" w:color="auto"/>
            <w:right w:val="none" w:sz="0" w:space="0" w:color="auto"/>
          </w:divBdr>
        </w:div>
        <w:div w:id="885145921">
          <w:marLeft w:val="446"/>
          <w:marRight w:val="0"/>
          <w:marTop w:val="0"/>
          <w:marBottom w:val="0"/>
          <w:divBdr>
            <w:top w:val="none" w:sz="0" w:space="0" w:color="auto"/>
            <w:left w:val="none" w:sz="0" w:space="0" w:color="auto"/>
            <w:bottom w:val="none" w:sz="0" w:space="0" w:color="auto"/>
            <w:right w:val="none" w:sz="0" w:space="0" w:color="auto"/>
          </w:divBdr>
        </w:div>
        <w:div w:id="1845703895">
          <w:marLeft w:val="446"/>
          <w:marRight w:val="0"/>
          <w:marTop w:val="0"/>
          <w:marBottom w:val="0"/>
          <w:divBdr>
            <w:top w:val="none" w:sz="0" w:space="0" w:color="auto"/>
            <w:left w:val="none" w:sz="0" w:space="0" w:color="auto"/>
            <w:bottom w:val="none" w:sz="0" w:space="0" w:color="auto"/>
            <w:right w:val="none" w:sz="0" w:space="0" w:color="auto"/>
          </w:divBdr>
        </w:div>
        <w:div w:id="1961759164">
          <w:marLeft w:val="446"/>
          <w:marRight w:val="0"/>
          <w:marTop w:val="0"/>
          <w:marBottom w:val="0"/>
          <w:divBdr>
            <w:top w:val="none" w:sz="0" w:space="0" w:color="auto"/>
            <w:left w:val="none" w:sz="0" w:space="0" w:color="auto"/>
            <w:bottom w:val="none" w:sz="0" w:space="0" w:color="auto"/>
            <w:right w:val="none" w:sz="0" w:space="0" w:color="auto"/>
          </w:divBdr>
        </w:div>
      </w:divsChild>
    </w:div>
    <w:div w:id="130287799">
      <w:bodyDiv w:val="1"/>
      <w:marLeft w:val="0"/>
      <w:marRight w:val="0"/>
      <w:marTop w:val="0"/>
      <w:marBottom w:val="0"/>
      <w:divBdr>
        <w:top w:val="none" w:sz="0" w:space="0" w:color="auto"/>
        <w:left w:val="none" w:sz="0" w:space="0" w:color="auto"/>
        <w:bottom w:val="none" w:sz="0" w:space="0" w:color="auto"/>
        <w:right w:val="none" w:sz="0" w:space="0" w:color="auto"/>
      </w:divBdr>
      <w:divsChild>
        <w:div w:id="1763718638">
          <w:marLeft w:val="1267"/>
          <w:marRight w:val="0"/>
          <w:marTop w:val="0"/>
          <w:marBottom w:val="0"/>
          <w:divBdr>
            <w:top w:val="none" w:sz="0" w:space="0" w:color="auto"/>
            <w:left w:val="none" w:sz="0" w:space="0" w:color="auto"/>
            <w:bottom w:val="none" w:sz="0" w:space="0" w:color="auto"/>
            <w:right w:val="none" w:sz="0" w:space="0" w:color="auto"/>
          </w:divBdr>
        </w:div>
      </w:divsChild>
    </w:div>
    <w:div w:id="181676294">
      <w:bodyDiv w:val="1"/>
      <w:marLeft w:val="0"/>
      <w:marRight w:val="0"/>
      <w:marTop w:val="0"/>
      <w:marBottom w:val="0"/>
      <w:divBdr>
        <w:top w:val="none" w:sz="0" w:space="0" w:color="auto"/>
        <w:left w:val="none" w:sz="0" w:space="0" w:color="auto"/>
        <w:bottom w:val="none" w:sz="0" w:space="0" w:color="auto"/>
        <w:right w:val="none" w:sz="0" w:space="0" w:color="auto"/>
      </w:divBdr>
    </w:div>
    <w:div w:id="210386274">
      <w:bodyDiv w:val="1"/>
      <w:marLeft w:val="0"/>
      <w:marRight w:val="0"/>
      <w:marTop w:val="0"/>
      <w:marBottom w:val="0"/>
      <w:divBdr>
        <w:top w:val="none" w:sz="0" w:space="0" w:color="auto"/>
        <w:left w:val="none" w:sz="0" w:space="0" w:color="auto"/>
        <w:bottom w:val="none" w:sz="0" w:space="0" w:color="auto"/>
        <w:right w:val="none" w:sz="0" w:space="0" w:color="auto"/>
      </w:divBdr>
    </w:div>
    <w:div w:id="289015173">
      <w:bodyDiv w:val="1"/>
      <w:marLeft w:val="0"/>
      <w:marRight w:val="0"/>
      <w:marTop w:val="0"/>
      <w:marBottom w:val="0"/>
      <w:divBdr>
        <w:top w:val="none" w:sz="0" w:space="0" w:color="auto"/>
        <w:left w:val="none" w:sz="0" w:space="0" w:color="auto"/>
        <w:bottom w:val="none" w:sz="0" w:space="0" w:color="auto"/>
        <w:right w:val="none" w:sz="0" w:space="0" w:color="auto"/>
      </w:divBdr>
      <w:divsChild>
        <w:div w:id="491028234">
          <w:marLeft w:val="1166"/>
          <w:marRight w:val="0"/>
          <w:marTop w:val="86"/>
          <w:marBottom w:val="0"/>
          <w:divBdr>
            <w:top w:val="none" w:sz="0" w:space="0" w:color="auto"/>
            <w:left w:val="none" w:sz="0" w:space="0" w:color="auto"/>
            <w:bottom w:val="none" w:sz="0" w:space="0" w:color="auto"/>
            <w:right w:val="none" w:sz="0" w:space="0" w:color="auto"/>
          </w:divBdr>
        </w:div>
        <w:div w:id="546336835">
          <w:marLeft w:val="446"/>
          <w:marRight w:val="0"/>
          <w:marTop w:val="96"/>
          <w:marBottom w:val="0"/>
          <w:divBdr>
            <w:top w:val="none" w:sz="0" w:space="0" w:color="auto"/>
            <w:left w:val="none" w:sz="0" w:space="0" w:color="auto"/>
            <w:bottom w:val="none" w:sz="0" w:space="0" w:color="auto"/>
            <w:right w:val="none" w:sz="0" w:space="0" w:color="auto"/>
          </w:divBdr>
        </w:div>
        <w:div w:id="698435952">
          <w:marLeft w:val="1166"/>
          <w:marRight w:val="0"/>
          <w:marTop w:val="86"/>
          <w:marBottom w:val="0"/>
          <w:divBdr>
            <w:top w:val="none" w:sz="0" w:space="0" w:color="auto"/>
            <w:left w:val="none" w:sz="0" w:space="0" w:color="auto"/>
            <w:bottom w:val="none" w:sz="0" w:space="0" w:color="auto"/>
            <w:right w:val="none" w:sz="0" w:space="0" w:color="auto"/>
          </w:divBdr>
        </w:div>
        <w:div w:id="1177428155">
          <w:marLeft w:val="1886"/>
          <w:marRight w:val="0"/>
          <w:marTop w:val="77"/>
          <w:marBottom w:val="0"/>
          <w:divBdr>
            <w:top w:val="none" w:sz="0" w:space="0" w:color="auto"/>
            <w:left w:val="none" w:sz="0" w:space="0" w:color="auto"/>
            <w:bottom w:val="none" w:sz="0" w:space="0" w:color="auto"/>
            <w:right w:val="none" w:sz="0" w:space="0" w:color="auto"/>
          </w:divBdr>
        </w:div>
        <w:div w:id="1209954636">
          <w:marLeft w:val="446"/>
          <w:marRight w:val="0"/>
          <w:marTop w:val="96"/>
          <w:marBottom w:val="0"/>
          <w:divBdr>
            <w:top w:val="none" w:sz="0" w:space="0" w:color="auto"/>
            <w:left w:val="none" w:sz="0" w:space="0" w:color="auto"/>
            <w:bottom w:val="none" w:sz="0" w:space="0" w:color="auto"/>
            <w:right w:val="none" w:sz="0" w:space="0" w:color="auto"/>
          </w:divBdr>
        </w:div>
        <w:div w:id="1505515401">
          <w:marLeft w:val="1886"/>
          <w:marRight w:val="0"/>
          <w:marTop w:val="77"/>
          <w:marBottom w:val="0"/>
          <w:divBdr>
            <w:top w:val="none" w:sz="0" w:space="0" w:color="auto"/>
            <w:left w:val="none" w:sz="0" w:space="0" w:color="auto"/>
            <w:bottom w:val="none" w:sz="0" w:space="0" w:color="auto"/>
            <w:right w:val="none" w:sz="0" w:space="0" w:color="auto"/>
          </w:divBdr>
        </w:div>
      </w:divsChild>
    </w:div>
    <w:div w:id="375398709">
      <w:bodyDiv w:val="1"/>
      <w:marLeft w:val="0"/>
      <w:marRight w:val="0"/>
      <w:marTop w:val="0"/>
      <w:marBottom w:val="0"/>
      <w:divBdr>
        <w:top w:val="none" w:sz="0" w:space="0" w:color="auto"/>
        <w:left w:val="none" w:sz="0" w:space="0" w:color="auto"/>
        <w:bottom w:val="none" w:sz="0" w:space="0" w:color="auto"/>
        <w:right w:val="none" w:sz="0" w:space="0" w:color="auto"/>
      </w:divBdr>
      <w:divsChild>
        <w:div w:id="430244424">
          <w:marLeft w:val="850"/>
          <w:marRight w:val="0"/>
          <w:marTop w:val="0"/>
          <w:marBottom w:val="180"/>
          <w:divBdr>
            <w:top w:val="none" w:sz="0" w:space="0" w:color="auto"/>
            <w:left w:val="none" w:sz="0" w:space="0" w:color="auto"/>
            <w:bottom w:val="none" w:sz="0" w:space="0" w:color="auto"/>
            <w:right w:val="none" w:sz="0" w:space="0" w:color="auto"/>
          </w:divBdr>
        </w:div>
        <w:div w:id="643241213">
          <w:marLeft w:val="850"/>
          <w:marRight w:val="0"/>
          <w:marTop w:val="0"/>
          <w:marBottom w:val="0"/>
          <w:divBdr>
            <w:top w:val="none" w:sz="0" w:space="0" w:color="auto"/>
            <w:left w:val="none" w:sz="0" w:space="0" w:color="auto"/>
            <w:bottom w:val="none" w:sz="0" w:space="0" w:color="auto"/>
            <w:right w:val="none" w:sz="0" w:space="0" w:color="auto"/>
          </w:divBdr>
        </w:div>
        <w:div w:id="841090925">
          <w:marLeft w:val="850"/>
          <w:marRight w:val="0"/>
          <w:marTop w:val="0"/>
          <w:marBottom w:val="0"/>
          <w:divBdr>
            <w:top w:val="none" w:sz="0" w:space="0" w:color="auto"/>
            <w:left w:val="none" w:sz="0" w:space="0" w:color="auto"/>
            <w:bottom w:val="none" w:sz="0" w:space="0" w:color="auto"/>
            <w:right w:val="none" w:sz="0" w:space="0" w:color="auto"/>
          </w:divBdr>
        </w:div>
        <w:div w:id="1049764183">
          <w:marLeft w:val="547"/>
          <w:marRight w:val="0"/>
          <w:marTop w:val="0"/>
          <w:marBottom w:val="0"/>
          <w:divBdr>
            <w:top w:val="none" w:sz="0" w:space="0" w:color="auto"/>
            <w:left w:val="none" w:sz="0" w:space="0" w:color="auto"/>
            <w:bottom w:val="none" w:sz="0" w:space="0" w:color="auto"/>
            <w:right w:val="none" w:sz="0" w:space="0" w:color="auto"/>
          </w:divBdr>
        </w:div>
        <w:div w:id="1912039433">
          <w:marLeft w:val="850"/>
          <w:marRight w:val="0"/>
          <w:marTop w:val="0"/>
          <w:marBottom w:val="0"/>
          <w:divBdr>
            <w:top w:val="none" w:sz="0" w:space="0" w:color="auto"/>
            <w:left w:val="none" w:sz="0" w:space="0" w:color="auto"/>
            <w:bottom w:val="none" w:sz="0" w:space="0" w:color="auto"/>
            <w:right w:val="none" w:sz="0" w:space="0" w:color="auto"/>
          </w:divBdr>
        </w:div>
        <w:div w:id="2115906031">
          <w:marLeft w:val="547"/>
          <w:marRight w:val="0"/>
          <w:marTop w:val="0"/>
          <w:marBottom w:val="0"/>
          <w:divBdr>
            <w:top w:val="none" w:sz="0" w:space="0" w:color="auto"/>
            <w:left w:val="none" w:sz="0" w:space="0" w:color="auto"/>
            <w:bottom w:val="none" w:sz="0" w:space="0" w:color="auto"/>
            <w:right w:val="none" w:sz="0" w:space="0" w:color="auto"/>
          </w:divBdr>
        </w:div>
      </w:divsChild>
    </w:div>
    <w:div w:id="375591884">
      <w:bodyDiv w:val="1"/>
      <w:marLeft w:val="0"/>
      <w:marRight w:val="0"/>
      <w:marTop w:val="0"/>
      <w:marBottom w:val="0"/>
      <w:divBdr>
        <w:top w:val="none" w:sz="0" w:space="0" w:color="auto"/>
        <w:left w:val="none" w:sz="0" w:space="0" w:color="auto"/>
        <w:bottom w:val="none" w:sz="0" w:space="0" w:color="auto"/>
        <w:right w:val="none" w:sz="0" w:space="0" w:color="auto"/>
      </w:divBdr>
      <w:divsChild>
        <w:div w:id="812139071">
          <w:marLeft w:val="1080"/>
          <w:marRight w:val="0"/>
          <w:marTop w:val="86"/>
          <w:marBottom w:val="0"/>
          <w:divBdr>
            <w:top w:val="none" w:sz="0" w:space="0" w:color="auto"/>
            <w:left w:val="none" w:sz="0" w:space="0" w:color="auto"/>
            <w:bottom w:val="none" w:sz="0" w:space="0" w:color="auto"/>
            <w:right w:val="none" w:sz="0" w:space="0" w:color="auto"/>
          </w:divBdr>
        </w:div>
        <w:div w:id="1025011693">
          <w:marLeft w:val="1080"/>
          <w:marRight w:val="0"/>
          <w:marTop w:val="86"/>
          <w:marBottom w:val="0"/>
          <w:divBdr>
            <w:top w:val="none" w:sz="0" w:space="0" w:color="auto"/>
            <w:left w:val="none" w:sz="0" w:space="0" w:color="auto"/>
            <w:bottom w:val="none" w:sz="0" w:space="0" w:color="auto"/>
            <w:right w:val="none" w:sz="0" w:space="0" w:color="auto"/>
          </w:divBdr>
        </w:div>
      </w:divsChild>
    </w:div>
    <w:div w:id="423109371">
      <w:bodyDiv w:val="1"/>
      <w:marLeft w:val="0"/>
      <w:marRight w:val="0"/>
      <w:marTop w:val="0"/>
      <w:marBottom w:val="0"/>
      <w:divBdr>
        <w:top w:val="none" w:sz="0" w:space="0" w:color="auto"/>
        <w:left w:val="none" w:sz="0" w:space="0" w:color="auto"/>
        <w:bottom w:val="none" w:sz="0" w:space="0" w:color="auto"/>
        <w:right w:val="none" w:sz="0" w:space="0" w:color="auto"/>
      </w:divBdr>
    </w:div>
    <w:div w:id="489443345">
      <w:bodyDiv w:val="1"/>
      <w:marLeft w:val="0"/>
      <w:marRight w:val="0"/>
      <w:marTop w:val="0"/>
      <w:marBottom w:val="0"/>
      <w:divBdr>
        <w:top w:val="none" w:sz="0" w:space="0" w:color="auto"/>
        <w:left w:val="none" w:sz="0" w:space="0" w:color="auto"/>
        <w:bottom w:val="none" w:sz="0" w:space="0" w:color="auto"/>
        <w:right w:val="none" w:sz="0" w:space="0" w:color="auto"/>
      </w:divBdr>
    </w:div>
    <w:div w:id="611399412">
      <w:bodyDiv w:val="1"/>
      <w:marLeft w:val="0"/>
      <w:marRight w:val="0"/>
      <w:marTop w:val="0"/>
      <w:marBottom w:val="0"/>
      <w:divBdr>
        <w:top w:val="none" w:sz="0" w:space="0" w:color="auto"/>
        <w:left w:val="none" w:sz="0" w:space="0" w:color="auto"/>
        <w:bottom w:val="none" w:sz="0" w:space="0" w:color="auto"/>
        <w:right w:val="none" w:sz="0" w:space="0" w:color="auto"/>
      </w:divBdr>
      <w:divsChild>
        <w:div w:id="406197983">
          <w:marLeft w:val="850"/>
          <w:marRight w:val="0"/>
          <w:marTop w:val="0"/>
          <w:marBottom w:val="180"/>
          <w:divBdr>
            <w:top w:val="none" w:sz="0" w:space="0" w:color="auto"/>
            <w:left w:val="none" w:sz="0" w:space="0" w:color="auto"/>
            <w:bottom w:val="none" w:sz="0" w:space="0" w:color="auto"/>
            <w:right w:val="none" w:sz="0" w:space="0" w:color="auto"/>
          </w:divBdr>
        </w:div>
        <w:div w:id="468207147">
          <w:marLeft w:val="547"/>
          <w:marRight w:val="0"/>
          <w:marTop w:val="0"/>
          <w:marBottom w:val="0"/>
          <w:divBdr>
            <w:top w:val="none" w:sz="0" w:space="0" w:color="auto"/>
            <w:left w:val="none" w:sz="0" w:space="0" w:color="auto"/>
            <w:bottom w:val="none" w:sz="0" w:space="0" w:color="auto"/>
            <w:right w:val="none" w:sz="0" w:space="0" w:color="auto"/>
          </w:divBdr>
        </w:div>
        <w:div w:id="544028744">
          <w:marLeft w:val="850"/>
          <w:marRight w:val="0"/>
          <w:marTop w:val="0"/>
          <w:marBottom w:val="0"/>
          <w:divBdr>
            <w:top w:val="none" w:sz="0" w:space="0" w:color="auto"/>
            <w:left w:val="none" w:sz="0" w:space="0" w:color="auto"/>
            <w:bottom w:val="none" w:sz="0" w:space="0" w:color="auto"/>
            <w:right w:val="none" w:sz="0" w:space="0" w:color="auto"/>
          </w:divBdr>
        </w:div>
        <w:div w:id="888229953">
          <w:marLeft w:val="850"/>
          <w:marRight w:val="0"/>
          <w:marTop w:val="0"/>
          <w:marBottom w:val="0"/>
          <w:divBdr>
            <w:top w:val="none" w:sz="0" w:space="0" w:color="auto"/>
            <w:left w:val="none" w:sz="0" w:space="0" w:color="auto"/>
            <w:bottom w:val="none" w:sz="0" w:space="0" w:color="auto"/>
            <w:right w:val="none" w:sz="0" w:space="0" w:color="auto"/>
          </w:divBdr>
        </w:div>
        <w:div w:id="1360014088">
          <w:marLeft w:val="850"/>
          <w:marRight w:val="0"/>
          <w:marTop w:val="0"/>
          <w:marBottom w:val="0"/>
          <w:divBdr>
            <w:top w:val="none" w:sz="0" w:space="0" w:color="auto"/>
            <w:left w:val="none" w:sz="0" w:space="0" w:color="auto"/>
            <w:bottom w:val="none" w:sz="0" w:space="0" w:color="auto"/>
            <w:right w:val="none" w:sz="0" w:space="0" w:color="auto"/>
          </w:divBdr>
        </w:div>
        <w:div w:id="1944804547">
          <w:marLeft w:val="547"/>
          <w:marRight w:val="0"/>
          <w:marTop w:val="0"/>
          <w:marBottom w:val="0"/>
          <w:divBdr>
            <w:top w:val="none" w:sz="0" w:space="0" w:color="auto"/>
            <w:left w:val="none" w:sz="0" w:space="0" w:color="auto"/>
            <w:bottom w:val="none" w:sz="0" w:space="0" w:color="auto"/>
            <w:right w:val="none" w:sz="0" w:space="0" w:color="auto"/>
          </w:divBdr>
        </w:div>
      </w:divsChild>
    </w:div>
    <w:div w:id="634064644">
      <w:bodyDiv w:val="1"/>
      <w:marLeft w:val="0"/>
      <w:marRight w:val="0"/>
      <w:marTop w:val="0"/>
      <w:marBottom w:val="0"/>
      <w:divBdr>
        <w:top w:val="none" w:sz="0" w:space="0" w:color="auto"/>
        <w:left w:val="none" w:sz="0" w:space="0" w:color="auto"/>
        <w:bottom w:val="none" w:sz="0" w:space="0" w:color="auto"/>
        <w:right w:val="none" w:sz="0" w:space="0" w:color="auto"/>
      </w:divBdr>
    </w:div>
    <w:div w:id="694119482">
      <w:bodyDiv w:val="1"/>
      <w:marLeft w:val="0"/>
      <w:marRight w:val="0"/>
      <w:marTop w:val="0"/>
      <w:marBottom w:val="0"/>
      <w:divBdr>
        <w:top w:val="none" w:sz="0" w:space="0" w:color="auto"/>
        <w:left w:val="none" w:sz="0" w:space="0" w:color="auto"/>
        <w:bottom w:val="none" w:sz="0" w:space="0" w:color="auto"/>
        <w:right w:val="none" w:sz="0" w:space="0" w:color="auto"/>
      </w:divBdr>
    </w:div>
    <w:div w:id="705985609">
      <w:bodyDiv w:val="1"/>
      <w:marLeft w:val="0"/>
      <w:marRight w:val="0"/>
      <w:marTop w:val="0"/>
      <w:marBottom w:val="0"/>
      <w:divBdr>
        <w:top w:val="none" w:sz="0" w:space="0" w:color="auto"/>
        <w:left w:val="none" w:sz="0" w:space="0" w:color="auto"/>
        <w:bottom w:val="none" w:sz="0" w:space="0" w:color="auto"/>
        <w:right w:val="none" w:sz="0" w:space="0" w:color="auto"/>
      </w:divBdr>
    </w:div>
    <w:div w:id="730233013">
      <w:bodyDiv w:val="1"/>
      <w:marLeft w:val="0"/>
      <w:marRight w:val="0"/>
      <w:marTop w:val="0"/>
      <w:marBottom w:val="0"/>
      <w:divBdr>
        <w:top w:val="none" w:sz="0" w:space="0" w:color="auto"/>
        <w:left w:val="none" w:sz="0" w:space="0" w:color="auto"/>
        <w:bottom w:val="none" w:sz="0" w:space="0" w:color="auto"/>
        <w:right w:val="none" w:sz="0" w:space="0" w:color="auto"/>
      </w:divBdr>
      <w:divsChild>
        <w:div w:id="475992793">
          <w:marLeft w:val="1166"/>
          <w:marRight w:val="0"/>
          <w:marTop w:val="0"/>
          <w:marBottom w:val="0"/>
          <w:divBdr>
            <w:top w:val="none" w:sz="0" w:space="0" w:color="auto"/>
            <w:left w:val="none" w:sz="0" w:space="0" w:color="auto"/>
            <w:bottom w:val="none" w:sz="0" w:space="0" w:color="auto"/>
            <w:right w:val="none" w:sz="0" w:space="0" w:color="auto"/>
          </w:divBdr>
        </w:div>
      </w:divsChild>
    </w:div>
    <w:div w:id="751199766">
      <w:bodyDiv w:val="1"/>
      <w:marLeft w:val="0"/>
      <w:marRight w:val="0"/>
      <w:marTop w:val="0"/>
      <w:marBottom w:val="0"/>
      <w:divBdr>
        <w:top w:val="none" w:sz="0" w:space="0" w:color="auto"/>
        <w:left w:val="none" w:sz="0" w:space="0" w:color="auto"/>
        <w:bottom w:val="none" w:sz="0" w:space="0" w:color="auto"/>
        <w:right w:val="none" w:sz="0" w:space="0" w:color="auto"/>
      </w:divBdr>
    </w:div>
    <w:div w:id="805389531">
      <w:bodyDiv w:val="1"/>
      <w:marLeft w:val="0"/>
      <w:marRight w:val="0"/>
      <w:marTop w:val="0"/>
      <w:marBottom w:val="0"/>
      <w:divBdr>
        <w:top w:val="none" w:sz="0" w:space="0" w:color="auto"/>
        <w:left w:val="none" w:sz="0" w:space="0" w:color="auto"/>
        <w:bottom w:val="none" w:sz="0" w:space="0" w:color="auto"/>
        <w:right w:val="none" w:sz="0" w:space="0" w:color="auto"/>
      </w:divBdr>
    </w:div>
    <w:div w:id="808325512">
      <w:bodyDiv w:val="1"/>
      <w:marLeft w:val="0"/>
      <w:marRight w:val="0"/>
      <w:marTop w:val="0"/>
      <w:marBottom w:val="0"/>
      <w:divBdr>
        <w:top w:val="none" w:sz="0" w:space="0" w:color="auto"/>
        <w:left w:val="none" w:sz="0" w:space="0" w:color="auto"/>
        <w:bottom w:val="none" w:sz="0" w:space="0" w:color="auto"/>
        <w:right w:val="none" w:sz="0" w:space="0" w:color="auto"/>
      </w:divBdr>
    </w:div>
    <w:div w:id="843514077">
      <w:bodyDiv w:val="1"/>
      <w:marLeft w:val="0"/>
      <w:marRight w:val="0"/>
      <w:marTop w:val="0"/>
      <w:marBottom w:val="0"/>
      <w:divBdr>
        <w:top w:val="none" w:sz="0" w:space="0" w:color="auto"/>
        <w:left w:val="none" w:sz="0" w:space="0" w:color="auto"/>
        <w:bottom w:val="none" w:sz="0" w:space="0" w:color="auto"/>
        <w:right w:val="none" w:sz="0" w:space="0" w:color="auto"/>
      </w:divBdr>
    </w:div>
    <w:div w:id="869994831">
      <w:bodyDiv w:val="1"/>
      <w:marLeft w:val="0"/>
      <w:marRight w:val="0"/>
      <w:marTop w:val="0"/>
      <w:marBottom w:val="0"/>
      <w:divBdr>
        <w:top w:val="none" w:sz="0" w:space="0" w:color="auto"/>
        <w:left w:val="none" w:sz="0" w:space="0" w:color="auto"/>
        <w:bottom w:val="none" w:sz="0" w:space="0" w:color="auto"/>
        <w:right w:val="none" w:sz="0" w:space="0" w:color="auto"/>
      </w:divBdr>
      <w:divsChild>
        <w:div w:id="603808312">
          <w:marLeft w:val="288"/>
          <w:marRight w:val="0"/>
          <w:marTop w:val="0"/>
          <w:marBottom w:val="0"/>
          <w:divBdr>
            <w:top w:val="none" w:sz="0" w:space="0" w:color="auto"/>
            <w:left w:val="none" w:sz="0" w:space="0" w:color="auto"/>
            <w:bottom w:val="none" w:sz="0" w:space="0" w:color="auto"/>
            <w:right w:val="none" w:sz="0" w:space="0" w:color="auto"/>
          </w:divBdr>
        </w:div>
      </w:divsChild>
    </w:div>
    <w:div w:id="883756742">
      <w:bodyDiv w:val="1"/>
      <w:marLeft w:val="0"/>
      <w:marRight w:val="0"/>
      <w:marTop w:val="0"/>
      <w:marBottom w:val="0"/>
      <w:divBdr>
        <w:top w:val="none" w:sz="0" w:space="0" w:color="auto"/>
        <w:left w:val="none" w:sz="0" w:space="0" w:color="auto"/>
        <w:bottom w:val="none" w:sz="0" w:space="0" w:color="auto"/>
        <w:right w:val="none" w:sz="0" w:space="0" w:color="auto"/>
      </w:divBdr>
    </w:div>
    <w:div w:id="900217356">
      <w:bodyDiv w:val="1"/>
      <w:marLeft w:val="0"/>
      <w:marRight w:val="0"/>
      <w:marTop w:val="0"/>
      <w:marBottom w:val="0"/>
      <w:divBdr>
        <w:top w:val="none" w:sz="0" w:space="0" w:color="auto"/>
        <w:left w:val="none" w:sz="0" w:space="0" w:color="auto"/>
        <w:bottom w:val="none" w:sz="0" w:space="0" w:color="auto"/>
        <w:right w:val="none" w:sz="0" w:space="0" w:color="auto"/>
      </w:divBdr>
    </w:div>
    <w:div w:id="948700690">
      <w:bodyDiv w:val="1"/>
      <w:marLeft w:val="0"/>
      <w:marRight w:val="0"/>
      <w:marTop w:val="0"/>
      <w:marBottom w:val="0"/>
      <w:divBdr>
        <w:top w:val="none" w:sz="0" w:space="0" w:color="auto"/>
        <w:left w:val="none" w:sz="0" w:space="0" w:color="auto"/>
        <w:bottom w:val="none" w:sz="0" w:space="0" w:color="auto"/>
        <w:right w:val="none" w:sz="0" w:space="0" w:color="auto"/>
      </w:divBdr>
      <w:divsChild>
        <w:div w:id="80152610">
          <w:marLeft w:val="446"/>
          <w:marRight w:val="0"/>
          <w:marTop w:val="77"/>
          <w:marBottom w:val="0"/>
          <w:divBdr>
            <w:top w:val="none" w:sz="0" w:space="0" w:color="auto"/>
            <w:left w:val="none" w:sz="0" w:space="0" w:color="auto"/>
            <w:bottom w:val="none" w:sz="0" w:space="0" w:color="auto"/>
            <w:right w:val="none" w:sz="0" w:space="0" w:color="auto"/>
          </w:divBdr>
        </w:div>
        <w:div w:id="450634130">
          <w:marLeft w:val="446"/>
          <w:marRight w:val="0"/>
          <w:marTop w:val="77"/>
          <w:marBottom w:val="0"/>
          <w:divBdr>
            <w:top w:val="none" w:sz="0" w:space="0" w:color="auto"/>
            <w:left w:val="none" w:sz="0" w:space="0" w:color="auto"/>
            <w:bottom w:val="none" w:sz="0" w:space="0" w:color="auto"/>
            <w:right w:val="none" w:sz="0" w:space="0" w:color="auto"/>
          </w:divBdr>
        </w:div>
        <w:div w:id="631599750">
          <w:marLeft w:val="547"/>
          <w:marRight w:val="0"/>
          <w:marTop w:val="77"/>
          <w:marBottom w:val="0"/>
          <w:divBdr>
            <w:top w:val="none" w:sz="0" w:space="0" w:color="auto"/>
            <w:left w:val="none" w:sz="0" w:space="0" w:color="auto"/>
            <w:bottom w:val="none" w:sz="0" w:space="0" w:color="auto"/>
            <w:right w:val="none" w:sz="0" w:space="0" w:color="auto"/>
          </w:divBdr>
        </w:div>
        <w:div w:id="1263344107">
          <w:marLeft w:val="1166"/>
          <w:marRight w:val="0"/>
          <w:marTop w:val="77"/>
          <w:marBottom w:val="0"/>
          <w:divBdr>
            <w:top w:val="none" w:sz="0" w:space="0" w:color="auto"/>
            <w:left w:val="none" w:sz="0" w:space="0" w:color="auto"/>
            <w:bottom w:val="none" w:sz="0" w:space="0" w:color="auto"/>
            <w:right w:val="none" w:sz="0" w:space="0" w:color="auto"/>
          </w:divBdr>
        </w:div>
        <w:div w:id="1535002356">
          <w:marLeft w:val="446"/>
          <w:marRight w:val="0"/>
          <w:marTop w:val="77"/>
          <w:marBottom w:val="0"/>
          <w:divBdr>
            <w:top w:val="none" w:sz="0" w:space="0" w:color="auto"/>
            <w:left w:val="none" w:sz="0" w:space="0" w:color="auto"/>
            <w:bottom w:val="none" w:sz="0" w:space="0" w:color="auto"/>
            <w:right w:val="none" w:sz="0" w:space="0" w:color="auto"/>
          </w:divBdr>
        </w:div>
        <w:div w:id="1554149803">
          <w:marLeft w:val="1166"/>
          <w:marRight w:val="0"/>
          <w:marTop w:val="77"/>
          <w:marBottom w:val="0"/>
          <w:divBdr>
            <w:top w:val="none" w:sz="0" w:space="0" w:color="auto"/>
            <w:left w:val="none" w:sz="0" w:space="0" w:color="auto"/>
            <w:bottom w:val="none" w:sz="0" w:space="0" w:color="auto"/>
            <w:right w:val="none" w:sz="0" w:space="0" w:color="auto"/>
          </w:divBdr>
        </w:div>
        <w:div w:id="1575358519">
          <w:marLeft w:val="1166"/>
          <w:marRight w:val="0"/>
          <w:marTop w:val="77"/>
          <w:marBottom w:val="0"/>
          <w:divBdr>
            <w:top w:val="none" w:sz="0" w:space="0" w:color="auto"/>
            <w:left w:val="none" w:sz="0" w:space="0" w:color="auto"/>
            <w:bottom w:val="none" w:sz="0" w:space="0" w:color="auto"/>
            <w:right w:val="none" w:sz="0" w:space="0" w:color="auto"/>
          </w:divBdr>
        </w:div>
      </w:divsChild>
    </w:div>
    <w:div w:id="967510694">
      <w:bodyDiv w:val="1"/>
      <w:marLeft w:val="0"/>
      <w:marRight w:val="0"/>
      <w:marTop w:val="0"/>
      <w:marBottom w:val="0"/>
      <w:divBdr>
        <w:top w:val="none" w:sz="0" w:space="0" w:color="auto"/>
        <w:left w:val="none" w:sz="0" w:space="0" w:color="auto"/>
        <w:bottom w:val="none" w:sz="0" w:space="0" w:color="auto"/>
        <w:right w:val="none" w:sz="0" w:space="0" w:color="auto"/>
      </w:divBdr>
    </w:div>
    <w:div w:id="977033294">
      <w:bodyDiv w:val="1"/>
      <w:marLeft w:val="0"/>
      <w:marRight w:val="0"/>
      <w:marTop w:val="0"/>
      <w:marBottom w:val="0"/>
      <w:divBdr>
        <w:top w:val="none" w:sz="0" w:space="0" w:color="auto"/>
        <w:left w:val="none" w:sz="0" w:space="0" w:color="auto"/>
        <w:bottom w:val="none" w:sz="0" w:space="0" w:color="auto"/>
        <w:right w:val="none" w:sz="0" w:space="0" w:color="auto"/>
      </w:divBdr>
    </w:div>
    <w:div w:id="1009212097">
      <w:bodyDiv w:val="1"/>
      <w:marLeft w:val="0"/>
      <w:marRight w:val="0"/>
      <w:marTop w:val="0"/>
      <w:marBottom w:val="0"/>
      <w:divBdr>
        <w:top w:val="none" w:sz="0" w:space="0" w:color="auto"/>
        <w:left w:val="none" w:sz="0" w:space="0" w:color="auto"/>
        <w:bottom w:val="none" w:sz="0" w:space="0" w:color="auto"/>
        <w:right w:val="none" w:sz="0" w:space="0" w:color="auto"/>
      </w:divBdr>
      <w:divsChild>
        <w:div w:id="233274071">
          <w:marLeft w:val="1267"/>
          <w:marRight w:val="0"/>
          <w:marTop w:val="120"/>
          <w:marBottom w:val="0"/>
          <w:divBdr>
            <w:top w:val="none" w:sz="0" w:space="0" w:color="auto"/>
            <w:left w:val="none" w:sz="0" w:space="0" w:color="auto"/>
            <w:bottom w:val="none" w:sz="0" w:space="0" w:color="auto"/>
            <w:right w:val="none" w:sz="0" w:space="0" w:color="auto"/>
          </w:divBdr>
        </w:div>
      </w:divsChild>
    </w:div>
    <w:div w:id="1011568540">
      <w:bodyDiv w:val="1"/>
      <w:marLeft w:val="0"/>
      <w:marRight w:val="0"/>
      <w:marTop w:val="0"/>
      <w:marBottom w:val="0"/>
      <w:divBdr>
        <w:top w:val="none" w:sz="0" w:space="0" w:color="auto"/>
        <w:left w:val="none" w:sz="0" w:space="0" w:color="auto"/>
        <w:bottom w:val="none" w:sz="0" w:space="0" w:color="auto"/>
        <w:right w:val="none" w:sz="0" w:space="0" w:color="auto"/>
      </w:divBdr>
      <w:divsChild>
        <w:div w:id="2082288575">
          <w:marLeft w:val="547"/>
          <w:marRight w:val="0"/>
          <w:marTop w:val="0"/>
          <w:marBottom w:val="0"/>
          <w:divBdr>
            <w:top w:val="none" w:sz="0" w:space="0" w:color="auto"/>
            <w:left w:val="none" w:sz="0" w:space="0" w:color="auto"/>
            <w:bottom w:val="none" w:sz="0" w:space="0" w:color="auto"/>
            <w:right w:val="none" w:sz="0" w:space="0" w:color="auto"/>
          </w:divBdr>
        </w:div>
      </w:divsChild>
    </w:div>
    <w:div w:id="1025981364">
      <w:bodyDiv w:val="1"/>
      <w:marLeft w:val="0"/>
      <w:marRight w:val="0"/>
      <w:marTop w:val="0"/>
      <w:marBottom w:val="0"/>
      <w:divBdr>
        <w:top w:val="none" w:sz="0" w:space="0" w:color="auto"/>
        <w:left w:val="none" w:sz="0" w:space="0" w:color="auto"/>
        <w:bottom w:val="none" w:sz="0" w:space="0" w:color="auto"/>
        <w:right w:val="none" w:sz="0" w:space="0" w:color="auto"/>
      </w:divBdr>
    </w:div>
    <w:div w:id="1028024614">
      <w:bodyDiv w:val="1"/>
      <w:marLeft w:val="0"/>
      <w:marRight w:val="0"/>
      <w:marTop w:val="0"/>
      <w:marBottom w:val="0"/>
      <w:divBdr>
        <w:top w:val="none" w:sz="0" w:space="0" w:color="auto"/>
        <w:left w:val="none" w:sz="0" w:space="0" w:color="auto"/>
        <w:bottom w:val="none" w:sz="0" w:space="0" w:color="auto"/>
        <w:right w:val="none" w:sz="0" w:space="0" w:color="auto"/>
      </w:divBdr>
    </w:div>
    <w:div w:id="1081951498">
      <w:bodyDiv w:val="1"/>
      <w:marLeft w:val="0"/>
      <w:marRight w:val="0"/>
      <w:marTop w:val="0"/>
      <w:marBottom w:val="0"/>
      <w:divBdr>
        <w:top w:val="none" w:sz="0" w:space="0" w:color="auto"/>
        <w:left w:val="none" w:sz="0" w:space="0" w:color="auto"/>
        <w:bottom w:val="none" w:sz="0" w:space="0" w:color="auto"/>
        <w:right w:val="none" w:sz="0" w:space="0" w:color="auto"/>
      </w:divBdr>
    </w:div>
    <w:div w:id="1099720245">
      <w:bodyDiv w:val="1"/>
      <w:marLeft w:val="0"/>
      <w:marRight w:val="0"/>
      <w:marTop w:val="0"/>
      <w:marBottom w:val="0"/>
      <w:divBdr>
        <w:top w:val="none" w:sz="0" w:space="0" w:color="auto"/>
        <w:left w:val="none" w:sz="0" w:space="0" w:color="auto"/>
        <w:bottom w:val="none" w:sz="0" w:space="0" w:color="auto"/>
        <w:right w:val="none" w:sz="0" w:space="0" w:color="auto"/>
      </w:divBdr>
    </w:div>
    <w:div w:id="1107188943">
      <w:bodyDiv w:val="1"/>
      <w:marLeft w:val="0"/>
      <w:marRight w:val="0"/>
      <w:marTop w:val="0"/>
      <w:marBottom w:val="0"/>
      <w:divBdr>
        <w:top w:val="none" w:sz="0" w:space="0" w:color="auto"/>
        <w:left w:val="none" w:sz="0" w:space="0" w:color="auto"/>
        <w:bottom w:val="none" w:sz="0" w:space="0" w:color="auto"/>
        <w:right w:val="none" w:sz="0" w:space="0" w:color="auto"/>
      </w:divBdr>
      <w:divsChild>
        <w:div w:id="426343184">
          <w:marLeft w:val="2606"/>
          <w:marRight w:val="0"/>
          <w:marTop w:val="72"/>
          <w:marBottom w:val="0"/>
          <w:divBdr>
            <w:top w:val="none" w:sz="0" w:space="0" w:color="auto"/>
            <w:left w:val="none" w:sz="0" w:space="0" w:color="auto"/>
            <w:bottom w:val="none" w:sz="0" w:space="0" w:color="auto"/>
            <w:right w:val="none" w:sz="0" w:space="0" w:color="auto"/>
          </w:divBdr>
        </w:div>
      </w:divsChild>
    </w:div>
    <w:div w:id="1182469627">
      <w:bodyDiv w:val="1"/>
      <w:marLeft w:val="0"/>
      <w:marRight w:val="0"/>
      <w:marTop w:val="0"/>
      <w:marBottom w:val="0"/>
      <w:divBdr>
        <w:top w:val="none" w:sz="0" w:space="0" w:color="auto"/>
        <w:left w:val="none" w:sz="0" w:space="0" w:color="auto"/>
        <w:bottom w:val="none" w:sz="0" w:space="0" w:color="auto"/>
        <w:right w:val="none" w:sz="0" w:space="0" w:color="auto"/>
      </w:divBdr>
    </w:div>
    <w:div w:id="1251692932">
      <w:bodyDiv w:val="1"/>
      <w:marLeft w:val="0"/>
      <w:marRight w:val="0"/>
      <w:marTop w:val="0"/>
      <w:marBottom w:val="0"/>
      <w:divBdr>
        <w:top w:val="none" w:sz="0" w:space="0" w:color="auto"/>
        <w:left w:val="none" w:sz="0" w:space="0" w:color="auto"/>
        <w:bottom w:val="none" w:sz="0" w:space="0" w:color="auto"/>
        <w:right w:val="none" w:sz="0" w:space="0" w:color="auto"/>
      </w:divBdr>
    </w:div>
    <w:div w:id="1257011967">
      <w:bodyDiv w:val="1"/>
      <w:marLeft w:val="0"/>
      <w:marRight w:val="0"/>
      <w:marTop w:val="0"/>
      <w:marBottom w:val="0"/>
      <w:divBdr>
        <w:top w:val="none" w:sz="0" w:space="0" w:color="auto"/>
        <w:left w:val="none" w:sz="0" w:space="0" w:color="auto"/>
        <w:bottom w:val="none" w:sz="0" w:space="0" w:color="auto"/>
        <w:right w:val="none" w:sz="0" w:space="0" w:color="auto"/>
      </w:divBdr>
      <w:divsChild>
        <w:div w:id="1693804016">
          <w:marLeft w:val="446"/>
          <w:marRight w:val="0"/>
          <w:marTop w:val="120"/>
          <w:marBottom w:val="120"/>
          <w:divBdr>
            <w:top w:val="none" w:sz="0" w:space="0" w:color="auto"/>
            <w:left w:val="none" w:sz="0" w:space="0" w:color="auto"/>
            <w:bottom w:val="none" w:sz="0" w:space="0" w:color="auto"/>
            <w:right w:val="none" w:sz="0" w:space="0" w:color="auto"/>
          </w:divBdr>
        </w:div>
      </w:divsChild>
    </w:div>
    <w:div w:id="1324967801">
      <w:bodyDiv w:val="1"/>
      <w:marLeft w:val="0"/>
      <w:marRight w:val="0"/>
      <w:marTop w:val="0"/>
      <w:marBottom w:val="0"/>
      <w:divBdr>
        <w:top w:val="none" w:sz="0" w:space="0" w:color="auto"/>
        <w:left w:val="none" w:sz="0" w:space="0" w:color="auto"/>
        <w:bottom w:val="none" w:sz="0" w:space="0" w:color="auto"/>
        <w:right w:val="none" w:sz="0" w:space="0" w:color="auto"/>
      </w:divBdr>
      <w:divsChild>
        <w:div w:id="62947010">
          <w:marLeft w:val="274"/>
          <w:marRight w:val="0"/>
          <w:marTop w:val="0"/>
          <w:marBottom w:val="0"/>
          <w:divBdr>
            <w:top w:val="none" w:sz="0" w:space="0" w:color="auto"/>
            <w:left w:val="none" w:sz="0" w:space="0" w:color="auto"/>
            <w:bottom w:val="none" w:sz="0" w:space="0" w:color="auto"/>
            <w:right w:val="none" w:sz="0" w:space="0" w:color="auto"/>
          </w:divBdr>
        </w:div>
        <w:div w:id="175120285">
          <w:marLeft w:val="360"/>
          <w:marRight w:val="0"/>
          <w:marTop w:val="0"/>
          <w:marBottom w:val="0"/>
          <w:divBdr>
            <w:top w:val="none" w:sz="0" w:space="0" w:color="auto"/>
            <w:left w:val="none" w:sz="0" w:space="0" w:color="auto"/>
            <w:bottom w:val="none" w:sz="0" w:space="0" w:color="auto"/>
            <w:right w:val="none" w:sz="0" w:space="0" w:color="auto"/>
          </w:divBdr>
        </w:div>
        <w:div w:id="497307042">
          <w:marLeft w:val="994"/>
          <w:marRight w:val="0"/>
          <w:marTop w:val="0"/>
          <w:marBottom w:val="0"/>
          <w:divBdr>
            <w:top w:val="none" w:sz="0" w:space="0" w:color="auto"/>
            <w:left w:val="none" w:sz="0" w:space="0" w:color="auto"/>
            <w:bottom w:val="none" w:sz="0" w:space="0" w:color="auto"/>
            <w:right w:val="none" w:sz="0" w:space="0" w:color="auto"/>
          </w:divBdr>
        </w:div>
        <w:div w:id="769590990">
          <w:marLeft w:val="360"/>
          <w:marRight w:val="0"/>
          <w:marTop w:val="0"/>
          <w:marBottom w:val="0"/>
          <w:divBdr>
            <w:top w:val="none" w:sz="0" w:space="0" w:color="auto"/>
            <w:left w:val="none" w:sz="0" w:space="0" w:color="auto"/>
            <w:bottom w:val="none" w:sz="0" w:space="0" w:color="auto"/>
            <w:right w:val="none" w:sz="0" w:space="0" w:color="auto"/>
          </w:divBdr>
        </w:div>
        <w:div w:id="1049915866">
          <w:marLeft w:val="360"/>
          <w:marRight w:val="0"/>
          <w:marTop w:val="0"/>
          <w:marBottom w:val="0"/>
          <w:divBdr>
            <w:top w:val="none" w:sz="0" w:space="0" w:color="auto"/>
            <w:left w:val="none" w:sz="0" w:space="0" w:color="auto"/>
            <w:bottom w:val="none" w:sz="0" w:space="0" w:color="auto"/>
            <w:right w:val="none" w:sz="0" w:space="0" w:color="auto"/>
          </w:divBdr>
        </w:div>
        <w:div w:id="1249385335">
          <w:marLeft w:val="274"/>
          <w:marRight w:val="0"/>
          <w:marTop w:val="0"/>
          <w:marBottom w:val="0"/>
          <w:divBdr>
            <w:top w:val="none" w:sz="0" w:space="0" w:color="auto"/>
            <w:left w:val="none" w:sz="0" w:space="0" w:color="auto"/>
            <w:bottom w:val="none" w:sz="0" w:space="0" w:color="auto"/>
            <w:right w:val="none" w:sz="0" w:space="0" w:color="auto"/>
          </w:divBdr>
        </w:div>
        <w:div w:id="1896890459">
          <w:marLeft w:val="360"/>
          <w:marRight w:val="0"/>
          <w:marTop w:val="0"/>
          <w:marBottom w:val="0"/>
          <w:divBdr>
            <w:top w:val="none" w:sz="0" w:space="0" w:color="auto"/>
            <w:left w:val="none" w:sz="0" w:space="0" w:color="auto"/>
            <w:bottom w:val="none" w:sz="0" w:space="0" w:color="auto"/>
            <w:right w:val="none" w:sz="0" w:space="0" w:color="auto"/>
          </w:divBdr>
        </w:div>
        <w:div w:id="2107580760">
          <w:marLeft w:val="360"/>
          <w:marRight w:val="0"/>
          <w:marTop w:val="0"/>
          <w:marBottom w:val="0"/>
          <w:divBdr>
            <w:top w:val="none" w:sz="0" w:space="0" w:color="auto"/>
            <w:left w:val="none" w:sz="0" w:space="0" w:color="auto"/>
            <w:bottom w:val="none" w:sz="0" w:space="0" w:color="auto"/>
            <w:right w:val="none" w:sz="0" w:space="0" w:color="auto"/>
          </w:divBdr>
        </w:div>
      </w:divsChild>
    </w:div>
    <w:div w:id="1394502325">
      <w:bodyDiv w:val="1"/>
      <w:marLeft w:val="0"/>
      <w:marRight w:val="0"/>
      <w:marTop w:val="0"/>
      <w:marBottom w:val="0"/>
      <w:divBdr>
        <w:top w:val="none" w:sz="0" w:space="0" w:color="auto"/>
        <w:left w:val="none" w:sz="0" w:space="0" w:color="auto"/>
        <w:bottom w:val="none" w:sz="0" w:space="0" w:color="auto"/>
        <w:right w:val="none" w:sz="0" w:space="0" w:color="auto"/>
      </w:divBdr>
      <w:divsChild>
        <w:div w:id="667296009">
          <w:marLeft w:val="446"/>
          <w:marRight w:val="0"/>
          <w:marTop w:val="77"/>
          <w:marBottom w:val="0"/>
          <w:divBdr>
            <w:top w:val="none" w:sz="0" w:space="0" w:color="auto"/>
            <w:left w:val="none" w:sz="0" w:space="0" w:color="auto"/>
            <w:bottom w:val="none" w:sz="0" w:space="0" w:color="auto"/>
            <w:right w:val="none" w:sz="0" w:space="0" w:color="auto"/>
          </w:divBdr>
        </w:div>
        <w:div w:id="788091687">
          <w:marLeft w:val="1166"/>
          <w:marRight w:val="0"/>
          <w:marTop w:val="77"/>
          <w:marBottom w:val="0"/>
          <w:divBdr>
            <w:top w:val="none" w:sz="0" w:space="0" w:color="auto"/>
            <w:left w:val="none" w:sz="0" w:space="0" w:color="auto"/>
            <w:bottom w:val="none" w:sz="0" w:space="0" w:color="auto"/>
            <w:right w:val="none" w:sz="0" w:space="0" w:color="auto"/>
          </w:divBdr>
        </w:div>
        <w:div w:id="997808690">
          <w:marLeft w:val="547"/>
          <w:marRight w:val="0"/>
          <w:marTop w:val="77"/>
          <w:marBottom w:val="0"/>
          <w:divBdr>
            <w:top w:val="none" w:sz="0" w:space="0" w:color="auto"/>
            <w:left w:val="none" w:sz="0" w:space="0" w:color="auto"/>
            <w:bottom w:val="none" w:sz="0" w:space="0" w:color="auto"/>
            <w:right w:val="none" w:sz="0" w:space="0" w:color="auto"/>
          </w:divBdr>
        </w:div>
        <w:div w:id="1264530091">
          <w:marLeft w:val="446"/>
          <w:marRight w:val="0"/>
          <w:marTop w:val="77"/>
          <w:marBottom w:val="0"/>
          <w:divBdr>
            <w:top w:val="none" w:sz="0" w:space="0" w:color="auto"/>
            <w:left w:val="none" w:sz="0" w:space="0" w:color="auto"/>
            <w:bottom w:val="none" w:sz="0" w:space="0" w:color="auto"/>
            <w:right w:val="none" w:sz="0" w:space="0" w:color="auto"/>
          </w:divBdr>
        </w:div>
        <w:div w:id="1334722612">
          <w:marLeft w:val="1166"/>
          <w:marRight w:val="0"/>
          <w:marTop w:val="77"/>
          <w:marBottom w:val="0"/>
          <w:divBdr>
            <w:top w:val="none" w:sz="0" w:space="0" w:color="auto"/>
            <w:left w:val="none" w:sz="0" w:space="0" w:color="auto"/>
            <w:bottom w:val="none" w:sz="0" w:space="0" w:color="auto"/>
            <w:right w:val="none" w:sz="0" w:space="0" w:color="auto"/>
          </w:divBdr>
        </w:div>
        <w:div w:id="1761102177">
          <w:marLeft w:val="446"/>
          <w:marRight w:val="0"/>
          <w:marTop w:val="77"/>
          <w:marBottom w:val="0"/>
          <w:divBdr>
            <w:top w:val="none" w:sz="0" w:space="0" w:color="auto"/>
            <w:left w:val="none" w:sz="0" w:space="0" w:color="auto"/>
            <w:bottom w:val="none" w:sz="0" w:space="0" w:color="auto"/>
            <w:right w:val="none" w:sz="0" w:space="0" w:color="auto"/>
          </w:divBdr>
        </w:div>
        <w:div w:id="2083526247">
          <w:marLeft w:val="1166"/>
          <w:marRight w:val="0"/>
          <w:marTop w:val="77"/>
          <w:marBottom w:val="0"/>
          <w:divBdr>
            <w:top w:val="none" w:sz="0" w:space="0" w:color="auto"/>
            <w:left w:val="none" w:sz="0" w:space="0" w:color="auto"/>
            <w:bottom w:val="none" w:sz="0" w:space="0" w:color="auto"/>
            <w:right w:val="none" w:sz="0" w:space="0" w:color="auto"/>
          </w:divBdr>
        </w:div>
      </w:divsChild>
    </w:div>
    <w:div w:id="1431513606">
      <w:bodyDiv w:val="1"/>
      <w:marLeft w:val="0"/>
      <w:marRight w:val="0"/>
      <w:marTop w:val="0"/>
      <w:marBottom w:val="0"/>
      <w:divBdr>
        <w:top w:val="none" w:sz="0" w:space="0" w:color="auto"/>
        <w:left w:val="none" w:sz="0" w:space="0" w:color="auto"/>
        <w:bottom w:val="none" w:sz="0" w:space="0" w:color="auto"/>
        <w:right w:val="none" w:sz="0" w:space="0" w:color="auto"/>
      </w:divBdr>
      <w:divsChild>
        <w:div w:id="258216785">
          <w:marLeft w:val="360"/>
          <w:marRight w:val="0"/>
          <w:marTop w:val="0"/>
          <w:marBottom w:val="0"/>
          <w:divBdr>
            <w:top w:val="none" w:sz="0" w:space="0" w:color="auto"/>
            <w:left w:val="none" w:sz="0" w:space="0" w:color="auto"/>
            <w:bottom w:val="none" w:sz="0" w:space="0" w:color="auto"/>
            <w:right w:val="none" w:sz="0" w:space="0" w:color="auto"/>
          </w:divBdr>
        </w:div>
        <w:div w:id="721640663">
          <w:marLeft w:val="360"/>
          <w:marRight w:val="0"/>
          <w:marTop w:val="0"/>
          <w:marBottom w:val="0"/>
          <w:divBdr>
            <w:top w:val="none" w:sz="0" w:space="0" w:color="auto"/>
            <w:left w:val="none" w:sz="0" w:space="0" w:color="auto"/>
            <w:bottom w:val="none" w:sz="0" w:space="0" w:color="auto"/>
            <w:right w:val="none" w:sz="0" w:space="0" w:color="auto"/>
          </w:divBdr>
        </w:div>
        <w:div w:id="1319267334">
          <w:marLeft w:val="274"/>
          <w:marRight w:val="0"/>
          <w:marTop w:val="0"/>
          <w:marBottom w:val="0"/>
          <w:divBdr>
            <w:top w:val="none" w:sz="0" w:space="0" w:color="auto"/>
            <w:left w:val="none" w:sz="0" w:space="0" w:color="auto"/>
            <w:bottom w:val="none" w:sz="0" w:space="0" w:color="auto"/>
            <w:right w:val="none" w:sz="0" w:space="0" w:color="auto"/>
          </w:divBdr>
        </w:div>
        <w:div w:id="1414819068">
          <w:marLeft w:val="360"/>
          <w:marRight w:val="0"/>
          <w:marTop w:val="0"/>
          <w:marBottom w:val="0"/>
          <w:divBdr>
            <w:top w:val="none" w:sz="0" w:space="0" w:color="auto"/>
            <w:left w:val="none" w:sz="0" w:space="0" w:color="auto"/>
            <w:bottom w:val="none" w:sz="0" w:space="0" w:color="auto"/>
            <w:right w:val="none" w:sz="0" w:space="0" w:color="auto"/>
          </w:divBdr>
        </w:div>
        <w:div w:id="1458911302">
          <w:marLeft w:val="360"/>
          <w:marRight w:val="0"/>
          <w:marTop w:val="0"/>
          <w:marBottom w:val="0"/>
          <w:divBdr>
            <w:top w:val="none" w:sz="0" w:space="0" w:color="auto"/>
            <w:left w:val="none" w:sz="0" w:space="0" w:color="auto"/>
            <w:bottom w:val="none" w:sz="0" w:space="0" w:color="auto"/>
            <w:right w:val="none" w:sz="0" w:space="0" w:color="auto"/>
          </w:divBdr>
        </w:div>
        <w:div w:id="1481732905">
          <w:marLeft w:val="360"/>
          <w:marRight w:val="0"/>
          <w:marTop w:val="0"/>
          <w:marBottom w:val="0"/>
          <w:divBdr>
            <w:top w:val="none" w:sz="0" w:space="0" w:color="auto"/>
            <w:left w:val="none" w:sz="0" w:space="0" w:color="auto"/>
            <w:bottom w:val="none" w:sz="0" w:space="0" w:color="auto"/>
            <w:right w:val="none" w:sz="0" w:space="0" w:color="auto"/>
          </w:divBdr>
        </w:div>
        <w:div w:id="1501313157">
          <w:marLeft w:val="274"/>
          <w:marRight w:val="0"/>
          <w:marTop w:val="0"/>
          <w:marBottom w:val="0"/>
          <w:divBdr>
            <w:top w:val="none" w:sz="0" w:space="0" w:color="auto"/>
            <w:left w:val="none" w:sz="0" w:space="0" w:color="auto"/>
            <w:bottom w:val="none" w:sz="0" w:space="0" w:color="auto"/>
            <w:right w:val="none" w:sz="0" w:space="0" w:color="auto"/>
          </w:divBdr>
        </w:div>
        <w:div w:id="2047171483">
          <w:marLeft w:val="994"/>
          <w:marRight w:val="0"/>
          <w:marTop w:val="0"/>
          <w:marBottom w:val="0"/>
          <w:divBdr>
            <w:top w:val="none" w:sz="0" w:space="0" w:color="auto"/>
            <w:left w:val="none" w:sz="0" w:space="0" w:color="auto"/>
            <w:bottom w:val="none" w:sz="0" w:space="0" w:color="auto"/>
            <w:right w:val="none" w:sz="0" w:space="0" w:color="auto"/>
          </w:divBdr>
        </w:div>
      </w:divsChild>
    </w:div>
    <w:div w:id="1467971238">
      <w:bodyDiv w:val="1"/>
      <w:marLeft w:val="0"/>
      <w:marRight w:val="0"/>
      <w:marTop w:val="0"/>
      <w:marBottom w:val="0"/>
      <w:divBdr>
        <w:top w:val="none" w:sz="0" w:space="0" w:color="auto"/>
        <w:left w:val="none" w:sz="0" w:space="0" w:color="auto"/>
        <w:bottom w:val="none" w:sz="0" w:space="0" w:color="auto"/>
        <w:right w:val="none" w:sz="0" w:space="0" w:color="auto"/>
      </w:divBdr>
    </w:div>
    <w:div w:id="1538808652">
      <w:bodyDiv w:val="1"/>
      <w:marLeft w:val="0"/>
      <w:marRight w:val="0"/>
      <w:marTop w:val="0"/>
      <w:marBottom w:val="0"/>
      <w:divBdr>
        <w:top w:val="none" w:sz="0" w:space="0" w:color="auto"/>
        <w:left w:val="none" w:sz="0" w:space="0" w:color="auto"/>
        <w:bottom w:val="none" w:sz="0" w:space="0" w:color="auto"/>
        <w:right w:val="none" w:sz="0" w:space="0" w:color="auto"/>
      </w:divBdr>
      <w:divsChild>
        <w:div w:id="186677492">
          <w:marLeft w:val="850"/>
          <w:marRight w:val="0"/>
          <w:marTop w:val="0"/>
          <w:marBottom w:val="0"/>
          <w:divBdr>
            <w:top w:val="none" w:sz="0" w:space="0" w:color="auto"/>
            <w:left w:val="none" w:sz="0" w:space="0" w:color="auto"/>
            <w:bottom w:val="none" w:sz="0" w:space="0" w:color="auto"/>
            <w:right w:val="none" w:sz="0" w:space="0" w:color="auto"/>
          </w:divBdr>
        </w:div>
        <w:div w:id="1006516794">
          <w:marLeft w:val="850"/>
          <w:marRight w:val="0"/>
          <w:marTop w:val="0"/>
          <w:marBottom w:val="180"/>
          <w:divBdr>
            <w:top w:val="none" w:sz="0" w:space="0" w:color="auto"/>
            <w:left w:val="none" w:sz="0" w:space="0" w:color="auto"/>
            <w:bottom w:val="none" w:sz="0" w:space="0" w:color="auto"/>
            <w:right w:val="none" w:sz="0" w:space="0" w:color="auto"/>
          </w:divBdr>
        </w:div>
        <w:div w:id="1092431644">
          <w:marLeft w:val="850"/>
          <w:marRight w:val="0"/>
          <w:marTop w:val="0"/>
          <w:marBottom w:val="0"/>
          <w:divBdr>
            <w:top w:val="none" w:sz="0" w:space="0" w:color="auto"/>
            <w:left w:val="none" w:sz="0" w:space="0" w:color="auto"/>
            <w:bottom w:val="none" w:sz="0" w:space="0" w:color="auto"/>
            <w:right w:val="none" w:sz="0" w:space="0" w:color="auto"/>
          </w:divBdr>
        </w:div>
        <w:div w:id="1671367327">
          <w:marLeft w:val="547"/>
          <w:marRight w:val="0"/>
          <w:marTop w:val="0"/>
          <w:marBottom w:val="0"/>
          <w:divBdr>
            <w:top w:val="none" w:sz="0" w:space="0" w:color="auto"/>
            <w:left w:val="none" w:sz="0" w:space="0" w:color="auto"/>
            <w:bottom w:val="none" w:sz="0" w:space="0" w:color="auto"/>
            <w:right w:val="none" w:sz="0" w:space="0" w:color="auto"/>
          </w:divBdr>
        </w:div>
        <w:div w:id="1896162717">
          <w:marLeft w:val="547"/>
          <w:marRight w:val="0"/>
          <w:marTop w:val="0"/>
          <w:marBottom w:val="0"/>
          <w:divBdr>
            <w:top w:val="none" w:sz="0" w:space="0" w:color="auto"/>
            <w:left w:val="none" w:sz="0" w:space="0" w:color="auto"/>
            <w:bottom w:val="none" w:sz="0" w:space="0" w:color="auto"/>
            <w:right w:val="none" w:sz="0" w:space="0" w:color="auto"/>
          </w:divBdr>
        </w:div>
        <w:div w:id="2079018089">
          <w:marLeft w:val="850"/>
          <w:marRight w:val="0"/>
          <w:marTop w:val="0"/>
          <w:marBottom w:val="0"/>
          <w:divBdr>
            <w:top w:val="none" w:sz="0" w:space="0" w:color="auto"/>
            <w:left w:val="none" w:sz="0" w:space="0" w:color="auto"/>
            <w:bottom w:val="none" w:sz="0" w:space="0" w:color="auto"/>
            <w:right w:val="none" w:sz="0" w:space="0" w:color="auto"/>
          </w:divBdr>
        </w:div>
      </w:divsChild>
    </w:div>
    <w:div w:id="1587762807">
      <w:bodyDiv w:val="1"/>
      <w:marLeft w:val="0"/>
      <w:marRight w:val="0"/>
      <w:marTop w:val="0"/>
      <w:marBottom w:val="0"/>
      <w:divBdr>
        <w:top w:val="none" w:sz="0" w:space="0" w:color="auto"/>
        <w:left w:val="none" w:sz="0" w:space="0" w:color="auto"/>
        <w:bottom w:val="none" w:sz="0" w:space="0" w:color="auto"/>
        <w:right w:val="none" w:sz="0" w:space="0" w:color="auto"/>
      </w:divBdr>
      <w:divsChild>
        <w:div w:id="138033828">
          <w:marLeft w:val="1080"/>
          <w:marRight w:val="0"/>
          <w:marTop w:val="86"/>
          <w:marBottom w:val="0"/>
          <w:divBdr>
            <w:top w:val="none" w:sz="0" w:space="0" w:color="auto"/>
            <w:left w:val="none" w:sz="0" w:space="0" w:color="auto"/>
            <w:bottom w:val="none" w:sz="0" w:space="0" w:color="auto"/>
            <w:right w:val="none" w:sz="0" w:space="0" w:color="auto"/>
          </w:divBdr>
        </w:div>
        <w:div w:id="384842128">
          <w:marLeft w:val="1166"/>
          <w:marRight w:val="0"/>
          <w:marTop w:val="86"/>
          <w:marBottom w:val="0"/>
          <w:divBdr>
            <w:top w:val="none" w:sz="0" w:space="0" w:color="auto"/>
            <w:left w:val="none" w:sz="0" w:space="0" w:color="auto"/>
            <w:bottom w:val="none" w:sz="0" w:space="0" w:color="auto"/>
            <w:right w:val="none" w:sz="0" w:space="0" w:color="auto"/>
          </w:divBdr>
        </w:div>
        <w:div w:id="1498770350">
          <w:marLeft w:val="1080"/>
          <w:marRight w:val="0"/>
          <w:marTop w:val="86"/>
          <w:marBottom w:val="0"/>
          <w:divBdr>
            <w:top w:val="none" w:sz="0" w:space="0" w:color="auto"/>
            <w:left w:val="none" w:sz="0" w:space="0" w:color="auto"/>
            <w:bottom w:val="none" w:sz="0" w:space="0" w:color="auto"/>
            <w:right w:val="none" w:sz="0" w:space="0" w:color="auto"/>
          </w:divBdr>
        </w:div>
        <w:div w:id="1518882951">
          <w:marLeft w:val="1080"/>
          <w:marRight w:val="0"/>
          <w:marTop w:val="86"/>
          <w:marBottom w:val="0"/>
          <w:divBdr>
            <w:top w:val="none" w:sz="0" w:space="0" w:color="auto"/>
            <w:left w:val="none" w:sz="0" w:space="0" w:color="auto"/>
            <w:bottom w:val="none" w:sz="0" w:space="0" w:color="auto"/>
            <w:right w:val="none" w:sz="0" w:space="0" w:color="auto"/>
          </w:divBdr>
        </w:div>
        <w:div w:id="1862670290">
          <w:marLeft w:val="1080"/>
          <w:marRight w:val="0"/>
          <w:marTop w:val="86"/>
          <w:marBottom w:val="0"/>
          <w:divBdr>
            <w:top w:val="none" w:sz="0" w:space="0" w:color="auto"/>
            <w:left w:val="none" w:sz="0" w:space="0" w:color="auto"/>
            <w:bottom w:val="none" w:sz="0" w:space="0" w:color="auto"/>
            <w:right w:val="none" w:sz="0" w:space="0" w:color="auto"/>
          </w:divBdr>
        </w:div>
      </w:divsChild>
    </w:div>
    <w:div w:id="1612662132">
      <w:bodyDiv w:val="1"/>
      <w:marLeft w:val="0"/>
      <w:marRight w:val="0"/>
      <w:marTop w:val="0"/>
      <w:marBottom w:val="0"/>
      <w:divBdr>
        <w:top w:val="none" w:sz="0" w:space="0" w:color="auto"/>
        <w:left w:val="none" w:sz="0" w:space="0" w:color="auto"/>
        <w:bottom w:val="none" w:sz="0" w:space="0" w:color="auto"/>
        <w:right w:val="none" w:sz="0" w:space="0" w:color="auto"/>
      </w:divBdr>
      <w:divsChild>
        <w:div w:id="112094048">
          <w:marLeft w:val="1166"/>
          <w:marRight w:val="0"/>
          <w:marTop w:val="67"/>
          <w:marBottom w:val="0"/>
          <w:divBdr>
            <w:top w:val="none" w:sz="0" w:space="0" w:color="auto"/>
            <w:left w:val="none" w:sz="0" w:space="0" w:color="auto"/>
            <w:bottom w:val="none" w:sz="0" w:space="0" w:color="auto"/>
            <w:right w:val="none" w:sz="0" w:space="0" w:color="auto"/>
          </w:divBdr>
        </w:div>
      </w:divsChild>
    </w:div>
    <w:div w:id="1642927668">
      <w:bodyDiv w:val="1"/>
      <w:marLeft w:val="0"/>
      <w:marRight w:val="0"/>
      <w:marTop w:val="0"/>
      <w:marBottom w:val="0"/>
      <w:divBdr>
        <w:top w:val="none" w:sz="0" w:space="0" w:color="auto"/>
        <w:left w:val="none" w:sz="0" w:space="0" w:color="auto"/>
        <w:bottom w:val="none" w:sz="0" w:space="0" w:color="auto"/>
        <w:right w:val="none" w:sz="0" w:space="0" w:color="auto"/>
      </w:divBdr>
    </w:div>
    <w:div w:id="1683584733">
      <w:bodyDiv w:val="1"/>
      <w:marLeft w:val="0"/>
      <w:marRight w:val="0"/>
      <w:marTop w:val="0"/>
      <w:marBottom w:val="0"/>
      <w:divBdr>
        <w:top w:val="none" w:sz="0" w:space="0" w:color="auto"/>
        <w:left w:val="none" w:sz="0" w:space="0" w:color="auto"/>
        <w:bottom w:val="none" w:sz="0" w:space="0" w:color="auto"/>
        <w:right w:val="none" w:sz="0" w:space="0" w:color="auto"/>
      </w:divBdr>
    </w:div>
    <w:div w:id="1695692890">
      <w:bodyDiv w:val="1"/>
      <w:marLeft w:val="0"/>
      <w:marRight w:val="0"/>
      <w:marTop w:val="0"/>
      <w:marBottom w:val="0"/>
      <w:divBdr>
        <w:top w:val="none" w:sz="0" w:space="0" w:color="auto"/>
        <w:left w:val="none" w:sz="0" w:space="0" w:color="auto"/>
        <w:bottom w:val="none" w:sz="0" w:space="0" w:color="auto"/>
        <w:right w:val="none" w:sz="0" w:space="0" w:color="auto"/>
      </w:divBdr>
      <w:divsChild>
        <w:div w:id="2021852220">
          <w:marLeft w:val="0"/>
          <w:marRight w:val="0"/>
          <w:marTop w:val="0"/>
          <w:marBottom w:val="0"/>
          <w:divBdr>
            <w:top w:val="none" w:sz="0" w:space="0" w:color="auto"/>
            <w:left w:val="none" w:sz="0" w:space="0" w:color="auto"/>
            <w:bottom w:val="none" w:sz="0" w:space="0" w:color="auto"/>
            <w:right w:val="none" w:sz="0" w:space="0" w:color="auto"/>
          </w:divBdr>
        </w:div>
        <w:div w:id="1768040083">
          <w:marLeft w:val="0"/>
          <w:marRight w:val="0"/>
          <w:marTop w:val="0"/>
          <w:marBottom w:val="0"/>
          <w:divBdr>
            <w:top w:val="none" w:sz="0" w:space="0" w:color="auto"/>
            <w:left w:val="none" w:sz="0" w:space="0" w:color="auto"/>
            <w:bottom w:val="none" w:sz="0" w:space="0" w:color="auto"/>
            <w:right w:val="none" w:sz="0" w:space="0" w:color="auto"/>
          </w:divBdr>
        </w:div>
      </w:divsChild>
    </w:div>
    <w:div w:id="1751612293">
      <w:bodyDiv w:val="1"/>
      <w:marLeft w:val="0"/>
      <w:marRight w:val="0"/>
      <w:marTop w:val="0"/>
      <w:marBottom w:val="0"/>
      <w:divBdr>
        <w:top w:val="none" w:sz="0" w:space="0" w:color="auto"/>
        <w:left w:val="none" w:sz="0" w:space="0" w:color="auto"/>
        <w:bottom w:val="none" w:sz="0" w:space="0" w:color="auto"/>
        <w:right w:val="none" w:sz="0" w:space="0" w:color="auto"/>
      </w:divBdr>
    </w:div>
    <w:div w:id="1818380010">
      <w:bodyDiv w:val="1"/>
      <w:marLeft w:val="0"/>
      <w:marRight w:val="0"/>
      <w:marTop w:val="0"/>
      <w:marBottom w:val="0"/>
      <w:divBdr>
        <w:top w:val="none" w:sz="0" w:space="0" w:color="auto"/>
        <w:left w:val="none" w:sz="0" w:space="0" w:color="auto"/>
        <w:bottom w:val="none" w:sz="0" w:space="0" w:color="auto"/>
        <w:right w:val="none" w:sz="0" w:space="0" w:color="auto"/>
      </w:divBdr>
    </w:div>
    <w:div w:id="1839923227">
      <w:bodyDiv w:val="1"/>
      <w:marLeft w:val="0"/>
      <w:marRight w:val="0"/>
      <w:marTop w:val="0"/>
      <w:marBottom w:val="0"/>
      <w:divBdr>
        <w:top w:val="none" w:sz="0" w:space="0" w:color="auto"/>
        <w:left w:val="none" w:sz="0" w:space="0" w:color="auto"/>
        <w:bottom w:val="none" w:sz="0" w:space="0" w:color="auto"/>
        <w:right w:val="none" w:sz="0" w:space="0" w:color="auto"/>
      </w:divBdr>
      <w:divsChild>
        <w:div w:id="324627410">
          <w:marLeft w:val="1267"/>
          <w:marRight w:val="0"/>
          <w:marTop w:val="0"/>
          <w:marBottom w:val="0"/>
          <w:divBdr>
            <w:top w:val="none" w:sz="0" w:space="0" w:color="auto"/>
            <w:left w:val="none" w:sz="0" w:space="0" w:color="auto"/>
            <w:bottom w:val="none" w:sz="0" w:space="0" w:color="auto"/>
            <w:right w:val="none" w:sz="0" w:space="0" w:color="auto"/>
          </w:divBdr>
        </w:div>
      </w:divsChild>
    </w:div>
    <w:div w:id="1849633739">
      <w:bodyDiv w:val="1"/>
      <w:marLeft w:val="0"/>
      <w:marRight w:val="0"/>
      <w:marTop w:val="0"/>
      <w:marBottom w:val="0"/>
      <w:divBdr>
        <w:top w:val="none" w:sz="0" w:space="0" w:color="auto"/>
        <w:left w:val="none" w:sz="0" w:space="0" w:color="auto"/>
        <w:bottom w:val="none" w:sz="0" w:space="0" w:color="auto"/>
        <w:right w:val="none" w:sz="0" w:space="0" w:color="auto"/>
      </w:divBdr>
    </w:div>
    <w:div w:id="1855879726">
      <w:bodyDiv w:val="1"/>
      <w:marLeft w:val="0"/>
      <w:marRight w:val="0"/>
      <w:marTop w:val="0"/>
      <w:marBottom w:val="0"/>
      <w:divBdr>
        <w:top w:val="none" w:sz="0" w:space="0" w:color="auto"/>
        <w:left w:val="none" w:sz="0" w:space="0" w:color="auto"/>
        <w:bottom w:val="none" w:sz="0" w:space="0" w:color="auto"/>
        <w:right w:val="none" w:sz="0" w:space="0" w:color="auto"/>
      </w:divBdr>
      <w:divsChild>
        <w:div w:id="1230119834">
          <w:marLeft w:val="1699"/>
          <w:marRight w:val="0"/>
          <w:marTop w:val="120"/>
          <w:marBottom w:val="0"/>
          <w:divBdr>
            <w:top w:val="none" w:sz="0" w:space="0" w:color="auto"/>
            <w:left w:val="none" w:sz="0" w:space="0" w:color="auto"/>
            <w:bottom w:val="none" w:sz="0" w:space="0" w:color="auto"/>
            <w:right w:val="none" w:sz="0" w:space="0" w:color="auto"/>
          </w:divBdr>
        </w:div>
        <w:div w:id="1491170868">
          <w:marLeft w:val="1699"/>
          <w:marRight w:val="0"/>
          <w:marTop w:val="120"/>
          <w:marBottom w:val="0"/>
          <w:divBdr>
            <w:top w:val="none" w:sz="0" w:space="0" w:color="auto"/>
            <w:left w:val="none" w:sz="0" w:space="0" w:color="auto"/>
            <w:bottom w:val="none" w:sz="0" w:space="0" w:color="auto"/>
            <w:right w:val="none" w:sz="0" w:space="0" w:color="auto"/>
          </w:divBdr>
        </w:div>
      </w:divsChild>
    </w:div>
    <w:div w:id="1889878920">
      <w:bodyDiv w:val="1"/>
      <w:marLeft w:val="0"/>
      <w:marRight w:val="0"/>
      <w:marTop w:val="0"/>
      <w:marBottom w:val="0"/>
      <w:divBdr>
        <w:top w:val="none" w:sz="0" w:space="0" w:color="auto"/>
        <w:left w:val="none" w:sz="0" w:space="0" w:color="auto"/>
        <w:bottom w:val="none" w:sz="0" w:space="0" w:color="auto"/>
        <w:right w:val="none" w:sz="0" w:space="0" w:color="auto"/>
      </w:divBdr>
    </w:div>
    <w:div w:id="1898738000">
      <w:bodyDiv w:val="1"/>
      <w:marLeft w:val="0"/>
      <w:marRight w:val="0"/>
      <w:marTop w:val="0"/>
      <w:marBottom w:val="0"/>
      <w:divBdr>
        <w:top w:val="none" w:sz="0" w:space="0" w:color="auto"/>
        <w:left w:val="none" w:sz="0" w:space="0" w:color="auto"/>
        <w:bottom w:val="none" w:sz="0" w:space="0" w:color="auto"/>
        <w:right w:val="none" w:sz="0" w:space="0" w:color="auto"/>
      </w:divBdr>
    </w:div>
    <w:div w:id="1944149241">
      <w:bodyDiv w:val="1"/>
      <w:marLeft w:val="0"/>
      <w:marRight w:val="0"/>
      <w:marTop w:val="0"/>
      <w:marBottom w:val="0"/>
      <w:divBdr>
        <w:top w:val="none" w:sz="0" w:space="0" w:color="auto"/>
        <w:left w:val="none" w:sz="0" w:space="0" w:color="auto"/>
        <w:bottom w:val="none" w:sz="0" w:space="0" w:color="auto"/>
        <w:right w:val="none" w:sz="0" w:space="0" w:color="auto"/>
      </w:divBdr>
      <w:divsChild>
        <w:div w:id="1378164053">
          <w:marLeft w:val="547"/>
          <w:marRight w:val="0"/>
          <w:marTop w:val="115"/>
          <w:marBottom w:val="0"/>
          <w:divBdr>
            <w:top w:val="none" w:sz="0" w:space="0" w:color="auto"/>
            <w:left w:val="none" w:sz="0" w:space="0" w:color="auto"/>
            <w:bottom w:val="none" w:sz="0" w:space="0" w:color="auto"/>
            <w:right w:val="none" w:sz="0" w:space="0" w:color="auto"/>
          </w:divBdr>
        </w:div>
        <w:div w:id="1605334771">
          <w:marLeft w:val="547"/>
          <w:marRight w:val="0"/>
          <w:marTop w:val="115"/>
          <w:marBottom w:val="0"/>
          <w:divBdr>
            <w:top w:val="none" w:sz="0" w:space="0" w:color="auto"/>
            <w:left w:val="none" w:sz="0" w:space="0" w:color="auto"/>
            <w:bottom w:val="none" w:sz="0" w:space="0" w:color="auto"/>
            <w:right w:val="none" w:sz="0" w:space="0" w:color="auto"/>
          </w:divBdr>
        </w:div>
        <w:div w:id="2032219139">
          <w:marLeft w:val="547"/>
          <w:marRight w:val="0"/>
          <w:marTop w:val="115"/>
          <w:marBottom w:val="0"/>
          <w:divBdr>
            <w:top w:val="none" w:sz="0" w:space="0" w:color="auto"/>
            <w:left w:val="none" w:sz="0" w:space="0" w:color="auto"/>
            <w:bottom w:val="none" w:sz="0" w:space="0" w:color="auto"/>
            <w:right w:val="none" w:sz="0" w:space="0" w:color="auto"/>
          </w:divBdr>
        </w:div>
      </w:divsChild>
    </w:div>
    <w:div w:id="1983998827">
      <w:bodyDiv w:val="1"/>
      <w:marLeft w:val="0"/>
      <w:marRight w:val="0"/>
      <w:marTop w:val="0"/>
      <w:marBottom w:val="0"/>
      <w:divBdr>
        <w:top w:val="none" w:sz="0" w:space="0" w:color="auto"/>
        <w:left w:val="none" w:sz="0" w:space="0" w:color="auto"/>
        <w:bottom w:val="none" w:sz="0" w:space="0" w:color="auto"/>
        <w:right w:val="none" w:sz="0" w:space="0" w:color="auto"/>
      </w:divBdr>
      <w:divsChild>
        <w:div w:id="1204951178">
          <w:marLeft w:val="1166"/>
          <w:marRight w:val="0"/>
          <w:marTop w:val="72"/>
          <w:marBottom w:val="0"/>
          <w:divBdr>
            <w:top w:val="none" w:sz="0" w:space="0" w:color="auto"/>
            <w:left w:val="none" w:sz="0" w:space="0" w:color="auto"/>
            <w:bottom w:val="none" w:sz="0" w:space="0" w:color="auto"/>
            <w:right w:val="none" w:sz="0" w:space="0" w:color="auto"/>
          </w:divBdr>
        </w:div>
      </w:divsChild>
    </w:div>
    <w:div w:id="2044940914">
      <w:bodyDiv w:val="1"/>
      <w:marLeft w:val="0"/>
      <w:marRight w:val="0"/>
      <w:marTop w:val="0"/>
      <w:marBottom w:val="0"/>
      <w:divBdr>
        <w:top w:val="none" w:sz="0" w:space="0" w:color="auto"/>
        <w:left w:val="none" w:sz="0" w:space="0" w:color="auto"/>
        <w:bottom w:val="none" w:sz="0" w:space="0" w:color="auto"/>
        <w:right w:val="none" w:sz="0" w:space="0" w:color="auto"/>
      </w:divBdr>
      <w:divsChild>
        <w:div w:id="43212269">
          <w:marLeft w:val="547"/>
          <w:marRight w:val="0"/>
          <w:marTop w:val="86"/>
          <w:marBottom w:val="0"/>
          <w:divBdr>
            <w:top w:val="none" w:sz="0" w:space="0" w:color="auto"/>
            <w:left w:val="none" w:sz="0" w:space="0" w:color="auto"/>
            <w:bottom w:val="none" w:sz="0" w:space="0" w:color="auto"/>
            <w:right w:val="none" w:sz="0" w:space="0" w:color="auto"/>
          </w:divBdr>
        </w:div>
        <w:div w:id="759523414">
          <w:marLeft w:val="1166"/>
          <w:marRight w:val="0"/>
          <w:marTop w:val="72"/>
          <w:marBottom w:val="0"/>
          <w:divBdr>
            <w:top w:val="none" w:sz="0" w:space="0" w:color="auto"/>
            <w:left w:val="none" w:sz="0" w:space="0" w:color="auto"/>
            <w:bottom w:val="none" w:sz="0" w:space="0" w:color="auto"/>
            <w:right w:val="none" w:sz="0" w:space="0" w:color="auto"/>
          </w:divBdr>
        </w:div>
        <w:div w:id="895508594">
          <w:marLeft w:val="547"/>
          <w:marRight w:val="0"/>
          <w:marTop w:val="86"/>
          <w:marBottom w:val="0"/>
          <w:divBdr>
            <w:top w:val="none" w:sz="0" w:space="0" w:color="auto"/>
            <w:left w:val="none" w:sz="0" w:space="0" w:color="auto"/>
            <w:bottom w:val="none" w:sz="0" w:space="0" w:color="auto"/>
            <w:right w:val="none" w:sz="0" w:space="0" w:color="auto"/>
          </w:divBdr>
        </w:div>
        <w:div w:id="940526334">
          <w:marLeft w:val="1166"/>
          <w:marRight w:val="0"/>
          <w:marTop w:val="72"/>
          <w:marBottom w:val="0"/>
          <w:divBdr>
            <w:top w:val="none" w:sz="0" w:space="0" w:color="auto"/>
            <w:left w:val="none" w:sz="0" w:space="0" w:color="auto"/>
            <w:bottom w:val="none" w:sz="0" w:space="0" w:color="auto"/>
            <w:right w:val="none" w:sz="0" w:space="0" w:color="auto"/>
          </w:divBdr>
        </w:div>
        <w:div w:id="1117024395">
          <w:marLeft w:val="1166"/>
          <w:marRight w:val="0"/>
          <w:marTop w:val="72"/>
          <w:marBottom w:val="0"/>
          <w:divBdr>
            <w:top w:val="none" w:sz="0" w:space="0" w:color="auto"/>
            <w:left w:val="none" w:sz="0" w:space="0" w:color="auto"/>
            <w:bottom w:val="none" w:sz="0" w:space="0" w:color="auto"/>
            <w:right w:val="none" w:sz="0" w:space="0" w:color="auto"/>
          </w:divBdr>
        </w:div>
      </w:divsChild>
    </w:div>
    <w:div w:id="2056855413">
      <w:bodyDiv w:val="1"/>
      <w:marLeft w:val="0"/>
      <w:marRight w:val="0"/>
      <w:marTop w:val="0"/>
      <w:marBottom w:val="0"/>
      <w:divBdr>
        <w:top w:val="none" w:sz="0" w:space="0" w:color="auto"/>
        <w:left w:val="none" w:sz="0" w:space="0" w:color="auto"/>
        <w:bottom w:val="none" w:sz="0" w:space="0" w:color="auto"/>
        <w:right w:val="none" w:sz="0" w:space="0" w:color="auto"/>
      </w:divBdr>
      <w:divsChild>
        <w:div w:id="111673807">
          <w:marLeft w:val="547"/>
          <w:marRight w:val="0"/>
          <w:marTop w:val="0"/>
          <w:marBottom w:val="0"/>
          <w:divBdr>
            <w:top w:val="none" w:sz="0" w:space="0" w:color="auto"/>
            <w:left w:val="none" w:sz="0" w:space="0" w:color="auto"/>
            <w:bottom w:val="none" w:sz="0" w:space="0" w:color="auto"/>
            <w:right w:val="none" w:sz="0" w:space="0" w:color="auto"/>
          </w:divBdr>
        </w:div>
      </w:divsChild>
    </w:div>
    <w:div w:id="2070415160">
      <w:bodyDiv w:val="1"/>
      <w:marLeft w:val="0"/>
      <w:marRight w:val="0"/>
      <w:marTop w:val="0"/>
      <w:marBottom w:val="0"/>
      <w:divBdr>
        <w:top w:val="none" w:sz="0" w:space="0" w:color="auto"/>
        <w:left w:val="none" w:sz="0" w:space="0" w:color="auto"/>
        <w:bottom w:val="none" w:sz="0" w:space="0" w:color="auto"/>
        <w:right w:val="none" w:sz="0" w:space="0" w:color="auto"/>
      </w:divBdr>
      <w:divsChild>
        <w:div w:id="104928965">
          <w:marLeft w:val="1699"/>
          <w:marRight w:val="0"/>
          <w:marTop w:val="120"/>
          <w:marBottom w:val="0"/>
          <w:divBdr>
            <w:top w:val="none" w:sz="0" w:space="0" w:color="auto"/>
            <w:left w:val="none" w:sz="0" w:space="0" w:color="auto"/>
            <w:bottom w:val="none" w:sz="0" w:space="0" w:color="auto"/>
            <w:right w:val="none" w:sz="0" w:space="0" w:color="auto"/>
          </w:divBdr>
        </w:div>
        <w:div w:id="593366005">
          <w:marLeft w:val="1699"/>
          <w:marRight w:val="0"/>
          <w:marTop w:val="120"/>
          <w:marBottom w:val="0"/>
          <w:divBdr>
            <w:top w:val="none" w:sz="0" w:space="0" w:color="auto"/>
            <w:left w:val="none" w:sz="0" w:space="0" w:color="auto"/>
            <w:bottom w:val="none" w:sz="0" w:space="0" w:color="auto"/>
            <w:right w:val="none" w:sz="0" w:space="0" w:color="auto"/>
          </w:divBdr>
        </w:div>
        <w:div w:id="657929352">
          <w:marLeft w:val="1267"/>
          <w:marRight w:val="0"/>
          <w:marTop w:val="180"/>
          <w:marBottom w:val="0"/>
          <w:divBdr>
            <w:top w:val="none" w:sz="0" w:space="0" w:color="auto"/>
            <w:left w:val="none" w:sz="0" w:space="0" w:color="auto"/>
            <w:bottom w:val="none" w:sz="0" w:space="0" w:color="auto"/>
            <w:right w:val="none" w:sz="0" w:space="0" w:color="auto"/>
          </w:divBdr>
        </w:div>
        <w:div w:id="786047062">
          <w:marLeft w:val="1699"/>
          <w:marRight w:val="0"/>
          <w:marTop w:val="120"/>
          <w:marBottom w:val="0"/>
          <w:divBdr>
            <w:top w:val="none" w:sz="0" w:space="0" w:color="auto"/>
            <w:left w:val="none" w:sz="0" w:space="0" w:color="auto"/>
            <w:bottom w:val="none" w:sz="0" w:space="0" w:color="auto"/>
            <w:right w:val="none" w:sz="0" w:space="0" w:color="auto"/>
          </w:divBdr>
        </w:div>
        <w:div w:id="905845000">
          <w:marLeft w:val="1973"/>
          <w:marRight w:val="0"/>
          <w:marTop w:val="100"/>
          <w:marBottom w:val="0"/>
          <w:divBdr>
            <w:top w:val="none" w:sz="0" w:space="0" w:color="auto"/>
            <w:left w:val="none" w:sz="0" w:space="0" w:color="auto"/>
            <w:bottom w:val="none" w:sz="0" w:space="0" w:color="auto"/>
            <w:right w:val="none" w:sz="0" w:space="0" w:color="auto"/>
          </w:divBdr>
        </w:div>
        <w:div w:id="1357579900">
          <w:marLeft w:val="1699"/>
          <w:marRight w:val="0"/>
          <w:marTop w:val="120"/>
          <w:marBottom w:val="0"/>
          <w:divBdr>
            <w:top w:val="none" w:sz="0" w:space="0" w:color="auto"/>
            <w:left w:val="none" w:sz="0" w:space="0" w:color="auto"/>
            <w:bottom w:val="none" w:sz="0" w:space="0" w:color="auto"/>
            <w:right w:val="none" w:sz="0" w:space="0" w:color="auto"/>
          </w:divBdr>
        </w:div>
        <w:div w:id="1861429499">
          <w:marLeft w:val="1973"/>
          <w:marRight w:val="0"/>
          <w:marTop w:val="100"/>
          <w:marBottom w:val="0"/>
          <w:divBdr>
            <w:top w:val="none" w:sz="0" w:space="0" w:color="auto"/>
            <w:left w:val="none" w:sz="0" w:space="0" w:color="auto"/>
            <w:bottom w:val="none" w:sz="0" w:space="0" w:color="auto"/>
            <w:right w:val="none" w:sz="0" w:space="0" w:color="auto"/>
          </w:divBdr>
        </w:div>
        <w:div w:id="1972325508">
          <w:marLeft w:val="1973"/>
          <w:marRight w:val="0"/>
          <w:marTop w:val="100"/>
          <w:marBottom w:val="0"/>
          <w:divBdr>
            <w:top w:val="none" w:sz="0" w:space="0" w:color="auto"/>
            <w:left w:val="none" w:sz="0" w:space="0" w:color="auto"/>
            <w:bottom w:val="none" w:sz="0" w:space="0" w:color="auto"/>
            <w:right w:val="none" w:sz="0" w:space="0" w:color="auto"/>
          </w:divBdr>
        </w:div>
      </w:divsChild>
    </w:div>
    <w:div w:id="2071342629">
      <w:bodyDiv w:val="1"/>
      <w:marLeft w:val="0"/>
      <w:marRight w:val="0"/>
      <w:marTop w:val="0"/>
      <w:marBottom w:val="0"/>
      <w:divBdr>
        <w:top w:val="none" w:sz="0" w:space="0" w:color="auto"/>
        <w:left w:val="none" w:sz="0" w:space="0" w:color="auto"/>
        <w:bottom w:val="none" w:sz="0" w:space="0" w:color="auto"/>
        <w:right w:val="none" w:sz="0" w:space="0" w:color="auto"/>
      </w:divBdr>
    </w:div>
    <w:div w:id="2095854499">
      <w:bodyDiv w:val="1"/>
      <w:marLeft w:val="0"/>
      <w:marRight w:val="0"/>
      <w:marTop w:val="0"/>
      <w:marBottom w:val="0"/>
      <w:divBdr>
        <w:top w:val="none" w:sz="0" w:space="0" w:color="auto"/>
        <w:left w:val="none" w:sz="0" w:space="0" w:color="auto"/>
        <w:bottom w:val="none" w:sz="0" w:space="0" w:color="auto"/>
        <w:right w:val="none" w:sz="0" w:space="0" w:color="auto"/>
      </w:divBdr>
      <w:divsChild>
        <w:div w:id="357774502">
          <w:marLeft w:val="1166"/>
          <w:marRight w:val="0"/>
          <w:marTop w:val="67"/>
          <w:marBottom w:val="0"/>
          <w:divBdr>
            <w:top w:val="none" w:sz="0" w:space="0" w:color="auto"/>
            <w:left w:val="none" w:sz="0" w:space="0" w:color="auto"/>
            <w:bottom w:val="none" w:sz="0" w:space="0" w:color="auto"/>
            <w:right w:val="none" w:sz="0" w:space="0" w:color="auto"/>
          </w:divBdr>
        </w:div>
        <w:div w:id="542794302">
          <w:marLeft w:val="1166"/>
          <w:marRight w:val="0"/>
          <w:marTop w:val="67"/>
          <w:marBottom w:val="0"/>
          <w:divBdr>
            <w:top w:val="none" w:sz="0" w:space="0" w:color="auto"/>
            <w:left w:val="none" w:sz="0" w:space="0" w:color="auto"/>
            <w:bottom w:val="none" w:sz="0" w:space="0" w:color="auto"/>
            <w:right w:val="none" w:sz="0" w:space="0" w:color="auto"/>
          </w:divBdr>
        </w:div>
        <w:div w:id="926693344">
          <w:marLeft w:val="1166"/>
          <w:marRight w:val="0"/>
          <w:marTop w:val="67"/>
          <w:marBottom w:val="0"/>
          <w:divBdr>
            <w:top w:val="none" w:sz="0" w:space="0" w:color="auto"/>
            <w:left w:val="none" w:sz="0" w:space="0" w:color="auto"/>
            <w:bottom w:val="none" w:sz="0" w:space="0" w:color="auto"/>
            <w:right w:val="none" w:sz="0" w:space="0" w:color="auto"/>
          </w:divBdr>
        </w:div>
        <w:div w:id="1537814838">
          <w:marLeft w:val="1166"/>
          <w:marRight w:val="0"/>
          <w:marTop w:val="67"/>
          <w:marBottom w:val="0"/>
          <w:divBdr>
            <w:top w:val="none" w:sz="0" w:space="0" w:color="auto"/>
            <w:left w:val="none" w:sz="0" w:space="0" w:color="auto"/>
            <w:bottom w:val="none" w:sz="0" w:space="0" w:color="auto"/>
            <w:right w:val="none" w:sz="0" w:space="0" w:color="auto"/>
          </w:divBdr>
        </w:div>
        <w:div w:id="1754425474">
          <w:marLeft w:val="547"/>
          <w:marRight w:val="0"/>
          <w:marTop w:val="86"/>
          <w:marBottom w:val="0"/>
          <w:divBdr>
            <w:top w:val="none" w:sz="0" w:space="0" w:color="auto"/>
            <w:left w:val="none" w:sz="0" w:space="0" w:color="auto"/>
            <w:bottom w:val="none" w:sz="0" w:space="0" w:color="auto"/>
            <w:right w:val="none" w:sz="0" w:space="0" w:color="auto"/>
          </w:divBdr>
        </w:div>
        <w:div w:id="2134135582">
          <w:marLeft w:val="116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86942121D0D154CBD2D3F76445276D6" ma:contentTypeVersion="1" ma:contentTypeDescription="Create a new document." ma:contentTypeScope="" ma:versionID="b8d807968eb3d3a9868a8d83d069797b">
  <xsd:schema xmlns:xsd="http://www.w3.org/2001/XMLSchema" xmlns:xs="http://www.w3.org/2001/XMLSchema" xmlns:p="http://schemas.microsoft.com/office/2006/metadata/properties" xmlns:ns2="81c2d00d-6e98-4ecf-9fde-812538fb8530" xmlns:ns3="9238aee7-caa6-41e3-83d0-457e088803cc" xmlns:ns4="http://schemas.microsoft.com/sharepoint/v4" targetNamespace="http://schemas.microsoft.com/office/2006/metadata/properties" ma:root="true" ma:fieldsID="408fc3d172937589e39476a466dd6d59" ns2:_="" ns3:_="" ns4:_="">
    <xsd:import namespace="81c2d00d-6e98-4ecf-9fde-812538fb8530"/>
    <xsd:import namespace="9238aee7-caa6-41e3-83d0-457e088803cc"/>
    <xsd:import namespace="http://schemas.microsoft.com/sharepoint/v4"/>
    <xsd:element name="properties">
      <xsd:complexType>
        <xsd:sequence>
          <xsd:element name="documentManagement">
            <xsd:complexType>
              <xsd:all>
                <xsd:element ref="ns2:c0056b5a17ee4177952a0243d3705a30" minOccurs="0"/>
                <xsd:element ref="ns3:TaxCatchAll" minOccurs="0"/>
                <xsd:element ref="ns2:n5b632f732064b10a63a3a187e825ac6"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c2d00d-6e98-4ecf-9fde-812538fb8530" elementFormDefault="qualified">
    <xsd:import namespace="http://schemas.microsoft.com/office/2006/documentManagement/types"/>
    <xsd:import namespace="http://schemas.microsoft.com/office/infopath/2007/PartnerControls"/>
    <xsd:element name="c0056b5a17ee4177952a0243d3705a30" ma:index="9" nillable="true" ma:taxonomy="true" ma:internalName="c0056b5a17ee4177952a0243d3705a30" ma:taxonomyFieldName="Document_x0020_Type" ma:displayName="Document Type" ma:default="" ma:fieldId="{c0056b5a-17ee-4177-952a-0243d3705a30}"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n5b632f732064b10a63a3a187e825ac6" ma:index="12" nillable="true" ma:taxonomy="true" ma:internalName="n5b632f732064b10a63a3a187e825ac6" ma:taxonomyFieldName="Technical_x0020_Type" ma:displayName="Technical Type" ma:default="" ma:fieldId="{75b632f7-3206-4b10-a63a-3a187e825ac6}"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3"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238aee7-caa6-41e3-83d0-457e088803cc"/>
    <IconOverlay xmlns="http://schemas.microsoft.com/sharepoint/v4" xsi:nil="true"/>
    <n5b632f732064b10a63a3a187e825ac6 xmlns="81c2d00d-6e98-4ecf-9fde-812538fb8530">
      <Terms xmlns="http://schemas.microsoft.com/office/infopath/2007/PartnerControls"/>
    </n5b632f732064b10a63a3a187e825ac6>
    <c0056b5a17ee4177952a0243d3705a30 xmlns="81c2d00d-6e98-4ecf-9fde-812538fb8530">
      <Terms xmlns="http://schemas.microsoft.com/office/infopath/2007/PartnerControls"/>
    </c0056b5a17ee4177952a0243d3705a30>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8D9DC9-5887-4A76-BE2C-7824F2CFFB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c2d00d-6e98-4ecf-9fde-812538fb8530"/>
    <ds:schemaRef ds:uri="9238aee7-caa6-41e3-83d0-457e088803cc"/>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560DBA1-70D9-44D7-8F33-718606D03FE7}">
  <ds:schemaRefs>
    <ds:schemaRef ds:uri="http://schemas.microsoft.com/sharepoint/v3/contenttype/forms"/>
  </ds:schemaRefs>
</ds:datastoreItem>
</file>

<file path=customXml/itemProps3.xml><?xml version="1.0" encoding="utf-8"?>
<ds:datastoreItem xmlns:ds="http://schemas.openxmlformats.org/officeDocument/2006/customXml" ds:itemID="{E837EAE7-A43B-42E4-A7C1-CABFF4B2D14C}">
  <ds:schemaRefs>
    <ds:schemaRef ds:uri="http://schemas.microsoft.com/office/2006/metadata/properties"/>
    <ds:schemaRef ds:uri="http://schemas.microsoft.com/office/infopath/2007/PartnerControls"/>
    <ds:schemaRef ds:uri="9238aee7-caa6-41e3-83d0-457e088803cc"/>
    <ds:schemaRef ds:uri="http://schemas.microsoft.com/sharepoint/v4"/>
    <ds:schemaRef ds:uri="81c2d00d-6e98-4ecf-9fde-812538fb8530"/>
  </ds:schemaRefs>
</ds:datastoreItem>
</file>

<file path=customXml/itemProps4.xml><?xml version="1.0" encoding="utf-8"?>
<ds:datastoreItem xmlns:ds="http://schemas.openxmlformats.org/officeDocument/2006/customXml" ds:itemID="{8A5B1410-FA9B-48B6-BDA5-3F428D1DF3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7</Pages>
  <Words>2675</Words>
  <Characters>15248</Characters>
  <Application>Microsoft Office Word</Application>
  <DocSecurity>0</DocSecurity>
  <Lines>127</Lines>
  <Paragraphs>35</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17888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dc:description/>
  <cp:lastModifiedBy>Hsien-Ping Lin</cp:lastModifiedBy>
  <cp:revision>4</cp:revision>
  <cp:lastPrinted>2018-01-12T00:47:00Z</cp:lastPrinted>
  <dcterms:created xsi:type="dcterms:W3CDTF">2023-09-29T05:10:00Z</dcterms:created>
  <dcterms:modified xsi:type="dcterms:W3CDTF">2023-09-29T05:12:00Z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0x010100186942121D0D154CBD2D3F76445276D6</vt:lpwstr>
  </property>
  <property fmtid="{D5CDD505-2E9C-101B-9397-08002B2CF9AE}" pid="3" name="_NewReviewCycle">
    <vt:lpwstr/>
  </property>
  <property fmtid="{D5CDD505-2E9C-101B-9397-08002B2CF9AE}" pid="4" name="Document_x0020_Type">
    <vt:lpwstr/>
  </property>
  <property fmtid="{D5CDD505-2E9C-101B-9397-08002B2CF9AE}" pid="5" name="Technical_x0020_Type">
    <vt:lpwstr/>
  </property>
  <property fmtid="{D5CDD505-2E9C-101B-9397-08002B2CF9AE}" pid="6" name="Technical Type">
    <vt:lpwstr/>
  </property>
  <property fmtid="{D5CDD505-2E9C-101B-9397-08002B2CF9AE}" pid="7" name="Document Type">
    <vt:lpwstr/>
  </property>
  <property fmtid="{D5CDD505-2E9C-101B-9397-08002B2CF9AE}" pid="8" name="MSIP_Label_83bcef13-7cac-433f-ba1d-47a323951816_Enabled">
    <vt:lpwstr>true</vt:lpwstr>
  </property>
  <property fmtid="{D5CDD505-2E9C-101B-9397-08002B2CF9AE}" pid="9" name="MSIP_Label_83bcef13-7cac-433f-ba1d-47a323951816_SetDate">
    <vt:lpwstr>2022-11-03T19:55:13Z</vt:lpwstr>
  </property>
  <property fmtid="{D5CDD505-2E9C-101B-9397-08002B2CF9AE}" pid="10" name="MSIP_Label_83bcef13-7cac-433f-ba1d-47a323951816_Method">
    <vt:lpwstr>Privileged</vt:lpwstr>
  </property>
  <property fmtid="{D5CDD505-2E9C-101B-9397-08002B2CF9AE}" pid="11" name="MSIP_Label_83bcef13-7cac-433f-ba1d-47a323951816_Name">
    <vt:lpwstr>MTK_Unclassified</vt:lpwstr>
  </property>
  <property fmtid="{D5CDD505-2E9C-101B-9397-08002B2CF9AE}" pid="12" name="MSIP_Label_83bcef13-7cac-433f-ba1d-47a323951816_SiteId">
    <vt:lpwstr>a7687ede-7a6b-4ef6-bace-642f677fbe31</vt:lpwstr>
  </property>
  <property fmtid="{D5CDD505-2E9C-101B-9397-08002B2CF9AE}" pid="13" name="MSIP_Label_83bcef13-7cac-433f-ba1d-47a323951816_ActionId">
    <vt:lpwstr>38eb0371-5803-4719-87ba-84f5ae4626f2</vt:lpwstr>
  </property>
  <property fmtid="{D5CDD505-2E9C-101B-9397-08002B2CF9AE}" pid="14" name="MSIP_Label_83bcef13-7cac-433f-ba1d-47a323951816_ContentBits">
    <vt:lpwstr>0</vt:lpwstr>
  </property>
</Properties>
</file>