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4C7DB1D1"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EB38B6">
        <w:rPr>
          <w:rFonts w:ascii="Arial" w:hAnsi="Arial" w:cs="Arial"/>
          <w:b/>
          <w:bCs/>
          <w:lang w:val="de-DE"/>
        </w:rPr>
        <w:t>4</w:t>
      </w:r>
      <w:r w:rsidR="0027665C">
        <w:rPr>
          <w:rFonts w:ascii="Arial" w:hAnsi="Arial" w:cs="Arial"/>
          <w:b/>
          <w:bCs/>
          <w:lang w:val="de-DE"/>
        </w:rPr>
        <w:t>bis</w:t>
      </w:r>
      <w:r w:rsidRPr="001A3D5B">
        <w:rPr>
          <w:rFonts w:ascii="Arial" w:hAnsi="Arial" w:cs="Arial"/>
          <w:b/>
          <w:lang w:val="de-DE"/>
        </w:rPr>
        <w:tab/>
      </w:r>
      <w:r w:rsidRPr="001A3D5B">
        <w:rPr>
          <w:rFonts w:ascii="Arial" w:hAnsi="Arial" w:cs="Arial"/>
          <w:b/>
          <w:lang w:val="de-DE"/>
        </w:rPr>
        <w:tab/>
      </w:r>
      <w:r w:rsidR="0078460C" w:rsidRPr="0078460C">
        <w:rPr>
          <w:rFonts w:ascii="Arial" w:hAnsi="Arial" w:cs="Arial"/>
          <w:b/>
          <w:color w:val="000000" w:themeColor="text1"/>
          <w:lang w:val="de-DE"/>
        </w:rPr>
        <w:t>R1-2309821</w:t>
      </w:r>
    </w:p>
    <w:p w14:paraId="0972455C" w14:textId="496353C8" w:rsidR="00ED780E" w:rsidRDefault="00833A56" w:rsidP="00ED780E">
      <w:pPr>
        <w:tabs>
          <w:tab w:val="left" w:pos="1985"/>
        </w:tabs>
        <w:jc w:val="both"/>
        <w:rPr>
          <w:rFonts w:ascii="Arial" w:hAnsi="Arial" w:cs="Arial"/>
          <w:b/>
          <w:lang w:val="de-DE"/>
        </w:rPr>
      </w:pPr>
      <w:r w:rsidRPr="00261674">
        <w:rPr>
          <w:rFonts w:ascii="Arial" w:hAnsi="Arial" w:cs="Arial"/>
          <w:b/>
          <w:lang w:val="de-DE"/>
        </w:rPr>
        <w:t>Xiamen, China</w:t>
      </w:r>
      <w:r w:rsidRPr="00EB38B6">
        <w:rPr>
          <w:rFonts w:ascii="Arial" w:hAnsi="Arial" w:cs="Arial"/>
          <w:b/>
          <w:lang w:val="de-DE"/>
        </w:rPr>
        <w:t xml:space="preserve">, </w:t>
      </w:r>
      <w:r w:rsidRPr="00261674">
        <w:rPr>
          <w:rFonts w:ascii="Arial" w:hAnsi="Arial" w:cs="Arial"/>
          <w:b/>
          <w:lang w:val="de-DE"/>
        </w:rPr>
        <w:t>Octobe</w:t>
      </w:r>
      <w:r>
        <w:rPr>
          <w:rFonts w:ascii="Arial" w:hAnsi="Arial" w:cs="Arial"/>
          <w:b/>
          <w:lang w:val="de-DE"/>
        </w:rPr>
        <w:t>r 9</w:t>
      </w:r>
      <w:r w:rsidRPr="00261674">
        <w:rPr>
          <w:rFonts w:ascii="Arial" w:hAnsi="Arial" w:cs="Arial"/>
          <w:b/>
          <w:vertAlign w:val="superscript"/>
          <w:lang w:val="de-DE"/>
        </w:rPr>
        <w:t>th</w:t>
      </w:r>
      <w:r w:rsidRPr="00261674">
        <w:rPr>
          <w:rFonts w:ascii="Arial" w:hAnsi="Arial" w:cs="Arial"/>
          <w:b/>
          <w:lang w:val="de-DE"/>
        </w:rPr>
        <w:t xml:space="preserve"> – October 13</w:t>
      </w:r>
      <w:r w:rsidRPr="00261674">
        <w:rPr>
          <w:rFonts w:ascii="Arial" w:hAnsi="Arial" w:cs="Arial"/>
          <w:b/>
          <w:vertAlign w:val="superscript"/>
          <w:lang w:val="de-DE"/>
        </w:rPr>
        <w:t>th</w:t>
      </w:r>
      <w:r w:rsidRPr="00261674">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32EEC3E1"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833A56" w:rsidRPr="00833A56">
        <w:rPr>
          <w:rFonts w:ascii="Arial" w:hAnsi="Arial" w:cs="Arial"/>
          <w:b/>
        </w:rPr>
        <w:t>Two TAs for multi-DCI mTRP</w:t>
      </w:r>
    </w:p>
    <w:p w14:paraId="7B288F5E" w14:textId="5C82EF5A"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833A56">
        <w:rPr>
          <w:rFonts w:ascii="Arial" w:hAnsi="Arial" w:cs="Arial"/>
          <w:b/>
        </w:rPr>
        <w:t>8</w:t>
      </w:r>
      <w:r w:rsidR="00CD5559">
        <w:rPr>
          <w:rFonts w:ascii="Arial" w:hAnsi="Arial" w:cs="Arial"/>
          <w:b/>
        </w:rPr>
        <w:t>.</w:t>
      </w:r>
      <w:r w:rsidR="00E9699B">
        <w:rPr>
          <w:rFonts w:ascii="Arial" w:hAnsi="Arial" w:cs="Arial"/>
          <w:b/>
        </w:rPr>
        <w:t>1.1.2</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4F8624E9" w14:textId="314E2A67" w:rsidR="00D145E6" w:rsidRDefault="00E9699B" w:rsidP="006A7A09">
      <w:pPr>
        <w:jc w:val="both"/>
        <w:rPr>
          <w:rFonts w:ascii="Arial" w:hAnsi="Arial" w:cs="Arial"/>
          <w:sz w:val="20"/>
          <w:szCs w:val="20"/>
        </w:rPr>
      </w:pPr>
      <w:r w:rsidRPr="00792A33">
        <w:rPr>
          <w:rFonts w:ascii="Arial" w:hAnsi="Arial" w:cs="Arial"/>
          <w:sz w:val="20"/>
          <w:szCs w:val="20"/>
        </w:rPr>
        <w:t xml:space="preserve">In this contribution, we discuss the open issues related to supporting two timing advance (TA) values for UL multi-DCI for multi-TRP operation.   </w:t>
      </w:r>
    </w:p>
    <w:p w14:paraId="064AC5A7" w14:textId="77777777" w:rsidR="00EB38B6" w:rsidRPr="00792A33" w:rsidRDefault="00EB38B6" w:rsidP="006A7A09">
      <w:pPr>
        <w:jc w:val="both"/>
        <w:rPr>
          <w:rFonts w:ascii="Arial" w:hAnsi="Arial" w:cs="Arial"/>
          <w:sz w:val="20"/>
          <w:szCs w:val="20"/>
        </w:rPr>
      </w:pPr>
    </w:p>
    <w:p w14:paraId="3A32BA17" w14:textId="35D8C64C" w:rsidR="00192292" w:rsidRPr="00404C4B" w:rsidRDefault="00833A56" w:rsidP="00192292">
      <w:pPr>
        <w:pStyle w:val="Heading1"/>
        <w:rPr>
          <w:rFonts w:cs="Arial"/>
          <w:lang w:val="en-US" w:eastAsia="zh-CN"/>
        </w:rPr>
      </w:pPr>
      <w:r>
        <w:rPr>
          <w:rFonts w:cs="Arial"/>
          <w:lang w:val="en-US"/>
        </w:rPr>
        <w:t>2</w:t>
      </w:r>
      <w:r w:rsidR="00192292" w:rsidRPr="00404C4B">
        <w:rPr>
          <w:rFonts w:cs="Arial"/>
          <w:lang w:val="en-US"/>
        </w:rPr>
        <w:t xml:space="preserve">. </w:t>
      </w:r>
      <w:r w:rsidR="00192292">
        <w:rPr>
          <w:rFonts w:eastAsia="Times New Roman"/>
          <w:lang w:eastAsia="ja-JP"/>
        </w:rPr>
        <w:t xml:space="preserve">PRACH </w:t>
      </w:r>
      <w:r>
        <w:rPr>
          <w:rFonts w:eastAsia="Times New Roman"/>
          <w:lang w:eastAsia="ja-JP"/>
        </w:rPr>
        <w:t>P</w:t>
      </w:r>
      <w:r w:rsidR="00192292">
        <w:rPr>
          <w:rFonts w:eastAsia="Times New Roman"/>
          <w:lang w:eastAsia="ja-JP"/>
        </w:rPr>
        <w:t xml:space="preserve">ower </w:t>
      </w:r>
      <w:r>
        <w:rPr>
          <w:rFonts w:eastAsia="Times New Roman"/>
          <w:lang w:eastAsia="ja-JP"/>
        </w:rPr>
        <w:t>C</w:t>
      </w:r>
      <w:r w:rsidR="00192292">
        <w:rPr>
          <w:rFonts w:eastAsia="Times New Roman"/>
          <w:lang w:eastAsia="ja-JP"/>
        </w:rPr>
        <w:t xml:space="preserve">ontrol </w:t>
      </w:r>
    </w:p>
    <w:p w14:paraId="4719DBCC" w14:textId="00F3781B" w:rsidR="00192292" w:rsidRDefault="00192292" w:rsidP="00192292">
      <w:pPr>
        <w:rPr>
          <w:rFonts w:ascii="Arial" w:hAnsi="Arial" w:cs="Arial"/>
          <w:sz w:val="20"/>
          <w:szCs w:val="20"/>
        </w:rPr>
      </w:pPr>
      <w:r>
        <w:rPr>
          <w:rFonts w:ascii="Arial" w:hAnsi="Arial" w:cs="Arial"/>
          <w:sz w:val="20"/>
          <w:szCs w:val="20"/>
        </w:rPr>
        <w:t>In RAN1 112bis-e meeting, the following was agreed to study how to determine the transmission power for a CFRA PRACH that is triggered towards another TRP</w:t>
      </w:r>
      <w:r w:rsidR="00127B51">
        <w:rPr>
          <w:rFonts w:ascii="Arial" w:hAnsi="Arial" w:cs="Arial"/>
          <w:sz w:val="20"/>
          <w:szCs w:val="20"/>
        </w:rPr>
        <w:t xml:space="preserve"> [1]</w:t>
      </w:r>
      <w:r>
        <w:rPr>
          <w:rFonts w:ascii="Arial" w:hAnsi="Arial" w:cs="Arial"/>
          <w:sz w:val="20"/>
          <w:szCs w:val="20"/>
        </w:rPr>
        <w:t xml:space="preserve">. </w:t>
      </w:r>
    </w:p>
    <w:p w14:paraId="4611F9F9" w14:textId="77777777" w:rsidR="00192292" w:rsidRDefault="00192292" w:rsidP="00192292">
      <w:pPr>
        <w:rPr>
          <w:rFonts w:ascii="Arial" w:hAnsi="Arial" w:cs="Arial"/>
          <w:sz w:val="20"/>
          <w:szCs w:val="20"/>
        </w:rPr>
      </w:pPr>
    </w:p>
    <w:tbl>
      <w:tblPr>
        <w:tblStyle w:val="TableGrid"/>
        <w:tblW w:w="0" w:type="auto"/>
        <w:tblLook w:val="04A0" w:firstRow="1" w:lastRow="0" w:firstColumn="1" w:lastColumn="0" w:noHBand="0" w:noVBand="1"/>
      </w:tblPr>
      <w:tblGrid>
        <w:gridCol w:w="9962"/>
      </w:tblGrid>
      <w:tr w:rsidR="00192292" w14:paraId="4FFDE7B6" w14:textId="77777777" w:rsidTr="00336CE3">
        <w:tc>
          <w:tcPr>
            <w:tcW w:w="9962" w:type="dxa"/>
          </w:tcPr>
          <w:p w14:paraId="3AAFAFA2" w14:textId="77777777" w:rsidR="00192292" w:rsidRPr="009E05F0" w:rsidRDefault="00192292" w:rsidP="00336CE3">
            <w:pPr>
              <w:rPr>
                <w:rFonts w:ascii="Arial" w:hAnsi="Arial" w:cs="Arial"/>
                <w:b/>
                <w:sz w:val="20"/>
                <w:szCs w:val="20"/>
                <w:highlight w:val="green"/>
                <w:lang w:eastAsia="x-none"/>
              </w:rPr>
            </w:pPr>
            <w:r w:rsidRPr="009E05F0">
              <w:rPr>
                <w:rFonts w:ascii="Arial" w:hAnsi="Arial" w:cs="Arial"/>
                <w:b/>
                <w:sz w:val="20"/>
                <w:szCs w:val="20"/>
                <w:highlight w:val="green"/>
                <w:lang w:eastAsia="x-none"/>
              </w:rPr>
              <w:t>Agreement</w:t>
            </w:r>
          </w:p>
          <w:p w14:paraId="00F19C18" w14:textId="77777777" w:rsidR="00192292" w:rsidRPr="009E05F0" w:rsidRDefault="00192292" w:rsidP="00336CE3">
            <w:pPr>
              <w:pStyle w:val="NormalWeb"/>
              <w:spacing w:before="0" w:beforeAutospacing="0" w:after="0" w:afterAutospacing="0"/>
              <w:rPr>
                <w:i/>
                <w:sz w:val="20"/>
              </w:rPr>
            </w:pPr>
            <w:r w:rsidRPr="009E05F0">
              <w:rPr>
                <w:rStyle w:val="Emphasis"/>
                <w:rFonts w:ascii="Arial" w:hAnsi="Arial" w:cs="Arial"/>
                <w:i w:val="0"/>
                <w:sz w:val="20"/>
                <w:szCs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14:paraId="5AAF044A" w14:textId="77777777" w:rsidR="00192292" w:rsidRDefault="00192292" w:rsidP="00192292">
      <w:pPr>
        <w:rPr>
          <w:rFonts w:ascii="Arial" w:hAnsi="Arial" w:cs="Arial"/>
          <w:sz w:val="20"/>
          <w:szCs w:val="20"/>
        </w:rPr>
      </w:pPr>
    </w:p>
    <w:p w14:paraId="346FB1C0" w14:textId="52CBC047" w:rsidR="00984478" w:rsidRDefault="00192292" w:rsidP="00E412AF">
      <w:pPr>
        <w:spacing w:after="120"/>
        <w:jc w:val="both"/>
        <w:rPr>
          <w:rFonts w:ascii="Arial" w:hAnsi="Arial" w:cs="Arial"/>
          <w:sz w:val="20"/>
          <w:szCs w:val="20"/>
        </w:rPr>
      </w:pPr>
      <w:r>
        <w:rPr>
          <w:rFonts w:ascii="Arial" w:hAnsi="Arial" w:cs="Arial"/>
          <w:sz w:val="20"/>
          <w:szCs w:val="20"/>
        </w:rPr>
        <w:t xml:space="preserve">In the previous releases, </w:t>
      </w:r>
      <w:r w:rsidR="005E7BED">
        <w:rPr>
          <w:rFonts w:ascii="Arial" w:hAnsi="Arial" w:cs="Arial"/>
          <w:sz w:val="20"/>
          <w:szCs w:val="20"/>
        </w:rPr>
        <w:t xml:space="preserve">for </w:t>
      </w:r>
      <w:r>
        <w:rPr>
          <w:rFonts w:ascii="Arial" w:hAnsi="Arial" w:cs="Arial"/>
          <w:sz w:val="20"/>
          <w:szCs w:val="20"/>
        </w:rPr>
        <w:t>CFRA</w:t>
      </w:r>
      <w:r w:rsidR="005E7BED">
        <w:rPr>
          <w:rFonts w:ascii="Arial" w:hAnsi="Arial" w:cs="Arial"/>
          <w:sz w:val="20"/>
          <w:szCs w:val="20"/>
        </w:rPr>
        <w:t xml:space="preserve"> procedure, the PDCCH order and triggered</w:t>
      </w:r>
      <w:r>
        <w:rPr>
          <w:rFonts w:ascii="Arial" w:hAnsi="Arial" w:cs="Arial"/>
          <w:sz w:val="20"/>
          <w:szCs w:val="20"/>
        </w:rPr>
        <w:t xml:space="preserve"> preamble</w:t>
      </w:r>
      <w:r w:rsidR="005E7BED">
        <w:rPr>
          <w:rFonts w:ascii="Arial" w:hAnsi="Arial" w:cs="Arial"/>
          <w:sz w:val="20"/>
          <w:szCs w:val="20"/>
        </w:rPr>
        <w:t xml:space="preserve"> are assocaited with a same TRP. For power determination of triggered PRACH, as quoted below, a</w:t>
      </w:r>
      <w:r>
        <w:rPr>
          <w:rFonts w:ascii="Arial" w:hAnsi="Arial" w:cs="Arial"/>
          <w:sz w:val="20"/>
          <w:szCs w:val="20"/>
        </w:rPr>
        <w:t xml:space="preserve"> UE computes the pathloss based on the</w:t>
      </w:r>
      <w:r w:rsidR="00984478">
        <w:rPr>
          <w:rFonts w:ascii="Arial" w:hAnsi="Arial" w:cs="Arial"/>
          <w:sz w:val="20"/>
          <w:szCs w:val="20"/>
        </w:rPr>
        <w:t xml:space="preserve"> QCL source RS configured for the DMRS of the PDCCH order</w:t>
      </w:r>
      <w:r w:rsidR="005E7BED">
        <w:rPr>
          <w:rFonts w:ascii="Arial" w:hAnsi="Arial" w:cs="Arial"/>
          <w:sz w:val="20"/>
          <w:szCs w:val="20"/>
        </w:rPr>
        <w:t>, which is feasible for the ‘same-TRP’ use case</w:t>
      </w:r>
      <w:r w:rsidR="00984478">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984478" w14:paraId="31331443" w14:textId="77777777" w:rsidTr="00984478">
        <w:tc>
          <w:tcPr>
            <w:tcW w:w="9962" w:type="dxa"/>
          </w:tcPr>
          <w:p w14:paraId="7A909CC8" w14:textId="77777777" w:rsidR="00984478" w:rsidRDefault="00984478" w:rsidP="00984478">
            <w:r>
              <w:rPr>
                <w:rFonts w:ascii="Times-Roman" w:hAnsi="Times-Roman"/>
                <w:color w:val="000000"/>
                <w:sz w:val="20"/>
                <w:szCs w:val="20"/>
              </w:rPr>
              <w:t xml:space="preserve">If a PRACH transmission from a UE is in response to a detection of a PDCCH order by the UE that triggers a </w:t>
            </w:r>
          </w:p>
          <w:p w14:paraId="18DB8E4F" w14:textId="77777777" w:rsidR="00984478" w:rsidRPr="00984478" w:rsidRDefault="00984478" w:rsidP="00984478">
            <w:pPr>
              <w:rPr>
                <w:highlight w:val="yellow"/>
              </w:rPr>
            </w:pPr>
            <w:r>
              <w:rPr>
                <w:rFonts w:ascii="Times-Roman" w:hAnsi="Times-Roman"/>
                <w:color w:val="000000"/>
                <w:sz w:val="20"/>
                <w:szCs w:val="20"/>
              </w:rPr>
              <w:t xml:space="preserve">contention-free random access procedure and </w:t>
            </w:r>
            <w:r w:rsidRPr="00984478">
              <w:rPr>
                <w:rFonts w:ascii="Times-Roman" w:hAnsi="Times-Roman"/>
                <w:color w:val="000000"/>
                <w:sz w:val="20"/>
                <w:szCs w:val="20"/>
                <w:highlight w:val="yellow"/>
              </w:rPr>
              <w:t>depending on the DL RS that the DM-RS of the PDCCH order is quasi</w:t>
            </w:r>
          </w:p>
          <w:p w14:paraId="39EF2486" w14:textId="77777777" w:rsidR="00984478" w:rsidRPr="00984478" w:rsidRDefault="00984478" w:rsidP="00984478">
            <w:pPr>
              <w:rPr>
                <w:highlight w:val="yellow"/>
              </w:rPr>
            </w:pPr>
            <w:r w:rsidRPr="00984478">
              <w:rPr>
                <w:rFonts w:ascii="Times-Roman" w:hAnsi="Times-Roman"/>
                <w:color w:val="000000"/>
                <w:sz w:val="20"/>
                <w:szCs w:val="20"/>
                <w:highlight w:val="yellow"/>
              </w:rPr>
              <w:t xml:space="preserve">collocated with as described in clause 10.1, </w:t>
            </w:r>
            <w:r w:rsidRPr="00984478">
              <w:rPr>
                <w:rFonts w:ascii="Times Italic" w:hAnsi="Times Italic"/>
                <w:i/>
                <w:iCs/>
                <w:color w:val="000000"/>
                <w:sz w:val="20"/>
                <w:szCs w:val="20"/>
                <w:highlight w:val="yellow"/>
              </w:rPr>
              <w:t>referenceSignalPower</w:t>
            </w:r>
            <w:r w:rsidRPr="00984478">
              <w:rPr>
                <w:rFonts w:ascii="Times-Roman" w:hAnsi="Times-Roman"/>
                <w:color w:val="000000"/>
                <w:sz w:val="20"/>
                <w:szCs w:val="20"/>
                <w:highlight w:val="yellow"/>
              </w:rPr>
              <w:t xml:space="preserve"> is provided by </w:t>
            </w:r>
            <w:r w:rsidRPr="00984478">
              <w:rPr>
                <w:rFonts w:ascii="Times Italic" w:hAnsi="Times Italic"/>
                <w:i/>
                <w:iCs/>
                <w:color w:val="000000"/>
                <w:sz w:val="20"/>
                <w:szCs w:val="20"/>
                <w:highlight w:val="yellow"/>
              </w:rPr>
              <w:t>ss-PBCH-BlockPower</w:t>
            </w:r>
            <w:r w:rsidRPr="00984478">
              <w:rPr>
                <w:rFonts w:ascii="Times-Roman" w:hAnsi="Times-Roman"/>
                <w:color w:val="000000"/>
                <w:sz w:val="20"/>
                <w:szCs w:val="20"/>
                <w:highlight w:val="yellow"/>
              </w:rPr>
              <w:t xml:space="preserve"> or, if the UE is </w:t>
            </w:r>
          </w:p>
          <w:p w14:paraId="2658E885" w14:textId="77777777" w:rsidR="00984478" w:rsidRPr="00984478" w:rsidRDefault="00984478" w:rsidP="00984478">
            <w:pPr>
              <w:rPr>
                <w:highlight w:val="yellow"/>
              </w:rPr>
            </w:pPr>
            <w:r w:rsidRPr="00984478">
              <w:rPr>
                <w:rFonts w:ascii="Times-Roman" w:hAnsi="Times-Roman"/>
                <w:color w:val="000000"/>
                <w:sz w:val="20"/>
                <w:szCs w:val="20"/>
                <w:highlight w:val="yellow"/>
              </w:rPr>
              <w:t xml:space="preserve">configured resources for a periodic CSI-RS reception or the PRACH transmission is associated with a link recovery </w:t>
            </w:r>
          </w:p>
          <w:p w14:paraId="3BDD06DD" w14:textId="77777777" w:rsidR="00984478" w:rsidRPr="00984478" w:rsidRDefault="00984478" w:rsidP="00984478">
            <w:pPr>
              <w:rPr>
                <w:highlight w:val="yellow"/>
              </w:rPr>
            </w:pPr>
            <w:r w:rsidRPr="00984478">
              <w:rPr>
                <w:rFonts w:ascii="Times-Roman" w:hAnsi="Times-Roman"/>
                <w:color w:val="000000"/>
                <w:sz w:val="20"/>
                <w:szCs w:val="20"/>
                <w:highlight w:val="yellow"/>
              </w:rPr>
              <w:t xml:space="preserve">procedure where a corresponding index </w:t>
            </w:r>
            <w:r w:rsidRPr="00984478">
              <w:rPr>
                <w:rFonts w:ascii="Times Italic" w:hAnsi="Times Italic"/>
                <w:i/>
                <w:iCs/>
                <w:color w:val="000000"/>
                <w:sz w:val="19"/>
                <w:szCs w:val="19"/>
                <w:highlight w:val="yellow"/>
              </w:rPr>
              <w:t>q</w:t>
            </w:r>
            <w:r w:rsidRPr="00984478">
              <w:rPr>
                <w:rFonts w:ascii="Times-Roman" w:hAnsi="Times-Roman"/>
                <w:color w:val="000000"/>
                <w:sz w:val="11"/>
                <w:szCs w:val="11"/>
                <w:highlight w:val="yellow"/>
              </w:rPr>
              <w:t>new</w:t>
            </w:r>
            <w:r w:rsidRPr="00984478">
              <w:rPr>
                <w:rFonts w:ascii="Times-Roman" w:hAnsi="Times-Roman"/>
                <w:color w:val="000000"/>
                <w:sz w:val="20"/>
                <w:szCs w:val="20"/>
                <w:highlight w:val="yellow"/>
              </w:rPr>
              <w:t xml:space="preserve"> is associated with a periodic CSI-RS configuration as described in clause </w:t>
            </w:r>
          </w:p>
          <w:p w14:paraId="295D303E" w14:textId="77777777" w:rsidR="00984478" w:rsidRPr="00984478" w:rsidRDefault="00984478" w:rsidP="00984478">
            <w:pPr>
              <w:rPr>
                <w:highlight w:val="yellow"/>
              </w:rPr>
            </w:pPr>
            <w:r w:rsidRPr="00984478">
              <w:rPr>
                <w:rFonts w:ascii="Times-Roman" w:hAnsi="Times-Roman"/>
                <w:color w:val="000000"/>
                <w:sz w:val="20"/>
                <w:szCs w:val="20"/>
                <w:highlight w:val="yellow"/>
              </w:rPr>
              <w:t xml:space="preserve">6, </w:t>
            </w:r>
            <w:r w:rsidRPr="00984478">
              <w:rPr>
                <w:rFonts w:ascii="Times Italic" w:hAnsi="Times Italic"/>
                <w:i/>
                <w:iCs/>
                <w:color w:val="000000"/>
                <w:sz w:val="20"/>
                <w:szCs w:val="20"/>
                <w:highlight w:val="yellow"/>
              </w:rPr>
              <w:t>referenceSignalPower</w:t>
            </w:r>
            <w:r w:rsidRPr="00984478">
              <w:rPr>
                <w:rFonts w:ascii="Times-Roman" w:hAnsi="Times-Roman"/>
                <w:color w:val="000000"/>
                <w:sz w:val="20"/>
                <w:szCs w:val="20"/>
                <w:highlight w:val="yellow"/>
              </w:rPr>
              <w:t xml:space="preserve"> is obtained by </w:t>
            </w:r>
            <w:r w:rsidRPr="00984478">
              <w:rPr>
                <w:rFonts w:ascii="Times Italic" w:hAnsi="Times Italic"/>
                <w:i/>
                <w:iCs/>
                <w:color w:val="000000"/>
                <w:sz w:val="20"/>
                <w:szCs w:val="20"/>
                <w:highlight w:val="yellow"/>
              </w:rPr>
              <w:t>ss-PBCH-BlockPower</w:t>
            </w:r>
            <w:r w:rsidRPr="00984478">
              <w:rPr>
                <w:rFonts w:ascii="Times-Roman" w:hAnsi="Times-Roman"/>
                <w:color w:val="000000"/>
                <w:sz w:val="20"/>
                <w:szCs w:val="20"/>
                <w:highlight w:val="yellow"/>
              </w:rPr>
              <w:t xml:space="preserve"> and </w:t>
            </w:r>
            <w:r w:rsidRPr="00984478">
              <w:rPr>
                <w:rFonts w:ascii="Times Italic" w:hAnsi="Times Italic"/>
                <w:i/>
                <w:iCs/>
                <w:color w:val="000000"/>
                <w:sz w:val="20"/>
                <w:szCs w:val="20"/>
                <w:highlight w:val="yellow"/>
              </w:rPr>
              <w:t>powerControlOffsetSS</w:t>
            </w:r>
            <w:r w:rsidRPr="00984478">
              <w:rPr>
                <w:rFonts w:ascii="Times-Roman" w:hAnsi="Times-Roman"/>
                <w:color w:val="000000"/>
                <w:sz w:val="20"/>
                <w:szCs w:val="20"/>
                <w:highlight w:val="yellow"/>
              </w:rPr>
              <w:t xml:space="preserve"> where </w:t>
            </w:r>
            <w:r w:rsidRPr="00984478">
              <w:rPr>
                <w:rFonts w:ascii="Times Italic" w:hAnsi="Times Italic"/>
                <w:i/>
                <w:iCs/>
                <w:color w:val="000000"/>
                <w:sz w:val="20"/>
                <w:szCs w:val="20"/>
                <w:highlight w:val="yellow"/>
              </w:rPr>
              <w:t xml:space="preserve">powerControlOffsetSS </w:t>
            </w:r>
          </w:p>
          <w:p w14:paraId="771079D6" w14:textId="77777777" w:rsidR="00984478" w:rsidRDefault="00984478" w:rsidP="00984478">
            <w:r w:rsidRPr="00984478">
              <w:rPr>
                <w:rFonts w:ascii="Times-Roman" w:hAnsi="Times-Roman"/>
                <w:color w:val="000000"/>
                <w:sz w:val="20"/>
                <w:szCs w:val="20"/>
                <w:highlight w:val="yellow"/>
              </w:rPr>
              <w:t>provides an offset of CSI-RS transmission power relative to SS/PBCH block transmission power [6, TS 38.214].</w:t>
            </w:r>
            <w:r>
              <w:rPr>
                <w:rFonts w:ascii="Times-Roman" w:hAnsi="Times-Roman"/>
                <w:color w:val="000000"/>
                <w:sz w:val="20"/>
                <w:szCs w:val="20"/>
              </w:rPr>
              <w:t xml:space="preserve"> If </w:t>
            </w:r>
          </w:p>
          <w:p w14:paraId="4E1EF33D" w14:textId="77777777" w:rsidR="00984478" w:rsidRDefault="00984478" w:rsidP="00984478">
            <w:r>
              <w:rPr>
                <w:rFonts w:ascii="Times Italic" w:hAnsi="Times Italic"/>
                <w:i/>
                <w:iCs/>
                <w:color w:val="000000"/>
                <w:sz w:val="20"/>
                <w:szCs w:val="20"/>
              </w:rPr>
              <w:t>powerControlOffsetSS</w:t>
            </w:r>
            <w:r>
              <w:rPr>
                <w:rFonts w:ascii="Times-Roman" w:hAnsi="Times-Roman"/>
                <w:color w:val="000000"/>
                <w:sz w:val="20"/>
                <w:szCs w:val="20"/>
              </w:rPr>
              <w:t xml:space="preserve"> is not provided to the UE, the UE assumes an offset of 0 dB. If the active TCI state for the </w:t>
            </w:r>
          </w:p>
          <w:p w14:paraId="1466459A" w14:textId="77777777" w:rsidR="00984478" w:rsidRDefault="00984478" w:rsidP="00984478">
            <w:r>
              <w:rPr>
                <w:rFonts w:ascii="Times-Roman" w:hAnsi="Times-Roman"/>
                <w:color w:val="000000"/>
                <w:sz w:val="20"/>
                <w:szCs w:val="20"/>
              </w:rPr>
              <w:t xml:space="preserve">PDCCH that provides the PDCCH order includes two RS, the UE expects that one RS is configured with </w:t>
            </w:r>
            <w:r>
              <w:rPr>
                <w:rFonts w:ascii="Times Italic" w:hAnsi="Times Italic"/>
                <w:i/>
                <w:iCs/>
                <w:color w:val="000000"/>
                <w:sz w:val="20"/>
                <w:szCs w:val="20"/>
              </w:rPr>
              <w:t>qcl-Type</w:t>
            </w:r>
            <w:r>
              <w:rPr>
                <w:rFonts w:ascii="Times-Roman" w:hAnsi="Times-Roman"/>
                <w:color w:val="000000"/>
                <w:sz w:val="20"/>
                <w:szCs w:val="20"/>
              </w:rPr>
              <w:t xml:space="preserve"> set to </w:t>
            </w:r>
          </w:p>
          <w:p w14:paraId="72794403" w14:textId="13C71750" w:rsidR="00984478" w:rsidRPr="00984478" w:rsidRDefault="00984478" w:rsidP="00984478">
            <w:r>
              <w:rPr>
                <w:rFonts w:ascii="Times-Roman" w:hAnsi="Times-Roman"/>
                <w:color w:val="000000"/>
                <w:sz w:val="20"/>
                <w:szCs w:val="20"/>
              </w:rPr>
              <w:t xml:space="preserve">'typeD' and the UE uses the one RS when applying a value provided by </w:t>
            </w:r>
            <w:r>
              <w:rPr>
                <w:rFonts w:ascii="Times Italic" w:hAnsi="Times Italic"/>
                <w:i/>
                <w:iCs/>
                <w:color w:val="000000"/>
                <w:sz w:val="20"/>
                <w:szCs w:val="20"/>
              </w:rPr>
              <w:t>powerControlOffsetSS</w:t>
            </w:r>
            <w:r>
              <w:rPr>
                <w:rFonts w:ascii="Times-Roman" w:hAnsi="Times-Roman"/>
                <w:color w:val="000000"/>
                <w:sz w:val="20"/>
                <w:szCs w:val="20"/>
              </w:rPr>
              <w:t xml:space="preserve">. </w:t>
            </w:r>
          </w:p>
        </w:tc>
      </w:tr>
    </w:tbl>
    <w:p w14:paraId="562FDA8E" w14:textId="77777777" w:rsidR="00984478" w:rsidRDefault="00984478" w:rsidP="00E412AF">
      <w:pPr>
        <w:spacing w:after="120"/>
        <w:jc w:val="both"/>
        <w:rPr>
          <w:rFonts w:ascii="Arial" w:hAnsi="Arial" w:cs="Arial"/>
          <w:sz w:val="20"/>
          <w:szCs w:val="20"/>
        </w:rPr>
      </w:pPr>
    </w:p>
    <w:p w14:paraId="424C0F1A" w14:textId="0A0E198E" w:rsidR="005E7BED" w:rsidRDefault="005E7BED" w:rsidP="00E412AF">
      <w:pPr>
        <w:spacing w:after="120"/>
        <w:jc w:val="both"/>
        <w:rPr>
          <w:rFonts w:ascii="Arial" w:hAnsi="Arial" w:cs="Arial"/>
          <w:sz w:val="20"/>
          <w:szCs w:val="20"/>
        </w:rPr>
      </w:pPr>
      <w:r>
        <w:rPr>
          <w:rFonts w:ascii="Arial" w:hAnsi="Arial" w:cs="Arial"/>
          <w:sz w:val="20"/>
          <w:szCs w:val="20"/>
        </w:rPr>
        <w:t>However, for the new use case of ‘cross-TRP’ CFRA procedure to obtain the 2</w:t>
      </w:r>
      <w:r w:rsidRPr="005E7BED">
        <w:rPr>
          <w:rFonts w:ascii="Arial" w:hAnsi="Arial" w:cs="Arial"/>
          <w:sz w:val="20"/>
          <w:szCs w:val="20"/>
          <w:vertAlign w:val="superscript"/>
        </w:rPr>
        <w:t>nd</w:t>
      </w:r>
      <w:r>
        <w:rPr>
          <w:rFonts w:ascii="Arial" w:hAnsi="Arial" w:cs="Arial"/>
          <w:sz w:val="20"/>
          <w:szCs w:val="20"/>
        </w:rPr>
        <w:t xml:space="preserve"> TA, the legacy rule (i.e., using the QCL RS of PDCCH order) is not feasible due to the different TRPs of PDCCH order and preamble transmission. A simple solution is to use the SSB indicated in PDCCH order as PL-RS. </w:t>
      </w:r>
    </w:p>
    <w:p w14:paraId="7742F566" w14:textId="77777777" w:rsidR="00D92E4D" w:rsidRDefault="00192292" w:rsidP="00E412AF">
      <w:pPr>
        <w:pStyle w:val="ListParagraph"/>
        <w:numPr>
          <w:ilvl w:val="2"/>
          <w:numId w:val="23"/>
        </w:numPr>
        <w:spacing w:after="120"/>
        <w:ind w:left="907" w:hanging="547"/>
        <w:contextualSpacing w:val="0"/>
        <w:jc w:val="both"/>
        <w:rPr>
          <w:rFonts w:ascii="Arial" w:hAnsi="Arial" w:cs="Arial"/>
          <w:sz w:val="20"/>
          <w:szCs w:val="20"/>
        </w:rPr>
      </w:pPr>
      <w:r>
        <w:rPr>
          <w:rFonts w:ascii="Arial" w:hAnsi="Arial" w:cs="Arial"/>
          <w:sz w:val="20"/>
          <w:szCs w:val="20"/>
        </w:rPr>
        <w:t>For intra-cell case, NW can properly select a SSB and PRACH resource associated with the 2</w:t>
      </w:r>
      <w:r w:rsidRPr="00A86306">
        <w:rPr>
          <w:rFonts w:ascii="Arial" w:hAnsi="Arial" w:cs="Arial"/>
          <w:sz w:val="20"/>
          <w:szCs w:val="20"/>
          <w:vertAlign w:val="superscript"/>
        </w:rPr>
        <w:t>nd</w:t>
      </w:r>
      <w:r>
        <w:rPr>
          <w:rFonts w:ascii="Arial" w:hAnsi="Arial" w:cs="Arial"/>
          <w:sz w:val="20"/>
          <w:szCs w:val="20"/>
        </w:rPr>
        <w:t xml:space="preserve"> TRP and indicate these in PDCCH-order DCI payload. </w:t>
      </w:r>
    </w:p>
    <w:p w14:paraId="6563042E" w14:textId="1D0F83E0" w:rsidR="00192292" w:rsidRDefault="00192292" w:rsidP="00D92E4D">
      <w:pPr>
        <w:pStyle w:val="ListParagraph"/>
        <w:numPr>
          <w:ilvl w:val="2"/>
          <w:numId w:val="23"/>
        </w:numPr>
        <w:spacing w:after="120"/>
        <w:ind w:left="1260"/>
        <w:contextualSpacing w:val="0"/>
        <w:jc w:val="both"/>
        <w:rPr>
          <w:rFonts w:ascii="Arial" w:hAnsi="Arial" w:cs="Arial"/>
          <w:sz w:val="20"/>
          <w:szCs w:val="20"/>
        </w:rPr>
      </w:pPr>
      <w:r>
        <w:rPr>
          <w:rFonts w:ascii="Arial" w:hAnsi="Arial" w:cs="Arial"/>
          <w:sz w:val="20"/>
          <w:szCs w:val="20"/>
        </w:rPr>
        <w:t xml:space="preserve">The association between SSB/PRACH resources and a respective TRP is up to NW implementation and transparent to UE. The SSB indicated by the PDCCH order is used for PRACH resource selection and pathloss calculation. </w:t>
      </w:r>
    </w:p>
    <w:p w14:paraId="22A4419D" w14:textId="62998FBA" w:rsidR="00192292" w:rsidRPr="00A86306" w:rsidRDefault="00192292" w:rsidP="00E412AF">
      <w:pPr>
        <w:pStyle w:val="ListParagraph"/>
        <w:numPr>
          <w:ilvl w:val="2"/>
          <w:numId w:val="23"/>
        </w:numPr>
        <w:spacing w:after="120"/>
        <w:ind w:left="900" w:hanging="540"/>
        <w:jc w:val="both"/>
        <w:rPr>
          <w:rFonts w:ascii="Arial" w:hAnsi="Arial" w:cs="Arial"/>
          <w:sz w:val="20"/>
          <w:szCs w:val="20"/>
        </w:rPr>
      </w:pPr>
      <w:r>
        <w:rPr>
          <w:rFonts w:ascii="Arial" w:hAnsi="Arial" w:cs="Arial"/>
          <w:sz w:val="20"/>
          <w:szCs w:val="20"/>
        </w:rPr>
        <w:t>The procedure used for intra-cell case is workable for inter-cell</w:t>
      </w:r>
      <w:r w:rsidR="001F5240">
        <w:rPr>
          <w:rFonts w:ascii="Arial" w:hAnsi="Arial" w:cs="Arial"/>
          <w:sz w:val="20"/>
          <w:szCs w:val="20"/>
        </w:rPr>
        <w:t xml:space="preserve"> as well</w:t>
      </w:r>
      <w:r>
        <w:rPr>
          <w:rFonts w:ascii="Arial" w:hAnsi="Arial" w:cs="Arial"/>
          <w:sz w:val="20"/>
          <w:szCs w:val="20"/>
        </w:rPr>
        <w:t xml:space="preserve">. </w:t>
      </w:r>
      <w:r w:rsidR="005E7BED">
        <w:rPr>
          <w:rFonts w:ascii="Arial" w:hAnsi="Arial" w:cs="Arial"/>
          <w:sz w:val="20"/>
          <w:szCs w:val="20"/>
        </w:rPr>
        <w:t>In RAN1 114 meeting, a concern raised on</w:t>
      </w:r>
      <w:r w:rsidR="001F5240">
        <w:rPr>
          <w:rFonts w:ascii="Arial" w:hAnsi="Arial" w:cs="Arial"/>
          <w:sz w:val="20"/>
          <w:szCs w:val="20"/>
        </w:rPr>
        <w:t xml:space="preserve"> using SSB is that</w:t>
      </w:r>
      <w:r w:rsidR="005E7BED">
        <w:rPr>
          <w:rFonts w:ascii="Arial" w:hAnsi="Arial" w:cs="Arial"/>
          <w:sz w:val="20"/>
          <w:szCs w:val="20"/>
        </w:rPr>
        <w:t xml:space="preserve"> the selected SSB in PDCCH order maybe not measured/maintained by UE </w:t>
      </w:r>
      <w:r w:rsidR="001F5240">
        <w:rPr>
          <w:rFonts w:ascii="Arial" w:hAnsi="Arial" w:cs="Arial"/>
          <w:sz w:val="20"/>
          <w:szCs w:val="20"/>
        </w:rPr>
        <w:t xml:space="preserve">yet </w:t>
      </w:r>
      <w:r w:rsidR="005E7BED">
        <w:rPr>
          <w:rFonts w:ascii="Arial" w:hAnsi="Arial" w:cs="Arial"/>
          <w:sz w:val="20"/>
          <w:szCs w:val="20"/>
        </w:rPr>
        <w:t xml:space="preserve">and therefore </w:t>
      </w:r>
      <w:r w:rsidR="001F5240">
        <w:rPr>
          <w:rFonts w:ascii="Arial" w:hAnsi="Arial" w:cs="Arial"/>
          <w:sz w:val="20"/>
          <w:szCs w:val="20"/>
        </w:rPr>
        <w:t xml:space="preserve">increased UE complexity/power for SSB measurements. We fail to see valid use cases that NW triggers CFRA using a ‘unknown’ SSBs, instead of one of SSBs assocaited with an DL activated </w:t>
      </w:r>
      <w:r w:rsidR="001F5240">
        <w:rPr>
          <w:rFonts w:ascii="Arial" w:hAnsi="Arial" w:cs="Arial"/>
          <w:sz w:val="20"/>
          <w:szCs w:val="20"/>
        </w:rPr>
        <w:lastRenderedPageBreak/>
        <w:t>TCI-State. On the other hand, we sympathsize the concern</w:t>
      </w:r>
      <w:r w:rsidR="00D92E4D">
        <w:rPr>
          <w:rFonts w:ascii="Arial" w:hAnsi="Arial" w:cs="Arial"/>
          <w:sz w:val="20"/>
          <w:szCs w:val="20"/>
        </w:rPr>
        <w:t xml:space="preserve"> and tend to agree</w:t>
      </w:r>
      <w:r w:rsidR="001F5240">
        <w:rPr>
          <w:rFonts w:ascii="Arial" w:hAnsi="Arial" w:cs="Arial"/>
          <w:sz w:val="20"/>
          <w:szCs w:val="20"/>
        </w:rPr>
        <w:t xml:space="preserve"> that UE has to prepare for this case in implementation</w:t>
      </w:r>
      <w:r w:rsidR="0096088D">
        <w:rPr>
          <w:rFonts w:ascii="Arial" w:hAnsi="Arial" w:cs="Arial"/>
          <w:sz w:val="20"/>
          <w:szCs w:val="20"/>
        </w:rPr>
        <w:t xml:space="preserve"> (</w:t>
      </w:r>
      <w:r w:rsidR="001F5240">
        <w:rPr>
          <w:rFonts w:ascii="Arial" w:hAnsi="Arial" w:cs="Arial"/>
          <w:sz w:val="20"/>
          <w:szCs w:val="20"/>
        </w:rPr>
        <w:t>e.g., processing time budget</w:t>
      </w:r>
      <w:r w:rsidR="0096088D">
        <w:rPr>
          <w:rFonts w:ascii="Arial" w:hAnsi="Arial" w:cs="Arial"/>
          <w:sz w:val="20"/>
          <w:szCs w:val="20"/>
        </w:rPr>
        <w:t>)</w:t>
      </w:r>
      <w:r w:rsidR="001F5240">
        <w:rPr>
          <w:rFonts w:ascii="Arial" w:hAnsi="Arial" w:cs="Arial"/>
          <w:sz w:val="20"/>
          <w:szCs w:val="20"/>
        </w:rPr>
        <w:t xml:space="preserve">, if it </w:t>
      </w:r>
      <w:r w:rsidR="0096088D">
        <w:rPr>
          <w:rFonts w:ascii="Arial" w:hAnsi="Arial" w:cs="Arial"/>
          <w:sz w:val="20"/>
          <w:szCs w:val="20"/>
        </w:rPr>
        <w:t>would</w:t>
      </w:r>
      <w:r w:rsidR="001F5240">
        <w:rPr>
          <w:rFonts w:ascii="Arial" w:hAnsi="Arial" w:cs="Arial"/>
          <w:sz w:val="20"/>
          <w:szCs w:val="20"/>
        </w:rPr>
        <w:t xml:space="preserve"> not</w:t>
      </w:r>
      <w:r w:rsidR="0096088D">
        <w:rPr>
          <w:rFonts w:ascii="Arial" w:hAnsi="Arial" w:cs="Arial"/>
          <w:sz w:val="20"/>
          <w:szCs w:val="20"/>
        </w:rPr>
        <w:t xml:space="preserve"> be</w:t>
      </w:r>
      <w:r w:rsidR="001F5240">
        <w:rPr>
          <w:rFonts w:ascii="Arial" w:hAnsi="Arial" w:cs="Arial"/>
          <w:sz w:val="20"/>
          <w:szCs w:val="20"/>
        </w:rPr>
        <w:t xml:space="preserve"> precluded explicitly. We therefore pr</w:t>
      </w:r>
      <w:r w:rsidR="00D92E4D">
        <w:rPr>
          <w:rFonts w:ascii="Arial" w:hAnsi="Arial" w:cs="Arial"/>
          <w:sz w:val="20"/>
          <w:szCs w:val="20"/>
        </w:rPr>
        <w:t>opose</w:t>
      </w:r>
      <w:r w:rsidR="001F5240">
        <w:rPr>
          <w:rFonts w:ascii="Arial" w:hAnsi="Arial" w:cs="Arial"/>
          <w:sz w:val="20"/>
          <w:szCs w:val="20"/>
        </w:rPr>
        <w:t xml:space="preserve"> </w:t>
      </w:r>
      <w:r w:rsidR="00D92E4D">
        <w:rPr>
          <w:rFonts w:ascii="Arial" w:hAnsi="Arial" w:cs="Arial"/>
          <w:sz w:val="20"/>
          <w:szCs w:val="20"/>
        </w:rPr>
        <w:t>to limit</w:t>
      </w:r>
      <w:r w:rsidR="001F5240">
        <w:rPr>
          <w:rFonts w:ascii="Arial" w:hAnsi="Arial" w:cs="Arial"/>
          <w:sz w:val="20"/>
          <w:szCs w:val="20"/>
        </w:rPr>
        <w:t xml:space="preserve"> that the SSB indicated in the PDCCH order is an QCL</w:t>
      </w:r>
      <w:r w:rsidR="0096088D">
        <w:rPr>
          <w:rFonts w:ascii="Arial" w:hAnsi="Arial" w:cs="Arial"/>
          <w:sz w:val="20"/>
          <w:szCs w:val="20"/>
        </w:rPr>
        <w:t xml:space="preserve"> source </w:t>
      </w:r>
      <w:r w:rsidR="001F5240">
        <w:rPr>
          <w:rFonts w:ascii="Arial" w:hAnsi="Arial" w:cs="Arial"/>
          <w:sz w:val="20"/>
          <w:szCs w:val="20"/>
        </w:rPr>
        <w:t>RS of one activated DL TCI-State</w:t>
      </w:r>
      <w:r w:rsidR="006D5B53">
        <w:rPr>
          <w:rFonts w:ascii="Arial" w:hAnsi="Arial" w:cs="Arial"/>
          <w:sz w:val="20"/>
          <w:szCs w:val="20"/>
        </w:rPr>
        <w:t xml:space="preserve"> to ensure the SSB is ‘known’ and already measured/maintianed at the UE side. </w:t>
      </w:r>
      <w:r w:rsidR="001F5240">
        <w:rPr>
          <w:rFonts w:ascii="Arial" w:hAnsi="Arial" w:cs="Arial"/>
          <w:sz w:val="20"/>
          <w:szCs w:val="20"/>
        </w:rPr>
        <w:t xml:space="preserve"> </w:t>
      </w:r>
    </w:p>
    <w:p w14:paraId="1275E2E7" w14:textId="77777777" w:rsidR="00192292" w:rsidRDefault="00192292" w:rsidP="00192292">
      <w:pPr>
        <w:rPr>
          <w:rFonts w:ascii="Arial" w:hAnsi="Arial" w:cs="Arial"/>
          <w:sz w:val="20"/>
          <w:szCs w:val="20"/>
        </w:rPr>
      </w:pPr>
    </w:p>
    <w:p w14:paraId="07FB839A" w14:textId="24C4BA14" w:rsidR="001F5240" w:rsidRDefault="001F5240" w:rsidP="00192292">
      <w:pPr>
        <w:rPr>
          <w:rFonts w:ascii="Arial" w:hAnsi="Arial" w:cs="Arial"/>
          <w:sz w:val="20"/>
          <w:szCs w:val="20"/>
        </w:rPr>
      </w:pPr>
      <w:r>
        <w:rPr>
          <w:rFonts w:ascii="Arial" w:hAnsi="Arial" w:cs="Arial"/>
          <w:sz w:val="20"/>
          <w:szCs w:val="20"/>
        </w:rPr>
        <w:t xml:space="preserve">We therefore proposed: </w:t>
      </w:r>
    </w:p>
    <w:p w14:paraId="406E5FBD" w14:textId="77777777" w:rsidR="001F5240" w:rsidRDefault="001F5240" w:rsidP="00192292">
      <w:pPr>
        <w:rPr>
          <w:rFonts w:ascii="Arial" w:hAnsi="Arial" w:cs="Arial"/>
          <w:sz w:val="20"/>
          <w:szCs w:val="20"/>
        </w:rPr>
      </w:pPr>
    </w:p>
    <w:p w14:paraId="4F8E7A9B" w14:textId="2A890D0A" w:rsidR="00192292" w:rsidRDefault="00192292" w:rsidP="00192292">
      <w:pPr>
        <w:rPr>
          <w:rFonts w:ascii="Arial" w:hAnsi="Arial" w:cs="Arial"/>
          <w:sz w:val="20"/>
          <w:szCs w:val="20"/>
          <w:lang w:eastAsia="ja-JP"/>
        </w:rPr>
      </w:pPr>
      <w:r w:rsidRPr="00D24407">
        <w:rPr>
          <w:rFonts w:ascii="Arial" w:hAnsi="Arial" w:cs="Arial"/>
          <w:b/>
          <w:bCs/>
          <w:sz w:val="20"/>
          <w:szCs w:val="20"/>
          <w:lang w:eastAsia="ja-JP"/>
        </w:rPr>
        <w:t xml:space="preserve">Proposal </w:t>
      </w:r>
      <w:r w:rsidR="00833A56">
        <w:rPr>
          <w:rFonts w:ascii="Arial" w:hAnsi="Arial" w:cs="Arial"/>
          <w:b/>
          <w:bCs/>
          <w:sz w:val="20"/>
          <w:szCs w:val="20"/>
          <w:lang w:eastAsia="ja-JP"/>
        </w:rPr>
        <w:t>1</w:t>
      </w:r>
      <w:r w:rsidRPr="00D24407">
        <w:rPr>
          <w:rFonts w:ascii="Arial" w:hAnsi="Arial" w:cs="Arial"/>
          <w:sz w:val="20"/>
          <w:szCs w:val="20"/>
          <w:lang w:eastAsia="ja-JP"/>
        </w:rPr>
        <w:t>:</w:t>
      </w:r>
    </w:p>
    <w:p w14:paraId="2802591D" w14:textId="77777777" w:rsidR="00192292" w:rsidRDefault="00192292" w:rsidP="00192292">
      <w:pPr>
        <w:pStyle w:val="ListParagraph"/>
        <w:numPr>
          <w:ilvl w:val="0"/>
          <w:numId w:val="23"/>
        </w:numPr>
        <w:rPr>
          <w:rFonts w:ascii="Arial" w:hAnsi="Arial" w:cs="Arial"/>
          <w:i/>
          <w:iCs/>
          <w:sz w:val="20"/>
          <w:szCs w:val="20"/>
        </w:rPr>
      </w:pPr>
      <w:r>
        <w:rPr>
          <w:rFonts w:ascii="Arial" w:hAnsi="Arial" w:cs="Arial"/>
          <w:i/>
          <w:iCs/>
          <w:sz w:val="20"/>
          <w:szCs w:val="20"/>
        </w:rPr>
        <w:t>For a CFRA procedure in both intra-cell and inter-cell mTRP use case, t</w:t>
      </w:r>
      <w:r w:rsidRPr="00A86306">
        <w:rPr>
          <w:rFonts w:ascii="Arial" w:hAnsi="Arial" w:cs="Arial"/>
          <w:i/>
          <w:iCs/>
          <w:sz w:val="20"/>
          <w:szCs w:val="20"/>
        </w:rPr>
        <w:t xml:space="preserve">he </w:t>
      </w:r>
      <w:r>
        <w:rPr>
          <w:rFonts w:ascii="Arial" w:hAnsi="Arial" w:cs="Arial"/>
          <w:i/>
          <w:iCs/>
          <w:sz w:val="20"/>
          <w:szCs w:val="20"/>
        </w:rPr>
        <w:t xml:space="preserve">SSB indicated in a PDCCH order is used as pathloss RS to determine the transmission power of CFRA preamble. </w:t>
      </w:r>
    </w:p>
    <w:p w14:paraId="26A3981A" w14:textId="45F26EC4" w:rsidR="001F5240" w:rsidRPr="00A86306" w:rsidRDefault="00D92E4D" w:rsidP="00192292">
      <w:pPr>
        <w:pStyle w:val="ListParagraph"/>
        <w:numPr>
          <w:ilvl w:val="0"/>
          <w:numId w:val="23"/>
        </w:numPr>
        <w:rPr>
          <w:rFonts w:ascii="Arial" w:hAnsi="Arial" w:cs="Arial"/>
          <w:i/>
          <w:iCs/>
          <w:sz w:val="20"/>
          <w:szCs w:val="20"/>
        </w:rPr>
      </w:pPr>
      <w:r>
        <w:rPr>
          <w:rFonts w:ascii="Arial" w:hAnsi="Arial" w:cs="Arial"/>
          <w:i/>
          <w:iCs/>
          <w:sz w:val="20"/>
          <w:szCs w:val="20"/>
        </w:rPr>
        <w:t>A UE expects t</w:t>
      </w:r>
      <w:r w:rsidRPr="00D92E4D">
        <w:rPr>
          <w:rFonts w:ascii="Arial" w:hAnsi="Arial" w:cs="Arial"/>
          <w:i/>
          <w:iCs/>
          <w:sz w:val="20"/>
          <w:szCs w:val="20"/>
        </w:rPr>
        <w:t>he indicated SSB is one of the QCL source RS signals of the activated TCI-states.</w:t>
      </w:r>
    </w:p>
    <w:p w14:paraId="7D2167FA" w14:textId="77777777" w:rsidR="00192292" w:rsidRDefault="00192292" w:rsidP="00192292">
      <w:pPr>
        <w:rPr>
          <w:rFonts w:ascii="Arial" w:hAnsi="Arial" w:cs="Arial"/>
          <w:sz w:val="20"/>
          <w:szCs w:val="20"/>
        </w:rPr>
      </w:pPr>
    </w:p>
    <w:p w14:paraId="3D76221D" w14:textId="64E3E3D4" w:rsidR="00192292" w:rsidRPr="00833A56" w:rsidRDefault="00192292" w:rsidP="00833A56">
      <w:pPr>
        <w:rPr>
          <w:rFonts w:ascii="Arial" w:hAnsi="Arial" w:cs="Arial"/>
          <w:i/>
          <w:iCs/>
          <w:sz w:val="20"/>
          <w:szCs w:val="20"/>
        </w:rPr>
      </w:pPr>
    </w:p>
    <w:p w14:paraId="165C2B06" w14:textId="5DCF8F44" w:rsidR="00127B51" w:rsidRPr="00404C4B" w:rsidRDefault="00127B51" w:rsidP="00127B51">
      <w:pPr>
        <w:pStyle w:val="Heading1"/>
        <w:rPr>
          <w:rFonts w:cs="Arial"/>
          <w:lang w:val="en-US" w:eastAsia="zh-CN"/>
        </w:rPr>
      </w:pPr>
      <w:r>
        <w:rPr>
          <w:rFonts w:cs="Arial"/>
          <w:lang w:val="en-US"/>
        </w:rPr>
        <w:t>3</w:t>
      </w:r>
      <w:r w:rsidRPr="00404C4B">
        <w:rPr>
          <w:rFonts w:cs="Arial"/>
          <w:lang w:val="en-US"/>
        </w:rPr>
        <w:t xml:space="preserve">. </w:t>
      </w:r>
      <w:r>
        <w:rPr>
          <w:rFonts w:eastAsia="Times New Roman"/>
          <w:lang w:eastAsia="ja-JP"/>
        </w:rPr>
        <w:t xml:space="preserve">Miscellaneous  </w:t>
      </w:r>
    </w:p>
    <w:p w14:paraId="28536F30" w14:textId="7623724E" w:rsidR="00B97E0A" w:rsidRDefault="00127B51" w:rsidP="00127B51">
      <w:pPr>
        <w:spacing w:after="120"/>
        <w:rPr>
          <w:rFonts w:ascii="Arial" w:hAnsi="Arial" w:cs="Arial"/>
          <w:sz w:val="20"/>
          <w:szCs w:val="20"/>
        </w:rPr>
      </w:pPr>
      <w:r>
        <w:rPr>
          <w:rFonts w:ascii="Arial" w:hAnsi="Arial" w:cs="Arial"/>
          <w:sz w:val="20"/>
          <w:szCs w:val="20"/>
        </w:rPr>
        <w:t xml:space="preserve">RAN1 has agreed the following working assumption [2] </w:t>
      </w:r>
    </w:p>
    <w:p w14:paraId="6B6FBB17" w14:textId="60DEF0FC" w:rsidR="00B97E0A" w:rsidRDefault="00127B51" w:rsidP="00B97E0A">
      <w:pPr>
        <w:rPr>
          <w:rFonts w:ascii="Arial" w:hAnsi="Arial" w:cs="Arial"/>
          <w:sz w:val="20"/>
          <w:szCs w:val="20"/>
        </w:rPr>
      </w:pPr>
      <w:r w:rsidRPr="00934A11">
        <w:rPr>
          <w:noProof/>
          <w:lang w:val="en-GB" w:eastAsia="ja-JP"/>
        </w:rPr>
        <mc:AlternateContent>
          <mc:Choice Requires="wps">
            <w:drawing>
              <wp:inline distT="0" distB="0" distL="0" distR="0" wp14:anchorId="63CFEA9B" wp14:editId="0232EF61">
                <wp:extent cx="6477000" cy="1459230"/>
                <wp:effectExtent l="0" t="0" r="12700" b="7620"/>
                <wp:docPr id="19" name="Text Box 19"/>
                <wp:cNvGraphicFramePr/>
                <a:graphic xmlns:a="http://schemas.openxmlformats.org/drawingml/2006/main">
                  <a:graphicData uri="http://schemas.microsoft.com/office/word/2010/wordprocessingShape">
                    <wps:wsp>
                      <wps:cNvSpPr txBox="1"/>
                      <wps:spPr>
                        <a:xfrm>
                          <a:off x="0" y="0"/>
                          <a:ext cx="6477000" cy="1459230"/>
                        </a:xfrm>
                        <a:prstGeom prst="rect">
                          <a:avLst/>
                        </a:prstGeom>
                        <a:solidFill>
                          <a:schemeClr val="lt1"/>
                        </a:solidFill>
                        <a:ln w="6350">
                          <a:solidFill>
                            <a:prstClr val="black"/>
                          </a:solidFill>
                        </a:ln>
                      </wps:spPr>
                      <wps:txbx>
                        <w:txbxContent>
                          <w:p w14:paraId="3460417E" w14:textId="77777777" w:rsidR="00127B51" w:rsidRPr="00127B51" w:rsidRDefault="00127B51" w:rsidP="00127B51">
                            <w:pPr>
                              <w:rPr>
                                <w:rFonts w:ascii="Arial" w:eastAsia="Batang" w:hAnsi="Arial" w:cs="Arial"/>
                                <w:b/>
                                <w:bCs/>
                                <w:sz w:val="20"/>
                                <w:szCs w:val="20"/>
                                <w:highlight w:val="green"/>
                                <w:lang w:eastAsia="x-none"/>
                              </w:rPr>
                            </w:pPr>
                            <w:r w:rsidRPr="00127B51">
                              <w:rPr>
                                <w:rFonts w:ascii="Arial" w:eastAsia="Batang" w:hAnsi="Arial" w:cs="Arial"/>
                                <w:b/>
                                <w:bCs/>
                                <w:sz w:val="20"/>
                                <w:szCs w:val="20"/>
                                <w:highlight w:val="green"/>
                                <w:lang w:eastAsia="x-none"/>
                              </w:rPr>
                              <w:t xml:space="preserve">Agreement </w:t>
                            </w:r>
                            <w:r w:rsidRPr="00127B51">
                              <w:rPr>
                                <w:rFonts w:ascii="Arial" w:eastAsia="Batang" w:hAnsi="Arial" w:cs="Arial"/>
                                <w:b/>
                                <w:bCs/>
                                <w:sz w:val="20"/>
                                <w:szCs w:val="20"/>
                                <w:lang w:eastAsia="x-none"/>
                              </w:rPr>
                              <w:t xml:space="preserve"> (RAN1#111)</w:t>
                            </w:r>
                          </w:p>
                          <w:p w14:paraId="6BBD4E45" w14:textId="77777777" w:rsidR="00127B51" w:rsidRPr="00127B51" w:rsidRDefault="00127B51" w:rsidP="00127B51">
                            <w:pPr>
                              <w:jc w:val="both"/>
                              <w:rPr>
                                <w:rFonts w:ascii="Arial" w:eastAsia="Batang" w:hAnsi="Arial" w:cs="Arial"/>
                                <w:sz w:val="20"/>
                                <w:szCs w:val="20"/>
                              </w:rPr>
                            </w:pPr>
                            <w:r w:rsidRPr="00127B51">
                              <w:rPr>
                                <w:rFonts w:ascii="Arial" w:eastAsia="Batang" w:hAnsi="Arial" w:cs="Arial"/>
                                <w:sz w:val="20"/>
                                <w:szCs w:val="20"/>
                              </w:rPr>
                              <w:t>For multi-DCI based Multi-TRP operation with two TA enhancement, support the case where a PDCCH order sent by one TRP triggers RACH procedure towards either the same TRP or a different TRP at least for inter-cell Multi-DCI.</w:t>
                            </w:r>
                          </w:p>
                          <w:p w14:paraId="5870B0F0" w14:textId="77777777" w:rsidR="00127B51" w:rsidRPr="00127B51" w:rsidRDefault="00127B51" w:rsidP="00127B51">
                            <w:pPr>
                              <w:numPr>
                                <w:ilvl w:val="0"/>
                                <w:numId w:val="32"/>
                              </w:numPr>
                              <w:spacing w:line="259" w:lineRule="auto"/>
                              <w:ind w:left="714" w:hanging="357"/>
                              <w:jc w:val="both"/>
                              <w:rPr>
                                <w:rFonts w:ascii="Arial" w:eastAsia="Batang" w:hAnsi="Arial" w:cs="Arial"/>
                                <w:sz w:val="20"/>
                                <w:szCs w:val="20"/>
                              </w:rPr>
                            </w:pPr>
                            <w:r w:rsidRPr="00127B51">
                              <w:rPr>
                                <w:rFonts w:ascii="Arial" w:eastAsia="Batang" w:hAnsi="Arial" w:cs="Arial"/>
                                <w:sz w:val="20"/>
                                <w:szCs w:val="20"/>
                              </w:rPr>
                              <w:t>FFS: for intra-cell Multi-DCI</w:t>
                            </w:r>
                          </w:p>
                          <w:p w14:paraId="7640DB66" w14:textId="77777777" w:rsidR="00127B51" w:rsidRPr="00127B51" w:rsidRDefault="00127B51" w:rsidP="00127B51">
                            <w:pPr>
                              <w:numPr>
                                <w:ilvl w:val="0"/>
                                <w:numId w:val="32"/>
                              </w:numPr>
                              <w:spacing w:line="259" w:lineRule="auto"/>
                              <w:ind w:left="714" w:hanging="357"/>
                              <w:jc w:val="both"/>
                              <w:rPr>
                                <w:rFonts w:ascii="Arial" w:eastAsia="Batang" w:hAnsi="Arial" w:cs="Arial"/>
                                <w:sz w:val="20"/>
                                <w:szCs w:val="20"/>
                              </w:rPr>
                            </w:pPr>
                            <w:r w:rsidRPr="00127B51">
                              <w:rPr>
                                <w:rFonts w:ascii="Arial" w:eastAsia="Batang" w:hAnsi="Arial" w:cs="Arial"/>
                                <w:sz w:val="20"/>
                                <w:szCs w:val="20"/>
                              </w:rPr>
                              <w:t>FFS: whether there are any restrictions needed</w:t>
                            </w:r>
                          </w:p>
                          <w:p w14:paraId="312DCDB1" w14:textId="77777777" w:rsidR="00127B51" w:rsidRPr="00127B51" w:rsidRDefault="00127B51" w:rsidP="00127B51">
                            <w:pPr>
                              <w:numPr>
                                <w:ilvl w:val="0"/>
                                <w:numId w:val="32"/>
                              </w:numPr>
                              <w:spacing w:line="259" w:lineRule="auto"/>
                              <w:ind w:left="714" w:hanging="357"/>
                              <w:jc w:val="both"/>
                              <w:rPr>
                                <w:rFonts w:ascii="Arial" w:eastAsia="Batang" w:hAnsi="Arial" w:cs="Arial"/>
                                <w:sz w:val="20"/>
                                <w:szCs w:val="20"/>
                              </w:rPr>
                            </w:pPr>
                            <w:r w:rsidRPr="00127B51">
                              <w:rPr>
                                <w:rFonts w:ascii="Arial" w:eastAsia="Batang" w:hAnsi="Arial" w:cs="Arial"/>
                                <w:sz w:val="20"/>
                                <w:szCs w:val="20"/>
                              </w:rPr>
                              <w:t>FFS: if cross TRP RACH triggering is an optional feature</w:t>
                            </w:r>
                            <w:r w:rsidRPr="00127B51">
                              <w:rPr>
                                <w:rFonts w:ascii="Arial" w:eastAsia="Batang" w:hAnsi="Arial" w:cs="Arial"/>
                                <w:sz w:val="20"/>
                                <w:szCs w:val="20"/>
                                <w:lang w:eastAsia="x-none"/>
                              </w:rPr>
                              <w:t xml:space="preserve"> </w:t>
                            </w:r>
                          </w:p>
                          <w:p w14:paraId="4538DFE2" w14:textId="77777777" w:rsidR="00127B51" w:rsidRPr="00127B51" w:rsidRDefault="00127B51" w:rsidP="00127B51">
                            <w:pPr>
                              <w:rPr>
                                <w:rFonts w:ascii="Arial" w:hAnsi="Arial" w:cs="Arial"/>
                                <w:b/>
                                <w:bCs/>
                                <w:sz w:val="20"/>
                                <w:szCs w:val="20"/>
                                <w:highlight w:val="darkYellow"/>
                                <w:lang w:eastAsia="x-none"/>
                              </w:rPr>
                            </w:pPr>
                          </w:p>
                          <w:p w14:paraId="31F1C01D" w14:textId="77777777" w:rsidR="00127B51" w:rsidRPr="00127B51" w:rsidRDefault="00127B51" w:rsidP="00127B51">
                            <w:pPr>
                              <w:rPr>
                                <w:rFonts w:ascii="Arial" w:hAnsi="Arial" w:cs="Arial"/>
                                <w:b/>
                                <w:bCs/>
                                <w:sz w:val="20"/>
                                <w:szCs w:val="20"/>
                                <w:highlight w:val="darkYellow"/>
                                <w:lang w:eastAsia="x-none"/>
                              </w:rPr>
                            </w:pPr>
                            <w:r w:rsidRPr="00127B51">
                              <w:rPr>
                                <w:rFonts w:ascii="Arial" w:hAnsi="Arial" w:cs="Arial"/>
                                <w:b/>
                                <w:bCs/>
                                <w:sz w:val="20"/>
                                <w:szCs w:val="20"/>
                                <w:highlight w:val="darkYellow"/>
                                <w:lang w:eastAsia="x-none"/>
                              </w:rPr>
                              <w:t xml:space="preserve">Working Assumption </w:t>
                            </w:r>
                            <w:r w:rsidRPr="00127B51">
                              <w:rPr>
                                <w:rFonts w:ascii="Arial" w:hAnsi="Arial" w:cs="Arial"/>
                                <w:b/>
                                <w:bCs/>
                                <w:sz w:val="20"/>
                                <w:szCs w:val="20"/>
                                <w:lang w:eastAsia="x-none"/>
                              </w:rPr>
                              <w:t>(RAN1#113)</w:t>
                            </w:r>
                          </w:p>
                          <w:p w14:paraId="2263D84D" w14:textId="77777777" w:rsidR="00127B51" w:rsidRPr="00127B51" w:rsidRDefault="00127B51" w:rsidP="00127B51">
                            <w:pPr>
                              <w:jc w:val="both"/>
                              <w:rPr>
                                <w:rStyle w:val="Emphasis"/>
                                <w:rFonts w:ascii="Arial" w:hAnsi="Arial" w:cs="Arial"/>
                                <w:i w:val="0"/>
                                <w:iCs w:val="0"/>
                                <w:sz w:val="20"/>
                                <w:szCs w:val="20"/>
                              </w:rPr>
                            </w:pPr>
                            <w:r w:rsidRPr="00127B51">
                              <w:rPr>
                                <w:rStyle w:val="Emphasis"/>
                                <w:rFonts w:ascii="Arial" w:hAnsi="Arial" w:cs="Arial"/>
                                <w:i w:val="0"/>
                                <w:iCs w:val="0"/>
                                <w:sz w:val="20"/>
                                <w:szCs w:val="20"/>
                              </w:rPr>
                              <w:t>For intra-cell multi-DCI based Multi-TRP operation with two TA enhancement, support the case where a PDCCH order sent by TRP</w:t>
                            </w:r>
                            <w:r w:rsidRPr="00127B51">
                              <w:rPr>
                                <w:rStyle w:val="Emphasis"/>
                                <w:rFonts w:ascii="Arial" w:hAnsi="Arial" w:cs="Arial"/>
                                <w:i w:val="0"/>
                                <w:iCs w:val="0"/>
                                <w:sz w:val="20"/>
                                <w:szCs w:val="20"/>
                                <w:vertAlign w:val="subscript"/>
                              </w:rPr>
                              <w:t>X</w:t>
                            </w:r>
                            <w:r w:rsidRPr="00127B51">
                              <w:rPr>
                                <w:rStyle w:val="Emphasis"/>
                                <w:rFonts w:ascii="Arial" w:hAnsi="Arial" w:cs="Arial"/>
                                <w:i w:val="0"/>
                                <w:iCs w:val="0"/>
                                <w:sz w:val="20"/>
                                <w:szCs w:val="20"/>
                              </w:rPr>
                              <w:t xml:space="preserve"> triggers RACH procedure towards either TRP</w:t>
                            </w:r>
                            <w:r w:rsidRPr="00127B51">
                              <w:rPr>
                                <w:rStyle w:val="Emphasis"/>
                                <w:rFonts w:ascii="Arial" w:hAnsi="Arial" w:cs="Arial"/>
                                <w:i w:val="0"/>
                                <w:iCs w:val="0"/>
                                <w:sz w:val="20"/>
                                <w:szCs w:val="20"/>
                                <w:vertAlign w:val="subscript"/>
                              </w:rPr>
                              <w:t>X</w:t>
                            </w:r>
                            <w:r w:rsidRPr="00127B51">
                              <w:rPr>
                                <w:rStyle w:val="Emphasis"/>
                                <w:rFonts w:ascii="Arial" w:hAnsi="Arial" w:cs="Arial"/>
                                <w:i w:val="0"/>
                                <w:iCs w:val="0"/>
                                <w:sz w:val="20"/>
                                <w:szCs w:val="20"/>
                              </w:rPr>
                              <w:t xml:space="preserve"> or TRP</w:t>
                            </w:r>
                            <w:r w:rsidRPr="00127B51">
                              <w:rPr>
                                <w:rStyle w:val="Emphasis"/>
                                <w:rFonts w:ascii="Arial" w:hAnsi="Arial" w:cs="Arial"/>
                                <w:i w:val="0"/>
                                <w:iCs w:val="0"/>
                                <w:sz w:val="20"/>
                                <w:szCs w:val="20"/>
                                <w:vertAlign w:val="subscript"/>
                              </w:rPr>
                              <w:t>Y</w:t>
                            </w:r>
                            <w:r w:rsidRPr="00127B51">
                              <w:rPr>
                                <w:rStyle w:val="Emphasis"/>
                                <w:rFonts w:ascii="Arial" w:hAnsi="Arial" w:cs="Arial"/>
                                <w:i w:val="0"/>
                                <w:iCs w:val="0"/>
                                <w:sz w:val="20"/>
                                <w:szCs w:val="20"/>
                              </w:rPr>
                              <w:t xml:space="preserve">. </w:t>
                            </w:r>
                          </w:p>
                          <w:p w14:paraId="50CF105A" w14:textId="36083249" w:rsidR="00D642DF" w:rsidRPr="00D642DF" w:rsidRDefault="00127B51" w:rsidP="00D642DF">
                            <w:pPr>
                              <w:numPr>
                                <w:ilvl w:val="0"/>
                                <w:numId w:val="37"/>
                              </w:numPr>
                              <w:jc w:val="both"/>
                              <w:rPr>
                                <w:rFonts w:ascii="Arial" w:hAnsi="Arial" w:cs="Arial"/>
                                <w:i/>
                                <w:iCs/>
                                <w:sz w:val="20"/>
                                <w:szCs w:val="20"/>
                              </w:rPr>
                            </w:pPr>
                            <w:r w:rsidRPr="00127B51">
                              <w:rPr>
                                <w:rStyle w:val="Emphasis"/>
                                <w:rFonts w:ascii="Arial" w:hAnsi="Arial" w:cs="Arial"/>
                                <w:i w:val="0"/>
                                <w:iCs w:val="0"/>
                                <w:sz w:val="20"/>
                                <w:szCs w:val="20"/>
                              </w:rPr>
                              <w:t>FFS: details of PRACH power 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3CFEA9B" id="_x0000_t202" coordsize="21600,21600" o:spt="202" path="m,l,21600r21600,l21600,xe">
                <v:stroke joinstyle="miter"/>
                <v:path gradientshapeok="t" o:connecttype="rect"/>
              </v:shapetype>
              <v:shape id="Text Box 19" o:spid="_x0000_s1026" type="#_x0000_t202" style="width:510pt;height:11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" fillcolor="white [3201]" strokeweight=".5pt">
                <v:textbox style="mso-fit-shape-to-text:t">
                  <w:txbxContent>
                    <w:p w14:paraId="3460417E" w14:textId="77777777" w:rsidR="00127B51" w:rsidRPr="00127B51" w:rsidRDefault="00127B51" w:rsidP="00127B51">
                      <w:pPr>
                        <w:rPr>
                          <w:rFonts w:ascii="Arial" w:eastAsia="Batang" w:hAnsi="Arial" w:cs="Arial"/>
                          <w:b/>
                          <w:bCs/>
                          <w:sz w:val="20"/>
                          <w:szCs w:val="20"/>
                          <w:highlight w:val="green"/>
                          <w:lang w:eastAsia="x-none"/>
                        </w:rPr>
                      </w:pPr>
                      <w:r w:rsidRPr="00127B51">
                        <w:rPr>
                          <w:rFonts w:ascii="Arial" w:eastAsia="Batang" w:hAnsi="Arial" w:cs="Arial"/>
                          <w:b/>
                          <w:bCs/>
                          <w:sz w:val="20"/>
                          <w:szCs w:val="20"/>
                          <w:highlight w:val="green"/>
                          <w:lang w:eastAsia="x-none"/>
                        </w:rPr>
                        <w:t xml:space="preserve">Agreement </w:t>
                      </w:r>
                      <w:r w:rsidRPr="00127B51">
                        <w:rPr>
                          <w:rFonts w:ascii="Arial" w:eastAsia="Batang" w:hAnsi="Arial" w:cs="Arial"/>
                          <w:b/>
                          <w:bCs/>
                          <w:sz w:val="20"/>
                          <w:szCs w:val="20"/>
                          <w:lang w:eastAsia="x-none"/>
                        </w:rPr>
                        <w:t xml:space="preserve"> (RAN1#111)</w:t>
                      </w:r>
                    </w:p>
                    <w:p w14:paraId="6BBD4E45" w14:textId="77777777" w:rsidR="00127B51" w:rsidRPr="00127B51" w:rsidRDefault="00127B51" w:rsidP="00127B51">
                      <w:pPr>
                        <w:jc w:val="both"/>
                        <w:rPr>
                          <w:rFonts w:ascii="Arial" w:eastAsia="Batang" w:hAnsi="Arial" w:cs="Arial"/>
                          <w:sz w:val="20"/>
                          <w:szCs w:val="20"/>
                        </w:rPr>
                      </w:pPr>
                      <w:r w:rsidRPr="00127B51">
                        <w:rPr>
                          <w:rFonts w:ascii="Arial" w:eastAsia="Batang" w:hAnsi="Arial" w:cs="Arial"/>
                          <w:sz w:val="20"/>
                          <w:szCs w:val="20"/>
                        </w:rPr>
                        <w:t>For multi-DCI based Multi-TRP operation with two TA enhancement, support the case where a PDCCH order sent by one TRP triggers RACH procedure towards either the same TRP or a different TRP at least for inter-cell Multi-DCI.</w:t>
                      </w:r>
                    </w:p>
                    <w:p w14:paraId="5870B0F0" w14:textId="77777777" w:rsidR="00127B51" w:rsidRPr="00127B51" w:rsidRDefault="00127B51" w:rsidP="00127B51">
                      <w:pPr>
                        <w:numPr>
                          <w:ilvl w:val="0"/>
                          <w:numId w:val="32"/>
                        </w:numPr>
                        <w:spacing w:line="259" w:lineRule="auto"/>
                        <w:ind w:left="714" w:hanging="357"/>
                        <w:jc w:val="both"/>
                        <w:rPr>
                          <w:rFonts w:ascii="Arial" w:eastAsia="Batang" w:hAnsi="Arial" w:cs="Arial"/>
                          <w:sz w:val="20"/>
                          <w:szCs w:val="20"/>
                        </w:rPr>
                      </w:pPr>
                      <w:r w:rsidRPr="00127B51">
                        <w:rPr>
                          <w:rFonts w:ascii="Arial" w:eastAsia="Batang" w:hAnsi="Arial" w:cs="Arial"/>
                          <w:sz w:val="20"/>
                          <w:szCs w:val="20"/>
                        </w:rPr>
                        <w:t>FFS: for intra-cell Multi-DCI</w:t>
                      </w:r>
                    </w:p>
                    <w:p w14:paraId="7640DB66" w14:textId="77777777" w:rsidR="00127B51" w:rsidRPr="00127B51" w:rsidRDefault="00127B51" w:rsidP="00127B51">
                      <w:pPr>
                        <w:numPr>
                          <w:ilvl w:val="0"/>
                          <w:numId w:val="32"/>
                        </w:numPr>
                        <w:spacing w:line="259" w:lineRule="auto"/>
                        <w:ind w:left="714" w:hanging="357"/>
                        <w:jc w:val="both"/>
                        <w:rPr>
                          <w:rFonts w:ascii="Arial" w:eastAsia="Batang" w:hAnsi="Arial" w:cs="Arial"/>
                          <w:sz w:val="20"/>
                          <w:szCs w:val="20"/>
                        </w:rPr>
                      </w:pPr>
                      <w:r w:rsidRPr="00127B51">
                        <w:rPr>
                          <w:rFonts w:ascii="Arial" w:eastAsia="Batang" w:hAnsi="Arial" w:cs="Arial"/>
                          <w:sz w:val="20"/>
                          <w:szCs w:val="20"/>
                        </w:rPr>
                        <w:t>FFS: whether there are any restrictions needed</w:t>
                      </w:r>
                    </w:p>
                    <w:p w14:paraId="312DCDB1" w14:textId="77777777" w:rsidR="00127B51" w:rsidRPr="00127B51" w:rsidRDefault="00127B51" w:rsidP="00127B51">
                      <w:pPr>
                        <w:numPr>
                          <w:ilvl w:val="0"/>
                          <w:numId w:val="32"/>
                        </w:numPr>
                        <w:spacing w:line="259" w:lineRule="auto"/>
                        <w:ind w:left="714" w:hanging="357"/>
                        <w:jc w:val="both"/>
                        <w:rPr>
                          <w:rFonts w:ascii="Arial" w:eastAsia="Batang" w:hAnsi="Arial" w:cs="Arial"/>
                          <w:sz w:val="20"/>
                          <w:szCs w:val="20"/>
                        </w:rPr>
                      </w:pPr>
                      <w:r w:rsidRPr="00127B51">
                        <w:rPr>
                          <w:rFonts w:ascii="Arial" w:eastAsia="Batang" w:hAnsi="Arial" w:cs="Arial"/>
                          <w:sz w:val="20"/>
                          <w:szCs w:val="20"/>
                        </w:rPr>
                        <w:t>FFS: if cross TRP RACH triggering is an optional feature</w:t>
                      </w:r>
                      <w:r w:rsidRPr="00127B51">
                        <w:rPr>
                          <w:rFonts w:ascii="Arial" w:eastAsia="Batang" w:hAnsi="Arial" w:cs="Arial"/>
                          <w:sz w:val="20"/>
                          <w:szCs w:val="20"/>
                          <w:lang w:eastAsia="x-none"/>
                        </w:rPr>
                        <w:t xml:space="preserve"> </w:t>
                      </w:r>
                    </w:p>
                    <w:p w14:paraId="4538DFE2" w14:textId="77777777" w:rsidR="00127B51" w:rsidRPr="00127B51" w:rsidRDefault="00127B51" w:rsidP="00127B51">
                      <w:pPr>
                        <w:rPr>
                          <w:rFonts w:ascii="Arial" w:hAnsi="Arial" w:cs="Arial"/>
                          <w:b/>
                          <w:bCs/>
                          <w:sz w:val="20"/>
                          <w:szCs w:val="20"/>
                          <w:highlight w:val="darkYellow"/>
                          <w:lang w:eastAsia="x-none"/>
                        </w:rPr>
                      </w:pPr>
                    </w:p>
                    <w:p w14:paraId="31F1C01D" w14:textId="77777777" w:rsidR="00127B51" w:rsidRPr="00127B51" w:rsidRDefault="00127B51" w:rsidP="00127B51">
                      <w:pPr>
                        <w:rPr>
                          <w:rFonts w:ascii="Arial" w:hAnsi="Arial" w:cs="Arial"/>
                          <w:b/>
                          <w:bCs/>
                          <w:sz w:val="20"/>
                          <w:szCs w:val="20"/>
                          <w:highlight w:val="darkYellow"/>
                          <w:lang w:eastAsia="x-none"/>
                        </w:rPr>
                      </w:pPr>
                      <w:r w:rsidRPr="00127B51">
                        <w:rPr>
                          <w:rFonts w:ascii="Arial" w:hAnsi="Arial" w:cs="Arial"/>
                          <w:b/>
                          <w:bCs/>
                          <w:sz w:val="20"/>
                          <w:szCs w:val="20"/>
                          <w:highlight w:val="darkYellow"/>
                          <w:lang w:eastAsia="x-none"/>
                        </w:rPr>
                        <w:t xml:space="preserve">Working Assumption </w:t>
                      </w:r>
                      <w:r w:rsidRPr="00127B51">
                        <w:rPr>
                          <w:rFonts w:ascii="Arial" w:hAnsi="Arial" w:cs="Arial"/>
                          <w:b/>
                          <w:bCs/>
                          <w:sz w:val="20"/>
                          <w:szCs w:val="20"/>
                          <w:lang w:eastAsia="x-none"/>
                        </w:rPr>
                        <w:t>(RAN1#113)</w:t>
                      </w:r>
                    </w:p>
                    <w:p w14:paraId="2263D84D" w14:textId="77777777" w:rsidR="00127B51" w:rsidRPr="00127B51" w:rsidRDefault="00127B51" w:rsidP="00127B51">
                      <w:pPr>
                        <w:jc w:val="both"/>
                        <w:rPr>
                          <w:rStyle w:val="Emphasis"/>
                          <w:rFonts w:ascii="Arial" w:hAnsi="Arial" w:cs="Arial"/>
                          <w:i w:val="0"/>
                          <w:iCs w:val="0"/>
                          <w:sz w:val="20"/>
                          <w:szCs w:val="20"/>
                        </w:rPr>
                      </w:pPr>
                      <w:r w:rsidRPr="00127B51">
                        <w:rPr>
                          <w:rStyle w:val="Emphasis"/>
                          <w:rFonts w:ascii="Arial" w:hAnsi="Arial" w:cs="Arial"/>
                          <w:i w:val="0"/>
                          <w:iCs w:val="0"/>
                          <w:sz w:val="20"/>
                          <w:szCs w:val="20"/>
                        </w:rPr>
                        <w:t>For intra-cell multi-DCI based Multi-TRP operation with two TA enhancement, support the case where a PDCCH order sent by TRP</w:t>
                      </w:r>
                      <w:r w:rsidRPr="00127B51">
                        <w:rPr>
                          <w:rStyle w:val="Emphasis"/>
                          <w:rFonts w:ascii="Arial" w:hAnsi="Arial" w:cs="Arial"/>
                          <w:i w:val="0"/>
                          <w:iCs w:val="0"/>
                          <w:sz w:val="20"/>
                          <w:szCs w:val="20"/>
                          <w:vertAlign w:val="subscript"/>
                        </w:rPr>
                        <w:t>X</w:t>
                      </w:r>
                      <w:r w:rsidRPr="00127B51">
                        <w:rPr>
                          <w:rStyle w:val="Emphasis"/>
                          <w:rFonts w:ascii="Arial" w:hAnsi="Arial" w:cs="Arial"/>
                          <w:i w:val="0"/>
                          <w:iCs w:val="0"/>
                          <w:sz w:val="20"/>
                          <w:szCs w:val="20"/>
                        </w:rPr>
                        <w:t xml:space="preserve"> triggers RACH procedure towards either TRP</w:t>
                      </w:r>
                      <w:r w:rsidRPr="00127B51">
                        <w:rPr>
                          <w:rStyle w:val="Emphasis"/>
                          <w:rFonts w:ascii="Arial" w:hAnsi="Arial" w:cs="Arial"/>
                          <w:i w:val="0"/>
                          <w:iCs w:val="0"/>
                          <w:sz w:val="20"/>
                          <w:szCs w:val="20"/>
                          <w:vertAlign w:val="subscript"/>
                        </w:rPr>
                        <w:t>X</w:t>
                      </w:r>
                      <w:r w:rsidRPr="00127B51">
                        <w:rPr>
                          <w:rStyle w:val="Emphasis"/>
                          <w:rFonts w:ascii="Arial" w:hAnsi="Arial" w:cs="Arial"/>
                          <w:i w:val="0"/>
                          <w:iCs w:val="0"/>
                          <w:sz w:val="20"/>
                          <w:szCs w:val="20"/>
                        </w:rPr>
                        <w:t xml:space="preserve"> or TRP</w:t>
                      </w:r>
                      <w:r w:rsidRPr="00127B51">
                        <w:rPr>
                          <w:rStyle w:val="Emphasis"/>
                          <w:rFonts w:ascii="Arial" w:hAnsi="Arial" w:cs="Arial"/>
                          <w:i w:val="0"/>
                          <w:iCs w:val="0"/>
                          <w:sz w:val="20"/>
                          <w:szCs w:val="20"/>
                          <w:vertAlign w:val="subscript"/>
                        </w:rPr>
                        <w:t>Y</w:t>
                      </w:r>
                      <w:r w:rsidRPr="00127B51">
                        <w:rPr>
                          <w:rStyle w:val="Emphasis"/>
                          <w:rFonts w:ascii="Arial" w:hAnsi="Arial" w:cs="Arial"/>
                          <w:i w:val="0"/>
                          <w:iCs w:val="0"/>
                          <w:sz w:val="20"/>
                          <w:szCs w:val="20"/>
                        </w:rPr>
                        <w:t xml:space="preserve">. </w:t>
                      </w:r>
                    </w:p>
                    <w:p w14:paraId="50CF105A" w14:textId="36083249" w:rsidR="00D642DF" w:rsidRPr="00D642DF" w:rsidRDefault="00127B51" w:rsidP="00D642DF">
                      <w:pPr>
                        <w:numPr>
                          <w:ilvl w:val="0"/>
                          <w:numId w:val="37"/>
                        </w:numPr>
                        <w:jc w:val="both"/>
                        <w:rPr>
                          <w:rFonts w:ascii="Arial" w:hAnsi="Arial" w:cs="Arial"/>
                          <w:i/>
                          <w:iCs/>
                          <w:sz w:val="20"/>
                          <w:szCs w:val="20"/>
                        </w:rPr>
                      </w:pPr>
                      <w:r w:rsidRPr="00127B51">
                        <w:rPr>
                          <w:rStyle w:val="Emphasis"/>
                          <w:rFonts w:ascii="Arial" w:hAnsi="Arial" w:cs="Arial"/>
                          <w:i w:val="0"/>
                          <w:iCs w:val="0"/>
                          <w:sz w:val="20"/>
                          <w:szCs w:val="20"/>
                        </w:rPr>
                        <w:t>FFS: details of PRACH power control</w:t>
                      </w:r>
                    </w:p>
                  </w:txbxContent>
                </v:textbox>
                <w10:anchorlock/>
              </v:shape>
            </w:pict>
          </mc:Fallback>
        </mc:AlternateContent>
      </w:r>
    </w:p>
    <w:p w14:paraId="27B4095C" w14:textId="77777777" w:rsidR="00127B51" w:rsidRDefault="00127B51" w:rsidP="00B97E0A">
      <w:pPr>
        <w:rPr>
          <w:rFonts w:ascii="Arial" w:hAnsi="Arial" w:cs="Arial"/>
          <w:sz w:val="20"/>
          <w:szCs w:val="20"/>
        </w:rPr>
      </w:pPr>
    </w:p>
    <w:p w14:paraId="3BB5DA1E" w14:textId="77777777" w:rsidR="007F4328" w:rsidRDefault="00127B51" w:rsidP="00B97E0A">
      <w:pPr>
        <w:rPr>
          <w:rFonts w:ascii="Arial" w:hAnsi="Arial" w:cs="Arial"/>
          <w:sz w:val="20"/>
          <w:szCs w:val="20"/>
        </w:rPr>
      </w:pPr>
      <w:r>
        <w:rPr>
          <w:rFonts w:ascii="Arial" w:hAnsi="Arial" w:cs="Arial"/>
          <w:sz w:val="20"/>
          <w:szCs w:val="20"/>
        </w:rPr>
        <w:t xml:space="preserve">It was agreed to support intra-cell multi-DCI mTRP sceanrio for two TAs in Rel-18 in </w:t>
      </w:r>
      <w:r w:rsidR="00D642DF">
        <w:rPr>
          <w:rFonts w:ascii="Arial" w:hAnsi="Arial" w:cs="Arial"/>
          <w:sz w:val="20"/>
          <w:szCs w:val="20"/>
        </w:rPr>
        <w:t xml:space="preserve">[3]. </w:t>
      </w:r>
      <w:r w:rsidR="007F4328">
        <w:rPr>
          <w:rFonts w:ascii="Arial" w:hAnsi="Arial" w:cs="Arial"/>
          <w:sz w:val="20"/>
          <w:szCs w:val="20"/>
        </w:rPr>
        <w:t>For the inter-cell mDCI mTRP scenario, RAN1 agreed to support both ‘same-TRP’ and ‘</w:t>
      </w:r>
      <w:r w:rsidR="00D642DF">
        <w:rPr>
          <w:rFonts w:ascii="Arial" w:hAnsi="Arial" w:cs="Arial"/>
          <w:sz w:val="20"/>
          <w:szCs w:val="20"/>
        </w:rPr>
        <w:t>c</w:t>
      </w:r>
      <w:r>
        <w:rPr>
          <w:rFonts w:ascii="Arial" w:hAnsi="Arial" w:cs="Arial"/>
          <w:sz w:val="20"/>
          <w:szCs w:val="20"/>
        </w:rPr>
        <w:t>ross-TRP</w:t>
      </w:r>
      <w:r w:rsidR="007F4328">
        <w:rPr>
          <w:rFonts w:ascii="Arial" w:hAnsi="Arial" w:cs="Arial"/>
          <w:sz w:val="20"/>
          <w:szCs w:val="20"/>
        </w:rPr>
        <w:t>’</w:t>
      </w:r>
      <w:r>
        <w:rPr>
          <w:rFonts w:ascii="Arial" w:hAnsi="Arial" w:cs="Arial"/>
          <w:sz w:val="20"/>
          <w:szCs w:val="20"/>
        </w:rPr>
        <w:t xml:space="preserve"> PDCCH order CFRA procedure</w:t>
      </w:r>
      <w:r w:rsidR="007F4328">
        <w:rPr>
          <w:rFonts w:ascii="Arial" w:hAnsi="Arial" w:cs="Arial"/>
          <w:sz w:val="20"/>
          <w:szCs w:val="20"/>
        </w:rPr>
        <w:t xml:space="preserve"> to provide flexibility for TA acqusition. The potential benefit of ‘cross-TRP’ PDCCH  is common for both inter-cell mTRP and intra-cell mTRP scenarios. We therefore propose to confirm a wording assumption such that a unified solution can be operated for both two scenarios. </w:t>
      </w:r>
    </w:p>
    <w:p w14:paraId="1D57176D" w14:textId="77777777" w:rsidR="007F4328" w:rsidRDefault="007F4328" w:rsidP="00B97E0A">
      <w:pPr>
        <w:rPr>
          <w:rFonts w:ascii="Arial" w:hAnsi="Arial" w:cs="Arial"/>
          <w:sz w:val="20"/>
          <w:szCs w:val="20"/>
        </w:rPr>
      </w:pPr>
    </w:p>
    <w:p w14:paraId="4DC5C8B4" w14:textId="77777777" w:rsidR="007F4328" w:rsidRDefault="007F4328" w:rsidP="007F4328">
      <w:pPr>
        <w:rPr>
          <w:rFonts w:ascii="Arial" w:hAnsi="Arial" w:cs="Arial"/>
          <w:sz w:val="20"/>
          <w:szCs w:val="20"/>
        </w:rPr>
      </w:pPr>
      <w:r>
        <w:rPr>
          <w:rFonts w:ascii="Arial" w:hAnsi="Arial" w:cs="Arial"/>
          <w:sz w:val="20"/>
          <w:szCs w:val="20"/>
        </w:rPr>
        <w:t xml:space="preserve">We therefore proposed: </w:t>
      </w:r>
    </w:p>
    <w:p w14:paraId="37B17A08" w14:textId="77777777" w:rsidR="007F4328" w:rsidRDefault="007F4328" w:rsidP="007F4328">
      <w:pPr>
        <w:rPr>
          <w:rFonts w:ascii="Arial" w:hAnsi="Arial" w:cs="Arial"/>
          <w:sz w:val="20"/>
          <w:szCs w:val="20"/>
        </w:rPr>
      </w:pPr>
    </w:p>
    <w:p w14:paraId="2EA35A2D" w14:textId="1D3F02A3" w:rsidR="007F4328" w:rsidRPr="007F4328" w:rsidRDefault="007F4328" w:rsidP="007F4328">
      <w:pPr>
        <w:rPr>
          <w:rFonts w:ascii="Arial" w:hAnsi="Arial" w:cs="Arial"/>
          <w:b/>
          <w:bCs/>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2</w:t>
      </w:r>
      <w:r w:rsidRPr="007F4328">
        <w:rPr>
          <w:rFonts w:ascii="Arial" w:hAnsi="Arial" w:cs="Arial"/>
          <w:b/>
          <w:bCs/>
          <w:sz w:val="20"/>
          <w:szCs w:val="20"/>
          <w:lang w:eastAsia="ja-JP"/>
        </w:rPr>
        <w:t xml:space="preserve">: Confirm </w:t>
      </w:r>
      <w:r>
        <w:rPr>
          <w:rFonts w:ascii="Arial" w:hAnsi="Arial" w:cs="Arial"/>
          <w:b/>
          <w:bCs/>
          <w:sz w:val="20"/>
          <w:szCs w:val="20"/>
          <w:lang w:eastAsia="ja-JP"/>
        </w:rPr>
        <w:t>the following working assumption:</w:t>
      </w:r>
    </w:p>
    <w:p w14:paraId="27728BB6" w14:textId="77777777" w:rsidR="00C9323A" w:rsidRDefault="00C9323A" w:rsidP="00C9323A">
      <w:pPr>
        <w:pStyle w:val="ListParagraph"/>
        <w:numPr>
          <w:ilvl w:val="0"/>
          <w:numId w:val="42"/>
        </w:numPr>
        <w:jc w:val="both"/>
        <w:rPr>
          <w:rStyle w:val="Emphasis"/>
          <w:rFonts w:ascii="Arial" w:hAnsi="Arial" w:cs="Arial"/>
          <w:sz w:val="20"/>
          <w:szCs w:val="20"/>
        </w:rPr>
      </w:pPr>
      <w:r w:rsidRPr="00C9323A">
        <w:rPr>
          <w:rStyle w:val="Emphasis"/>
          <w:rFonts w:ascii="Arial" w:hAnsi="Arial" w:cs="Arial"/>
          <w:sz w:val="20"/>
          <w:szCs w:val="20"/>
        </w:rPr>
        <w:t>For intra-cell multi-DCI based Multi-TRP operation with two TA enhancement, support the case where a PDCCH order sent by TRP</w:t>
      </w:r>
      <w:r w:rsidRPr="00C9323A">
        <w:rPr>
          <w:rStyle w:val="Emphasis"/>
          <w:rFonts w:ascii="Arial" w:hAnsi="Arial" w:cs="Arial"/>
          <w:sz w:val="20"/>
          <w:szCs w:val="20"/>
          <w:vertAlign w:val="subscript"/>
        </w:rPr>
        <w:t>X</w:t>
      </w:r>
      <w:r w:rsidRPr="00C9323A">
        <w:rPr>
          <w:rStyle w:val="Emphasis"/>
          <w:rFonts w:ascii="Arial" w:hAnsi="Arial" w:cs="Arial"/>
          <w:sz w:val="20"/>
          <w:szCs w:val="20"/>
        </w:rPr>
        <w:t xml:space="preserve"> triggers RACH procedure towards either TRP</w:t>
      </w:r>
      <w:r w:rsidRPr="00C9323A">
        <w:rPr>
          <w:rStyle w:val="Emphasis"/>
          <w:rFonts w:ascii="Arial" w:hAnsi="Arial" w:cs="Arial"/>
          <w:sz w:val="20"/>
          <w:szCs w:val="20"/>
          <w:vertAlign w:val="subscript"/>
        </w:rPr>
        <w:t>X</w:t>
      </w:r>
      <w:r w:rsidRPr="00C9323A">
        <w:rPr>
          <w:rStyle w:val="Emphasis"/>
          <w:rFonts w:ascii="Arial" w:hAnsi="Arial" w:cs="Arial"/>
          <w:sz w:val="20"/>
          <w:szCs w:val="20"/>
        </w:rPr>
        <w:t xml:space="preserve"> or TRP</w:t>
      </w:r>
      <w:r w:rsidRPr="00C9323A">
        <w:rPr>
          <w:rStyle w:val="Emphasis"/>
          <w:rFonts w:ascii="Arial" w:hAnsi="Arial" w:cs="Arial"/>
          <w:sz w:val="20"/>
          <w:szCs w:val="20"/>
          <w:vertAlign w:val="subscript"/>
        </w:rPr>
        <w:t>Y</w:t>
      </w:r>
      <w:r w:rsidRPr="00C9323A">
        <w:rPr>
          <w:rStyle w:val="Emphasis"/>
          <w:rFonts w:ascii="Arial" w:hAnsi="Arial" w:cs="Arial"/>
          <w:sz w:val="20"/>
          <w:szCs w:val="20"/>
        </w:rPr>
        <w:t xml:space="preserve">. </w:t>
      </w:r>
    </w:p>
    <w:p w14:paraId="649CE254" w14:textId="77777777" w:rsidR="004469FD" w:rsidRDefault="004469FD" w:rsidP="004469FD">
      <w:pPr>
        <w:jc w:val="both"/>
        <w:rPr>
          <w:rStyle w:val="Emphasis"/>
          <w:rFonts w:ascii="Arial" w:hAnsi="Arial" w:cs="Arial"/>
          <w:sz w:val="20"/>
          <w:szCs w:val="20"/>
        </w:rPr>
      </w:pPr>
    </w:p>
    <w:p w14:paraId="5FF5C477" w14:textId="77777777" w:rsidR="004469FD" w:rsidRPr="004469FD" w:rsidRDefault="004469FD" w:rsidP="004469FD">
      <w:pPr>
        <w:jc w:val="both"/>
        <w:rPr>
          <w:rStyle w:val="Emphasis"/>
          <w:rFonts w:ascii="Arial" w:hAnsi="Arial" w:cs="Arial"/>
          <w:sz w:val="20"/>
          <w:szCs w:val="20"/>
        </w:rPr>
      </w:pPr>
    </w:p>
    <w:p w14:paraId="40028204" w14:textId="5E19736B" w:rsidR="006E2C0F" w:rsidRPr="00404C4B" w:rsidRDefault="00127B51" w:rsidP="006E2C0F">
      <w:pPr>
        <w:pStyle w:val="Heading1"/>
        <w:rPr>
          <w:rFonts w:cs="Arial"/>
          <w:lang w:val="en-US" w:eastAsia="zh-CN"/>
        </w:rPr>
      </w:pPr>
      <w:r>
        <w:rPr>
          <w:rFonts w:cs="Arial"/>
          <w:lang w:val="en-US"/>
        </w:rPr>
        <w:t>4</w:t>
      </w:r>
      <w:r w:rsidR="006E2C0F" w:rsidRPr="00404C4B">
        <w:rPr>
          <w:rFonts w:cs="Arial"/>
          <w:lang w:val="en-US"/>
        </w:rPr>
        <w:t>. C</w:t>
      </w:r>
      <w:r w:rsidR="006E2C0F" w:rsidRPr="00404C4B">
        <w:rPr>
          <w:rFonts w:cs="Arial"/>
          <w:lang w:val="en-US" w:eastAsia="zh-CN"/>
        </w:rPr>
        <w:t xml:space="preserve">onclusion </w:t>
      </w:r>
    </w:p>
    <w:p w14:paraId="614EC3DB" w14:textId="65412E81" w:rsidR="00400B04" w:rsidRDefault="003250E2" w:rsidP="006A2D3B">
      <w:pPr>
        <w:rPr>
          <w:rFonts w:ascii="Arial" w:hAnsi="Arial" w:cs="Arial"/>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two TAs for mDCI</w:t>
      </w:r>
      <w:r w:rsidR="00835659">
        <w:rPr>
          <w:rFonts w:ascii="Arial" w:hAnsi="Arial" w:cs="Arial"/>
          <w:sz w:val="20"/>
          <w:szCs w:val="20"/>
        </w:rPr>
        <w:t>-based</w:t>
      </w:r>
      <w:r w:rsidR="005E185A" w:rsidRPr="00792A33">
        <w:rPr>
          <w:rFonts w:ascii="Arial" w:hAnsi="Arial" w:cs="Arial"/>
          <w:sz w:val="20"/>
          <w:szCs w:val="20"/>
        </w:rPr>
        <w:t xml:space="preserve"> mTRP</w:t>
      </w:r>
      <w:r w:rsidR="000E50CC" w:rsidRPr="00792A33">
        <w:rPr>
          <w:rFonts w:ascii="Arial" w:hAnsi="Arial" w:cs="Arial"/>
          <w:sz w:val="20"/>
          <w:szCs w:val="20"/>
        </w:rPr>
        <w:t>. Based on the discussions in the previous sections, we</w:t>
      </w:r>
      <w:r w:rsidR="00F1413B" w:rsidRPr="00792A33">
        <w:rPr>
          <w:rFonts w:ascii="Arial" w:hAnsi="Arial" w:cs="Arial"/>
          <w:sz w:val="20"/>
          <w:szCs w:val="20"/>
        </w:rPr>
        <w:t xml:space="preserve"> </w:t>
      </w:r>
      <w:r w:rsidR="000E50CC" w:rsidRPr="00792A33">
        <w:rPr>
          <w:rFonts w:ascii="Arial" w:hAnsi="Arial" w:cs="Arial"/>
          <w:sz w:val="20"/>
          <w:szCs w:val="20"/>
        </w:rPr>
        <w:t xml:space="preserve">propose the following: </w:t>
      </w:r>
    </w:p>
    <w:p w14:paraId="6E1500F7" w14:textId="77777777" w:rsidR="00054944" w:rsidRPr="00792A33" w:rsidRDefault="00054944" w:rsidP="006A2D3B">
      <w:pPr>
        <w:rPr>
          <w:rFonts w:ascii="Arial" w:hAnsi="Arial" w:cs="Arial"/>
          <w:sz w:val="20"/>
          <w:szCs w:val="20"/>
        </w:rPr>
      </w:pPr>
    </w:p>
    <w:p w14:paraId="5B8BA645" w14:textId="77777777" w:rsidR="004469FD" w:rsidRDefault="004469FD" w:rsidP="004469FD">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1</w:t>
      </w:r>
      <w:r w:rsidRPr="00D24407">
        <w:rPr>
          <w:rFonts w:ascii="Arial" w:hAnsi="Arial" w:cs="Arial"/>
          <w:sz w:val="20"/>
          <w:szCs w:val="20"/>
          <w:lang w:eastAsia="ja-JP"/>
        </w:rPr>
        <w:t>:</w:t>
      </w:r>
    </w:p>
    <w:p w14:paraId="1776850D" w14:textId="77777777" w:rsidR="004469FD" w:rsidRDefault="004469FD" w:rsidP="004469FD">
      <w:pPr>
        <w:pStyle w:val="ListParagraph"/>
        <w:numPr>
          <w:ilvl w:val="0"/>
          <w:numId w:val="23"/>
        </w:numPr>
        <w:rPr>
          <w:rFonts w:ascii="Arial" w:hAnsi="Arial" w:cs="Arial"/>
          <w:i/>
          <w:iCs/>
          <w:sz w:val="20"/>
          <w:szCs w:val="20"/>
        </w:rPr>
      </w:pPr>
      <w:r>
        <w:rPr>
          <w:rFonts w:ascii="Arial" w:hAnsi="Arial" w:cs="Arial"/>
          <w:i/>
          <w:iCs/>
          <w:sz w:val="20"/>
          <w:szCs w:val="20"/>
        </w:rPr>
        <w:t>For a CFRA procedure in both intra-cell and inter-cell mTRP use case, t</w:t>
      </w:r>
      <w:r w:rsidRPr="00A86306">
        <w:rPr>
          <w:rFonts w:ascii="Arial" w:hAnsi="Arial" w:cs="Arial"/>
          <w:i/>
          <w:iCs/>
          <w:sz w:val="20"/>
          <w:szCs w:val="20"/>
        </w:rPr>
        <w:t xml:space="preserve">he </w:t>
      </w:r>
      <w:r>
        <w:rPr>
          <w:rFonts w:ascii="Arial" w:hAnsi="Arial" w:cs="Arial"/>
          <w:i/>
          <w:iCs/>
          <w:sz w:val="20"/>
          <w:szCs w:val="20"/>
        </w:rPr>
        <w:t xml:space="preserve">SSB indicated in a PDCCH order is used as pathloss RS to determine the transmission power of CFRA preamble. </w:t>
      </w:r>
    </w:p>
    <w:p w14:paraId="38DB1159" w14:textId="77777777" w:rsidR="004469FD" w:rsidRPr="00A86306" w:rsidRDefault="004469FD" w:rsidP="004469FD">
      <w:pPr>
        <w:pStyle w:val="ListParagraph"/>
        <w:numPr>
          <w:ilvl w:val="0"/>
          <w:numId w:val="23"/>
        </w:numPr>
        <w:rPr>
          <w:rFonts w:ascii="Arial" w:hAnsi="Arial" w:cs="Arial"/>
          <w:i/>
          <w:iCs/>
          <w:sz w:val="20"/>
          <w:szCs w:val="20"/>
        </w:rPr>
      </w:pPr>
      <w:r>
        <w:rPr>
          <w:rFonts w:ascii="Arial" w:hAnsi="Arial" w:cs="Arial"/>
          <w:i/>
          <w:iCs/>
          <w:sz w:val="20"/>
          <w:szCs w:val="20"/>
        </w:rPr>
        <w:t>A UE expects t</w:t>
      </w:r>
      <w:r w:rsidRPr="00D92E4D">
        <w:rPr>
          <w:rFonts w:ascii="Arial" w:hAnsi="Arial" w:cs="Arial"/>
          <w:i/>
          <w:iCs/>
          <w:sz w:val="20"/>
          <w:szCs w:val="20"/>
        </w:rPr>
        <w:t>he indicated SSB is one of the QCL source RS signals of the activated TCI-states.</w:t>
      </w:r>
    </w:p>
    <w:p w14:paraId="4B7EB95C" w14:textId="77777777" w:rsidR="005B67A0" w:rsidRDefault="005B67A0" w:rsidP="00D12341">
      <w:pPr>
        <w:rPr>
          <w:rFonts w:ascii="Arial" w:hAnsi="Arial" w:cs="Arial"/>
          <w:color w:val="000000" w:themeColor="text1"/>
        </w:rPr>
      </w:pPr>
    </w:p>
    <w:p w14:paraId="32FCD4C7" w14:textId="77777777" w:rsidR="004469FD" w:rsidRPr="007F4328" w:rsidRDefault="004469FD" w:rsidP="004469FD">
      <w:pPr>
        <w:rPr>
          <w:rFonts w:ascii="Arial" w:hAnsi="Arial" w:cs="Arial"/>
          <w:b/>
          <w:bCs/>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2</w:t>
      </w:r>
      <w:r w:rsidRPr="007F4328">
        <w:rPr>
          <w:rFonts w:ascii="Arial" w:hAnsi="Arial" w:cs="Arial"/>
          <w:b/>
          <w:bCs/>
          <w:sz w:val="20"/>
          <w:szCs w:val="20"/>
          <w:lang w:eastAsia="ja-JP"/>
        </w:rPr>
        <w:t xml:space="preserve">: Confirm </w:t>
      </w:r>
      <w:r>
        <w:rPr>
          <w:rFonts w:ascii="Arial" w:hAnsi="Arial" w:cs="Arial"/>
          <w:b/>
          <w:bCs/>
          <w:sz w:val="20"/>
          <w:szCs w:val="20"/>
          <w:lang w:eastAsia="ja-JP"/>
        </w:rPr>
        <w:t>the following working assumption:</w:t>
      </w:r>
    </w:p>
    <w:p w14:paraId="287BAC76" w14:textId="77777777" w:rsidR="004469FD" w:rsidRPr="00C9323A" w:rsidRDefault="004469FD" w:rsidP="004469FD">
      <w:pPr>
        <w:pStyle w:val="ListParagraph"/>
        <w:numPr>
          <w:ilvl w:val="0"/>
          <w:numId w:val="42"/>
        </w:numPr>
        <w:jc w:val="both"/>
        <w:rPr>
          <w:rStyle w:val="Emphasis"/>
          <w:rFonts w:ascii="Arial" w:hAnsi="Arial" w:cs="Arial"/>
          <w:sz w:val="20"/>
          <w:szCs w:val="20"/>
        </w:rPr>
      </w:pPr>
      <w:r w:rsidRPr="00C9323A">
        <w:rPr>
          <w:rStyle w:val="Emphasis"/>
          <w:rFonts w:ascii="Arial" w:hAnsi="Arial" w:cs="Arial"/>
          <w:sz w:val="20"/>
          <w:szCs w:val="20"/>
        </w:rPr>
        <w:t>For intra-cell multi-DCI based Multi-TRP operation with two TA enhancement, support the case where a PDCCH order sent by TRP</w:t>
      </w:r>
      <w:r w:rsidRPr="00C9323A">
        <w:rPr>
          <w:rStyle w:val="Emphasis"/>
          <w:rFonts w:ascii="Arial" w:hAnsi="Arial" w:cs="Arial"/>
          <w:sz w:val="20"/>
          <w:szCs w:val="20"/>
          <w:vertAlign w:val="subscript"/>
        </w:rPr>
        <w:t>X</w:t>
      </w:r>
      <w:r w:rsidRPr="00C9323A">
        <w:rPr>
          <w:rStyle w:val="Emphasis"/>
          <w:rFonts w:ascii="Arial" w:hAnsi="Arial" w:cs="Arial"/>
          <w:sz w:val="20"/>
          <w:szCs w:val="20"/>
        </w:rPr>
        <w:t xml:space="preserve"> triggers RACH procedure towards either TRP</w:t>
      </w:r>
      <w:r w:rsidRPr="00C9323A">
        <w:rPr>
          <w:rStyle w:val="Emphasis"/>
          <w:rFonts w:ascii="Arial" w:hAnsi="Arial" w:cs="Arial"/>
          <w:sz w:val="20"/>
          <w:szCs w:val="20"/>
          <w:vertAlign w:val="subscript"/>
        </w:rPr>
        <w:t>X</w:t>
      </w:r>
      <w:r w:rsidRPr="00C9323A">
        <w:rPr>
          <w:rStyle w:val="Emphasis"/>
          <w:rFonts w:ascii="Arial" w:hAnsi="Arial" w:cs="Arial"/>
          <w:sz w:val="20"/>
          <w:szCs w:val="20"/>
        </w:rPr>
        <w:t xml:space="preserve"> or TRP</w:t>
      </w:r>
      <w:r w:rsidRPr="00C9323A">
        <w:rPr>
          <w:rStyle w:val="Emphasis"/>
          <w:rFonts w:ascii="Arial" w:hAnsi="Arial" w:cs="Arial"/>
          <w:sz w:val="20"/>
          <w:szCs w:val="20"/>
          <w:vertAlign w:val="subscript"/>
        </w:rPr>
        <w:t>Y</w:t>
      </w:r>
      <w:r w:rsidRPr="00C9323A">
        <w:rPr>
          <w:rStyle w:val="Emphasis"/>
          <w:rFonts w:ascii="Arial" w:hAnsi="Arial" w:cs="Arial"/>
          <w:sz w:val="20"/>
          <w:szCs w:val="20"/>
        </w:rPr>
        <w:t xml:space="preserve">. </w:t>
      </w:r>
    </w:p>
    <w:p w14:paraId="2F10CFB3" w14:textId="77777777" w:rsidR="004469FD" w:rsidRDefault="004469FD" w:rsidP="00D12341">
      <w:pPr>
        <w:rPr>
          <w:rFonts w:ascii="Arial" w:hAnsi="Arial" w:cs="Arial"/>
          <w:color w:val="000000" w:themeColor="text1"/>
        </w:rPr>
      </w:pPr>
    </w:p>
    <w:p w14:paraId="0A19D88A" w14:textId="77777777" w:rsidR="004469FD" w:rsidRPr="0064642E" w:rsidRDefault="004469FD" w:rsidP="00D12341">
      <w:pPr>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03699EBD" w14:textId="0821045F" w:rsidR="0038234A" w:rsidRPr="00240BE4" w:rsidRDefault="00CD1DAE" w:rsidP="00EB38B6">
      <w:pPr>
        <w:numPr>
          <w:ilvl w:val="0"/>
          <w:numId w:val="1"/>
        </w:numPr>
        <w:jc w:val="both"/>
        <w:rPr>
          <w:rFonts w:ascii="Arial" w:hAnsi="Arial" w:cs="Arial"/>
        </w:rPr>
      </w:pPr>
      <w:r w:rsidRPr="00792A33">
        <w:rPr>
          <w:rFonts w:ascii="Arial" w:hAnsi="Arial" w:cs="Arial"/>
          <w:sz w:val="20"/>
          <w:szCs w:val="20"/>
        </w:rPr>
        <w:t>RAN1 11</w:t>
      </w:r>
      <w:r w:rsidR="00EB38B6">
        <w:rPr>
          <w:rFonts w:ascii="Arial" w:hAnsi="Arial" w:cs="Arial"/>
          <w:sz w:val="20"/>
          <w:szCs w:val="20"/>
        </w:rPr>
        <w:t xml:space="preserve">2bis Chairman note </w:t>
      </w:r>
    </w:p>
    <w:p w14:paraId="67DB66E3" w14:textId="4BDCF1C1" w:rsidR="00240BE4" w:rsidRPr="00D642DF" w:rsidRDefault="00240BE4" w:rsidP="00240BE4">
      <w:pPr>
        <w:numPr>
          <w:ilvl w:val="0"/>
          <w:numId w:val="1"/>
        </w:numPr>
        <w:jc w:val="both"/>
        <w:rPr>
          <w:rFonts w:ascii="Arial" w:hAnsi="Arial" w:cs="Arial"/>
        </w:rPr>
      </w:pPr>
      <w:r w:rsidRPr="00792A33">
        <w:rPr>
          <w:rFonts w:ascii="Arial" w:hAnsi="Arial" w:cs="Arial"/>
          <w:sz w:val="20"/>
          <w:szCs w:val="20"/>
        </w:rPr>
        <w:t>RAN1 11</w:t>
      </w:r>
      <w:r>
        <w:rPr>
          <w:rFonts w:ascii="Arial" w:hAnsi="Arial" w:cs="Arial"/>
          <w:sz w:val="20"/>
          <w:szCs w:val="20"/>
        </w:rPr>
        <w:t xml:space="preserve">3 Chairman note </w:t>
      </w:r>
    </w:p>
    <w:p w14:paraId="4E8AA90F" w14:textId="13A37AF0" w:rsidR="00D642DF" w:rsidRPr="00240BE4" w:rsidRDefault="00D642DF" w:rsidP="00240BE4">
      <w:pPr>
        <w:numPr>
          <w:ilvl w:val="0"/>
          <w:numId w:val="1"/>
        </w:numPr>
        <w:jc w:val="both"/>
        <w:rPr>
          <w:rFonts w:ascii="Arial" w:hAnsi="Arial" w:cs="Arial"/>
        </w:rPr>
      </w:pPr>
      <w:r>
        <w:rPr>
          <w:rFonts w:ascii="Arial" w:hAnsi="Arial" w:cs="Arial"/>
          <w:sz w:val="20"/>
          <w:szCs w:val="20"/>
        </w:rPr>
        <w:t>RAN1 111 Chairman note</w:t>
      </w:r>
    </w:p>
    <w:p w14:paraId="1015DE78" w14:textId="77777777" w:rsidR="00240BE4" w:rsidRPr="000F024D" w:rsidRDefault="00240BE4" w:rsidP="00240BE4">
      <w:pPr>
        <w:ind w:left="420"/>
        <w:jc w:val="both"/>
        <w:rPr>
          <w:rFonts w:ascii="Arial" w:hAnsi="Arial" w:cs="Arial"/>
        </w:rPr>
      </w:pPr>
    </w:p>
    <w:sectPr w:rsidR="00240BE4" w:rsidRPr="000F024D"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99BF4" w14:textId="77777777" w:rsidR="00703E68" w:rsidRDefault="00703E68">
      <w:r>
        <w:separator/>
      </w:r>
    </w:p>
  </w:endnote>
  <w:endnote w:type="continuationSeparator" w:id="0">
    <w:p w14:paraId="307ED8BC" w14:textId="77777777" w:rsidR="00703E68" w:rsidRDefault="0070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roman"/>
    <w:pitch w:val="default"/>
    <w:sig w:usb0="00000000" w:usb1="00000000" w:usb2="00000000" w:usb3="00000000" w:csb0="00000001" w:csb1="00000000"/>
  </w:font>
  <w:font w:name="Times Italic">
    <w:altName w:val="Times New Roman"/>
    <w:panose1 w:val="0000050000000009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E2D28" w14:textId="77777777" w:rsidR="00703E68" w:rsidRDefault="00703E68">
      <w:r>
        <w:separator/>
      </w:r>
    </w:p>
  </w:footnote>
  <w:footnote w:type="continuationSeparator" w:id="0">
    <w:p w14:paraId="5E3E5169" w14:textId="77777777" w:rsidR="00703E68" w:rsidRDefault="0070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064AF"/>
    <w:multiLevelType w:val="hybridMultilevel"/>
    <w:tmpl w:val="9B78E5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68519EC"/>
    <w:multiLevelType w:val="hybridMultilevel"/>
    <w:tmpl w:val="F08E174C"/>
    <w:lvl w:ilvl="0" w:tplc="B5A8667A">
      <w:numFmt w:val="bullet"/>
      <w:lvlText w:val="-"/>
      <w:lvlJc w:val="left"/>
      <w:pPr>
        <w:ind w:left="1080" w:hanging="360"/>
      </w:pPr>
      <w:rPr>
        <w:rFonts w:ascii="Times" w:eastAsia="Batang" w:hAnsi="Times" w:cs="Times"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6F9A3025"/>
    <w:multiLevelType w:val="hybridMultilevel"/>
    <w:tmpl w:val="84B811C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33"/>
  </w:num>
  <w:num w:numId="2" w16cid:durableId="775950945">
    <w:abstractNumId w:val="23"/>
  </w:num>
  <w:num w:numId="3" w16cid:durableId="1829443946">
    <w:abstractNumId w:val="7"/>
  </w:num>
  <w:num w:numId="4" w16cid:durableId="774908576">
    <w:abstractNumId w:val="39"/>
  </w:num>
  <w:num w:numId="5" w16cid:durableId="1080978509">
    <w:abstractNumId w:val="6"/>
  </w:num>
  <w:num w:numId="6" w16cid:durableId="1963072101">
    <w:abstractNumId w:val="37"/>
  </w:num>
  <w:num w:numId="7" w16cid:durableId="5251911">
    <w:abstractNumId w:val="29"/>
  </w:num>
  <w:num w:numId="8" w16cid:durableId="468136793">
    <w:abstractNumId w:val="3"/>
  </w:num>
  <w:num w:numId="9" w16cid:durableId="955254518">
    <w:abstractNumId w:val="17"/>
  </w:num>
  <w:num w:numId="10" w16cid:durableId="1102454232">
    <w:abstractNumId w:val="21"/>
  </w:num>
  <w:num w:numId="11" w16cid:durableId="249388093">
    <w:abstractNumId w:val="26"/>
  </w:num>
  <w:num w:numId="12" w16cid:durableId="1617564302">
    <w:abstractNumId w:val="25"/>
  </w:num>
  <w:num w:numId="13" w16cid:durableId="774445314">
    <w:abstractNumId w:val="14"/>
  </w:num>
  <w:num w:numId="14" w16cid:durableId="1478840111">
    <w:abstractNumId w:val="8"/>
  </w:num>
  <w:num w:numId="15" w16cid:durableId="523714013">
    <w:abstractNumId w:val="27"/>
  </w:num>
  <w:num w:numId="16" w16cid:durableId="2131432209">
    <w:abstractNumId w:val="18"/>
  </w:num>
  <w:num w:numId="17" w16cid:durableId="30425370">
    <w:abstractNumId w:val="40"/>
  </w:num>
  <w:num w:numId="18" w16cid:durableId="857357148">
    <w:abstractNumId w:val="34"/>
  </w:num>
  <w:num w:numId="19" w16cid:durableId="1185168470">
    <w:abstractNumId w:val="2"/>
  </w:num>
  <w:num w:numId="20" w16cid:durableId="572620473">
    <w:abstractNumId w:val="9"/>
  </w:num>
  <w:num w:numId="21" w16cid:durableId="1696540518">
    <w:abstractNumId w:val="0"/>
  </w:num>
  <w:num w:numId="22" w16cid:durableId="561990774">
    <w:abstractNumId w:val="32"/>
  </w:num>
  <w:num w:numId="23" w16cid:durableId="1321424776">
    <w:abstractNumId w:val="16"/>
  </w:num>
  <w:num w:numId="24" w16cid:durableId="642588540">
    <w:abstractNumId w:val="13"/>
  </w:num>
  <w:num w:numId="25" w16cid:durableId="227309444">
    <w:abstractNumId w:val="24"/>
  </w:num>
  <w:num w:numId="26" w16cid:durableId="721289497">
    <w:abstractNumId w:val="20"/>
  </w:num>
  <w:num w:numId="27" w16cid:durableId="411045378">
    <w:abstractNumId w:val="12"/>
  </w:num>
  <w:num w:numId="28" w16cid:durableId="1573344447">
    <w:abstractNumId w:val="15"/>
  </w:num>
  <w:num w:numId="29" w16cid:durableId="204371133">
    <w:abstractNumId w:val="19"/>
  </w:num>
  <w:num w:numId="30" w16cid:durableId="402263810">
    <w:abstractNumId w:val="36"/>
  </w:num>
  <w:num w:numId="31" w16cid:durableId="510224783">
    <w:abstractNumId w:val="30"/>
  </w:num>
  <w:num w:numId="32" w16cid:durableId="853501122">
    <w:abstractNumId w:val="28"/>
  </w:num>
  <w:num w:numId="33" w16cid:durableId="1195923195">
    <w:abstractNumId w:val="35"/>
  </w:num>
  <w:num w:numId="34" w16cid:durableId="47609914">
    <w:abstractNumId w:val="11"/>
  </w:num>
  <w:num w:numId="35" w16cid:durableId="1210724604">
    <w:abstractNumId w:val="1"/>
  </w:num>
  <w:num w:numId="36" w16cid:durableId="1607225224">
    <w:abstractNumId w:val="32"/>
  </w:num>
  <w:num w:numId="37" w16cid:durableId="2025937412">
    <w:abstractNumId w:val="22"/>
  </w:num>
  <w:num w:numId="38" w16cid:durableId="1630889743">
    <w:abstractNumId w:val="5"/>
  </w:num>
  <w:num w:numId="39" w16cid:durableId="1112554586">
    <w:abstractNumId w:val="4"/>
  </w:num>
  <w:num w:numId="40" w16cid:durableId="1116800964">
    <w:abstractNumId w:val="31"/>
  </w:num>
  <w:num w:numId="41" w16cid:durableId="1275212352">
    <w:abstractNumId w:val="38"/>
  </w:num>
  <w:num w:numId="42" w16cid:durableId="72806836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3671"/>
    <w:rsid w:val="00043EA5"/>
    <w:rsid w:val="000457C9"/>
    <w:rsid w:val="00046713"/>
    <w:rsid w:val="0005095F"/>
    <w:rsid w:val="00050CC7"/>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4D35"/>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27B51"/>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5240"/>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65C"/>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30E4"/>
    <w:rsid w:val="003B3132"/>
    <w:rsid w:val="003B32E0"/>
    <w:rsid w:val="003B38EA"/>
    <w:rsid w:val="003B3CDC"/>
    <w:rsid w:val="003B62F0"/>
    <w:rsid w:val="003B6437"/>
    <w:rsid w:val="003B6CDF"/>
    <w:rsid w:val="003B7BE8"/>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69FD"/>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9E4"/>
    <w:rsid w:val="00500649"/>
    <w:rsid w:val="0050071A"/>
    <w:rsid w:val="00501D54"/>
    <w:rsid w:val="00503198"/>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E7BED"/>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13D0"/>
    <w:rsid w:val="00662020"/>
    <w:rsid w:val="006622E5"/>
    <w:rsid w:val="00662B4D"/>
    <w:rsid w:val="00662BD1"/>
    <w:rsid w:val="00662C09"/>
    <w:rsid w:val="0066447A"/>
    <w:rsid w:val="00664DC4"/>
    <w:rsid w:val="00665B7C"/>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5B53"/>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E68"/>
    <w:rsid w:val="00703F6D"/>
    <w:rsid w:val="00704042"/>
    <w:rsid w:val="00704460"/>
    <w:rsid w:val="007069CA"/>
    <w:rsid w:val="00707377"/>
    <w:rsid w:val="00707874"/>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460C"/>
    <w:rsid w:val="00786F91"/>
    <w:rsid w:val="0078731C"/>
    <w:rsid w:val="00787DF3"/>
    <w:rsid w:val="00790F4B"/>
    <w:rsid w:val="007912AE"/>
    <w:rsid w:val="007913D8"/>
    <w:rsid w:val="00792A33"/>
    <w:rsid w:val="007942C4"/>
    <w:rsid w:val="00794BD9"/>
    <w:rsid w:val="0079526C"/>
    <w:rsid w:val="007953B0"/>
    <w:rsid w:val="007A1147"/>
    <w:rsid w:val="007A17EA"/>
    <w:rsid w:val="007A2149"/>
    <w:rsid w:val="007A2C43"/>
    <w:rsid w:val="007A538E"/>
    <w:rsid w:val="007A558B"/>
    <w:rsid w:val="007A6C33"/>
    <w:rsid w:val="007A7D4E"/>
    <w:rsid w:val="007B1159"/>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328"/>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3A56"/>
    <w:rsid w:val="00835659"/>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E8F"/>
    <w:rsid w:val="008E6FCF"/>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41AD"/>
    <w:rsid w:val="00917072"/>
    <w:rsid w:val="009208A2"/>
    <w:rsid w:val="00920B08"/>
    <w:rsid w:val="009247E1"/>
    <w:rsid w:val="00924ECE"/>
    <w:rsid w:val="009252A8"/>
    <w:rsid w:val="00925EF8"/>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88D"/>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447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099"/>
    <w:rsid w:val="00AF5BAF"/>
    <w:rsid w:val="00AF62A7"/>
    <w:rsid w:val="00B00563"/>
    <w:rsid w:val="00B00E51"/>
    <w:rsid w:val="00B01562"/>
    <w:rsid w:val="00B01A91"/>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323A"/>
    <w:rsid w:val="00C94115"/>
    <w:rsid w:val="00C94776"/>
    <w:rsid w:val="00C95BAF"/>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448"/>
    <w:rsid w:val="00D5793E"/>
    <w:rsid w:val="00D6173B"/>
    <w:rsid w:val="00D621A4"/>
    <w:rsid w:val="00D62F6C"/>
    <w:rsid w:val="00D642DF"/>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2E4D"/>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1C24"/>
    <w:rsid w:val="00F820B6"/>
    <w:rsid w:val="00F825A1"/>
    <w:rsid w:val="00F825E6"/>
    <w:rsid w:val="00F826A1"/>
    <w:rsid w:val="00F82EF6"/>
    <w:rsid w:val="00F8312C"/>
    <w:rsid w:val="00F842A8"/>
    <w:rsid w:val="00F8597E"/>
    <w:rsid w:val="00F85C3B"/>
    <w:rsid w:val="00F87539"/>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09782156">
      <w:bodyDiv w:val="1"/>
      <w:marLeft w:val="0"/>
      <w:marRight w:val="0"/>
      <w:marTop w:val="0"/>
      <w:marBottom w:val="0"/>
      <w:divBdr>
        <w:top w:val="none" w:sz="0" w:space="0" w:color="auto"/>
        <w:left w:val="none" w:sz="0" w:space="0" w:color="auto"/>
        <w:bottom w:val="none" w:sz="0" w:space="0" w:color="auto"/>
        <w:right w:val="none" w:sz="0" w:space="0" w:color="auto"/>
      </w:divBdr>
      <w:divsChild>
        <w:div w:id="585965376">
          <w:marLeft w:val="0"/>
          <w:marRight w:val="0"/>
          <w:marTop w:val="0"/>
          <w:marBottom w:val="0"/>
          <w:divBdr>
            <w:top w:val="none" w:sz="0" w:space="0" w:color="auto"/>
            <w:left w:val="none" w:sz="0" w:space="0" w:color="auto"/>
            <w:bottom w:val="none" w:sz="0" w:space="0" w:color="auto"/>
            <w:right w:val="none" w:sz="0" w:space="0" w:color="auto"/>
          </w:divBdr>
        </w:div>
        <w:div w:id="1803646968">
          <w:marLeft w:val="0"/>
          <w:marRight w:val="0"/>
          <w:marTop w:val="0"/>
          <w:marBottom w:val="0"/>
          <w:divBdr>
            <w:top w:val="none" w:sz="0" w:space="0" w:color="auto"/>
            <w:left w:val="none" w:sz="0" w:space="0" w:color="auto"/>
            <w:bottom w:val="none" w:sz="0" w:space="0" w:color="auto"/>
            <w:right w:val="none" w:sz="0" w:space="0" w:color="auto"/>
          </w:divBdr>
        </w:div>
        <w:div w:id="42367448">
          <w:marLeft w:val="0"/>
          <w:marRight w:val="0"/>
          <w:marTop w:val="0"/>
          <w:marBottom w:val="0"/>
          <w:divBdr>
            <w:top w:val="none" w:sz="0" w:space="0" w:color="auto"/>
            <w:left w:val="none" w:sz="0" w:space="0" w:color="auto"/>
            <w:bottom w:val="none" w:sz="0" w:space="0" w:color="auto"/>
            <w:right w:val="none" w:sz="0" w:space="0" w:color="auto"/>
          </w:divBdr>
        </w:div>
        <w:div w:id="1858694712">
          <w:marLeft w:val="0"/>
          <w:marRight w:val="0"/>
          <w:marTop w:val="0"/>
          <w:marBottom w:val="0"/>
          <w:divBdr>
            <w:top w:val="none" w:sz="0" w:space="0" w:color="auto"/>
            <w:left w:val="none" w:sz="0" w:space="0" w:color="auto"/>
            <w:bottom w:val="none" w:sz="0" w:space="0" w:color="auto"/>
            <w:right w:val="none" w:sz="0" w:space="0" w:color="auto"/>
          </w:divBdr>
        </w:div>
        <w:div w:id="1913928460">
          <w:marLeft w:val="0"/>
          <w:marRight w:val="0"/>
          <w:marTop w:val="0"/>
          <w:marBottom w:val="0"/>
          <w:divBdr>
            <w:top w:val="none" w:sz="0" w:space="0" w:color="auto"/>
            <w:left w:val="none" w:sz="0" w:space="0" w:color="auto"/>
            <w:bottom w:val="none" w:sz="0" w:space="0" w:color="auto"/>
            <w:right w:val="none" w:sz="0" w:space="0" w:color="auto"/>
          </w:divBdr>
        </w:div>
        <w:div w:id="1623924582">
          <w:marLeft w:val="0"/>
          <w:marRight w:val="0"/>
          <w:marTop w:val="0"/>
          <w:marBottom w:val="0"/>
          <w:divBdr>
            <w:top w:val="none" w:sz="0" w:space="0" w:color="auto"/>
            <w:left w:val="none" w:sz="0" w:space="0" w:color="auto"/>
            <w:bottom w:val="none" w:sz="0" w:space="0" w:color="auto"/>
            <w:right w:val="none" w:sz="0" w:space="0" w:color="auto"/>
          </w:divBdr>
        </w:div>
        <w:div w:id="733745364">
          <w:marLeft w:val="0"/>
          <w:marRight w:val="0"/>
          <w:marTop w:val="0"/>
          <w:marBottom w:val="0"/>
          <w:divBdr>
            <w:top w:val="none" w:sz="0" w:space="0" w:color="auto"/>
            <w:left w:val="none" w:sz="0" w:space="0" w:color="auto"/>
            <w:bottom w:val="none" w:sz="0" w:space="0" w:color="auto"/>
            <w:right w:val="none" w:sz="0" w:space="0" w:color="auto"/>
          </w:divBdr>
        </w:div>
        <w:div w:id="740251594">
          <w:marLeft w:val="0"/>
          <w:marRight w:val="0"/>
          <w:marTop w:val="0"/>
          <w:marBottom w:val="0"/>
          <w:divBdr>
            <w:top w:val="none" w:sz="0" w:space="0" w:color="auto"/>
            <w:left w:val="none" w:sz="0" w:space="0" w:color="auto"/>
            <w:bottom w:val="none" w:sz="0" w:space="0" w:color="auto"/>
            <w:right w:val="none" w:sz="0" w:space="0" w:color="auto"/>
          </w:divBdr>
        </w:div>
        <w:div w:id="1994866403">
          <w:marLeft w:val="0"/>
          <w:marRight w:val="0"/>
          <w:marTop w:val="0"/>
          <w:marBottom w:val="0"/>
          <w:divBdr>
            <w:top w:val="none" w:sz="0" w:space="0" w:color="auto"/>
            <w:left w:val="none" w:sz="0" w:space="0" w:color="auto"/>
            <w:bottom w:val="none" w:sz="0" w:space="0" w:color="auto"/>
            <w:right w:val="none" w:sz="0" w:space="0" w:color="auto"/>
          </w:divBdr>
        </w:div>
        <w:div w:id="611085149">
          <w:marLeft w:val="0"/>
          <w:marRight w:val="0"/>
          <w:marTop w:val="0"/>
          <w:marBottom w:val="0"/>
          <w:divBdr>
            <w:top w:val="none" w:sz="0" w:space="0" w:color="auto"/>
            <w:left w:val="none" w:sz="0" w:space="0" w:color="auto"/>
            <w:bottom w:val="none" w:sz="0" w:space="0" w:color="auto"/>
            <w:right w:val="none" w:sz="0" w:space="0" w:color="auto"/>
          </w:divBdr>
        </w:div>
      </w:divsChild>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8861</TotalTime>
  <Pages>3</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664</cp:revision>
  <cp:lastPrinted>2022-11-05T23:23:00Z</cp:lastPrinted>
  <dcterms:created xsi:type="dcterms:W3CDTF">2020-08-06T15:21:00Z</dcterms:created>
  <dcterms:modified xsi:type="dcterms:W3CDTF">2023-09-29T20:30:00Z</dcterms:modified>
</cp:coreProperties>
</file>