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overflowPunct w:val="0"/>
        <w:autoSpaceDE w:val="0"/>
        <w:autoSpaceDN w:val="0"/>
        <w:adjustRightInd w:val="0"/>
        <w:spacing w:before="0" w:beforeLines="-2147483648" w:after="0" w:line="260" w:lineRule="auto"/>
        <w:jc w:val="both"/>
        <w:textAlignment w:val="baseline"/>
        <w:rPr>
          <w:rFonts w:hint="default" w:ascii="Arial" w:hAnsi="Arial" w:eastAsia="宋体" w:cs="Times New Roman"/>
          <w:b/>
          <w:sz w:val="24"/>
          <w:lang w:val="en-US" w:eastAsia="zh-CN"/>
        </w:rPr>
      </w:pPr>
      <w:r>
        <w:rPr>
          <w:rFonts w:hint="eastAsia" w:ascii="Arial" w:hAnsi="Arial" w:cs="Times New Roman"/>
          <w:b/>
          <w:sz w:val="24"/>
          <w:lang w:val="en-US" w:eastAsia="ja-JP"/>
        </w:rPr>
        <w:t>3GPP TSG RAN WG1 #114bis</w:t>
      </w:r>
      <w:r>
        <w:rPr>
          <w:rFonts w:ascii="Arial" w:hAnsi="Arial" w:cs="Times New Roman"/>
          <w:b/>
          <w:sz w:val="24"/>
          <w:lang w:val="en-US" w:eastAsia="ja-JP"/>
        </w:rPr>
        <w:tab/>
      </w:r>
      <w:r>
        <w:rPr>
          <w:rFonts w:hint="eastAsia" w:ascii="Arial" w:hAnsi="Arial" w:cs="Times New Roman"/>
          <w:b/>
          <w:sz w:val="24"/>
          <w:lang w:val="en-US" w:eastAsia="ja-JP"/>
        </w:rPr>
        <w:t>R1-2309677</w:t>
      </w:r>
    </w:p>
    <w:p>
      <w:pPr>
        <w:tabs>
          <w:tab w:val="right" w:pos="9639"/>
        </w:tabs>
        <w:overflowPunct w:val="0"/>
        <w:autoSpaceDE w:val="0"/>
        <w:autoSpaceDN w:val="0"/>
        <w:adjustRightInd w:val="0"/>
        <w:spacing w:before="0" w:beforeLines="-2147483648" w:after="0" w:line="260" w:lineRule="auto"/>
        <w:jc w:val="both"/>
        <w:textAlignment w:val="baseline"/>
        <w:rPr>
          <w:rFonts w:ascii="Arial" w:hAnsi="Arial" w:cs="Times New Roman"/>
          <w:b/>
          <w:sz w:val="24"/>
          <w:lang w:val="en-US" w:eastAsia="ja-JP"/>
        </w:rPr>
      </w:pPr>
      <w:r>
        <w:rPr>
          <w:rFonts w:hint="eastAsia" w:ascii="Arial" w:hAnsi="Arial" w:cs="Times New Roman"/>
          <w:b/>
          <w:sz w:val="24"/>
          <w:lang w:val="en-US" w:eastAsia="ja-JP"/>
        </w:rPr>
        <w:t>Xiamen, China, October 9th – October 13th, 2023</w:t>
      </w:r>
    </w:p>
    <w:p>
      <w:pPr>
        <w:widowControl w:val="0"/>
        <w:spacing w:after="0"/>
        <w:jc w:val="both"/>
        <w:rPr>
          <w:sz w:val="24"/>
          <w:szCs w:val="24"/>
          <w:lang w:eastAsia="zh-CN"/>
        </w:rPr>
      </w:pPr>
    </w:p>
    <w:p>
      <w:pPr>
        <w:tabs>
          <w:tab w:val="left" w:pos="1985"/>
        </w:tabs>
        <w:overflowPunct w:val="0"/>
        <w:autoSpaceDE w:val="0"/>
        <w:autoSpaceDN w:val="0"/>
        <w:adjustRightInd w:val="0"/>
        <w:spacing w:before="0" w:beforeLines="-2147483648" w:after="0" w:line="240" w:lineRule="auto"/>
        <w:jc w:val="both"/>
        <w:textAlignment w:val="baseline"/>
        <w:rPr>
          <w:rFonts w:ascii="Arial" w:hAnsi="Arial" w:cs="Times New Roman"/>
          <w:b/>
          <w:sz w:val="22"/>
          <w:szCs w:val="22"/>
          <w:lang w:val="en-US"/>
        </w:rPr>
      </w:pPr>
      <w:bookmarkStart w:id="0" w:name="OLE_LINK4"/>
      <w:bookmarkStart w:id="1" w:name="OLE_LINK3"/>
      <w:r>
        <w:rPr>
          <w:rFonts w:ascii="Arial" w:hAnsi="Arial" w:cs="Times New Roman"/>
          <w:b/>
          <w:sz w:val="22"/>
          <w:szCs w:val="22"/>
          <w:lang w:val="en-US"/>
        </w:rPr>
        <w:t xml:space="preserve">Source: </w:t>
      </w:r>
      <w:r>
        <w:rPr>
          <w:rFonts w:ascii="Arial" w:hAnsi="Arial" w:cs="Times New Roman"/>
          <w:b/>
          <w:sz w:val="22"/>
          <w:szCs w:val="22"/>
          <w:lang w:val="en-US"/>
        </w:rPr>
        <w:tab/>
      </w:r>
      <w:r>
        <w:rPr>
          <w:rFonts w:ascii="Arial" w:hAnsi="Arial" w:cs="Times New Roman"/>
          <w:b/>
          <w:sz w:val="22"/>
          <w:szCs w:val="22"/>
          <w:lang w:val="en-US"/>
        </w:rPr>
        <w:t>CMCC</w:t>
      </w:r>
    </w:p>
    <w:p>
      <w:pPr>
        <w:tabs>
          <w:tab w:val="left" w:pos="1985"/>
        </w:tabs>
        <w:overflowPunct w:val="0"/>
        <w:autoSpaceDE w:val="0"/>
        <w:autoSpaceDN w:val="0"/>
        <w:adjustRightInd w:val="0"/>
        <w:spacing w:before="0" w:beforeLines="-2147483648" w:after="0" w:line="240" w:lineRule="auto"/>
        <w:jc w:val="both"/>
        <w:textAlignment w:val="baseline"/>
        <w:rPr>
          <w:rFonts w:ascii="Arial" w:hAnsi="Arial" w:cs="Times New Roman"/>
          <w:b/>
          <w:sz w:val="22"/>
          <w:szCs w:val="22"/>
          <w:lang w:val="en-US"/>
        </w:rPr>
      </w:pPr>
      <w:r>
        <w:rPr>
          <w:rFonts w:ascii="Arial" w:hAnsi="Arial" w:cs="Times New Roman"/>
          <w:b/>
          <w:sz w:val="22"/>
          <w:szCs w:val="22"/>
          <w:lang w:val="en-US"/>
        </w:rPr>
        <w:t>Title:</w:t>
      </w:r>
      <w:bookmarkStart w:id="2" w:name="Title"/>
      <w:bookmarkEnd w:id="2"/>
      <w:r>
        <w:rPr>
          <w:rFonts w:ascii="Arial" w:hAnsi="Arial" w:cs="Times New Roman"/>
          <w:b/>
          <w:sz w:val="22"/>
          <w:szCs w:val="22"/>
          <w:lang w:val="en-US"/>
        </w:rPr>
        <w:tab/>
      </w:r>
      <w:r>
        <w:rPr>
          <w:rFonts w:hint="eastAsia" w:ascii="Arial" w:hAnsi="Arial" w:cs="Times New Roman"/>
          <w:b/>
          <w:sz w:val="22"/>
          <w:szCs w:val="22"/>
          <w:lang w:val="en-US"/>
        </w:rPr>
        <w:t>Remaining issues on cell DTX/DRX mechanism</w:t>
      </w:r>
    </w:p>
    <w:p>
      <w:pPr>
        <w:tabs>
          <w:tab w:val="left" w:pos="1985"/>
        </w:tabs>
        <w:overflowPunct w:val="0"/>
        <w:autoSpaceDE w:val="0"/>
        <w:autoSpaceDN w:val="0"/>
        <w:adjustRightInd w:val="0"/>
        <w:spacing w:before="0" w:beforeLines="-2147483648" w:after="0" w:line="240" w:lineRule="auto"/>
        <w:jc w:val="both"/>
        <w:textAlignment w:val="baseline"/>
        <w:rPr>
          <w:rFonts w:hint="default" w:ascii="Arial" w:hAnsi="Arial" w:cs="Times New Roman"/>
          <w:b/>
          <w:sz w:val="22"/>
          <w:szCs w:val="22"/>
          <w:lang w:val="en-US"/>
        </w:rPr>
      </w:pPr>
      <w:r>
        <w:rPr>
          <w:rFonts w:ascii="Arial" w:hAnsi="Arial" w:cs="Times New Roman"/>
          <w:b/>
          <w:sz w:val="22"/>
          <w:szCs w:val="22"/>
          <w:lang w:val="en-US"/>
        </w:rPr>
        <w:t>Agenda item:</w:t>
      </w:r>
      <w:r>
        <w:rPr>
          <w:rFonts w:ascii="Arial" w:hAnsi="Arial" w:cs="Times New Roman"/>
          <w:b/>
          <w:sz w:val="22"/>
          <w:szCs w:val="22"/>
          <w:lang w:val="en-US"/>
        </w:rPr>
        <w:tab/>
      </w:r>
      <w:r>
        <w:rPr>
          <w:rFonts w:hint="eastAsia" w:ascii="Arial" w:hAnsi="Arial" w:cs="Times New Roman"/>
          <w:b/>
          <w:sz w:val="22"/>
          <w:szCs w:val="22"/>
          <w:lang w:val="en-US" w:eastAsia="zh-CN"/>
        </w:rPr>
        <w:t>8.5</w:t>
      </w:r>
      <w:r>
        <w:rPr>
          <w:rFonts w:hint="default" w:ascii="Arial" w:hAnsi="Arial" w:cs="Times New Roman"/>
          <w:b/>
          <w:sz w:val="22"/>
          <w:szCs w:val="22"/>
          <w:lang w:val="en-US" w:eastAsia="zh-CN"/>
        </w:rPr>
        <w:t>.2</w:t>
      </w:r>
    </w:p>
    <w:bookmarkEnd w:id="0"/>
    <w:bookmarkEnd w:id="1"/>
    <w:p>
      <w:pPr>
        <w:overflowPunct w:val="0"/>
        <w:autoSpaceDE w:val="0"/>
        <w:autoSpaceDN w:val="0"/>
        <w:adjustRightInd w:val="0"/>
        <w:spacing w:before="0" w:beforeLines="-2147483648" w:after="240" w:line="240" w:lineRule="auto"/>
        <w:ind w:left="1990" w:hanging="1990"/>
        <w:jc w:val="both"/>
        <w:textAlignment w:val="baseline"/>
        <w:rPr>
          <w:rFonts w:ascii="Arial" w:hAnsi="Arial" w:cs="Times New Roman"/>
          <w:b/>
          <w:sz w:val="22"/>
          <w:szCs w:val="22"/>
          <w:lang w:val="en-US"/>
        </w:rPr>
      </w:pPr>
      <w:r>
        <w:rPr>
          <w:rFonts w:ascii="Arial" w:hAnsi="Arial" w:cs="Times New Roman"/>
          <w:b/>
          <w:sz w:val="22"/>
          <w:szCs w:val="22"/>
          <w:lang w:val="en-US"/>
        </w:rPr>
        <w:t>Document for:</w:t>
      </w:r>
      <w:r>
        <w:rPr>
          <w:rFonts w:ascii="Arial" w:hAnsi="Arial" w:cs="Times New Roman"/>
          <w:b/>
          <w:sz w:val="22"/>
          <w:szCs w:val="22"/>
          <w:lang w:val="en-US"/>
        </w:rPr>
        <w:tab/>
      </w:r>
      <w:bookmarkStart w:id="3" w:name="DocumentFor"/>
      <w:bookmarkEnd w:id="3"/>
      <w:r>
        <w:rPr>
          <w:rFonts w:ascii="Arial" w:hAnsi="Arial" w:cs="Times New Roman"/>
          <w:b/>
          <w:sz w:val="22"/>
          <w:szCs w:val="22"/>
          <w:lang w:val="en-US"/>
        </w:rPr>
        <w:t>Discussion/Decision</w:t>
      </w:r>
    </w:p>
    <w:p>
      <w:pPr>
        <w:keepNext/>
        <w:keepLines/>
        <w:numPr>
          <w:ilvl w:val="0"/>
          <w:numId w:val="5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textAlignment w:val="auto"/>
        <w:outlineLvl w:val="0"/>
        <w:rPr>
          <w:rFonts w:ascii="Arial" w:hAnsi="Arial" w:eastAsia="宋体" w:cs="Times New Roman"/>
          <w:sz w:val="36"/>
          <w:lang w:val="en-GB" w:eastAsia="en-US" w:bidi="ar-SA"/>
        </w:rPr>
      </w:pPr>
      <w:bookmarkStart w:id="4" w:name="_Ref4817"/>
      <w:r>
        <w:rPr>
          <w:rFonts w:ascii="Arial" w:hAnsi="Arial" w:eastAsia="宋体" w:cs="Times New Roman"/>
          <w:sz w:val="36"/>
          <w:lang w:val="en-GB" w:eastAsia="en-US" w:bidi="ar-SA"/>
        </w:rPr>
        <w:t>Introduction</w:t>
      </w:r>
      <w:bookmarkEnd w:id="4"/>
    </w:p>
    <w:p>
      <w:pPr>
        <w:spacing w:before="120"/>
        <w:jc w:val="both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 xml:space="preserve">During </w:t>
      </w:r>
      <w:r>
        <w:rPr>
          <w:rFonts w:hint="eastAsia"/>
          <w:sz w:val="21"/>
          <w:szCs w:val="21"/>
          <w:lang w:val="en-US" w:eastAsia="zh-CN"/>
        </w:rPr>
        <w:t xml:space="preserve">previous </w:t>
      </w:r>
      <w:r>
        <w:rPr>
          <w:rFonts w:hint="default"/>
          <w:sz w:val="21"/>
          <w:szCs w:val="21"/>
          <w:lang w:val="en-US" w:eastAsia="zh-CN"/>
        </w:rPr>
        <w:t>RAN1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default"/>
          <w:sz w:val="21"/>
          <w:szCs w:val="21"/>
          <w:lang w:val="en-US" w:eastAsia="zh-CN"/>
        </w:rPr>
        <w:t>meeting</w:t>
      </w:r>
      <w:r>
        <w:rPr>
          <w:rFonts w:hint="eastAsia"/>
          <w:sz w:val="21"/>
          <w:szCs w:val="21"/>
          <w:lang w:val="en-US" w:eastAsia="zh-CN"/>
        </w:rPr>
        <w:t>s</w:t>
      </w:r>
      <w:r>
        <w:rPr>
          <w:rFonts w:hint="default"/>
          <w:sz w:val="21"/>
          <w:szCs w:val="21"/>
          <w:lang w:val="en-US" w:eastAsia="zh-CN"/>
        </w:rPr>
        <w:t>, cell DTX/DRX related issues were discussed</w:t>
      </w:r>
      <w:r>
        <w:rPr>
          <w:rFonts w:hint="eastAsia"/>
          <w:sz w:val="21"/>
          <w:szCs w:val="21"/>
          <w:lang w:val="en-US" w:eastAsia="zh-CN"/>
        </w:rPr>
        <w:t xml:space="preserve"> and agreements were made</w:t>
      </w:r>
      <w:r>
        <w:rPr>
          <w:rFonts w:hint="default"/>
          <w:sz w:val="21"/>
          <w:szCs w:val="21"/>
          <w:lang w:val="en-US" w:eastAsia="zh-CN"/>
        </w:rPr>
        <w:t xml:space="preserve">, </w:t>
      </w:r>
      <w:r>
        <w:rPr>
          <w:rFonts w:hint="eastAsia"/>
          <w:sz w:val="21"/>
          <w:szCs w:val="21"/>
          <w:lang w:val="en-US" w:eastAsia="zh-CN"/>
        </w:rPr>
        <w:t>including impacted signals/channels, and PDCCH based cell DTX/DRX activation/deactivation</w:t>
      </w:r>
      <w:r>
        <w:rPr>
          <w:rFonts w:hint="default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 xml:space="preserve">related designs. </w:t>
      </w:r>
    </w:p>
    <w:p>
      <w:pPr>
        <w:snapToGrid w:val="0"/>
        <w:spacing w:before="120"/>
        <w:jc w:val="both"/>
        <w:rPr>
          <w:sz w:val="21"/>
          <w:szCs w:val="21"/>
          <w:lang w:val="en-US"/>
        </w:rPr>
      </w:pPr>
      <w:r>
        <w:rPr>
          <w:sz w:val="21"/>
          <w:szCs w:val="21"/>
        </w:rPr>
        <w:t>In this contribution, we will</w:t>
      </w:r>
      <w:r>
        <w:rPr>
          <w:rFonts w:hint="default"/>
          <w:sz w:val="21"/>
          <w:szCs w:val="21"/>
          <w:lang w:val="en-US"/>
        </w:rPr>
        <w:t xml:space="preserve"> give our consideration</w:t>
      </w:r>
      <w:r>
        <w:rPr>
          <w:rFonts w:hint="eastAsia"/>
          <w:sz w:val="21"/>
          <w:szCs w:val="21"/>
          <w:lang w:val="en-US" w:eastAsia="zh-CN"/>
        </w:rPr>
        <w:t>s</w:t>
      </w:r>
      <w:r>
        <w:rPr>
          <w:rFonts w:hint="default"/>
          <w:sz w:val="21"/>
          <w:szCs w:val="21"/>
          <w:lang w:val="en-US"/>
        </w:rPr>
        <w:t xml:space="preserve"> on</w:t>
      </w:r>
      <w:r>
        <w:rPr>
          <w:sz w:val="21"/>
          <w:szCs w:val="21"/>
        </w:rPr>
        <w:t xml:space="preserve"> </w:t>
      </w:r>
      <w:r>
        <w:rPr>
          <w:rFonts w:hint="default"/>
          <w:sz w:val="21"/>
          <w:szCs w:val="21"/>
          <w:lang w:val="en-US"/>
        </w:rPr>
        <w:t xml:space="preserve">the </w:t>
      </w:r>
      <w:r>
        <w:rPr>
          <w:rFonts w:hint="eastAsia"/>
          <w:sz w:val="21"/>
          <w:szCs w:val="21"/>
          <w:lang w:val="en-US" w:eastAsia="zh-CN"/>
        </w:rPr>
        <w:t xml:space="preserve">remaining issues of </w:t>
      </w:r>
      <w:r>
        <w:rPr>
          <w:rFonts w:hint="default"/>
          <w:sz w:val="21"/>
          <w:szCs w:val="21"/>
          <w:lang w:val="en-US"/>
        </w:rPr>
        <w:t>RAN1 related enhancements for cell DTX/DRX</w:t>
      </w:r>
      <w:r>
        <w:rPr>
          <w:sz w:val="21"/>
          <w:szCs w:val="21"/>
          <w:lang w:val="en-US"/>
        </w:rPr>
        <w:t>.</w:t>
      </w:r>
    </w:p>
    <w:p>
      <w:pPr>
        <w:snapToGrid w:val="0"/>
        <w:spacing w:before="120"/>
        <w:jc w:val="both"/>
        <w:rPr>
          <w:sz w:val="21"/>
          <w:szCs w:val="21"/>
          <w:lang w:val="en-US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0" w:after="0" w:line="360" w:lineRule="auto"/>
        <w:ind w:left="0" w:right="0" w:firstLine="0"/>
        <w:textAlignment w:val="baseline"/>
        <w:rPr>
          <w:rFonts w:hint="default" w:eastAsia="宋体"/>
          <w:b/>
          <w:bCs/>
          <w:i/>
          <w:iCs/>
          <w:sz w:val="21"/>
          <w:szCs w:val="21"/>
          <w:u w:val="single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2.</w:t>
      </w:r>
      <w:r>
        <w:rPr>
          <w:rFonts w:hint="default" w:ascii="Arial" w:hAnsi="Arial" w:cs="Arial"/>
          <w:b/>
          <w:sz w:val="24"/>
          <w:szCs w:val="24"/>
          <w:lang w:val="en-US"/>
        </w:rPr>
        <w:t xml:space="preserve">Discussion on 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remaining issues for PDCCH based cell DTX/DRX activation/deactivation </w:t>
      </w:r>
    </w:p>
    <w:p>
      <w:pPr>
        <w:rPr>
          <w:rFonts w:hint="default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According to the agreed CR[1], a new DCI format 2_9 will we introduced for activation/deactivation of cell DTX/DRX, in this section we will discuss related issues</w:t>
      </w:r>
      <w:r>
        <w:rPr>
          <w:rFonts w:hint="default" w:cs="Times New Roman"/>
          <w:lang w:val="en-US" w:eastAsia="zh-CN"/>
        </w:rPr>
        <w:t xml:space="preserve">.  </w:t>
      </w:r>
    </w:p>
    <w:p>
      <w:pPr>
        <w:pStyle w:val="3"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0" w:after="0" w:line="360" w:lineRule="auto"/>
        <w:ind w:left="0" w:right="0" w:firstLine="0"/>
        <w:textAlignment w:val="baseline"/>
        <w:rPr>
          <w:rFonts w:hint="default" w:ascii="Arial" w:hAnsi="Arial" w:eastAsia="宋体" w:cs="Times New Roman"/>
          <w:b w:val="0"/>
          <w:sz w:val="28"/>
          <w:szCs w:val="18"/>
          <w:lang w:val="en-US" w:eastAsia="zh-CN" w:bidi="ar-SA"/>
        </w:rPr>
      </w:pPr>
      <w:r>
        <w:rPr>
          <w:rFonts w:ascii="Arial" w:hAnsi="Arial" w:eastAsia="宋体" w:cs="Times New Roman"/>
          <w:b w:val="0"/>
          <w:sz w:val="28"/>
          <w:szCs w:val="18"/>
          <w:lang w:val="en-US" w:eastAsia="en-US" w:bidi="ar-SA"/>
        </w:rPr>
        <w:t>2</w:t>
      </w:r>
      <w:r>
        <w:rPr>
          <w:rFonts w:hint="default" w:ascii="Arial" w:hAnsi="Arial" w:eastAsia="宋体" w:cs="Times New Roman"/>
          <w:b w:val="0"/>
          <w:sz w:val="28"/>
          <w:szCs w:val="18"/>
          <w:lang w:val="en-US" w:eastAsia="en-US" w:bidi="ar-SA"/>
        </w:rPr>
        <w:t>.</w:t>
      </w:r>
      <w:r>
        <w:rPr>
          <w:rFonts w:hint="eastAsia" w:ascii="Arial" w:hAnsi="Arial" w:eastAsia="宋体" w:cs="Times New Roman"/>
          <w:b w:val="0"/>
          <w:sz w:val="28"/>
          <w:szCs w:val="18"/>
          <w:lang w:val="en-US" w:eastAsia="zh-CN" w:bidi="ar-SA"/>
        </w:rPr>
        <w:t>1</w:t>
      </w:r>
      <w:r>
        <w:rPr>
          <w:rFonts w:ascii="Arial" w:hAnsi="Arial" w:eastAsia="宋体" w:cs="Times New Roman"/>
          <w:b w:val="0"/>
          <w:sz w:val="28"/>
          <w:szCs w:val="18"/>
          <w:lang w:val="en-US" w:eastAsia="en-US" w:bidi="ar-SA"/>
        </w:rPr>
        <w:t>.</w:t>
      </w:r>
      <w:r>
        <w:rPr>
          <w:rFonts w:hint="eastAsia" w:ascii="Arial" w:hAnsi="Arial" w:cs="Times New Roman"/>
          <w:b w:val="0"/>
          <w:sz w:val="28"/>
          <w:szCs w:val="18"/>
          <w:lang w:val="en-US" w:eastAsia="zh-CN" w:bidi="ar-SA"/>
        </w:rPr>
        <w:t>Monitoring cell for DCI format 2_9</w:t>
      </w:r>
    </w:p>
    <w:p>
      <w:pPr>
        <w:snapToGrid w:val="0"/>
        <w:spacing w:before="120"/>
        <w:jc w:val="both"/>
        <w:rPr>
          <w:rFonts w:hint="default" w:eastAsia="宋体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According to the following agreements, DCI format 2_9 will be monitored in one serving cell, and whether this monitoring cell should be Pcell only or can also be Scell was discussed during last meeting[2].</w:t>
      </w:r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1" w:type="dxa"/>
          </w:tcPr>
          <w:p>
            <w:pPr>
              <w:spacing w:before="0" w:beforeLines="-2147483648" w:line="240" w:lineRule="auto"/>
              <w:rPr>
                <w:rFonts w:ascii="Times New Roman" w:hAnsi="Times New Roman" w:eastAsia="Batang" w:cs="Times New Roman"/>
                <w:szCs w:val="20"/>
                <w:highlight w:val="green"/>
                <w:lang w:eastAsia="zh-CN"/>
              </w:rPr>
            </w:pPr>
            <w:r>
              <w:rPr>
                <w:rFonts w:ascii="Times New Roman" w:hAnsi="Times New Roman" w:eastAsia="Batang" w:cs="Times New Roman"/>
                <w:szCs w:val="20"/>
                <w:highlight w:val="green"/>
                <w:lang w:eastAsia="zh-CN"/>
              </w:rPr>
              <w:t>Agreement</w:t>
            </w:r>
          </w:p>
          <w:p>
            <w:pPr>
              <w:tabs>
                <w:tab w:val="left" w:pos="1480"/>
              </w:tabs>
              <w:suppressAutoHyphens/>
              <w:spacing w:before="0" w:beforeLines="-2147483648" w:line="240" w:lineRule="auto"/>
              <w:jc w:val="both"/>
              <w:rPr>
                <w:rFonts w:ascii="Times New Roman" w:hAnsi="Times New Roman" w:eastAsia="Batang" w:cs="Times New Roman"/>
                <w:szCs w:val="20"/>
                <w:lang w:eastAsia="zh-CN"/>
              </w:rPr>
            </w:pPr>
            <w:r>
              <w:rPr>
                <w:rFonts w:ascii="Times New Roman" w:hAnsi="Times New Roman" w:eastAsia="Batang" w:cs="Times New Roman"/>
                <w:szCs w:val="20"/>
                <w:lang w:eastAsia="zh-CN"/>
              </w:rPr>
              <w:t>From RAN1 point of view, DCI format 2_X supports activation/deactivation of cell DTX/DRX configuration of multiple serving cells and support activation/deactivation per cell.</w:t>
            </w:r>
          </w:p>
          <w:p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ind w:left="720" w:hanging="360"/>
              <w:contextualSpacing/>
              <w:textAlignment w:val="baseline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szCs w:val="20"/>
                <w:lang w:val="en-GB" w:eastAsia="zh-CN" w:bidi="ar-SA"/>
              </w:rPr>
              <w:t>UE monitor DCI format 2_X in one serving cell.</w:t>
            </w:r>
          </w:p>
        </w:tc>
      </w:tr>
    </w:tbl>
    <w:p>
      <w:pPr>
        <w:snapToGrid w:val="0"/>
        <w:spacing w:before="120"/>
        <w:jc w:val="both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From our understanding, the monitoring cell is determined by the configuration. If search space of DCI format 2_9 is configured in one cell, then UE will monitor DCI format 2_9 on this cell, regardless of Pcell or Scell. And since the monitoring of DCI format 2_9 will not impacted by cell DTX, even the monitoring occasions fall in non-active period of cell DTX, UE can still monitor it, as long as the cell is activated.</w:t>
      </w:r>
    </w:p>
    <w:p>
      <w:pPr>
        <w:snapToGrid w:val="0"/>
        <w:spacing w:before="120"/>
        <w:jc w:val="both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The benefit is that once a cell is a common serving cell for all UEs, gNB only need to send the DCI format 2_9 on this cell, the signalling overhead can be reduced compared to only monitored on Pcell, as shown in Figure.1.</w:t>
      </w:r>
    </w:p>
    <w:p>
      <w:pPr>
        <w:snapToGrid w:val="0"/>
        <w:spacing w:before="120"/>
        <w:jc w:val="center"/>
      </w:pPr>
      <w:r>
        <w:drawing>
          <wp:inline distT="0" distB="0" distL="114300" distR="114300">
            <wp:extent cx="3901440" cy="1978025"/>
            <wp:effectExtent l="0" t="0" r="0" b="317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01440" cy="197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before="120"/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Figure.1 DCI format 2_9 monitored on configured cell</w:t>
      </w:r>
    </w:p>
    <w:p>
      <w:pPr>
        <w:snapToGrid w:val="0"/>
        <w:spacing w:before="120"/>
        <w:jc w:val="both"/>
        <w:rPr>
          <w:rFonts w:hint="default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Proposal 1: DCI format 2_9 is monitored on the serving cell that configured with search space of DCI format 2_9.</w:t>
      </w:r>
    </w:p>
    <w:p>
      <w:pPr>
        <w:snapToGrid w:val="0"/>
        <w:spacing w:before="120"/>
        <w:jc w:val="both"/>
        <w:rPr>
          <w:rFonts w:hint="default"/>
          <w:sz w:val="21"/>
          <w:szCs w:val="21"/>
          <w:lang w:val="en-US" w:eastAsia="zh-CN"/>
        </w:rPr>
      </w:pPr>
    </w:p>
    <w:p>
      <w:pPr>
        <w:pStyle w:val="3"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0" w:after="0" w:line="360" w:lineRule="auto"/>
        <w:ind w:left="0" w:right="0" w:firstLine="0"/>
        <w:textAlignment w:val="baseline"/>
        <w:rPr>
          <w:rFonts w:hint="default" w:ascii="Arial" w:hAnsi="Arial" w:eastAsia="宋体" w:cs="Times New Roman"/>
          <w:b w:val="0"/>
          <w:sz w:val="28"/>
          <w:szCs w:val="18"/>
          <w:lang w:val="en-US" w:eastAsia="zh-CN" w:bidi="ar-SA"/>
        </w:rPr>
      </w:pPr>
      <w:r>
        <w:rPr>
          <w:rFonts w:ascii="Arial" w:hAnsi="Arial" w:eastAsia="宋体" w:cs="Times New Roman"/>
          <w:b w:val="0"/>
          <w:sz w:val="28"/>
          <w:szCs w:val="18"/>
          <w:lang w:val="en-US" w:eastAsia="en-US" w:bidi="ar-SA"/>
        </w:rPr>
        <w:t>2</w:t>
      </w:r>
      <w:r>
        <w:rPr>
          <w:rFonts w:hint="default" w:ascii="Arial" w:hAnsi="Arial" w:eastAsia="宋体" w:cs="Times New Roman"/>
          <w:b w:val="0"/>
          <w:sz w:val="28"/>
          <w:szCs w:val="18"/>
          <w:lang w:val="en-US" w:eastAsia="en-US" w:bidi="ar-SA"/>
        </w:rPr>
        <w:t>.</w:t>
      </w:r>
      <w:r>
        <w:rPr>
          <w:rFonts w:hint="eastAsia" w:ascii="Arial" w:hAnsi="Arial" w:cs="Times New Roman"/>
          <w:b w:val="0"/>
          <w:sz w:val="28"/>
          <w:szCs w:val="18"/>
          <w:lang w:val="en-US" w:eastAsia="zh-CN" w:bidi="ar-SA"/>
        </w:rPr>
        <w:t>2</w:t>
      </w:r>
      <w:r>
        <w:rPr>
          <w:rFonts w:ascii="Arial" w:hAnsi="Arial" w:eastAsia="宋体" w:cs="Times New Roman"/>
          <w:b w:val="0"/>
          <w:sz w:val="28"/>
          <w:szCs w:val="18"/>
          <w:lang w:val="en-US" w:eastAsia="en-US" w:bidi="ar-SA"/>
        </w:rPr>
        <w:t>.</w:t>
      </w:r>
      <w:r>
        <w:rPr>
          <w:rFonts w:hint="eastAsia" w:ascii="Arial" w:hAnsi="Arial" w:cs="Times New Roman"/>
          <w:b w:val="0"/>
          <w:sz w:val="28"/>
          <w:szCs w:val="18"/>
          <w:lang w:val="en-US" w:eastAsia="zh-CN" w:bidi="ar-SA"/>
        </w:rPr>
        <w:t>Discussion on application delay for DCI format 2_9</w:t>
      </w:r>
    </w:p>
    <w:p>
      <w:pPr>
        <w:snapToGrid w:val="0"/>
        <w:spacing w:before="120"/>
        <w:jc w:val="both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The following agreements about application delay were agreed during last meeting[2].</w:t>
      </w:r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1" w:type="dxa"/>
          </w:tcPr>
          <w:p>
            <w:pPr>
              <w:rPr>
                <w:rFonts w:ascii="Times New Roman" w:hAnsi="Times New Roman"/>
                <w:szCs w:val="20"/>
                <w:highlight w:val="green"/>
                <w:lang w:eastAsia="zh-CN"/>
              </w:rPr>
            </w:pPr>
            <w:r>
              <w:rPr>
                <w:rFonts w:ascii="Times New Roman" w:hAnsi="Times New Roman"/>
                <w:szCs w:val="20"/>
                <w:highlight w:val="green"/>
                <w:lang w:eastAsia="zh-CN"/>
              </w:rPr>
              <w:t>Agreement</w:t>
            </w:r>
          </w:p>
          <w:p>
            <w:pPr>
              <w:jc w:val="both"/>
              <w:rPr>
                <w:rFonts w:ascii="Times New Roman" w:hAnsi="Times New Roman"/>
                <w:szCs w:val="20"/>
                <w:lang w:eastAsia="zh-CN"/>
              </w:rPr>
            </w:pPr>
            <w:r>
              <w:rPr>
                <w:rFonts w:ascii="Times New Roman" w:hAnsi="Times New Roman"/>
                <w:szCs w:val="20"/>
                <w:lang w:eastAsia="zh-CN"/>
              </w:rPr>
              <w:t>Delay that is applied after DCI Format 2_X reception that activate/deactivate cell DTX/DRX configuration is introduced in Rel-18.</w:t>
            </w:r>
          </w:p>
          <w:p>
            <w:pPr>
              <w:rPr>
                <w:rFonts w:ascii="Times New Roman" w:hAnsi="Times New Roman"/>
                <w:szCs w:val="20"/>
                <w:highlight w:val="green"/>
                <w:lang w:eastAsia="zh-CN"/>
              </w:rPr>
            </w:pPr>
            <w:r>
              <w:rPr>
                <w:rFonts w:ascii="Times New Roman" w:hAnsi="Times New Roman"/>
                <w:szCs w:val="20"/>
                <w:highlight w:val="green"/>
                <w:lang w:eastAsia="zh-CN"/>
              </w:rPr>
              <w:t>Agreement</w:t>
            </w:r>
          </w:p>
          <w:p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For each serving cell configured with L1 signaling based activation/deactivation of cell DTX and/or cell DRX configuration, starting bit position of an information block of DCI format 2_X is provided by UE specific higher layer signaling.</w:t>
            </w:r>
          </w:p>
          <w:p>
            <w:pPr>
              <w:numPr>
                <w:ilvl w:val="0"/>
                <w:numId w:val="7"/>
              </w:numPr>
              <w:suppressAutoHyphens/>
              <w:spacing w:line="252" w:lineRule="auto"/>
              <w:jc w:val="both"/>
              <w:rPr>
                <w:rFonts w:ascii="Times New Roman" w:hAnsi="Times New Roman"/>
                <w:szCs w:val="20"/>
                <w:lang w:eastAsia="zh-CN"/>
              </w:rPr>
            </w:pPr>
            <w:r>
              <w:rPr>
                <w:rFonts w:ascii="Times New Roman" w:hAnsi="Times New Roman"/>
                <w:szCs w:val="20"/>
                <w:lang w:eastAsia="zh-CN"/>
              </w:rPr>
              <w:t>UE is expected to apply cell DTX or DRX activation/deactivation change at beginning of the slot X where the SCS of slot X is with respect to the active DL or UL BWP of the serving cell, respectively.</w:t>
            </w:r>
          </w:p>
          <w:p>
            <w:pPr>
              <w:numPr>
                <w:ilvl w:val="0"/>
                <w:numId w:val="7"/>
              </w:numPr>
              <w:suppressAutoHyphens/>
              <w:spacing w:line="252" w:lineRule="auto"/>
              <w:jc w:val="both"/>
              <w:rPr>
                <w:rFonts w:ascii="Times New Roman" w:hAnsi="Times New Roman"/>
                <w:szCs w:val="20"/>
                <w:lang w:eastAsia="zh-CN"/>
              </w:rPr>
            </w:pPr>
            <w:r>
              <w:rPr>
                <w:rFonts w:ascii="Times New Roman" w:hAnsi="Times New Roman"/>
                <w:szCs w:val="20"/>
                <w:lang w:eastAsia="zh-CN"/>
              </w:rPr>
              <w:t xml:space="preserve">Slot X is the first slot whose beginning is no earlier than </w:t>
            </w:r>
            <w:r>
              <w:rPr>
                <w:rFonts w:ascii="Times New Roman" w:hAnsi="Times New Roman"/>
                <w:color w:val="C00000"/>
                <w:szCs w:val="20"/>
                <w:u w:val="single"/>
                <w:lang w:eastAsia="zh-CN"/>
              </w:rPr>
              <w:t>(i.e., same or after)</w:t>
            </w:r>
            <w:r>
              <w:rPr>
                <w:rFonts w:ascii="Times New Roman" w:hAnsi="Times New Roman"/>
                <w:szCs w:val="20"/>
                <w:lang w:eastAsia="zh-CN"/>
              </w:rPr>
              <w:t xml:space="preserve"> beginning of slot n + D, where D is the delay and n is the slot containing the PDCCH of DCI format 2_X based on SCS of PDCCH.</w:t>
            </w:r>
          </w:p>
          <w:p>
            <w:pPr>
              <w:spacing w:line="252" w:lineRule="auto"/>
              <w:jc w:val="both"/>
              <w:rPr>
                <w:rFonts w:ascii="Times New Roman" w:hAnsi="Times New Roman"/>
                <w:szCs w:val="20"/>
                <w:lang w:eastAsia="zh-CN"/>
              </w:rPr>
            </w:pPr>
          </w:p>
          <w:tbl>
            <w:tblPr>
              <w:tblStyle w:val="21"/>
              <w:tblW w:w="0" w:type="auto"/>
              <w:jc w:val="center"/>
              <w:tblBorders>
                <w:top w:val="single" w:color="A5A5A5" w:sz="4" w:space="0"/>
                <w:left w:val="single" w:color="A5A5A5" w:sz="4" w:space="0"/>
                <w:bottom w:val="single" w:color="A5A5A5" w:sz="4" w:space="0"/>
                <w:right w:val="single" w:color="A5A5A5" w:sz="4" w:space="0"/>
                <w:insideH w:val="single" w:color="A5A5A5" w:sz="4" w:space="0"/>
                <w:insideV w:val="single" w:color="A5A5A5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434"/>
              <w:gridCol w:w="2710"/>
            </w:tblGrid>
            <w:tr>
              <w:tblPrEx>
                <w:tblBorders>
                  <w:top w:val="single" w:color="A5A5A5" w:sz="4" w:space="0"/>
                  <w:left w:val="single" w:color="A5A5A5" w:sz="4" w:space="0"/>
                  <w:bottom w:val="single" w:color="A5A5A5" w:sz="4" w:space="0"/>
                  <w:right w:val="single" w:color="A5A5A5" w:sz="4" w:space="0"/>
                  <w:insideH w:val="single" w:color="A5A5A5" w:sz="4" w:space="0"/>
                  <w:insideV w:val="sing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62" w:hRule="atLeast"/>
                <w:jc w:val="center"/>
              </w:trPr>
              <w:tc>
                <w:tcPr>
                  <w:tcW w:w="2434" w:type="dxa"/>
                  <w:shd w:val="clear" w:color="auto" w:fill="auto"/>
                </w:tcPr>
                <w:p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  <w:t>SCS of PDCCH (kHz)</w:t>
                  </w:r>
                </w:p>
              </w:tc>
              <w:tc>
                <w:tcPr>
                  <w:tcW w:w="2710" w:type="dxa"/>
                  <w:shd w:val="clear" w:color="auto" w:fill="auto"/>
                </w:tcPr>
                <w:p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  <w:t>Value of D (in unit of slot)</w:t>
                  </w:r>
                </w:p>
              </w:tc>
            </w:tr>
            <w:tr>
              <w:tblPrEx>
                <w:tblBorders>
                  <w:top w:val="single" w:color="A5A5A5" w:sz="4" w:space="0"/>
                  <w:left w:val="single" w:color="A5A5A5" w:sz="4" w:space="0"/>
                  <w:bottom w:val="single" w:color="A5A5A5" w:sz="4" w:space="0"/>
                  <w:right w:val="single" w:color="A5A5A5" w:sz="4" w:space="0"/>
                  <w:insideH w:val="single" w:color="A5A5A5" w:sz="4" w:space="0"/>
                  <w:insideV w:val="sing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69" w:hRule="atLeast"/>
                <w:jc w:val="center"/>
              </w:trPr>
              <w:tc>
                <w:tcPr>
                  <w:tcW w:w="2434" w:type="dxa"/>
                  <w:shd w:val="clear" w:color="auto" w:fill="auto"/>
                </w:tcPr>
                <w:p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  <w:t>15</w:t>
                  </w:r>
                </w:p>
              </w:tc>
              <w:tc>
                <w:tcPr>
                  <w:tcW w:w="2710" w:type="dxa"/>
                  <w:shd w:val="clear" w:color="auto" w:fill="auto"/>
                </w:tcPr>
                <w:p>
                  <w:pPr>
                    <w:jc w:val="both"/>
                    <w:rPr>
                      <w:rFonts w:ascii="Arial" w:hAnsi="Arial" w:cs="Arial"/>
                      <w:strike/>
                      <w:color w:val="C00000"/>
                      <w:sz w:val="16"/>
                      <w:szCs w:val="16"/>
                      <w:highlight w:val="yellow"/>
                      <w:lang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  <w:t>3</w:t>
                  </w:r>
                </w:p>
              </w:tc>
            </w:tr>
            <w:tr>
              <w:tblPrEx>
                <w:tblBorders>
                  <w:top w:val="single" w:color="A5A5A5" w:sz="4" w:space="0"/>
                  <w:left w:val="single" w:color="A5A5A5" w:sz="4" w:space="0"/>
                  <w:bottom w:val="single" w:color="A5A5A5" w:sz="4" w:space="0"/>
                  <w:right w:val="single" w:color="A5A5A5" w:sz="4" w:space="0"/>
                  <w:insideH w:val="single" w:color="A5A5A5" w:sz="4" w:space="0"/>
                  <w:insideV w:val="sing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62" w:hRule="atLeast"/>
                <w:jc w:val="center"/>
              </w:trPr>
              <w:tc>
                <w:tcPr>
                  <w:tcW w:w="2434" w:type="dxa"/>
                  <w:shd w:val="clear" w:color="auto" w:fill="auto"/>
                </w:tcPr>
                <w:p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  <w:t>30</w:t>
                  </w:r>
                </w:p>
              </w:tc>
              <w:tc>
                <w:tcPr>
                  <w:tcW w:w="2710" w:type="dxa"/>
                  <w:shd w:val="clear" w:color="auto" w:fill="auto"/>
                </w:tcPr>
                <w:p>
                  <w:pPr>
                    <w:jc w:val="both"/>
                    <w:rPr>
                      <w:rFonts w:ascii="Arial" w:hAnsi="Arial" w:cs="Arial"/>
                      <w:strike/>
                      <w:color w:val="C00000"/>
                      <w:sz w:val="16"/>
                      <w:szCs w:val="16"/>
                      <w:highlight w:val="yellow"/>
                      <w:lang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  <w:t>6</w:t>
                  </w:r>
                </w:p>
              </w:tc>
            </w:tr>
            <w:tr>
              <w:tblPrEx>
                <w:tblBorders>
                  <w:top w:val="single" w:color="A5A5A5" w:sz="4" w:space="0"/>
                  <w:left w:val="single" w:color="A5A5A5" w:sz="4" w:space="0"/>
                  <w:bottom w:val="single" w:color="A5A5A5" w:sz="4" w:space="0"/>
                  <w:right w:val="single" w:color="A5A5A5" w:sz="4" w:space="0"/>
                  <w:insideH w:val="single" w:color="A5A5A5" w:sz="4" w:space="0"/>
                  <w:insideV w:val="sing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62" w:hRule="atLeast"/>
                <w:jc w:val="center"/>
              </w:trPr>
              <w:tc>
                <w:tcPr>
                  <w:tcW w:w="2434" w:type="dxa"/>
                  <w:shd w:val="clear" w:color="auto" w:fill="auto"/>
                </w:tcPr>
                <w:p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  <w:t>60</w:t>
                  </w:r>
                </w:p>
              </w:tc>
              <w:tc>
                <w:tcPr>
                  <w:tcW w:w="2710" w:type="dxa"/>
                  <w:shd w:val="clear" w:color="auto" w:fill="auto"/>
                </w:tcPr>
                <w:p>
                  <w:pPr>
                    <w:jc w:val="both"/>
                    <w:rPr>
                      <w:rFonts w:ascii="Arial" w:hAnsi="Arial" w:cs="Arial"/>
                      <w:strike/>
                      <w:color w:val="C00000"/>
                      <w:sz w:val="16"/>
                      <w:szCs w:val="16"/>
                      <w:highlight w:val="yellow"/>
                      <w:lang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  <w:t>12</w:t>
                  </w:r>
                </w:p>
              </w:tc>
            </w:tr>
            <w:tr>
              <w:tblPrEx>
                <w:tblBorders>
                  <w:top w:val="single" w:color="A5A5A5" w:sz="4" w:space="0"/>
                  <w:left w:val="single" w:color="A5A5A5" w:sz="4" w:space="0"/>
                  <w:bottom w:val="single" w:color="A5A5A5" w:sz="4" w:space="0"/>
                  <w:right w:val="single" w:color="A5A5A5" w:sz="4" w:space="0"/>
                  <w:insideH w:val="single" w:color="A5A5A5" w:sz="4" w:space="0"/>
                  <w:insideV w:val="sing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69" w:hRule="atLeast"/>
                <w:jc w:val="center"/>
              </w:trPr>
              <w:tc>
                <w:tcPr>
                  <w:tcW w:w="2434" w:type="dxa"/>
                  <w:shd w:val="clear" w:color="auto" w:fill="auto"/>
                </w:tcPr>
                <w:p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  <w:t>120</w:t>
                  </w:r>
                </w:p>
              </w:tc>
              <w:tc>
                <w:tcPr>
                  <w:tcW w:w="2710" w:type="dxa"/>
                  <w:shd w:val="clear" w:color="auto" w:fill="auto"/>
                </w:tcPr>
                <w:p>
                  <w:pPr>
                    <w:jc w:val="both"/>
                    <w:rPr>
                      <w:rFonts w:ascii="Arial" w:hAnsi="Arial" w:cs="Arial"/>
                      <w:strike/>
                      <w:color w:val="C00000"/>
                      <w:sz w:val="16"/>
                      <w:szCs w:val="16"/>
                      <w:highlight w:val="yellow"/>
                      <w:lang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  <w:t>24</w:t>
                  </w:r>
                </w:p>
              </w:tc>
            </w:tr>
            <w:tr>
              <w:tblPrEx>
                <w:tblBorders>
                  <w:top w:val="single" w:color="A5A5A5" w:sz="4" w:space="0"/>
                  <w:left w:val="single" w:color="A5A5A5" w:sz="4" w:space="0"/>
                  <w:bottom w:val="single" w:color="A5A5A5" w:sz="4" w:space="0"/>
                  <w:right w:val="single" w:color="A5A5A5" w:sz="4" w:space="0"/>
                  <w:insideH w:val="single" w:color="A5A5A5" w:sz="4" w:space="0"/>
                  <w:insideV w:val="sing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62" w:hRule="atLeast"/>
                <w:jc w:val="center"/>
              </w:trPr>
              <w:tc>
                <w:tcPr>
                  <w:tcW w:w="2434" w:type="dxa"/>
                  <w:shd w:val="clear" w:color="auto" w:fill="auto"/>
                </w:tcPr>
                <w:p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  <w:t>480</w:t>
                  </w:r>
                </w:p>
              </w:tc>
              <w:tc>
                <w:tcPr>
                  <w:tcW w:w="2710" w:type="dxa"/>
                  <w:shd w:val="clear" w:color="auto" w:fill="auto"/>
                </w:tcPr>
                <w:p>
                  <w:pPr>
                    <w:jc w:val="both"/>
                    <w:rPr>
                      <w:rFonts w:ascii="Arial" w:hAnsi="Arial" w:cs="Arial"/>
                      <w:strike/>
                      <w:color w:val="C00000"/>
                      <w:sz w:val="16"/>
                      <w:szCs w:val="16"/>
                      <w:highlight w:val="yellow"/>
                      <w:lang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  <w:t>96</w:t>
                  </w:r>
                </w:p>
              </w:tc>
            </w:tr>
            <w:tr>
              <w:tblPrEx>
                <w:tblBorders>
                  <w:top w:val="single" w:color="A5A5A5" w:sz="4" w:space="0"/>
                  <w:left w:val="single" w:color="A5A5A5" w:sz="4" w:space="0"/>
                  <w:bottom w:val="single" w:color="A5A5A5" w:sz="4" w:space="0"/>
                  <w:right w:val="single" w:color="A5A5A5" w:sz="4" w:space="0"/>
                  <w:insideH w:val="single" w:color="A5A5A5" w:sz="4" w:space="0"/>
                  <w:insideV w:val="single" w:color="A5A5A5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62" w:hRule="atLeast"/>
                <w:jc w:val="center"/>
              </w:trPr>
              <w:tc>
                <w:tcPr>
                  <w:tcW w:w="2434" w:type="dxa"/>
                  <w:shd w:val="clear" w:color="auto" w:fill="auto"/>
                </w:tcPr>
                <w:p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  <w:t>960</w:t>
                  </w:r>
                </w:p>
              </w:tc>
              <w:tc>
                <w:tcPr>
                  <w:tcW w:w="2710" w:type="dxa"/>
                  <w:shd w:val="clear" w:color="auto" w:fill="auto"/>
                </w:tcPr>
                <w:p>
                  <w:pPr>
                    <w:jc w:val="both"/>
                    <w:rPr>
                      <w:rFonts w:ascii="Arial" w:hAnsi="Arial" w:cs="Arial"/>
                      <w:strike/>
                      <w:color w:val="C00000"/>
                      <w:sz w:val="16"/>
                      <w:szCs w:val="16"/>
                      <w:highlight w:val="yellow"/>
                      <w:lang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  <w:t>192</w:t>
                  </w:r>
                </w:p>
              </w:tc>
            </w:tr>
          </w:tbl>
          <w:p>
            <w:pPr>
              <w:snapToGrid w:val="0"/>
              <w:spacing w:before="120"/>
              <w:jc w:val="both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snapToGrid w:val="0"/>
        <w:spacing w:before="120"/>
        <w:jc w:val="both"/>
        <w:rPr>
          <w:rFonts w:hint="eastAsia"/>
          <w:szCs w:val="20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According to the agreements, D slots is counted regarding to slot n which contains the </w:t>
      </w:r>
      <w:r>
        <w:rPr>
          <w:rFonts w:ascii="Times New Roman" w:hAnsi="Times New Roman"/>
          <w:szCs w:val="20"/>
          <w:lang w:eastAsia="zh-CN"/>
        </w:rPr>
        <w:t>PDCCH of DCI format 2_</w:t>
      </w:r>
      <w:r>
        <w:rPr>
          <w:rFonts w:hint="eastAsia"/>
          <w:szCs w:val="20"/>
          <w:lang w:val="en-US" w:eastAsia="zh-CN"/>
        </w:rPr>
        <w:t xml:space="preserve">9. However, a parameter </w:t>
      </w:r>
      <w:r>
        <w:rPr>
          <w:rFonts w:hint="default"/>
          <w:szCs w:val="20"/>
          <w:lang w:val="en-US" w:eastAsia="zh-CN"/>
        </w:rPr>
        <w:t>“</w:t>
      </w:r>
      <w:r>
        <w:rPr>
          <w:rFonts w:hint="eastAsia"/>
          <w:szCs w:val="20"/>
          <w:lang w:val="en-US" w:eastAsia="zh-CN"/>
        </w:rPr>
        <w:t>duration</w:t>
      </w:r>
      <w:r>
        <w:rPr>
          <w:rFonts w:hint="default"/>
          <w:szCs w:val="20"/>
          <w:lang w:val="en-US" w:eastAsia="zh-CN"/>
        </w:rPr>
        <w:t>”</w:t>
      </w:r>
      <w:r>
        <w:rPr>
          <w:rFonts w:hint="eastAsia"/>
          <w:szCs w:val="20"/>
          <w:lang w:val="en-US" w:eastAsia="zh-CN"/>
        </w:rPr>
        <w:t xml:space="preserve"> in search space IE can be configured. By configuring the duration parameter, several consecutive slots can be used for PDCCH monitoring in every monitoring period. For example, since the activation/deactivation DCI is a group common DCI aiming for multiple UEs, different slots can be used to send </w:t>
      </w:r>
      <w:r>
        <w:rPr>
          <w:rFonts w:ascii="Times New Roman" w:hAnsi="Times New Roman"/>
          <w:szCs w:val="20"/>
          <w:lang w:eastAsia="zh-CN"/>
        </w:rPr>
        <w:t>DCI format 2_</w:t>
      </w:r>
      <w:r>
        <w:rPr>
          <w:rFonts w:hint="eastAsia"/>
          <w:szCs w:val="20"/>
          <w:lang w:val="en-US" w:eastAsia="zh-CN"/>
        </w:rPr>
        <w:t xml:space="preserve">9 to UEs under different beam directions. </w:t>
      </w:r>
    </w:p>
    <w:p>
      <w:pPr>
        <w:snapToGrid w:val="0"/>
        <w:spacing w:before="120"/>
        <w:jc w:val="both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Cs w:val="20"/>
          <w:lang w:val="en-US" w:eastAsia="zh-CN"/>
        </w:rPr>
        <w:t xml:space="preserve">As shown in Figure 2, the search space duration is 4 slots, gNB sends deactivation indication during non-active period of cell DTX, and UE1 receives </w:t>
      </w:r>
      <w:r>
        <w:rPr>
          <w:rFonts w:ascii="Times New Roman" w:hAnsi="Times New Roman"/>
          <w:szCs w:val="20"/>
          <w:lang w:eastAsia="zh-CN"/>
        </w:rPr>
        <w:t>DCI format 2_</w:t>
      </w:r>
      <w:r>
        <w:rPr>
          <w:rFonts w:hint="eastAsia"/>
          <w:szCs w:val="20"/>
          <w:lang w:val="en-US" w:eastAsia="zh-CN"/>
        </w:rPr>
        <w:t xml:space="preserve">9 in slot n, suppose SCS =15KHz, then D=3, and UE1 will apply cell DTX deactivation at slot n+3. while UE2 receives </w:t>
      </w:r>
      <w:r>
        <w:rPr>
          <w:rFonts w:ascii="Times New Roman" w:hAnsi="Times New Roman"/>
          <w:szCs w:val="20"/>
          <w:lang w:eastAsia="zh-CN"/>
        </w:rPr>
        <w:t>DCI format 2_</w:t>
      </w:r>
      <w:r>
        <w:rPr>
          <w:rFonts w:hint="eastAsia"/>
          <w:szCs w:val="20"/>
          <w:lang w:val="en-US" w:eastAsia="zh-CN"/>
        </w:rPr>
        <w:t>9 in slot n+3, then UE2 will apply cell DTX deactivation at slot n+6. As a result of this, apply time of cell DTX deactivation will be different for different UEs. Since this is cell DTX/DRX for gNB power saving, it is better to align the activation/deactivation time. So we propose that s</w:t>
      </w:r>
      <w:r>
        <w:rPr>
          <w:rFonts w:ascii="Times New Roman" w:hAnsi="Times New Roman"/>
          <w:szCs w:val="20"/>
          <w:lang w:eastAsia="zh-CN"/>
        </w:rPr>
        <w:t xml:space="preserve">lot X is the first slot whose beginning is no earlier than </w:t>
      </w:r>
      <w:r>
        <w:rPr>
          <w:rFonts w:ascii="Times New Roman" w:hAnsi="Times New Roman"/>
          <w:color w:val="auto"/>
          <w:szCs w:val="20"/>
          <w:u w:val="none"/>
          <w:lang w:eastAsia="zh-CN"/>
        </w:rPr>
        <w:t>(i.e., same or after)</w:t>
      </w:r>
      <w:r>
        <w:rPr>
          <w:rFonts w:ascii="Times New Roman" w:hAnsi="Times New Roman"/>
          <w:color w:val="auto"/>
          <w:szCs w:val="20"/>
          <w:lang w:eastAsia="zh-CN"/>
        </w:rPr>
        <w:t xml:space="preserve"> </w:t>
      </w:r>
      <w:r>
        <w:rPr>
          <w:rFonts w:ascii="Times New Roman" w:hAnsi="Times New Roman"/>
          <w:szCs w:val="20"/>
          <w:lang w:eastAsia="zh-CN"/>
        </w:rPr>
        <w:t xml:space="preserve">beginning of slot n + D, where D is the delay and n is the </w:t>
      </w:r>
      <w:r>
        <w:rPr>
          <w:rFonts w:hint="eastAsia"/>
          <w:szCs w:val="20"/>
          <w:lang w:val="en-US" w:eastAsia="zh-CN"/>
        </w:rPr>
        <w:t xml:space="preserve">last </w:t>
      </w:r>
      <w:r>
        <w:rPr>
          <w:rFonts w:ascii="Times New Roman" w:hAnsi="Times New Roman"/>
          <w:szCs w:val="20"/>
          <w:lang w:eastAsia="zh-CN"/>
        </w:rPr>
        <w:t>slot</w:t>
      </w:r>
      <w:r>
        <w:rPr>
          <w:rFonts w:hint="eastAsia"/>
          <w:szCs w:val="20"/>
          <w:lang w:val="en-US" w:eastAsia="zh-CN"/>
        </w:rPr>
        <w:t xml:space="preserve"> among the monitoring duration </w:t>
      </w:r>
      <w:r>
        <w:rPr>
          <w:rFonts w:ascii="Times New Roman" w:hAnsi="Times New Roman"/>
          <w:szCs w:val="20"/>
          <w:lang w:eastAsia="zh-CN"/>
        </w:rPr>
        <w:t>based on SCS of PDCCH</w:t>
      </w:r>
      <w:r>
        <w:rPr>
          <w:rFonts w:hint="eastAsia"/>
          <w:szCs w:val="20"/>
          <w:lang w:val="en-US" w:eastAsia="zh-CN"/>
        </w:rPr>
        <w:t>, where at least one slot in the duration</w:t>
      </w:r>
      <w:r>
        <w:rPr>
          <w:rFonts w:ascii="Times New Roman" w:hAnsi="Times New Roman"/>
          <w:szCs w:val="20"/>
          <w:lang w:eastAsia="zh-CN"/>
        </w:rPr>
        <w:t xml:space="preserve"> contain</w:t>
      </w:r>
      <w:r>
        <w:rPr>
          <w:rFonts w:hint="eastAsia"/>
          <w:szCs w:val="20"/>
          <w:lang w:val="en-US" w:eastAsia="zh-CN"/>
        </w:rPr>
        <w:t>s</w:t>
      </w:r>
      <w:r>
        <w:rPr>
          <w:rFonts w:ascii="Times New Roman" w:hAnsi="Times New Roman"/>
          <w:szCs w:val="20"/>
          <w:lang w:eastAsia="zh-CN"/>
        </w:rPr>
        <w:t xml:space="preserve"> the PDCCH of DCI format 2_</w:t>
      </w:r>
      <w:r>
        <w:rPr>
          <w:rFonts w:hint="eastAsia"/>
          <w:szCs w:val="20"/>
          <w:lang w:val="en-US" w:eastAsia="zh-CN"/>
        </w:rPr>
        <w:t>9</w:t>
      </w:r>
      <w:r>
        <w:rPr>
          <w:rFonts w:ascii="Times New Roman" w:hAnsi="Times New Roman"/>
          <w:szCs w:val="20"/>
          <w:lang w:eastAsia="zh-CN"/>
        </w:rPr>
        <w:t xml:space="preserve"> .</w:t>
      </w:r>
    </w:p>
    <w:p>
      <w:pPr>
        <w:snapToGrid w:val="0"/>
        <w:spacing w:before="120"/>
        <w:jc w:val="both"/>
      </w:pPr>
      <w:r>
        <w:drawing>
          <wp:inline distT="0" distB="0" distL="114300" distR="114300">
            <wp:extent cx="6076950" cy="2493010"/>
            <wp:effectExtent l="0" t="0" r="381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076950" cy="2493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before="12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Figure 2. UEs apply cell DTX/DRX at different slots</w:t>
      </w:r>
    </w:p>
    <w:p>
      <w:pPr>
        <w:snapToGrid w:val="0"/>
        <w:spacing w:before="120"/>
        <w:jc w:val="left"/>
        <w:rPr>
          <w:rFonts w:hint="eastAsia"/>
          <w:b/>
          <w:bCs/>
          <w:szCs w:val="20"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Propose 2: When considering slot X when </w:t>
      </w:r>
      <w:r>
        <w:rPr>
          <w:rFonts w:ascii="Times New Roman" w:hAnsi="Times New Roman"/>
          <w:b/>
          <w:bCs/>
          <w:szCs w:val="20"/>
          <w:lang w:eastAsia="zh-CN"/>
        </w:rPr>
        <w:t>UE is expected to apply cell DTX or DRX activation/deactivation change</w:t>
      </w:r>
      <w:r>
        <w:rPr>
          <w:rFonts w:hint="eastAsia"/>
          <w:b/>
          <w:bCs/>
          <w:szCs w:val="20"/>
          <w:lang w:val="en-US" w:eastAsia="zh-CN"/>
        </w:rPr>
        <w:t>, search space duration with multiple slots needs to be considered.</w:t>
      </w:r>
    </w:p>
    <w:p>
      <w:pPr>
        <w:snapToGrid w:val="0"/>
        <w:spacing w:before="120"/>
        <w:jc w:val="left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Propose 3: Slot X is the first slot whose beginning is no earlier than (i.e., same or after) beginning of slot n + D, where D is the delay and n is the last slot among the monitoring duration in each monitoring period based on SCS of PDCCH, where at least one slot in the duration contains the PDCCH of DCI format 2_9.</w:t>
      </w:r>
    </w:p>
    <w:p>
      <w:pPr>
        <w:snapToGrid w:val="0"/>
        <w:spacing w:before="120"/>
        <w:jc w:val="both"/>
        <w:rPr>
          <w:rFonts w:hint="default"/>
          <w:sz w:val="21"/>
          <w:szCs w:val="21"/>
          <w:lang w:val="en-US" w:eastAsia="zh-CN"/>
        </w:rPr>
      </w:pPr>
      <w:bookmarkStart w:id="5" w:name="_GoBack"/>
      <w:bookmarkEnd w:id="5"/>
    </w:p>
    <w:p>
      <w:pPr>
        <w:snapToGrid w:val="0"/>
        <w:spacing w:before="120"/>
        <w:jc w:val="both"/>
        <w:rPr>
          <w:sz w:val="21"/>
          <w:szCs w:val="21"/>
          <w:lang w:val="en-US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0" w:after="0" w:line="360" w:lineRule="auto"/>
        <w:ind w:left="0" w:right="0" w:firstLine="0"/>
        <w:textAlignment w:val="baseline"/>
        <w:rPr>
          <w:rFonts w:hint="default" w:eastAsia="宋体"/>
          <w:b/>
          <w:bCs/>
          <w:i/>
          <w:iCs/>
          <w:sz w:val="21"/>
          <w:szCs w:val="21"/>
          <w:u w:val="single"/>
          <w:lang w:val="en-US" w:eastAsia="zh-CN"/>
        </w:rPr>
      </w:pPr>
      <w:r>
        <w:rPr>
          <w:rFonts w:hint="eastAsia" w:cs="Arial"/>
          <w:b/>
          <w:sz w:val="24"/>
          <w:szCs w:val="24"/>
          <w:lang w:val="en-US" w:eastAsia="zh-CN"/>
        </w:rPr>
        <w:t>3</w:t>
      </w:r>
      <w:r>
        <w:rPr>
          <w:rFonts w:ascii="Arial" w:hAnsi="Arial" w:cs="Arial"/>
          <w:b/>
          <w:sz w:val="24"/>
          <w:szCs w:val="24"/>
        </w:rPr>
        <w:t>.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Conclusion </w:t>
      </w:r>
    </w:p>
    <w:p>
      <w:pPr>
        <w:widowControl w:val="0"/>
        <w:snapToGrid w:val="0"/>
        <w:spacing w:before="120" w:line="300" w:lineRule="auto"/>
        <w:jc w:val="both"/>
        <w:rPr>
          <w:rFonts w:eastAsia="Times New Roman"/>
          <w:kern w:val="2"/>
          <w:sz w:val="21"/>
          <w:szCs w:val="22"/>
          <w:lang w:val="en-US" w:eastAsia="ko-KR"/>
        </w:rPr>
      </w:pPr>
      <w:r>
        <w:rPr>
          <w:rFonts w:hint="default" w:eastAsia="Times New Roman"/>
          <w:kern w:val="2"/>
          <w:sz w:val="21"/>
          <w:szCs w:val="22"/>
          <w:lang w:val="en-US" w:eastAsia="ko-KR"/>
        </w:rPr>
        <w:t xml:space="preserve">In this contribution, we discuss the </w:t>
      </w:r>
      <w:r>
        <w:rPr>
          <w:rFonts w:hint="eastAsia"/>
          <w:kern w:val="2"/>
          <w:sz w:val="21"/>
          <w:szCs w:val="22"/>
          <w:lang w:val="en-US" w:eastAsia="zh-CN"/>
        </w:rPr>
        <w:t xml:space="preserve">remaining </w:t>
      </w:r>
      <w:r>
        <w:rPr>
          <w:rFonts w:hint="default" w:eastAsia="Times New Roman"/>
          <w:kern w:val="2"/>
          <w:sz w:val="21"/>
          <w:szCs w:val="22"/>
          <w:lang w:val="en-US" w:eastAsia="ko-KR"/>
        </w:rPr>
        <w:t xml:space="preserve">issues related to </w:t>
      </w:r>
      <w:r>
        <w:rPr>
          <w:rFonts w:hint="eastAsia"/>
          <w:kern w:val="2"/>
          <w:sz w:val="21"/>
          <w:szCs w:val="22"/>
          <w:lang w:val="en-US" w:eastAsia="zh-CN"/>
        </w:rPr>
        <w:t xml:space="preserve">activation/deactivation of </w:t>
      </w:r>
      <w:r>
        <w:rPr>
          <w:rFonts w:hint="default" w:eastAsia="Times New Roman"/>
          <w:kern w:val="2"/>
          <w:sz w:val="21"/>
          <w:szCs w:val="22"/>
          <w:lang w:val="en-US" w:eastAsia="ko-KR"/>
        </w:rPr>
        <w:t xml:space="preserve">cell DTX/DRX, and </w:t>
      </w:r>
      <w:r>
        <w:rPr>
          <w:rFonts w:eastAsia="Times New Roman"/>
          <w:kern w:val="2"/>
          <w:sz w:val="21"/>
          <w:szCs w:val="22"/>
          <w:lang w:val="en-US" w:eastAsia="ko-KR"/>
        </w:rPr>
        <w:t xml:space="preserve">the </w:t>
      </w:r>
      <w:r>
        <w:rPr>
          <w:rFonts w:hint="default" w:eastAsia="Times New Roman"/>
          <w:kern w:val="2"/>
          <w:sz w:val="21"/>
          <w:szCs w:val="22"/>
          <w:lang w:val="en-US" w:eastAsia="ko-KR"/>
        </w:rPr>
        <w:t>following</w:t>
      </w:r>
      <w:r>
        <w:rPr>
          <w:rFonts w:eastAsia="Times New Roman"/>
          <w:kern w:val="2"/>
          <w:sz w:val="21"/>
          <w:szCs w:val="22"/>
          <w:lang w:val="en-US" w:eastAsia="ko-KR"/>
        </w:rPr>
        <w:t xml:space="preserve"> proposals are </w:t>
      </w:r>
      <w:r>
        <w:rPr>
          <w:rFonts w:hint="default" w:eastAsia="Times New Roman"/>
          <w:kern w:val="2"/>
          <w:sz w:val="21"/>
          <w:szCs w:val="22"/>
          <w:lang w:val="en-US" w:eastAsia="ko-KR"/>
        </w:rPr>
        <w:t>made</w:t>
      </w:r>
      <w:r>
        <w:rPr>
          <w:rFonts w:eastAsia="Times New Roman"/>
          <w:kern w:val="2"/>
          <w:sz w:val="21"/>
          <w:szCs w:val="22"/>
          <w:lang w:val="en-US" w:eastAsia="ko-KR"/>
        </w:rPr>
        <w:t>:</w:t>
      </w:r>
    </w:p>
    <w:p>
      <w:pPr>
        <w:snapToGrid w:val="0"/>
        <w:spacing w:before="120"/>
        <w:jc w:val="both"/>
        <w:rPr>
          <w:rFonts w:hint="eastAsia" w:eastAsia="宋体"/>
          <w:b/>
          <w:bCs/>
          <w:sz w:val="20"/>
          <w:szCs w:val="24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Proposal 1: DCI format 2_9 is monitored on the serving cell that configured with search space of DCI format 2_9.</w:t>
      </w:r>
    </w:p>
    <w:p>
      <w:pPr>
        <w:snapToGrid w:val="0"/>
        <w:spacing w:before="120"/>
        <w:jc w:val="left"/>
        <w:rPr>
          <w:rFonts w:hint="eastAsia"/>
          <w:b/>
          <w:bCs/>
          <w:szCs w:val="20"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Propose 2: When considering slot X when </w:t>
      </w:r>
      <w:r>
        <w:rPr>
          <w:rFonts w:ascii="Times New Roman" w:hAnsi="Times New Roman"/>
          <w:b/>
          <w:bCs/>
          <w:szCs w:val="20"/>
          <w:lang w:eastAsia="zh-CN"/>
        </w:rPr>
        <w:t>UE is expected to apply cell DTX or DRX activation/deactivation change</w:t>
      </w:r>
      <w:r>
        <w:rPr>
          <w:rFonts w:hint="eastAsia"/>
          <w:b/>
          <w:bCs/>
          <w:szCs w:val="20"/>
          <w:lang w:val="en-US" w:eastAsia="zh-CN"/>
        </w:rPr>
        <w:t>, search space duration with multiple slots needs to be considered.</w:t>
      </w:r>
    </w:p>
    <w:p>
      <w:pPr>
        <w:snapToGrid w:val="0"/>
        <w:spacing w:before="120"/>
        <w:jc w:val="left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Propose 3: Slot X is the first slot whose beginning is no earlier than (i.e., same or after) beginning of slot n + D, where D is the delay and n is the last slot among the monitoring duration in each monitoring period based on SCS of PDCCH, where at least one slot in the duration contains the PDCCH of DCI format 2_9 .</w:t>
      </w:r>
    </w:p>
    <w:p>
      <w:pPr>
        <w:widowControl w:val="0"/>
        <w:snapToGrid w:val="0"/>
        <w:spacing w:before="120" w:line="300" w:lineRule="auto"/>
        <w:jc w:val="both"/>
        <w:rPr>
          <w:rFonts w:hint="eastAsia" w:eastAsia="Times New Roman"/>
          <w:kern w:val="2"/>
          <w:sz w:val="21"/>
          <w:szCs w:val="22"/>
          <w:lang w:val="en-US" w:eastAsia="ko-KR"/>
        </w:rPr>
      </w:pPr>
    </w:p>
    <w:p>
      <w:pPr>
        <w:widowControl w:val="0"/>
        <w:snapToGrid w:val="0"/>
        <w:spacing w:before="120" w:line="300" w:lineRule="auto"/>
        <w:jc w:val="both"/>
        <w:rPr>
          <w:rFonts w:hint="eastAsia" w:eastAsia="Times New Roman"/>
          <w:kern w:val="2"/>
          <w:sz w:val="21"/>
          <w:szCs w:val="22"/>
          <w:lang w:val="en-US" w:eastAsia="ko-KR"/>
        </w:rPr>
      </w:pPr>
    </w:p>
    <w:p>
      <w:pPr>
        <w:snapToGrid w:val="0"/>
        <w:spacing w:before="120"/>
        <w:jc w:val="both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4</w:t>
      </w:r>
      <w:r>
        <w:rPr>
          <w:rFonts w:ascii="Arial" w:hAnsi="Arial" w:cs="Arial"/>
          <w:b/>
          <w:sz w:val="24"/>
          <w:szCs w:val="24"/>
        </w:rPr>
        <w:t>. References</w:t>
      </w:r>
    </w:p>
    <w:p>
      <w:pPr>
        <w:widowControl w:val="0"/>
        <w:numPr>
          <w:ilvl w:val="0"/>
          <w:numId w:val="8"/>
        </w:numPr>
        <w:snapToGrid w:val="0"/>
        <w:spacing w:before="120" w:line="300" w:lineRule="auto"/>
        <w:jc w:val="both"/>
        <w:rPr>
          <w:rFonts w:hint="eastAsia" w:ascii="Times New Roman" w:hAnsi="Times New Roman"/>
          <w:sz w:val="20"/>
          <w:lang w:val="en-US" w:eastAsia="zh-CN"/>
        </w:rPr>
      </w:pPr>
      <w:r>
        <w:rPr>
          <w:rFonts w:ascii="Times New Roman" w:hAnsi="Times New Roman"/>
          <w:sz w:val="20"/>
          <w:lang w:val="en-US"/>
        </w:rPr>
        <w:t>R1-2308739</w:t>
      </w:r>
      <w:r>
        <w:rPr>
          <w:rFonts w:hint="eastAsia" w:ascii="Times New Roman" w:hAnsi="Times New Roman"/>
          <w:sz w:val="20"/>
          <w:lang w:val="en-US" w:eastAsia="zh-CN"/>
        </w:rPr>
        <w:t>,</w:t>
      </w:r>
      <w:r>
        <w:rPr>
          <w:rFonts w:ascii="Times New Roman" w:hAnsi="Times New Roman"/>
          <w:sz w:val="20"/>
          <w:lang w:val="en-US"/>
        </w:rPr>
        <w:t xml:space="preserve">Introduction of </w:t>
      </w:r>
      <w:r>
        <w:rPr>
          <w:rFonts w:ascii="Times New Roman" w:hAnsi="Times New Roman"/>
          <w:sz w:val="20"/>
          <w:lang w:val="en-US" w:eastAsia="zh-CN"/>
        </w:rPr>
        <w:t>network energy savings for NR</w:t>
      </w:r>
      <w:r>
        <w:rPr>
          <w:rFonts w:hint="eastAsia" w:ascii="Times New Roman" w:hAnsi="Times New Roman"/>
          <w:sz w:val="20"/>
          <w:lang w:val="en-US" w:eastAsia="zh-CN"/>
        </w:rPr>
        <w:t>,</w:t>
      </w:r>
      <w:r>
        <w:rPr>
          <w:rFonts w:ascii="Times New Roman" w:hAnsi="Times New Roman"/>
          <w:sz w:val="20"/>
          <w:lang w:val="en-US"/>
        </w:rPr>
        <w:t>Samsung</w:t>
      </w:r>
      <w:r>
        <w:rPr>
          <w:rFonts w:hint="eastAsia" w:ascii="Times New Roman" w:hAnsi="Times New Roman"/>
          <w:sz w:val="20"/>
          <w:lang w:val="en-US" w:eastAsia="zh-CN"/>
        </w:rPr>
        <w:t>,</w:t>
      </w:r>
      <w:r>
        <w:rPr>
          <w:rFonts w:ascii="Times New Roman" w:hAnsi="Times New Roman"/>
          <w:sz w:val="20"/>
          <w:lang w:val="en-US"/>
        </w:rPr>
        <w:t>3GPP TSG RAN WG1 #114</w:t>
      </w:r>
      <w:r>
        <w:rPr>
          <w:rFonts w:ascii="Times New Roman" w:hAnsi="Times New Roman"/>
          <w:sz w:val="20"/>
          <w:lang w:val="en-US" w:eastAsia="zh-CN"/>
        </w:rPr>
        <w:t>.</w:t>
      </w:r>
    </w:p>
    <w:p>
      <w:pPr>
        <w:widowControl w:val="0"/>
        <w:numPr>
          <w:ilvl w:val="0"/>
          <w:numId w:val="8"/>
        </w:numPr>
        <w:snapToGrid w:val="0"/>
        <w:spacing w:before="120" w:line="300" w:lineRule="auto"/>
        <w:jc w:val="both"/>
        <w:rPr>
          <w:rFonts w:hint="eastAsia" w:ascii="Times New Roman" w:hAnsi="Times New Roman"/>
          <w:sz w:val="20"/>
          <w:lang w:val="en-US" w:eastAsia="zh-CN"/>
        </w:rPr>
      </w:pPr>
      <w:r>
        <w:rPr>
          <w:rFonts w:hint="eastAsia" w:ascii="Times New Roman" w:hAnsi="Times New Roman"/>
          <w:sz w:val="20"/>
          <w:lang w:val="en-US" w:eastAsia="zh-CN"/>
        </w:rPr>
        <w:t>Draft Report of 3GPP TSG RAN WG1 #114 v0.2.0</w:t>
      </w:r>
      <w:r>
        <w:rPr>
          <w:rFonts w:hint="eastAsia"/>
          <w:sz w:val="20"/>
          <w:lang w:val="en-US" w:eastAsia="zh-CN"/>
        </w:rPr>
        <w:t>.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88" w:lineRule="auto"/>
      </w:pPr>
      <w:r>
        <w:separator/>
      </w:r>
    </w:p>
  </w:footnote>
  <w:footnote w:type="continuationSeparator" w:id="1">
    <w:p>
      <w:pPr>
        <w:spacing w:before="0" w:after="0" w:line="28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01EAB"/>
    <w:multiLevelType w:val="multilevel"/>
    <w:tmpl w:val="00501EAB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5C6F09"/>
    <w:multiLevelType w:val="multilevel"/>
    <w:tmpl w:val="085C6F09"/>
    <w:lvl w:ilvl="0" w:tentative="0">
      <w:start w:val="1"/>
      <w:numFmt w:val="decimal"/>
      <w:lvlText w:val="%1"/>
      <w:lvlJc w:val="left"/>
      <w:pPr>
        <w:ind w:left="432" w:hanging="432"/>
      </w:pPr>
    </w:lvl>
    <w:lvl w:ilvl="1" w:tentative="0">
      <w:start w:val="1"/>
      <w:numFmt w:val="decimal"/>
      <w:lvlText w:val="%1.%2"/>
      <w:lvlJc w:val="left"/>
      <w:pPr>
        <w:ind w:left="576" w:hanging="576"/>
      </w:pPr>
    </w:lvl>
    <w:lvl w:ilvl="2" w:tentative="0">
      <w:start w:val="1"/>
      <w:numFmt w:val="decimal"/>
      <w:lvlText w:val="%1.%2.%3"/>
      <w:lvlJc w:val="left"/>
      <w:pPr>
        <w:ind w:left="720" w:hanging="720"/>
      </w:pPr>
    </w:lvl>
    <w:lvl w:ilvl="3" w:tentative="0">
      <w:start w:val="1"/>
      <w:numFmt w:val="decimal"/>
      <w:lvlText w:val="%1.%2.%3.%4"/>
      <w:lvlJc w:val="left"/>
      <w:pPr>
        <w:ind w:left="864" w:hanging="864"/>
      </w:pPr>
    </w:lvl>
    <w:lvl w:ilvl="4" w:tentative="0">
      <w:start w:val="1"/>
      <w:numFmt w:val="decimal"/>
      <w:lvlText w:val="%1.%2.%3.%4.%5"/>
      <w:lvlJc w:val="left"/>
      <w:pPr>
        <w:ind w:left="1008" w:hanging="1008"/>
      </w:pPr>
    </w:lvl>
    <w:lvl w:ilvl="5" w:tentative="0">
      <w:start w:val="1"/>
      <w:numFmt w:val="decimal"/>
      <w:lvlText w:val="%1.%2.%3.%4.%5.%6"/>
      <w:lvlJc w:val="left"/>
      <w:pPr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>
    <w:nsid w:val="14F82C84"/>
    <w:multiLevelType w:val="multilevel"/>
    <w:tmpl w:val="14F82C84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38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4">
    <w:nsid w:val="32343C77"/>
    <w:multiLevelType w:val="multilevel"/>
    <w:tmpl w:val="32343C77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41CA2C26"/>
    <w:multiLevelType w:val="singleLevel"/>
    <w:tmpl w:val="41CA2C26"/>
    <w:lvl w:ilvl="0" w:tentative="0">
      <w:start w:val="1"/>
      <w:numFmt w:val="bullet"/>
      <w:pStyle w:val="36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6">
    <w:nsid w:val="549A69FD"/>
    <w:multiLevelType w:val="multilevel"/>
    <w:tmpl w:val="549A69FD"/>
    <w:lvl w:ilvl="0" w:tentative="0">
      <w:start w:val="5"/>
      <w:numFmt w:val="decimal"/>
      <w:pStyle w:val="37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>
    <w:nsid w:val="63690C9E"/>
    <w:multiLevelType w:val="singleLevel"/>
    <w:tmpl w:val="63690C9E"/>
    <w:lvl w:ilvl="0" w:tentative="0">
      <w:start w:val="1"/>
      <w:numFmt w:val="bullet"/>
      <w:pStyle w:val="35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bordersDoNotSurroundHeader w:val="0"/>
  <w:bordersDoNotSurroundFooter w:val="0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02C2"/>
    <w:rsid w:val="00012484"/>
    <w:rsid w:val="0001542C"/>
    <w:rsid w:val="00015988"/>
    <w:rsid w:val="00015B32"/>
    <w:rsid w:val="000160B4"/>
    <w:rsid w:val="00017B1D"/>
    <w:rsid w:val="000212C4"/>
    <w:rsid w:val="00023444"/>
    <w:rsid w:val="000258AE"/>
    <w:rsid w:val="00027D8F"/>
    <w:rsid w:val="00035068"/>
    <w:rsid w:val="00035491"/>
    <w:rsid w:val="00035B6D"/>
    <w:rsid w:val="00036B2B"/>
    <w:rsid w:val="000424B5"/>
    <w:rsid w:val="00043867"/>
    <w:rsid w:val="000463C4"/>
    <w:rsid w:val="00050016"/>
    <w:rsid w:val="000546D6"/>
    <w:rsid w:val="0005513D"/>
    <w:rsid w:val="00055B78"/>
    <w:rsid w:val="00055E6E"/>
    <w:rsid w:val="00061EA1"/>
    <w:rsid w:val="000629C1"/>
    <w:rsid w:val="00064E1E"/>
    <w:rsid w:val="000711E3"/>
    <w:rsid w:val="0007143A"/>
    <w:rsid w:val="000732E4"/>
    <w:rsid w:val="00074E69"/>
    <w:rsid w:val="00080010"/>
    <w:rsid w:val="00082DD1"/>
    <w:rsid w:val="0008450F"/>
    <w:rsid w:val="00086659"/>
    <w:rsid w:val="000A0D3F"/>
    <w:rsid w:val="000A16E3"/>
    <w:rsid w:val="000A234B"/>
    <w:rsid w:val="000A39B7"/>
    <w:rsid w:val="000A41E7"/>
    <w:rsid w:val="000A488D"/>
    <w:rsid w:val="000A6C8B"/>
    <w:rsid w:val="000B1A96"/>
    <w:rsid w:val="000B1AAD"/>
    <w:rsid w:val="000B3887"/>
    <w:rsid w:val="000B594D"/>
    <w:rsid w:val="000C04F8"/>
    <w:rsid w:val="000C21B2"/>
    <w:rsid w:val="000C74AA"/>
    <w:rsid w:val="000C79E2"/>
    <w:rsid w:val="000D0FEE"/>
    <w:rsid w:val="000E09D2"/>
    <w:rsid w:val="000E4044"/>
    <w:rsid w:val="000E61C4"/>
    <w:rsid w:val="000E6E48"/>
    <w:rsid w:val="000E6E83"/>
    <w:rsid w:val="00104445"/>
    <w:rsid w:val="00104752"/>
    <w:rsid w:val="00106901"/>
    <w:rsid w:val="00114449"/>
    <w:rsid w:val="001145AE"/>
    <w:rsid w:val="00115670"/>
    <w:rsid w:val="0011684C"/>
    <w:rsid w:val="0012104D"/>
    <w:rsid w:val="00122A74"/>
    <w:rsid w:val="00125442"/>
    <w:rsid w:val="0013193A"/>
    <w:rsid w:val="0013345F"/>
    <w:rsid w:val="0013422C"/>
    <w:rsid w:val="00134245"/>
    <w:rsid w:val="0014109C"/>
    <w:rsid w:val="00145177"/>
    <w:rsid w:val="001452DF"/>
    <w:rsid w:val="001471CF"/>
    <w:rsid w:val="00151B5C"/>
    <w:rsid w:val="001521B4"/>
    <w:rsid w:val="00153034"/>
    <w:rsid w:val="00154586"/>
    <w:rsid w:val="001561A1"/>
    <w:rsid w:val="001619B1"/>
    <w:rsid w:val="00163128"/>
    <w:rsid w:val="00163E78"/>
    <w:rsid w:val="0016460C"/>
    <w:rsid w:val="0016513C"/>
    <w:rsid w:val="0016650D"/>
    <w:rsid w:val="00166774"/>
    <w:rsid w:val="001704C7"/>
    <w:rsid w:val="0017150D"/>
    <w:rsid w:val="00172212"/>
    <w:rsid w:val="0017361C"/>
    <w:rsid w:val="00174A3C"/>
    <w:rsid w:val="0018008C"/>
    <w:rsid w:val="00180763"/>
    <w:rsid w:val="00184064"/>
    <w:rsid w:val="00186195"/>
    <w:rsid w:val="001A0EE6"/>
    <w:rsid w:val="001A36EB"/>
    <w:rsid w:val="001A423F"/>
    <w:rsid w:val="001A4A49"/>
    <w:rsid w:val="001A6B5F"/>
    <w:rsid w:val="001B0514"/>
    <w:rsid w:val="001B354D"/>
    <w:rsid w:val="001B3C10"/>
    <w:rsid w:val="001B3C3A"/>
    <w:rsid w:val="001B470D"/>
    <w:rsid w:val="001B4E56"/>
    <w:rsid w:val="001B4E6B"/>
    <w:rsid w:val="001B4F57"/>
    <w:rsid w:val="001C0F87"/>
    <w:rsid w:val="001C2668"/>
    <w:rsid w:val="001C319F"/>
    <w:rsid w:val="001C386A"/>
    <w:rsid w:val="001C452C"/>
    <w:rsid w:val="001C4611"/>
    <w:rsid w:val="001D2C0A"/>
    <w:rsid w:val="001D54B3"/>
    <w:rsid w:val="001E45AB"/>
    <w:rsid w:val="001F03FE"/>
    <w:rsid w:val="001F0835"/>
    <w:rsid w:val="001F0B95"/>
    <w:rsid w:val="001F2A17"/>
    <w:rsid w:val="001F471F"/>
    <w:rsid w:val="001F5177"/>
    <w:rsid w:val="00201AFE"/>
    <w:rsid w:val="00204FDB"/>
    <w:rsid w:val="00205C49"/>
    <w:rsid w:val="0020647B"/>
    <w:rsid w:val="00212D41"/>
    <w:rsid w:val="00213846"/>
    <w:rsid w:val="00213DDD"/>
    <w:rsid w:val="00215EB8"/>
    <w:rsid w:val="002263C4"/>
    <w:rsid w:val="002300E4"/>
    <w:rsid w:val="002313D9"/>
    <w:rsid w:val="0023578A"/>
    <w:rsid w:val="00237342"/>
    <w:rsid w:val="002403FB"/>
    <w:rsid w:val="002446A6"/>
    <w:rsid w:val="00250515"/>
    <w:rsid w:val="002511F1"/>
    <w:rsid w:val="00253679"/>
    <w:rsid w:val="00260A35"/>
    <w:rsid w:val="00260AE2"/>
    <w:rsid w:val="0026130D"/>
    <w:rsid w:val="002613E4"/>
    <w:rsid w:val="00262469"/>
    <w:rsid w:val="0026344E"/>
    <w:rsid w:val="00263601"/>
    <w:rsid w:val="00263BFD"/>
    <w:rsid w:val="00264748"/>
    <w:rsid w:val="00266B7C"/>
    <w:rsid w:val="0027222B"/>
    <w:rsid w:val="00272C32"/>
    <w:rsid w:val="00273D65"/>
    <w:rsid w:val="00275D45"/>
    <w:rsid w:val="002764D1"/>
    <w:rsid w:val="00276BAE"/>
    <w:rsid w:val="0027790E"/>
    <w:rsid w:val="00277D1E"/>
    <w:rsid w:val="002817C0"/>
    <w:rsid w:val="00281F24"/>
    <w:rsid w:val="00282F0C"/>
    <w:rsid w:val="00283D74"/>
    <w:rsid w:val="00285819"/>
    <w:rsid w:val="00285A91"/>
    <w:rsid w:val="00287F0D"/>
    <w:rsid w:val="002906E4"/>
    <w:rsid w:val="0029270F"/>
    <w:rsid w:val="00296A32"/>
    <w:rsid w:val="002A15E5"/>
    <w:rsid w:val="002A17E5"/>
    <w:rsid w:val="002A6550"/>
    <w:rsid w:val="002B3A9B"/>
    <w:rsid w:val="002B4931"/>
    <w:rsid w:val="002B6070"/>
    <w:rsid w:val="002B68F5"/>
    <w:rsid w:val="002C07FF"/>
    <w:rsid w:val="002C4669"/>
    <w:rsid w:val="002C490D"/>
    <w:rsid w:val="002C6B26"/>
    <w:rsid w:val="002C764C"/>
    <w:rsid w:val="002D001C"/>
    <w:rsid w:val="002D01BF"/>
    <w:rsid w:val="002D0F27"/>
    <w:rsid w:val="002D1CEE"/>
    <w:rsid w:val="002D3FF5"/>
    <w:rsid w:val="002D540F"/>
    <w:rsid w:val="002D677F"/>
    <w:rsid w:val="002E19CC"/>
    <w:rsid w:val="002E736D"/>
    <w:rsid w:val="002F0B6D"/>
    <w:rsid w:val="002F74E9"/>
    <w:rsid w:val="003019EF"/>
    <w:rsid w:val="00302EBB"/>
    <w:rsid w:val="003031A1"/>
    <w:rsid w:val="003048EE"/>
    <w:rsid w:val="00305562"/>
    <w:rsid w:val="003116A5"/>
    <w:rsid w:val="003134EC"/>
    <w:rsid w:val="00323B63"/>
    <w:rsid w:val="00324466"/>
    <w:rsid w:val="00327995"/>
    <w:rsid w:val="00330D51"/>
    <w:rsid w:val="0033323F"/>
    <w:rsid w:val="003342BB"/>
    <w:rsid w:val="00334F1D"/>
    <w:rsid w:val="00336288"/>
    <w:rsid w:val="00337264"/>
    <w:rsid w:val="00342E8D"/>
    <w:rsid w:val="0034409D"/>
    <w:rsid w:val="003459B6"/>
    <w:rsid w:val="0034636B"/>
    <w:rsid w:val="00346547"/>
    <w:rsid w:val="0034707B"/>
    <w:rsid w:val="00351DC1"/>
    <w:rsid w:val="00353882"/>
    <w:rsid w:val="00355B76"/>
    <w:rsid w:val="003568A4"/>
    <w:rsid w:val="0036191E"/>
    <w:rsid w:val="00361D73"/>
    <w:rsid w:val="00363EAB"/>
    <w:rsid w:val="003654F8"/>
    <w:rsid w:val="00370747"/>
    <w:rsid w:val="00370A6B"/>
    <w:rsid w:val="00371B46"/>
    <w:rsid w:val="00372216"/>
    <w:rsid w:val="0037289D"/>
    <w:rsid w:val="003769E9"/>
    <w:rsid w:val="003809BE"/>
    <w:rsid w:val="00382CA2"/>
    <w:rsid w:val="00383939"/>
    <w:rsid w:val="00386569"/>
    <w:rsid w:val="00387A7D"/>
    <w:rsid w:val="00390DD7"/>
    <w:rsid w:val="0039555A"/>
    <w:rsid w:val="003A22F4"/>
    <w:rsid w:val="003A54C5"/>
    <w:rsid w:val="003A6F64"/>
    <w:rsid w:val="003A7A7D"/>
    <w:rsid w:val="003B31AB"/>
    <w:rsid w:val="003C0919"/>
    <w:rsid w:val="003C56D1"/>
    <w:rsid w:val="003D02CF"/>
    <w:rsid w:val="003D26B5"/>
    <w:rsid w:val="003D3222"/>
    <w:rsid w:val="003D35B5"/>
    <w:rsid w:val="003D45D8"/>
    <w:rsid w:val="003D609D"/>
    <w:rsid w:val="003E053F"/>
    <w:rsid w:val="003E0811"/>
    <w:rsid w:val="003E762C"/>
    <w:rsid w:val="003F1FB2"/>
    <w:rsid w:val="003F5F07"/>
    <w:rsid w:val="003F6C8D"/>
    <w:rsid w:val="003F6D69"/>
    <w:rsid w:val="003F6D9F"/>
    <w:rsid w:val="00402131"/>
    <w:rsid w:val="004040CD"/>
    <w:rsid w:val="0041046C"/>
    <w:rsid w:val="00411227"/>
    <w:rsid w:val="004135F0"/>
    <w:rsid w:val="00417A4A"/>
    <w:rsid w:val="0042362C"/>
    <w:rsid w:val="00427ADC"/>
    <w:rsid w:val="004320B2"/>
    <w:rsid w:val="00441C1F"/>
    <w:rsid w:val="00442A7B"/>
    <w:rsid w:val="00442CD6"/>
    <w:rsid w:val="004501D6"/>
    <w:rsid w:val="004562F8"/>
    <w:rsid w:val="00457BE2"/>
    <w:rsid w:val="004607C3"/>
    <w:rsid w:val="004617C6"/>
    <w:rsid w:val="004617E4"/>
    <w:rsid w:val="00465620"/>
    <w:rsid w:val="00470188"/>
    <w:rsid w:val="00470B67"/>
    <w:rsid w:val="004723AE"/>
    <w:rsid w:val="004726D8"/>
    <w:rsid w:val="00473EB8"/>
    <w:rsid w:val="00477969"/>
    <w:rsid w:val="00480493"/>
    <w:rsid w:val="00483780"/>
    <w:rsid w:val="00484029"/>
    <w:rsid w:val="00486138"/>
    <w:rsid w:val="004862E2"/>
    <w:rsid w:val="00490C03"/>
    <w:rsid w:val="004912D3"/>
    <w:rsid w:val="004A09F3"/>
    <w:rsid w:val="004A5612"/>
    <w:rsid w:val="004A5DFE"/>
    <w:rsid w:val="004A5F37"/>
    <w:rsid w:val="004A6AC9"/>
    <w:rsid w:val="004A7A1C"/>
    <w:rsid w:val="004A7E7B"/>
    <w:rsid w:val="004B17D3"/>
    <w:rsid w:val="004B4857"/>
    <w:rsid w:val="004B64AC"/>
    <w:rsid w:val="004B6FF9"/>
    <w:rsid w:val="004B7CD3"/>
    <w:rsid w:val="004C006A"/>
    <w:rsid w:val="004C0728"/>
    <w:rsid w:val="004C3625"/>
    <w:rsid w:val="004C4355"/>
    <w:rsid w:val="004D0FAF"/>
    <w:rsid w:val="004D1193"/>
    <w:rsid w:val="004D30B3"/>
    <w:rsid w:val="004D42C5"/>
    <w:rsid w:val="004D4818"/>
    <w:rsid w:val="004D5D9C"/>
    <w:rsid w:val="004D79DB"/>
    <w:rsid w:val="004E08D9"/>
    <w:rsid w:val="004E205C"/>
    <w:rsid w:val="004E2936"/>
    <w:rsid w:val="004E37CA"/>
    <w:rsid w:val="004E4645"/>
    <w:rsid w:val="004E4669"/>
    <w:rsid w:val="004F0E61"/>
    <w:rsid w:val="004F15D8"/>
    <w:rsid w:val="004F29E4"/>
    <w:rsid w:val="004F5CDB"/>
    <w:rsid w:val="004F61E9"/>
    <w:rsid w:val="00501CAE"/>
    <w:rsid w:val="00501F3F"/>
    <w:rsid w:val="00506D53"/>
    <w:rsid w:val="005075A6"/>
    <w:rsid w:val="00510141"/>
    <w:rsid w:val="00510AC0"/>
    <w:rsid w:val="0051394A"/>
    <w:rsid w:val="00514628"/>
    <w:rsid w:val="0051697F"/>
    <w:rsid w:val="00521EEE"/>
    <w:rsid w:val="00525E79"/>
    <w:rsid w:val="005262C5"/>
    <w:rsid w:val="0052697F"/>
    <w:rsid w:val="0053036B"/>
    <w:rsid w:val="00536199"/>
    <w:rsid w:val="00542270"/>
    <w:rsid w:val="00547855"/>
    <w:rsid w:val="00547B9A"/>
    <w:rsid w:val="0055234A"/>
    <w:rsid w:val="00554740"/>
    <w:rsid w:val="00557EA2"/>
    <w:rsid w:val="00564B1E"/>
    <w:rsid w:val="00565751"/>
    <w:rsid w:val="00570408"/>
    <w:rsid w:val="005707ED"/>
    <w:rsid w:val="005714D8"/>
    <w:rsid w:val="00573F36"/>
    <w:rsid w:val="00575088"/>
    <w:rsid w:val="00580F06"/>
    <w:rsid w:val="00580F1F"/>
    <w:rsid w:val="0058553C"/>
    <w:rsid w:val="0058675F"/>
    <w:rsid w:val="00586814"/>
    <w:rsid w:val="00586FCC"/>
    <w:rsid w:val="00590965"/>
    <w:rsid w:val="00591ED2"/>
    <w:rsid w:val="005924F5"/>
    <w:rsid w:val="0059444C"/>
    <w:rsid w:val="0059456A"/>
    <w:rsid w:val="005963C1"/>
    <w:rsid w:val="005A3F1C"/>
    <w:rsid w:val="005A43D6"/>
    <w:rsid w:val="005A5642"/>
    <w:rsid w:val="005A584C"/>
    <w:rsid w:val="005A66E4"/>
    <w:rsid w:val="005B00B4"/>
    <w:rsid w:val="005B2AEF"/>
    <w:rsid w:val="005B4575"/>
    <w:rsid w:val="005C0C05"/>
    <w:rsid w:val="005D20F1"/>
    <w:rsid w:val="005D4F1D"/>
    <w:rsid w:val="005D532E"/>
    <w:rsid w:val="005D7D8D"/>
    <w:rsid w:val="005E580A"/>
    <w:rsid w:val="005E60D4"/>
    <w:rsid w:val="005E729E"/>
    <w:rsid w:val="005F2A4F"/>
    <w:rsid w:val="00603FD9"/>
    <w:rsid w:val="0061445E"/>
    <w:rsid w:val="006152DF"/>
    <w:rsid w:val="0061765B"/>
    <w:rsid w:val="00620471"/>
    <w:rsid w:val="006217CE"/>
    <w:rsid w:val="006267EA"/>
    <w:rsid w:val="006270DF"/>
    <w:rsid w:val="00627CDC"/>
    <w:rsid w:val="00635727"/>
    <w:rsid w:val="00635B94"/>
    <w:rsid w:val="00635F68"/>
    <w:rsid w:val="0063692E"/>
    <w:rsid w:val="0063710B"/>
    <w:rsid w:val="00642B13"/>
    <w:rsid w:val="00644C17"/>
    <w:rsid w:val="00647C49"/>
    <w:rsid w:val="0065155A"/>
    <w:rsid w:val="00654218"/>
    <w:rsid w:val="00655436"/>
    <w:rsid w:val="006559C4"/>
    <w:rsid w:val="0066095F"/>
    <w:rsid w:val="00663FD2"/>
    <w:rsid w:val="00665F43"/>
    <w:rsid w:val="00666BCD"/>
    <w:rsid w:val="00673582"/>
    <w:rsid w:val="00673FA0"/>
    <w:rsid w:val="006771A0"/>
    <w:rsid w:val="006829AC"/>
    <w:rsid w:val="00682CCA"/>
    <w:rsid w:val="00684075"/>
    <w:rsid w:val="00684526"/>
    <w:rsid w:val="0068568C"/>
    <w:rsid w:val="00686056"/>
    <w:rsid w:val="006878AD"/>
    <w:rsid w:val="0069099C"/>
    <w:rsid w:val="00690F6A"/>
    <w:rsid w:val="00692AA8"/>
    <w:rsid w:val="006938AC"/>
    <w:rsid w:val="00694655"/>
    <w:rsid w:val="00694D0C"/>
    <w:rsid w:val="0069660C"/>
    <w:rsid w:val="00697B82"/>
    <w:rsid w:val="006A06F6"/>
    <w:rsid w:val="006A1456"/>
    <w:rsid w:val="006A279C"/>
    <w:rsid w:val="006A3C67"/>
    <w:rsid w:val="006A71A1"/>
    <w:rsid w:val="006B0DF7"/>
    <w:rsid w:val="006B138F"/>
    <w:rsid w:val="006B166A"/>
    <w:rsid w:val="006C40B9"/>
    <w:rsid w:val="006C593A"/>
    <w:rsid w:val="006C61DA"/>
    <w:rsid w:val="006D159D"/>
    <w:rsid w:val="006D1893"/>
    <w:rsid w:val="006D20F5"/>
    <w:rsid w:val="006D2443"/>
    <w:rsid w:val="006D2868"/>
    <w:rsid w:val="006D3A36"/>
    <w:rsid w:val="006D4890"/>
    <w:rsid w:val="006D60D3"/>
    <w:rsid w:val="006E0C6F"/>
    <w:rsid w:val="006E1C2A"/>
    <w:rsid w:val="006E5153"/>
    <w:rsid w:val="006F0A3A"/>
    <w:rsid w:val="006F0C9D"/>
    <w:rsid w:val="006F433A"/>
    <w:rsid w:val="00702530"/>
    <w:rsid w:val="00706770"/>
    <w:rsid w:val="00707198"/>
    <w:rsid w:val="00712069"/>
    <w:rsid w:val="00714302"/>
    <w:rsid w:val="00720220"/>
    <w:rsid w:val="00720770"/>
    <w:rsid w:val="00720F95"/>
    <w:rsid w:val="007210E1"/>
    <w:rsid w:val="00721DA1"/>
    <w:rsid w:val="007220E7"/>
    <w:rsid w:val="00725B5D"/>
    <w:rsid w:val="007261C0"/>
    <w:rsid w:val="00726855"/>
    <w:rsid w:val="0072696F"/>
    <w:rsid w:val="00726B9B"/>
    <w:rsid w:val="00731BA1"/>
    <w:rsid w:val="00735EEC"/>
    <w:rsid w:val="00737EEA"/>
    <w:rsid w:val="00740C64"/>
    <w:rsid w:val="007437E5"/>
    <w:rsid w:val="007447D0"/>
    <w:rsid w:val="0074648B"/>
    <w:rsid w:val="0074755D"/>
    <w:rsid w:val="00752C73"/>
    <w:rsid w:val="00755D84"/>
    <w:rsid w:val="00756E88"/>
    <w:rsid w:val="00760824"/>
    <w:rsid w:val="00762228"/>
    <w:rsid w:val="0076267A"/>
    <w:rsid w:val="007665A3"/>
    <w:rsid w:val="00770A33"/>
    <w:rsid w:val="00771764"/>
    <w:rsid w:val="007731C0"/>
    <w:rsid w:val="0077760E"/>
    <w:rsid w:val="00780604"/>
    <w:rsid w:val="00782935"/>
    <w:rsid w:val="00782F87"/>
    <w:rsid w:val="0078403A"/>
    <w:rsid w:val="007854D4"/>
    <w:rsid w:val="00785FC6"/>
    <w:rsid w:val="0078678E"/>
    <w:rsid w:val="00786CC4"/>
    <w:rsid w:val="00791475"/>
    <w:rsid w:val="00791AD2"/>
    <w:rsid w:val="0079208A"/>
    <w:rsid w:val="007924EB"/>
    <w:rsid w:val="007934F2"/>
    <w:rsid w:val="00793B87"/>
    <w:rsid w:val="00793B8C"/>
    <w:rsid w:val="00793F60"/>
    <w:rsid w:val="0079720A"/>
    <w:rsid w:val="007A15B3"/>
    <w:rsid w:val="007A5223"/>
    <w:rsid w:val="007A778C"/>
    <w:rsid w:val="007B0074"/>
    <w:rsid w:val="007B0A9E"/>
    <w:rsid w:val="007B3AF9"/>
    <w:rsid w:val="007B458B"/>
    <w:rsid w:val="007B46E1"/>
    <w:rsid w:val="007B4C6F"/>
    <w:rsid w:val="007B79B3"/>
    <w:rsid w:val="007B7F2F"/>
    <w:rsid w:val="007C0CA7"/>
    <w:rsid w:val="007C0F42"/>
    <w:rsid w:val="007C1DF7"/>
    <w:rsid w:val="007C2925"/>
    <w:rsid w:val="007C34AB"/>
    <w:rsid w:val="007C3627"/>
    <w:rsid w:val="007C4476"/>
    <w:rsid w:val="007D0D2F"/>
    <w:rsid w:val="007D1456"/>
    <w:rsid w:val="007D1787"/>
    <w:rsid w:val="007D1B9A"/>
    <w:rsid w:val="007D56F6"/>
    <w:rsid w:val="007E200E"/>
    <w:rsid w:val="007E32C7"/>
    <w:rsid w:val="007F01CD"/>
    <w:rsid w:val="007F61FB"/>
    <w:rsid w:val="007F6755"/>
    <w:rsid w:val="007F6906"/>
    <w:rsid w:val="00802D56"/>
    <w:rsid w:val="00810565"/>
    <w:rsid w:val="00813DD0"/>
    <w:rsid w:val="0081466A"/>
    <w:rsid w:val="00817F51"/>
    <w:rsid w:val="00832DD4"/>
    <w:rsid w:val="00836328"/>
    <w:rsid w:val="00836CBB"/>
    <w:rsid w:val="0084006F"/>
    <w:rsid w:val="008400A5"/>
    <w:rsid w:val="008400A7"/>
    <w:rsid w:val="00840BAF"/>
    <w:rsid w:val="0084342D"/>
    <w:rsid w:val="00843ABF"/>
    <w:rsid w:val="0084477B"/>
    <w:rsid w:val="00845FA4"/>
    <w:rsid w:val="008474C5"/>
    <w:rsid w:val="00847DC7"/>
    <w:rsid w:val="00851FE9"/>
    <w:rsid w:val="00852FF8"/>
    <w:rsid w:val="00856899"/>
    <w:rsid w:val="00860079"/>
    <w:rsid w:val="0086326B"/>
    <w:rsid w:val="00863E72"/>
    <w:rsid w:val="0086734C"/>
    <w:rsid w:val="008743FC"/>
    <w:rsid w:val="00874687"/>
    <w:rsid w:val="008810FF"/>
    <w:rsid w:val="008825FD"/>
    <w:rsid w:val="00885322"/>
    <w:rsid w:val="00886EE8"/>
    <w:rsid w:val="0089613A"/>
    <w:rsid w:val="008A02C1"/>
    <w:rsid w:val="008A0301"/>
    <w:rsid w:val="008A4F36"/>
    <w:rsid w:val="008A6F5F"/>
    <w:rsid w:val="008B0C74"/>
    <w:rsid w:val="008B0D49"/>
    <w:rsid w:val="008B19BB"/>
    <w:rsid w:val="008B35B3"/>
    <w:rsid w:val="008B3873"/>
    <w:rsid w:val="008B4240"/>
    <w:rsid w:val="008B4DF4"/>
    <w:rsid w:val="008B571C"/>
    <w:rsid w:val="008B7539"/>
    <w:rsid w:val="008B762F"/>
    <w:rsid w:val="008C2749"/>
    <w:rsid w:val="008C3242"/>
    <w:rsid w:val="008C4743"/>
    <w:rsid w:val="008D01FC"/>
    <w:rsid w:val="008D2065"/>
    <w:rsid w:val="008D45ED"/>
    <w:rsid w:val="008E0923"/>
    <w:rsid w:val="008E1FB2"/>
    <w:rsid w:val="008E27C4"/>
    <w:rsid w:val="008E6376"/>
    <w:rsid w:val="008F2669"/>
    <w:rsid w:val="009012E7"/>
    <w:rsid w:val="009020D9"/>
    <w:rsid w:val="009036AE"/>
    <w:rsid w:val="00905A64"/>
    <w:rsid w:val="00905B97"/>
    <w:rsid w:val="00911C5A"/>
    <w:rsid w:val="0091264E"/>
    <w:rsid w:val="009136D8"/>
    <w:rsid w:val="00914D7D"/>
    <w:rsid w:val="009159E1"/>
    <w:rsid w:val="00920C53"/>
    <w:rsid w:val="00921DE5"/>
    <w:rsid w:val="00925ABC"/>
    <w:rsid w:val="009261AC"/>
    <w:rsid w:val="009277AC"/>
    <w:rsid w:val="009312E9"/>
    <w:rsid w:val="00931F11"/>
    <w:rsid w:val="00941035"/>
    <w:rsid w:val="0094268F"/>
    <w:rsid w:val="00943112"/>
    <w:rsid w:val="00946D71"/>
    <w:rsid w:val="00947486"/>
    <w:rsid w:val="00947B4B"/>
    <w:rsid w:val="00953627"/>
    <w:rsid w:val="009541B0"/>
    <w:rsid w:val="00956643"/>
    <w:rsid w:val="009655CF"/>
    <w:rsid w:val="009666A8"/>
    <w:rsid w:val="009712CB"/>
    <w:rsid w:val="009716EE"/>
    <w:rsid w:val="0097175A"/>
    <w:rsid w:val="0097350F"/>
    <w:rsid w:val="00974A29"/>
    <w:rsid w:val="00974C90"/>
    <w:rsid w:val="009754CE"/>
    <w:rsid w:val="009757F1"/>
    <w:rsid w:val="009758CC"/>
    <w:rsid w:val="009769E4"/>
    <w:rsid w:val="0098093C"/>
    <w:rsid w:val="00980979"/>
    <w:rsid w:val="009844B6"/>
    <w:rsid w:val="00985255"/>
    <w:rsid w:val="009863F5"/>
    <w:rsid w:val="00991E04"/>
    <w:rsid w:val="00992547"/>
    <w:rsid w:val="00992783"/>
    <w:rsid w:val="00996392"/>
    <w:rsid w:val="009972AA"/>
    <w:rsid w:val="009A1485"/>
    <w:rsid w:val="009A1689"/>
    <w:rsid w:val="009A21DB"/>
    <w:rsid w:val="009A272A"/>
    <w:rsid w:val="009A2989"/>
    <w:rsid w:val="009A29B4"/>
    <w:rsid w:val="009A33FF"/>
    <w:rsid w:val="009A3754"/>
    <w:rsid w:val="009A5A3E"/>
    <w:rsid w:val="009A64A0"/>
    <w:rsid w:val="009B0939"/>
    <w:rsid w:val="009B0B77"/>
    <w:rsid w:val="009B6CC2"/>
    <w:rsid w:val="009C00BE"/>
    <w:rsid w:val="009C0315"/>
    <w:rsid w:val="009C0D7F"/>
    <w:rsid w:val="009C20DB"/>
    <w:rsid w:val="009C2CAB"/>
    <w:rsid w:val="009C3C79"/>
    <w:rsid w:val="009C5ADC"/>
    <w:rsid w:val="009C61BC"/>
    <w:rsid w:val="009C669C"/>
    <w:rsid w:val="009D0C5A"/>
    <w:rsid w:val="009D17BE"/>
    <w:rsid w:val="009D1C2C"/>
    <w:rsid w:val="009D2E6A"/>
    <w:rsid w:val="009D2F61"/>
    <w:rsid w:val="009D7253"/>
    <w:rsid w:val="009E103C"/>
    <w:rsid w:val="009E151D"/>
    <w:rsid w:val="009E1976"/>
    <w:rsid w:val="009E2ED1"/>
    <w:rsid w:val="009E3C18"/>
    <w:rsid w:val="009E5C05"/>
    <w:rsid w:val="009F52B9"/>
    <w:rsid w:val="009F61F1"/>
    <w:rsid w:val="00A007A9"/>
    <w:rsid w:val="00A03297"/>
    <w:rsid w:val="00A03586"/>
    <w:rsid w:val="00A04CBD"/>
    <w:rsid w:val="00A06BD2"/>
    <w:rsid w:val="00A07268"/>
    <w:rsid w:val="00A1010F"/>
    <w:rsid w:val="00A17E28"/>
    <w:rsid w:val="00A210B6"/>
    <w:rsid w:val="00A21803"/>
    <w:rsid w:val="00A228A1"/>
    <w:rsid w:val="00A26981"/>
    <w:rsid w:val="00A310CA"/>
    <w:rsid w:val="00A361F7"/>
    <w:rsid w:val="00A37523"/>
    <w:rsid w:val="00A40CCF"/>
    <w:rsid w:val="00A41CEF"/>
    <w:rsid w:val="00A428C4"/>
    <w:rsid w:val="00A43114"/>
    <w:rsid w:val="00A4740B"/>
    <w:rsid w:val="00A47D48"/>
    <w:rsid w:val="00A53312"/>
    <w:rsid w:val="00A539C3"/>
    <w:rsid w:val="00A54026"/>
    <w:rsid w:val="00A6084F"/>
    <w:rsid w:val="00A615F0"/>
    <w:rsid w:val="00A6245D"/>
    <w:rsid w:val="00A66C7E"/>
    <w:rsid w:val="00A82B3A"/>
    <w:rsid w:val="00A82EE3"/>
    <w:rsid w:val="00A90EB4"/>
    <w:rsid w:val="00A936FC"/>
    <w:rsid w:val="00AA09E1"/>
    <w:rsid w:val="00AA0C78"/>
    <w:rsid w:val="00AA5C2B"/>
    <w:rsid w:val="00AA5D8F"/>
    <w:rsid w:val="00AA6389"/>
    <w:rsid w:val="00AA7F74"/>
    <w:rsid w:val="00AB0360"/>
    <w:rsid w:val="00AB2B98"/>
    <w:rsid w:val="00AB2D9A"/>
    <w:rsid w:val="00AB2F9F"/>
    <w:rsid w:val="00AB3C66"/>
    <w:rsid w:val="00AB5457"/>
    <w:rsid w:val="00AB5EB9"/>
    <w:rsid w:val="00AB68E2"/>
    <w:rsid w:val="00AC023B"/>
    <w:rsid w:val="00AC079B"/>
    <w:rsid w:val="00AC4DF3"/>
    <w:rsid w:val="00AC60F5"/>
    <w:rsid w:val="00AC6ED8"/>
    <w:rsid w:val="00AC740E"/>
    <w:rsid w:val="00AC74CE"/>
    <w:rsid w:val="00AD048E"/>
    <w:rsid w:val="00AD15C0"/>
    <w:rsid w:val="00AD2463"/>
    <w:rsid w:val="00AD45FC"/>
    <w:rsid w:val="00AD56AE"/>
    <w:rsid w:val="00AF3D05"/>
    <w:rsid w:val="00AF3E07"/>
    <w:rsid w:val="00AF3FD7"/>
    <w:rsid w:val="00B0001E"/>
    <w:rsid w:val="00B0185D"/>
    <w:rsid w:val="00B01B71"/>
    <w:rsid w:val="00B03FB8"/>
    <w:rsid w:val="00B06F6E"/>
    <w:rsid w:val="00B16CAE"/>
    <w:rsid w:val="00B217C7"/>
    <w:rsid w:val="00B21942"/>
    <w:rsid w:val="00B25D9E"/>
    <w:rsid w:val="00B273D4"/>
    <w:rsid w:val="00B304F7"/>
    <w:rsid w:val="00B335F4"/>
    <w:rsid w:val="00B402C2"/>
    <w:rsid w:val="00B4280A"/>
    <w:rsid w:val="00B51DEA"/>
    <w:rsid w:val="00B53787"/>
    <w:rsid w:val="00B5529B"/>
    <w:rsid w:val="00B60CB7"/>
    <w:rsid w:val="00B62BC6"/>
    <w:rsid w:val="00B63243"/>
    <w:rsid w:val="00B643F8"/>
    <w:rsid w:val="00B66C26"/>
    <w:rsid w:val="00B7112C"/>
    <w:rsid w:val="00B728E3"/>
    <w:rsid w:val="00B75440"/>
    <w:rsid w:val="00B80ADA"/>
    <w:rsid w:val="00B817C6"/>
    <w:rsid w:val="00B82A4F"/>
    <w:rsid w:val="00B8560C"/>
    <w:rsid w:val="00B86039"/>
    <w:rsid w:val="00B868B6"/>
    <w:rsid w:val="00B87903"/>
    <w:rsid w:val="00B87C15"/>
    <w:rsid w:val="00B87C60"/>
    <w:rsid w:val="00B92394"/>
    <w:rsid w:val="00B93B4A"/>
    <w:rsid w:val="00B97D8A"/>
    <w:rsid w:val="00BA052F"/>
    <w:rsid w:val="00BA4B00"/>
    <w:rsid w:val="00BA5DEA"/>
    <w:rsid w:val="00BA6079"/>
    <w:rsid w:val="00BB03E5"/>
    <w:rsid w:val="00BB1FB4"/>
    <w:rsid w:val="00BB27B9"/>
    <w:rsid w:val="00BB2A25"/>
    <w:rsid w:val="00BB3562"/>
    <w:rsid w:val="00BC51C2"/>
    <w:rsid w:val="00BC5C76"/>
    <w:rsid w:val="00BD057D"/>
    <w:rsid w:val="00BD5609"/>
    <w:rsid w:val="00BD5F47"/>
    <w:rsid w:val="00BD774D"/>
    <w:rsid w:val="00BE2CE4"/>
    <w:rsid w:val="00BE2D0E"/>
    <w:rsid w:val="00BE5170"/>
    <w:rsid w:val="00BF14E6"/>
    <w:rsid w:val="00BF1609"/>
    <w:rsid w:val="00BF2F88"/>
    <w:rsid w:val="00BF5CB3"/>
    <w:rsid w:val="00BF647E"/>
    <w:rsid w:val="00BF710A"/>
    <w:rsid w:val="00C00CC7"/>
    <w:rsid w:val="00C04AF5"/>
    <w:rsid w:val="00C04FD9"/>
    <w:rsid w:val="00C07537"/>
    <w:rsid w:val="00C07EB3"/>
    <w:rsid w:val="00C109F3"/>
    <w:rsid w:val="00C12AC4"/>
    <w:rsid w:val="00C135A9"/>
    <w:rsid w:val="00C22C06"/>
    <w:rsid w:val="00C23F8F"/>
    <w:rsid w:val="00C25D1A"/>
    <w:rsid w:val="00C26A46"/>
    <w:rsid w:val="00C270DF"/>
    <w:rsid w:val="00C30226"/>
    <w:rsid w:val="00C326E9"/>
    <w:rsid w:val="00C32F6F"/>
    <w:rsid w:val="00C33D2B"/>
    <w:rsid w:val="00C357E6"/>
    <w:rsid w:val="00C363CD"/>
    <w:rsid w:val="00C40EC4"/>
    <w:rsid w:val="00C444B6"/>
    <w:rsid w:val="00C50504"/>
    <w:rsid w:val="00C50798"/>
    <w:rsid w:val="00C52296"/>
    <w:rsid w:val="00C62193"/>
    <w:rsid w:val="00C6300D"/>
    <w:rsid w:val="00C64953"/>
    <w:rsid w:val="00C73F55"/>
    <w:rsid w:val="00C741BC"/>
    <w:rsid w:val="00C746ED"/>
    <w:rsid w:val="00C7663F"/>
    <w:rsid w:val="00C8211D"/>
    <w:rsid w:val="00C87B1A"/>
    <w:rsid w:val="00C925F1"/>
    <w:rsid w:val="00C92722"/>
    <w:rsid w:val="00C94E20"/>
    <w:rsid w:val="00C9782E"/>
    <w:rsid w:val="00CA2B12"/>
    <w:rsid w:val="00CA35C5"/>
    <w:rsid w:val="00CA4C37"/>
    <w:rsid w:val="00CB0357"/>
    <w:rsid w:val="00CB31FC"/>
    <w:rsid w:val="00CB321B"/>
    <w:rsid w:val="00CB32B3"/>
    <w:rsid w:val="00CB48F5"/>
    <w:rsid w:val="00CB6291"/>
    <w:rsid w:val="00CB670F"/>
    <w:rsid w:val="00CB7A4E"/>
    <w:rsid w:val="00CC0ECC"/>
    <w:rsid w:val="00CC2220"/>
    <w:rsid w:val="00CC64CF"/>
    <w:rsid w:val="00CC6519"/>
    <w:rsid w:val="00CD090D"/>
    <w:rsid w:val="00CD0E27"/>
    <w:rsid w:val="00CD4AE1"/>
    <w:rsid w:val="00CD6BD8"/>
    <w:rsid w:val="00CE0002"/>
    <w:rsid w:val="00CE2DF2"/>
    <w:rsid w:val="00CE338F"/>
    <w:rsid w:val="00CE4C68"/>
    <w:rsid w:val="00CE5B30"/>
    <w:rsid w:val="00CE61F2"/>
    <w:rsid w:val="00CF1FD0"/>
    <w:rsid w:val="00CF411A"/>
    <w:rsid w:val="00CF4176"/>
    <w:rsid w:val="00CF4A37"/>
    <w:rsid w:val="00D000A8"/>
    <w:rsid w:val="00D00302"/>
    <w:rsid w:val="00D00ACA"/>
    <w:rsid w:val="00D024A3"/>
    <w:rsid w:val="00D0267F"/>
    <w:rsid w:val="00D04663"/>
    <w:rsid w:val="00D06674"/>
    <w:rsid w:val="00D10CF2"/>
    <w:rsid w:val="00D11EFA"/>
    <w:rsid w:val="00D12867"/>
    <w:rsid w:val="00D17097"/>
    <w:rsid w:val="00D17884"/>
    <w:rsid w:val="00D17936"/>
    <w:rsid w:val="00D20885"/>
    <w:rsid w:val="00D24B78"/>
    <w:rsid w:val="00D24EF5"/>
    <w:rsid w:val="00D2792C"/>
    <w:rsid w:val="00D331DC"/>
    <w:rsid w:val="00D35FA1"/>
    <w:rsid w:val="00D43402"/>
    <w:rsid w:val="00D43647"/>
    <w:rsid w:val="00D442E5"/>
    <w:rsid w:val="00D44AD3"/>
    <w:rsid w:val="00D44E29"/>
    <w:rsid w:val="00D45363"/>
    <w:rsid w:val="00D50426"/>
    <w:rsid w:val="00D50749"/>
    <w:rsid w:val="00D5363B"/>
    <w:rsid w:val="00D53E43"/>
    <w:rsid w:val="00D57150"/>
    <w:rsid w:val="00D572BE"/>
    <w:rsid w:val="00D64599"/>
    <w:rsid w:val="00D6517B"/>
    <w:rsid w:val="00D652CA"/>
    <w:rsid w:val="00D663CA"/>
    <w:rsid w:val="00D75432"/>
    <w:rsid w:val="00D75892"/>
    <w:rsid w:val="00D762DD"/>
    <w:rsid w:val="00D76DFC"/>
    <w:rsid w:val="00D81413"/>
    <w:rsid w:val="00D90021"/>
    <w:rsid w:val="00D9015E"/>
    <w:rsid w:val="00D90446"/>
    <w:rsid w:val="00D9210D"/>
    <w:rsid w:val="00D95AEA"/>
    <w:rsid w:val="00D95EA7"/>
    <w:rsid w:val="00D96D40"/>
    <w:rsid w:val="00DA03E7"/>
    <w:rsid w:val="00DA111C"/>
    <w:rsid w:val="00DA1EA4"/>
    <w:rsid w:val="00DA7D13"/>
    <w:rsid w:val="00DB039F"/>
    <w:rsid w:val="00DB1712"/>
    <w:rsid w:val="00DB2A79"/>
    <w:rsid w:val="00DB699B"/>
    <w:rsid w:val="00DB7A67"/>
    <w:rsid w:val="00DC0887"/>
    <w:rsid w:val="00DC0FB6"/>
    <w:rsid w:val="00DC4330"/>
    <w:rsid w:val="00DC48E0"/>
    <w:rsid w:val="00DC4C5C"/>
    <w:rsid w:val="00DC52C4"/>
    <w:rsid w:val="00DC671C"/>
    <w:rsid w:val="00DC71F1"/>
    <w:rsid w:val="00DC727D"/>
    <w:rsid w:val="00DC7E58"/>
    <w:rsid w:val="00DD048B"/>
    <w:rsid w:val="00DD06F3"/>
    <w:rsid w:val="00DD5A85"/>
    <w:rsid w:val="00DD5ED0"/>
    <w:rsid w:val="00DE5378"/>
    <w:rsid w:val="00DE67B4"/>
    <w:rsid w:val="00DE7D83"/>
    <w:rsid w:val="00DF1CEF"/>
    <w:rsid w:val="00DF2CA3"/>
    <w:rsid w:val="00DF326F"/>
    <w:rsid w:val="00DF4C96"/>
    <w:rsid w:val="00DF562B"/>
    <w:rsid w:val="00DF6B7F"/>
    <w:rsid w:val="00E03F54"/>
    <w:rsid w:val="00E05DCE"/>
    <w:rsid w:val="00E1228A"/>
    <w:rsid w:val="00E231DC"/>
    <w:rsid w:val="00E2595D"/>
    <w:rsid w:val="00E269F2"/>
    <w:rsid w:val="00E27726"/>
    <w:rsid w:val="00E304A9"/>
    <w:rsid w:val="00E32E99"/>
    <w:rsid w:val="00E42592"/>
    <w:rsid w:val="00E45B3C"/>
    <w:rsid w:val="00E4681B"/>
    <w:rsid w:val="00E506EC"/>
    <w:rsid w:val="00E517C4"/>
    <w:rsid w:val="00E55A24"/>
    <w:rsid w:val="00E61421"/>
    <w:rsid w:val="00E615AE"/>
    <w:rsid w:val="00E61B00"/>
    <w:rsid w:val="00E656EE"/>
    <w:rsid w:val="00E70E98"/>
    <w:rsid w:val="00E72696"/>
    <w:rsid w:val="00E74028"/>
    <w:rsid w:val="00E75B74"/>
    <w:rsid w:val="00E75FEB"/>
    <w:rsid w:val="00E807D4"/>
    <w:rsid w:val="00E83503"/>
    <w:rsid w:val="00E904C3"/>
    <w:rsid w:val="00E90BC4"/>
    <w:rsid w:val="00E93737"/>
    <w:rsid w:val="00E94D02"/>
    <w:rsid w:val="00E968C4"/>
    <w:rsid w:val="00EA075F"/>
    <w:rsid w:val="00EA2161"/>
    <w:rsid w:val="00EA2519"/>
    <w:rsid w:val="00EA3284"/>
    <w:rsid w:val="00EA5B98"/>
    <w:rsid w:val="00EB38F1"/>
    <w:rsid w:val="00EB4486"/>
    <w:rsid w:val="00EB4C27"/>
    <w:rsid w:val="00EB75B8"/>
    <w:rsid w:val="00EB7907"/>
    <w:rsid w:val="00EC07C5"/>
    <w:rsid w:val="00EC1A46"/>
    <w:rsid w:val="00EC3E6A"/>
    <w:rsid w:val="00ED0F08"/>
    <w:rsid w:val="00ED48BA"/>
    <w:rsid w:val="00ED4C61"/>
    <w:rsid w:val="00ED5036"/>
    <w:rsid w:val="00ED7D88"/>
    <w:rsid w:val="00EE2340"/>
    <w:rsid w:val="00EE2F6E"/>
    <w:rsid w:val="00EE37EF"/>
    <w:rsid w:val="00EE4707"/>
    <w:rsid w:val="00EE50F9"/>
    <w:rsid w:val="00EE71E9"/>
    <w:rsid w:val="00EE7259"/>
    <w:rsid w:val="00EF010D"/>
    <w:rsid w:val="00EF2291"/>
    <w:rsid w:val="00EF3698"/>
    <w:rsid w:val="00EF4A21"/>
    <w:rsid w:val="00EF572D"/>
    <w:rsid w:val="00EF7A96"/>
    <w:rsid w:val="00F05818"/>
    <w:rsid w:val="00F07C8B"/>
    <w:rsid w:val="00F10985"/>
    <w:rsid w:val="00F11656"/>
    <w:rsid w:val="00F12C42"/>
    <w:rsid w:val="00F13EA8"/>
    <w:rsid w:val="00F13FE9"/>
    <w:rsid w:val="00F141CC"/>
    <w:rsid w:val="00F14E1F"/>
    <w:rsid w:val="00F17781"/>
    <w:rsid w:val="00F17D2D"/>
    <w:rsid w:val="00F21299"/>
    <w:rsid w:val="00F2561F"/>
    <w:rsid w:val="00F263B0"/>
    <w:rsid w:val="00F329C7"/>
    <w:rsid w:val="00F34E44"/>
    <w:rsid w:val="00F35311"/>
    <w:rsid w:val="00F37CBF"/>
    <w:rsid w:val="00F421E3"/>
    <w:rsid w:val="00F42C4B"/>
    <w:rsid w:val="00F517DD"/>
    <w:rsid w:val="00F56704"/>
    <w:rsid w:val="00F577C7"/>
    <w:rsid w:val="00F57DE2"/>
    <w:rsid w:val="00F62CB5"/>
    <w:rsid w:val="00F63754"/>
    <w:rsid w:val="00F63E2E"/>
    <w:rsid w:val="00F66AF3"/>
    <w:rsid w:val="00F67A62"/>
    <w:rsid w:val="00F71E26"/>
    <w:rsid w:val="00F75D56"/>
    <w:rsid w:val="00F8194B"/>
    <w:rsid w:val="00F8526D"/>
    <w:rsid w:val="00F85301"/>
    <w:rsid w:val="00F87446"/>
    <w:rsid w:val="00F87566"/>
    <w:rsid w:val="00F907D1"/>
    <w:rsid w:val="00F91FBC"/>
    <w:rsid w:val="00F941A6"/>
    <w:rsid w:val="00F954EA"/>
    <w:rsid w:val="00FA09B5"/>
    <w:rsid w:val="00FA0B43"/>
    <w:rsid w:val="00FA4099"/>
    <w:rsid w:val="00FB4993"/>
    <w:rsid w:val="00FB741B"/>
    <w:rsid w:val="00FC04E4"/>
    <w:rsid w:val="00FC08D3"/>
    <w:rsid w:val="00FC18BD"/>
    <w:rsid w:val="00FC2FBC"/>
    <w:rsid w:val="00FC4FE3"/>
    <w:rsid w:val="00FD13C0"/>
    <w:rsid w:val="00FD28B3"/>
    <w:rsid w:val="00FD29F7"/>
    <w:rsid w:val="00FD54AD"/>
    <w:rsid w:val="00FD7822"/>
    <w:rsid w:val="00FD7F6F"/>
    <w:rsid w:val="00FE63D9"/>
    <w:rsid w:val="00FE7EFA"/>
    <w:rsid w:val="00FF143D"/>
    <w:rsid w:val="00FF2665"/>
    <w:rsid w:val="00FF36C4"/>
    <w:rsid w:val="00FF572D"/>
    <w:rsid w:val="00FF5848"/>
    <w:rsid w:val="01392AD3"/>
    <w:rsid w:val="01F0265E"/>
    <w:rsid w:val="02142B23"/>
    <w:rsid w:val="02356E11"/>
    <w:rsid w:val="026B785E"/>
    <w:rsid w:val="029032F2"/>
    <w:rsid w:val="029838CB"/>
    <w:rsid w:val="02B2053C"/>
    <w:rsid w:val="03063A4A"/>
    <w:rsid w:val="03213051"/>
    <w:rsid w:val="03420F71"/>
    <w:rsid w:val="034B64DC"/>
    <w:rsid w:val="0369351C"/>
    <w:rsid w:val="03C2479F"/>
    <w:rsid w:val="03C93EF0"/>
    <w:rsid w:val="03D52025"/>
    <w:rsid w:val="03D62AC1"/>
    <w:rsid w:val="044871E4"/>
    <w:rsid w:val="047622DB"/>
    <w:rsid w:val="04B47756"/>
    <w:rsid w:val="050C7229"/>
    <w:rsid w:val="05154540"/>
    <w:rsid w:val="0579142C"/>
    <w:rsid w:val="05AA7878"/>
    <w:rsid w:val="064D5686"/>
    <w:rsid w:val="069856B6"/>
    <w:rsid w:val="06DE0DA1"/>
    <w:rsid w:val="077C09BD"/>
    <w:rsid w:val="084D6B82"/>
    <w:rsid w:val="084F1504"/>
    <w:rsid w:val="086B6E04"/>
    <w:rsid w:val="08DF0273"/>
    <w:rsid w:val="09BB7AD2"/>
    <w:rsid w:val="09CB56D0"/>
    <w:rsid w:val="09E60C70"/>
    <w:rsid w:val="0A0D2DA9"/>
    <w:rsid w:val="0A813864"/>
    <w:rsid w:val="0B6F619E"/>
    <w:rsid w:val="0B7C0390"/>
    <w:rsid w:val="0B9E3E25"/>
    <w:rsid w:val="0BB0260C"/>
    <w:rsid w:val="0C0571AE"/>
    <w:rsid w:val="0C113C9C"/>
    <w:rsid w:val="0C937AD1"/>
    <w:rsid w:val="0CC52B51"/>
    <w:rsid w:val="0CF36B43"/>
    <w:rsid w:val="0D2E6260"/>
    <w:rsid w:val="0E2F1867"/>
    <w:rsid w:val="0EC82BA5"/>
    <w:rsid w:val="0F3D2D09"/>
    <w:rsid w:val="0F851F2F"/>
    <w:rsid w:val="0F857F7F"/>
    <w:rsid w:val="0FB04E1A"/>
    <w:rsid w:val="102D1EA6"/>
    <w:rsid w:val="11AE4DD3"/>
    <w:rsid w:val="12656177"/>
    <w:rsid w:val="128875E6"/>
    <w:rsid w:val="12B35048"/>
    <w:rsid w:val="12DD24D4"/>
    <w:rsid w:val="133A06A3"/>
    <w:rsid w:val="13724B4D"/>
    <w:rsid w:val="13951510"/>
    <w:rsid w:val="149665F2"/>
    <w:rsid w:val="14F96473"/>
    <w:rsid w:val="151C49E5"/>
    <w:rsid w:val="154245FD"/>
    <w:rsid w:val="156F2B0D"/>
    <w:rsid w:val="15CF32F5"/>
    <w:rsid w:val="15F30F1D"/>
    <w:rsid w:val="16151DBB"/>
    <w:rsid w:val="16177834"/>
    <w:rsid w:val="166F221F"/>
    <w:rsid w:val="16B47AEA"/>
    <w:rsid w:val="171A4356"/>
    <w:rsid w:val="186F416F"/>
    <w:rsid w:val="18EC4891"/>
    <w:rsid w:val="195607FC"/>
    <w:rsid w:val="196A6A10"/>
    <w:rsid w:val="19EE4912"/>
    <w:rsid w:val="19F56E14"/>
    <w:rsid w:val="1A221E20"/>
    <w:rsid w:val="1A6356FD"/>
    <w:rsid w:val="1A8802AD"/>
    <w:rsid w:val="1A897324"/>
    <w:rsid w:val="1B161C74"/>
    <w:rsid w:val="1B36445B"/>
    <w:rsid w:val="1B515014"/>
    <w:rsid w:val="1B684130"/>
    <w:rsid w:val="1BBF0B31"/>
    <w:rsid w:val="1BD57D3C"/>
    <w:rsid w:val="1BF7244D"/>
    <w:rsid w:val="1C082BE0"/>
    <w:rsid w:val="1C0979AC"/>
    <w:rsid w:val="1C666D48"/>
    <w:rsid w:val="1CD34086"/>
    <w:rsid w:val="1CFF1ABA"/>
    <w:rsid w:val="1D4670AD"/>
    <w:rsid w:val="1D6835DA"/>
    <w:rsid w:val="1D737BDD"/>
    <w:rsid w:val="1E3A594B"/>
    <w:rsid w:val="1E7F51D0"/>
    <w:rsid w:val="1EE86186"/>
    <w:rsid w:val="1F045991"/>
    <w:rsid w:val="1F5B7825"/>
    <w:rsid w:val="20053897"/>
    <w:rsid w:val="207D4D08"/>
    <w:rsid w:val="2088381B"/>
    <w:rsid w:val="20966F16"/>
    <w:rsid w:val="21E01B52"/>
    <w:rsid w:val="22071599"/>
    <w:rsid w:val="22635EB7"/>
    <w:rsid w:val="232337B3"/>
    <w:rsid w:val="23826D38"/>
    <w:rsid w:val="243C59F2"/>
    <w:rsid w:val="245C5BCF"/>
    <w:rsid w:val="24847912"/>
    <w:rsid w:val="258C4EBE"/>
    <w:rsid w:val="25F00177"/>
    <w:rsid w:val="26640D04"/>
    <w:rsid w:val="26B93C8A"/>
    <w:rsid w:val="26DA481E"/>
    <w:rsid w:val="26ED2967"/>
    <w:rsid w:val="274454D7"/>
    <w:rsid w:val="27560897"/>
    <w:rsid w:val="27704070"/>
    <w:rsid w:val="27885996"/>
    <w:rsid w:val="27EB500D"/>
    <w:rsid w:val="27EB6712"/>
    <w:rsid w:val="28051390"/>
    <w:rsid w:val="28174DCA"/>
    <w:rsid w:val="284E2B97"/>
    <w:rsid w:val="28745917"/>
    <w:rsid w:val="289555AD"/>
    <w:rsid w:val="289C1E3B"/>
    <w:rsid w:val="29EE06DF"/>
    <w:rsid w:val="2A335171"/>
    <w:rsid w:val="2A7C604D"/>
    <w:rsid w:val="2AD81657"/>
    <w:rsid w:val="2B24718D"/>
    <w:rsid w:val="2B530694"/>
    <w:rsid w:val="2C362403"/>
    <w:rsid w:val="2C947094"/>
    <w:rsid w:val="2C9D6D6A"/>
    <w:rsid w:val="2D007805"/>
    <w:rsid w:val="2DBA3EE9"/>
    <w:rsid w:val="2E4035D3"/>
    <w:rsid w:val="2E8F6408"/>
    <w:rsid w:val="2E9E2D69"/>
    <w:rsid w:val="2EF023C1"/>
    <w:rsid w:val="2FA23810"/>
    <w:rsid w:val="2FA349A7"/>
    <w:rsid w:val="2FE6144C"/>
    <w:rsid w:val="3002120B"/>
    <w:rsid w:val="30641C15"/>
    <w:rsid w:val="306A418F"/>
    <w:rsid w:val="30D0322C"/>
    <w:rsid w:val="30F4741E"/>
    <w:rsid w:val="311319F0"/>
    <w:rsid w:val="317625C5"/>
    <w:rsid w:val="31FB454C"/>
    <w:rsid w:val="3253172F"/>
    <w:rsid w:val="32776048"/>
    <w:rsid w:val="33517261"/>
    <w:rsid w:val="33DB1E63"/>
    <w:rsid w:val="35204A34"/>
    <w:rsid w:val="35921D7C"/>
    <w:rsid w:val="359833FE"/>
    <w:rsid w:val="35DA7251"/>
    <w:rsid w:val="364E1EA4"/>
    <w:rsid w:val="36513788"/>
    <w:rsid w:val="369313F4"/>
    <w:rsid w:val="36BA1776"/>
    <w:rsid w:val="37403DBF"/>
    <w:rsid w:val="37C60704"/>
    <w:rsid w:val="37D632A4"/>
    <w:rsid w:val="389D1302"/>
    <w:rsid w:val="38D3176D"/>
    <w:rsid w:val="39256002"/>
    <w:rsid w:val="39666756"/>
    <w:rsid w:val="397C174E"/>
    <w:rsid w:val="3A1A2818"/>
    <w:rsid w:val="3AF841EE"/>
    <w:rsid w:val="3B4B273B"/>
    <w:rsid w:val="3B851A0C"/>
    <w:rsid w:val="3BBE450D"/>
    <w:rsid w:val="3C471142"/>
    <w:rsid w:val="3C662063"/>
    <w:rsid w:val="3C9D0F95"/>
    <w:rsid w:val="3CB15D84"/>
    <w:rsid w:val="3D08404F"/>
    <w:rsid w:val="3E3E3EDE"/>
    <w:rsid w:val="3E5741A5"/>
    <w:rsid w:val="3EC402B4"/>
    <w:rsid w:val="3EE71B46"/>
    <w:rsid w:val="3F5D78C0"/>
    <w:rsid w:val="3FE500B7"/>
    <w:rsid w:val="40091EFE"/>
    <w:rsid w:val="401F4D75"/>
    <w:rsid w:val="402C1B48"/>
    <w:rsid w:val="404B4E97"/>
    <w:rsid w:val="408B2C98"/>
    <w:rsid w:val="40F64838"/>
    <w:rsid w:val="413B6FE4"/>
    <w:rsid w:val="41540FED"/>
    <w:rsid w:val="41F422E6"/>
    <w:rsid w:val="42110E10"/>
    <w:rsid w:val="42D11BDD"/>
    <w:rsid w:val="43257012"/>
    <w:rsid w:val="44AB7BD1"/>
    <w:rsid w:val="44B00248"/>
    <w:rsid w:val="44B2548A"/>
    <w:rsid w:val="44FC15C1"/>
    <w:rsid w:val="4522778B"/>
    <w:rsid w:val="45836AF3"/>
    <w:rsid w:val="45AA6769"/>
    <w:rsid w:val="45DF0864"/>
    <w:rsid w:val="46EB32EA"/>
    <w:rsid w:val="47A625F1"/>
    <w:rsid w:val="47DB5C85"/>
    <w:rsid w:val="485F01EC"/>
    <w:rsid w:val="488273EC"/>
    <w:rsid w:val="48DF6091"/>
    <w:rsid w:val="490D2618"/>
    <w:rsid w:val="498B63E6"/>
    <w:rsid w:val="499E2148"/>
    <w:rsid w:val="4A1A37BD"/>
    <w:rsid w:val="4A6A78E1"/>
    <w:rsid w:val="4B573CAA"/>
    <w:rsid w:val="4BEE696E"/>
    <w:rsid w:val="4CD3671F"/>
    <w:rsid w:val="4D6E10B4"/>
    <w:rsid w:val="4DB02D71"/>
    <w:rsid w:val="4DF012DC"/>
    <w:rsid w:val="4F18233C"/>
    <w:rsid w:val="4F5F1358"/>
    <w:rsid w:val="4F667A5E"/>
    <w:rsid w:val="4F975F2A"/>
    <w:rsid w:val="4FDD51BE"/>
    <w:rsid w:val="4FF33AF1"/>
    <w:rsid w:val="500F08E6"/>
    <w:rsid w:val="503931C0"/>
    <w:rsid w:val="50495B71"/>
    <w:rsid w:val="50E8377C"/>
    <w:rsid w:val="51C6602A"/>
    <w:rsid w:val="51D3007D"/>
    <w:rsid w:val="522607F1"/>
    <w:rsid w:val="5292095A"/>
    <w:rsid w:val="52D7135E"/>
    <w:rsid w:val="52E338D0"/>
    <w:rsid w:val="53223399"/>
    <w:rsid w:val="532C718A"/>
    <w:rsid w:val="535B7D13"/>
    <w:rsid w:val="53C2320E"/>
    <w:rsid w:val="53FB1A60"/>
    <w:rsid w:val="548D566F"/>
    <w:rsid w:val="552047D3"/>
    <w:rsid w:val="556F7DFF"/>
    <w:rsid w:val="55B058A4"/>
    <w:rsid w:val="55B87770"/>
    <w:rsid w:val="567D3C0F"/>
    <w:rsid w:val="57151659"/>
    <w:rsid w:val="57461A60"/>
    <w:rsid w:val="578F46D2"/>
    <w:rsid w:val="580B5145"/>
    <w:rsid w:val="580F541A"/>
    <w:rsid w:val="584B7464"/>
    <w:rsid w:val="59833FEA"/>
    <w:rsid w:val="598D22D4"/>
    <w:rsid w:val="59E127AE"/>
    <w:rsid w:val="5A23466A"/>
    <w:rsid w:val="5A442119"/>
    <w:rsid w:val="5A5F23E7"/>
    <w:rsid w:val="5C5D1F6E"/>
    <w:rsid w:val="5C621648"/>
    <w:rsid w:val="5CB4504F"/>
    <w:rsid w:val="5D0437F9"/>
    <w:rsid w:val="5D6C3D84"/>
    <w:rsid w:val="5D6D745B"/>
    <w:rsid w:val="5E440FFB"/>
    <w:rsid w:val="5E6674CC"/>
    <w:rsid w:val="5F2C6BDD"/>
    <w:rsid w:val="5FD22F1B"/>
    <w:rsid w:val="604C4A18"/>
    <w:rsid w:val="604F520D"/>
    <w:rsid w:val="60562B9A"/>
    <w:rsid w:val="61A757FA"/>
    <w:rsid w:val="62270342"/>
    <w:rsid w:val="63413F81"/>
    <w:rsid w:val="65035E25"/>
    <w:rsid w:val="651615E2"/>
    <w:rsid w:val="65250CD7"/>
    <w:rsid w:val="65257C76"/>
    <w:rsid w:val="65285A30"/>
    <w:rsid w:val="653835A5"/>
    <w:rsid w:val="6600795B"/>
    <w:rsid w:val="663E1B61"/>
    <w:rsid w:val="66640F8C"/>
    <w:rsid w:val="66905A39"/>
    <w:rsid w:val="66CE74A3"/>
    <w:rsid w:val="66D17CF3"/>
    <w:rsid w:val="67165D4A"/>
    <w:rsid w:val="67362295"/>
    <w:rsid w:val="676F6A40"/>
    <w:rsid w:val="6786560F"/>
    <w:rsid w:val="68403F4C"/>
    <w:rsid w:val="685166A1"/>
    <w:rsid w:val="686B687B"/>
    <w:rsid w:val="694E6C50"/>
    <w:rsid w:val="6A446F9E"/>
    <w:rsid w:val="6A9968AE"/>
    <w:rsid w:val="6AB01AF6"/>
    <w:rsid w:val="6B1174E9"/>
    <w:rsid w:val="6B544194"/>
    <w:rsid w:val="6BDD60B8"/>
    <w:rsid w:val="6C051A03"/>
    <w:rsid w:val="6C39655D"/>
    <w:rsid w:val="6C6A062B"/>
    <w:rsid w:val="6C9D0411"/>
    <w:rsid w:val="6CC2291D"/>
    <w:rsid w:val="6CFB321B"/>
    <w:rsid w:val="6D267A43"/>
    <w:rsid w:val="6DDA6D56"/>
    <w:rsid w:val="6DE73377"/>
    <w:rsid w:val="6E396A33"/>
    <w:rsid w:val="6EFD2352"/>
    <w:rsid w:val="6F2C108E"/>
    <w:rsid w:val="6F87603C"/>
    <w:rsid w:val="6FC32266"/>
    <w:rsid w:val="70D66AD8"/>
    <w:rsid w:val="71A639E2"/>
    <w:rsid w:val="71D67076"/>
    <w:rsid w:val="72174F5B"/>
    <w:rsid w:val="72276780"/>
    <w:rsid w:val="72913278"/>
    <w:rsid w:val="72FD6B9B"/>
    <w:rsid w:val="73172A55"/>
    <w:rsid w:val="738433D9"/>
    <w:rsid w:val="73A11462"/>
    <w:rsid w:val="741D7A1D"/>
    <w:rsid w:val="743202E6"/>
    <w:rsid w:val="745023E0"/>
    <w:rsid w:val="74621D3E"/>
    <w:rsid w:val="747A1A9F"/>
    <w:rsid w:val="757E69B8"/>
    <w:rsid w:val="759E3EE9"/>
    <w:rsid w:val="761A215B"/>
    <w:rsid w:val="7621335D"/>
    <w:rsid w:val="765D644D"/>
    <w:rsid w:val="770D0111"/>
    <w:rsid w:val="77D41A8B"/>
    <w:rsid w:val="77F61B47"/>
    <w:rsid w:val="781563AF"/>
    <w:rsid w:val="786A7C83"/>
    <w:rsid w:val="78F34F0C"/>
    <w:rsid w:val="792C3337"/>
    <w:rsid w:val="79794135"/>
    <w:rsid w:val="79A53CD6"/>
    <w:rsid w:val="7A3351A6"/>
    <w:rsid w:val="7A4E106F"/>
    <w:rsid w:val="7AA75347"/>
    <w:rsid w:val="7AC761E2"/>
    <w:rsid w:val="7B10750C"/>
    <w:rsid w:val="7BA82472"/>
    <w:rsid w:val="7BFB53AA"/>
    <w:rsid w:val="7C240E84"/>
    <w:rsid w:val="7CCF3C8F"/>
    <w:rsid w:val="7CD6353E"/>
    <w:rsid w:val="7D0560F5"/>
    <w:rsid w:val="7D796B21"/>
    <w:rsid w:val="7DCA03D8"/>
    <w:rsid w:val="7E44440C"/>
    <w:rsid w:val="7E5760A6"/>
    <w:rsid w:val="7E784F83"/>
    <w:rsid w:val="7ED226B5"/>
    <w:rsid w:val="7EF6798A"/>
    <w:rsid w:val="7F9B2C0F"/>
    <w:rsid w:val="7FDA3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63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50" w:beforeLines="50" w:line="288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2"/>
    <w:next w:val="1"/>
    <w:qFormat/>
    <w:uiPriority w:val="0"/>
    <w:pPr>
      <w:outlineLvl w:val="1"/>
    </w:pPr>
    <w:rPr>
      <w:rFonts w:ascii="Times New Roman" w:hAnsi="Times New Roman"/>
    </w:rPr>
  </w:style>
  <w:style w:type="paragraph" w:styleId="4">
    <w:name w:val="heading 3"/>
    <w:basedOn w:val="3"/>
    <w:next w:val="1"/>
    <w:qFormat/>
    <w:uiPriority w:val="0"/>
    <w:pPr>
      <w:outlineLvl w:val="2"/>
    </w:pPr>
  </w:style>
  <w:style w:type="paragraph" w:styleId="5">
    <w:name w:val="heading 4"/>
    <w:basedOn w:val="4"/>
    <w:next w:val="1"/>
    <w:link w:val="27"/>
    <w:qFormat/>
    <w:uiPriority w:val="0"/>
    <w:pPr>
      <w:tabs>
        <w:tab w:val="left" w:pos="2694"/>
      </w:tabs>
      <w:ind w:left="708"/>
      <w:outlineLvl w:val="3"/>
    </w:pPr>
    <w:rPr>
      <w:rFonts w:ascii="Arial" w:hAnsi="Arial"/>
      <w:b w:val="0"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3">
    <w:name w:val="Default Paragraph Font"/>
    <w:semiHidden/>
    <w:qFormat/>
    <w:uiPriority w:val="0"/>
  </w:style>
  <w:style w:type="table" w:default="1" w:styleId="21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qFormat/>
    <w:uiPriority w:val="0"/>
    <w:pPr>
      <w:jc w:val="center"/>
    </w:pPr>
    <w:rPr>
      <w:b/>
      <w:bCs/>
    </w:rPr>
  </w:style>
  <w:style w:type="paragraph" w:styleId="12">
    <w:name w:val="annotation text"/>
    <w:basedOn w:val="1"/>
    <w:link w:val="28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3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Balloon Text"/>
    <w:basedOn w:val="1"/>
    <w:link w:val="29"/>
    <w:unhideWhenUsed/>
    <w:qFormat/>
    <w:uiPriority w:val="99"/>
    <w:rPr>
      <w:rFonts w:ascii="Segoe UI" w:hAnsi="Segoe UI" w:cs="Segoe UI"/>
      <w:sz w:val="18"/>
      <w:szCs w:val="18"/>
    </w:rPr>
  </w:style>
  <w:style w:type="paragraph" w:styleId="17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8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9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20">
    <w:name w:val="annotation subject"/>
    <w:basedOn w:val="12"/>
    <w:next w:val="12"/>
    <w:link w:val="30"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22">
    <w:name w:val="Table Grid"/>
    <w:basedOn w:val="2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4">
    <w:name w:val="page number"/>
    <w:semiHidden/>
    <w:qFormat/>
    <w:uiPriority w:val="0"/>
  </w:style>
  <w:style w:type="character" w:styleId="25">
    <w:name w:val="Hyperlink"/>
    <w:qFormat/>
    <w:uiPriority w:val="99"/>
    <w:rPr>
      <w:color w:val="0000FF"/>
      <w:u w:val="single"/>
    </w:rPr>
  </w:style>
  <w:style w:type="character" w:styleId="26">
    <w:name w:val="annotation reference"/>
    <w:semiHidden/>
    <w:qFormat/>
    <w:uiPriority w:val="0"/>
    <w:rPr>
      <w:sz w:val="16"/>
    </w:rPr>
  </w:style>
  <w:style w:type="character" w:customStyle="1" w:styleId="27">
    <w:name w:val="标题 4 字符"/>
    <w:link w:val="5"/>
    <w:qFormat/>
    <w:uiPriority w:val="0"/>
    <w:rPr>
      <w:rFonts w:ascii="Arial" w:hAnsi="Arial"/>
      <w:b/>
    </w:rPr>
  </w:style>
  <w:style w:type="character" w:customStyle="1" w:styleId="28">
    <w:name w:val="批注文字 字符"/>
    <w:link w:val="12"/>
    <w:semiHidden/>
    <w:qFormat/>
    <w:uiPriority w:val="0"/>
    <w:rPr>
      <w:rFonts w:ascii="Arial" w:hAnsi="Arial"/>
      <w:lang w:val="en-GB" w:eastAsia="en-US"/>
    </w:rPr>
  </w:style>
  <w:style w:type="character" w:customStyle="1" w:styleId="29">
    <w:name w:val="批注框文本 字符"/>
    <w:link w:val="16"/>
    <w:semiHidden/>
    <w:qFormat/>
    <w:uiPriority w:val="99"/>
    <w:rPr>
      <w:rFonts w:ascii="Segoe UI" w:hAnsi="Segoe UI" w:cs="Segoe UI"/>
      <w:sz w:val="18"/>
      <w:szCs w:val="18"/>
      <w:lang w:eastAsia="en-US"/>
    </w:rPr>
  </w:style>
  <w:style w:type="character" w:customStyle="1" w:styleId="30">
    <w:name w:val="批注主题 字符"/>
    <w:link w:val="20"/>
    <w:semiHidden/>
    <w:qFormat/>
    <w:uiPriority w:val="99"/>
    <w:rPr>
      <w:rFonts w:ascii="Arial" w:hAnsi="Arial"/>
      <w:b/>
      <w:bCs/>
      <w:lang w:val="en-GB" w:eastAsia="en-US"/>
    </w:rPr>
  </w:style>
  <w:style w:type="paragraph" w:customStyle="1" w:styleId="31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32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33">
    <w:name w:val="??"/>
    <w:qFormat/>
    <w:uiPriority w:val="0"/>
    <w:pPr>
      <w:widowControl w:val="0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34">
    <w:name w:val="??? 2"/>
    <w:basedOn w:val="33"/>
    <w:next w:val="33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35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6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7">
    <w:name w:val="done"/>
    <w:basedOn w:val="36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38">
    <w:name w:val="Not Done"/>
    <w:basedOn w:val="37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paragraph" w:styleId="39">
    <w:name w:val="List Paragraph"/>
    <w:basedOn w:val="1"/>
    <w:qFormat/>
    <w:uiPriority w:val="63"/>
    <w:pPr>
      <w:widowControl w:val="0"/>
      <w:ind w:firstLine="420" w:firstLineChars="200"/>
      <w:jc w:val="both"/>
    </w:pPr>
    <w:rPr>
      <w:rFonts w:ascii="等线" w:hAnsi="等线" w:eastAsia="等线"/>
      <w:kern w:val="2"/>
      <w:sz w:val="21"/>
      <w:szCs w:val="22"/>
      <w:lang w:val="en-US" w:eastAsia="zh-CN"/>
    </w:rPr>
  </w:style>
  <w:style w:type="paragraph" w:customStyle="1" w:styleId="40">
    <w:name w:val="YC"/>
    <w:basedOn w:val="3"/>
    <w:qFormat/>
    <w:uiPriority w:val="0"/>
    <w:pPr>
      <w:keepLines/>
      <w:tabs>
        <w:tab w:val="left" w:pos="576"/>
      </w:tabs>
      <w:overflowPunct w:val="0"/>
      <w:autoSpaceDE w:val="0"/>
      <w:autoSpaceDN w:val="0"/>
      <w:adjustRightInd w:val="0"/>
      <w:spacing w:before="100" w:beforeAutospacing="1" w:after="100" w:afterAutospacing="1"/>
      <w:ind w:left="360" w:right="0" w:hanging="360"/>
      <w:textAlignment w:val="baseline"/>
    </w:pPr>
    <w:rPr>
      <w:rFonts w:eastAsia="Malgun Gothic"/>
      <w:sz w:val="20"/>
      <w:u w:val="single"/>
      <w:lang w:val="en-US" w:eastAsia="zh-CN"/>
    </w:rPr>
  </w:style>
  <w:style w:type="character" w:customStyle="1" w:styleId="41">
    <w:name w:val="15"/>
    <w:qFormat/>
    <w:uiPriority w:val="0"/>
    <w:rPr>
      <w:rFonts w:hint="default" w:ascii="Arial" w:hAnsi="Arial" w:eastAsia="宋体" w:cs="Arial"/>
      <w:color w:val="0000FF"/>
      <w:kern w:val="2"/>
    </w:rPr>
  </w:style>
  <w:style w:type="paragraph" w:customStyle="1" w:styleId="42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Times New Roman" w:hAnsi="Times New Roman" w:eastAsia="Times New Roman" w:cs="Times New Roman"/>
      <w:color w:val="000000"/>
      <w:sz w:val="24"/>
      <w:szCs w:val="24"/>
      <w:lang w:val="en-US" w:eastAsia="zh-CN" w:bidi="ar-SA"/>
    </w:rPr>
  </w:style>
  <w:style w:type="paragraph" w:customStyle="1" w:styleId="43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paragraph" w:customStyle="1" w:styleId="4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5">
    <w:name w:val="TAH"/>
    <w:basedOn w:val="46"/>
    <w:qFormat/>
    <w:uiPriority w:val="99"/>
    <w:rPr>
      <w:b/>
    </w:rPr>
  </w:style>
  <w:style w:type="paragraph" w:customStyle="1" w:styleId="46">
    <w:name w:val="TAC"/>
    <w:basedOn w:val="47"/>
    <w:qFormat/>
    <w:uiPriority w:val="0"/>
    <w:pPr>
      <w:jc w:val="center"/>
    </w:pPr>
  </w:style>
  <w:style w:type="paragraph" w:customStyle="1" w:styleId="4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8">
    <w:name w:val="Doc-text2"/>
    <w:basedOn w:val="1"/>
    <w:qFormat/>
    <w:uiPriority w:val="0"/>
    <w:pPr>
      <w:tabs>
        <w:tab w:val="left" w:pos="1622"/>
      </w:tabs>
      <w:spacing w:before="0"/>
      <w:ind w:left="1622" w:hanging="363"/>
    </w:pPr>
  </w:style>
  <w:style w:type="paragraph" w:customStyle="1" w:styleId="49">
    <w:name w:val="B2"/>
    <w:basedOn w:val="1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image" Target="media/image2.emf"/><Relationship Id="rId12" Type="http://schemas.openxmlformats.org/officeDocument/2006/relationships/image" Target="media/image1.emf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CMCC</Company>
  <Pages>3</Pages>
  <Words>1005</Words>
  <Characters>4926</Characters>
  <Lines>455</Lines>
  <Paragraphs>128</Paragraphs>
  <TotalTime>71</TotalTime>
  <ScaleCrop>false</ScaleCrop>
  <LinksUpToDate>false</LinksUpToDate>
  <CharactersWithSpaces>5885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2022-11-07T02:33:00Z</dcterms:created>
  <dc:creator>CMCC</dc:creator>
  <cp:lastModifiedBy>CMCC-hulijie</cp:lastModifiedBy>
  <cp:lastPrinted>2002-04-23T01:10:00Z</cp:lastPrinted>
  <dcterms:modified xsi:type="dcterms:W3CDTF">2023-09-28T08:28:28Z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1DBD6C1AC49A45119953446D8D92468B</vt:lpwstr>
  </property>
</Properties>
</file>