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F7FFFF9"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6C1C08">
        <w:rPr>
          <w:rFonts w:eastAsia="宋体"/>
          <w:sz w:val="22"/>
          <w:lang w:eastAsia="zh-CN"/>
        </w:rPr>
        <w:t>4</w:t>
      </w:r>
      <w:r w:rsidR="002A137F">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30</w:t>
      </w:r>
      <w:r w:rsidR="00013B03">
        <w:rPr>
          <w:rFonts w:eastAsia="宋体" w:hint="eastAsia"/>
          <w:sz w:val="22"/>
          <w:lang w:eastAsia="zh-CN"/>
        </w:rPr>
        <w:t>9579</w:t>
      </w:r>
    </w:p>
    <w:p w14:paraId="6ED628F2" w14:textId="45A0598A" w:rsidR="003D3369" w:rsidRDefault="002A137F" w:rsidP="003D3369">
      <w:pPr>
        <w:pStyle w:val="Header"/>
        <w:tabs>
          <w:tab w:val="left" w:pos="1800"/>
        </w:tabs>
        <w:ind w:left="1800" w:hanging="1800"/>
        <w:rPr>
          <w:rFonts w:eastAsia="宋体"/>
          <w:sz w:val="22"/>
          <w:lang w:eastAsia="zh-CN"/>
        </w:rPr>
      </w:pPr>
      <w:r>
        <w:rPr>
          <w:rFonts w:eastAsia="宋体"/>
          <w:sz w:val="22"/>
          <w:lang w:eastAsia="zh-CN"/>
        </w:rPr>
        <w:t>Xiamen</w:t>
      </w:r>
      <w:r w:rsidR="008646B9">
        <w:rPr>
          <w:rFonts w:eastAsia="宋体"/>
          <w:sz w:val="22"/>
          <w:lang w:eastAsia="zh-CN"/>
        </w:rPr>
        <w:t xml:space="preserve">, </w:t>
      </w:r>
      <w:r>
        <w:rPr>
          <w:rFonts w:eastAsia="宋体"/>
          <w:sz w:val="22"/>
          <w:lang w:eastAsia="zh-CN"/>
        </w:rPr>
        <w:t>China</w:t>
      </w:r>
      <w:r w:rsidR="00904CCD">
        <w:rPr>
          <w:rFonts w:eastAsia="宋体"/>
          <w:sz w:val="22"/>
          <w:lang w:eastAsia="zh-CN"/>
        </w:rPr>
        <w:t xml:space="preserve">, </w:t>
      </w:r>
      <w:r>
        <w:rPr>
          <w:rFonts w:eastAsia="宋体"/>
          <w:sz w:val="22"/>
          <w:lang w:eastAsia="zh-CN"/>
        </w:rPr>
        <w:t>October</w:t>
      </w:r>
      <w:r w:rsidR="00904CCD">
        <w:rPr>
          <w:rFonts w:eastAsia="宋体"/>
          <w:sz w:val="22"/>
          <w:lang w:eastAsia="zh-CN"/>
        </w:rPr>
        <w:t xml:space="preserve"> </w:t>
      </w:r>
      <w:r>
        <w:rPr>
          <w:rFonts w:eastAsia="宋体"/>
          <w:sz w:val="22"/>
          <w:lang w:eastAsia="zh-CN"/>
        </w:rPr>
        <w:t>9</w:t>
      </w:r>
      <w:r w:rsidRPr="002A137F">
        <w:rPr>
          <w:rFonts w:eastAsia="宋体"/>
          <w:sz w:val="22"/>
          <w:vertAlign w:val="superscript"/>
          <w:lang w:eastAsia="zh-CN"/>
        </w:rPr>
        <w:t>th</w:t>
      </w:r>
      <w:r w:rsidR="006C1C08">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13</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589ED7B"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59211A">
        <w:rPr>
          <w:rFonts w:cs="Arial"/>
          <w:sz w:val="22"/>
        </w:rPr>
        <w:t>Remaining Issues of</w:t>
      </w:r>
      <w:r w:rsidR="002360B6" w:rsidRPr="00E64225">
        <w:rPr>
          <w:rFonts w:cs="Arial"/>
          <w:sz w:val="22"/>
        </w:rPr>
        <w:t xml:space="preserve"> </w:t>
      </w:r>
      <w:r w:rsidR="00E64225" w:rsidRPr="00E64225">
        <w:rPr>
          <w:rFonts w:eastAsiaTheme="minorEastAsia" w:cs="Arial"/>
          <w:sz w:val="22"/>
          <w:lang w:eastAsia="zh-CN"/>
        </w:rPr>
        <w:t>Inter-cell beam management enhancement</w:t>
      </w:r>
    </w:p>
    <w:p w14:paraId="4D626EB5" w14:textId="6D0FF0DE"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9211A">
        <w:rPr>
          <w:rFonts w:eastAsia="宋体" w:hint="eastAsia"/>
          <w:sz w:val="22"/>
          <w:lang w:eastAsia="zh-CN"/>
        </w:rPr>
        <w:t>8</w:t>
      </w:r>
      <w:r>
        <w:rPr>
          <w:rFonts w:eastAsia="宋体"/>
          <w:sz w:val="22"/>
          <w:lang w:eastAsia="zh-CN"/>
        </w:rPr>
        <w:t>.</w:t>
      </w:r>
      <w:r w:rsidR="0059211A">
        <w:rPr>
          <w:rFonts w:eastAsia="宋体" w:hint="eastAsia"/>
          <w:sz w:val="22"/>
          <w:lang w:eastAsia="zh-CN"/>
        </w:rPr>
        <w:t>7</w:t>
      </w:r>
      <w:r w:rsidR="00165271">
        <w:rPr>
          <w:rFonts w:eastAsia="宋体"/>
          <w:sz w:val="22"/>
          <w:lang w:eastAsia="zh-CN"/>
        </w:rPr>
        <w:t>.</w:t>
      </w:r>
      <w:r w:rsidR="00B225C0">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2481C047" w:rsidR="0024376A" w:rsidRDefault="009976A6" w:rsidP="00497AFF">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rsidR="00D6184C">
        <w:t xml:space="preserve"> of L1 enhancements for inter-cell beam management and timing advance management. </w:t>
      </w:r>
      <w:r w:rsidR="007F5A04">
        <w:t xml:space="preserve">In this contribution, we will discuss </w:t>
      </w:r>
      <w:r w:rsidR="00D6184C">
        <w:t>a few remaining issues</w:t>
      </w:r>
      <w:r w:rsidR="007F5A04">
        <w:t xml:space="preserve"> </w:t>
      </w:r>
      <w:r w:rsidR="00D6184C">
        <w:t xml:space="preserve">related with </w:t>
      </w:r>
      <w:r w:rsidR="007F5A04">
        <w:t xml:space="preserve">beam measurement/reporting and beam indication </w:t>
      </w:r>
      <w:r w:rsidR="00D6184C">
        <w:t>for LTM</w:t>
      </w:r>
      <w:r w:rsidR="007F5A04">
        <w:t>.</w:t>
      </w:r>
    </w:p>
    <w:p w14:paraId="624F367C" w14:textId="48CA5156" w:rsidR="00856939" w:rsidRDefault="005A0ACB" w:rsidP="00413219">
      <w:pPr>
        <w:pStyle w:val="01"/>
        <w:numPr>
          <w:ilvl w:val="0"/>
          <w:numId w:val="1"/>
        </w:numPr>
        <w:ind w:left="562" w:hanging="562"/>
      </w:pPr>
      <w:r>
        <w:t>Discussions</w:t>
      </w:r>
    </w:p>
    <w:p w14:paraId="55A33A8B" w14:textId="2EBFB436" w:rsidR="000D33CC" w:rsidRDefault="00332B0F" w:rsidP="000D33CC">
      <w:pPr>
        <w:pStyle w:val="00Text"/>
      </w:pPr>
      <w:bookmarkStart w:id="1" w:name="_Hlk126100152"/>
      <w:r>
        <w:t xml:space="preserve">Before cell switch, the system can activate one or more TCI states of candidate cells. One remaining issue is whether those TCI states shall be deactivated after the UE switches to the target cell. </w:t>
      </w:r>
      <w:r w:rsidR="00731A5A">
        <w:t xml:space="preserve">The gNB can use MAC CE to activate one or more TCI states for LTM of candidate cells. Once activated, the UE is supposed to track those TCI states. Once the UE receives the cell switch command and switch to the target cell, the UE should not continue </w:t>
      </w:r>
      <w:r w:rsidR="00AB6994">
        <w:t>tracking those TCI states. The reasons are:</w:t>
      </w:r>
    </w:p>
    <w:p w14:paraId="0C0B7464" w14:textId="291B5F0E" w:rsidR="00AB6994" w:rsidRDefault="00D23769" w:rsidP="00AB6994">
      <w:pPr>
        <w:pStyle w:val="00Text"/>
        <w:numPr>
          <w:ilvl w:val="0"/>
          <w:numId w:val="29"/>
        </w:numPr>
      </w:pPr>
      <w:r>
        <w:t>The TCI state for LTM activation is only for the cell switch. After the UE switches to the target cell, the procedure for LTM shall be reset and the previous activation shall be flushed.</w:t>
      </w:r>
    </w:p>
    <w:p w14:paraId="60C3FE3F" w14:textId="77777777" w:rsidR="00CA69B8" w:rsidRDefault="00E22C6E" w:rsidP="00AB6994">
      <w:pPr>
        <w:pStyle w:val="00Text"/>
        <w:numPr>
          <w:ilvl w:val="0"/>
          <w:numId w:val="29"/>
        </w:numPr>
      </w:pPr>
      <w:r>
        <w:t xml:space="preserve">The activation command could activate TCI state(s) of the target cell and also TCI state(s) of candidate cells other than the target cell. After UE switches to the target cell, the activated TCI states of other candidate cells would be useless and thus the UE can stop track them. </w:t>
      </w:r>
    </w:p>
    <w:p w14:paraId="2F74094F" w14:textId="2AE9F902" w:rsidR="00E22C6E" w:rsidRDefault="00CA69B8" w:rsidP="00863A2E">
      <w:pPr>
        <w:pStyle w:val="ListParagraph"/>
        <w:numPr>
          <w:ilvl w:val="0"/>
          <w:numId w:val="29"/>
        </w:numPr>
      </w:pPr>
      <w:r>
        <w:t xml:space="preserve">About the active TCI states of the target cell, </w:t>
      </w:r>
      <w:r w:rsidRPr="00CA69B8">
        <w:rPr>
          <w:rFonts w:eastAsia="宋体"/>
          <w:sz w:val="22"/>
          <w:lang w:eastAsia="zh-CN"/>
        </w:rPr>
        <w:t>after the UE switches to the target cell, the beam indication is back to general intra-cell beam management. The serving gNB would send MAC CE to activate TCI states that will be indicated by DCI beam indication</w:t>
      </w:r>
      <w:r>
        <w:rPr>
          <w:rFonts w:eastAsia="宋体"/>
          <w:sz w:val="22"/>
          <w:lang w:eastAsia="zh-CN"/>
        </w:rPr>
        <w:t xml:space="preserve"> and map them to the DCI codepoints.</w:t>
      </w:r>
    </w:p>
    <w:p w14:paraId="7C6D8D7B" w14:textId="56FB7679" w:rsidR="009A7AB0" w:rsidRPr="009A7AB0" w:rsidRDefault="009A7AB0" w:rsidP="009A7AB0">
      <w:pPr>
        <w:pStyle w:val="000proposal"/>
      </w:pPr>
      <w:bookmarkStart w:id="2" w:name="_Hlk142250342"/>
      <w:r>
        <w:t xml:space="preserve">Proposal </w:t>
      </w:r>
      <w:r w:rsidR="00332B0F">
        <w:t>1</w:t>
      </w:r>
      <w:r>
        <w:t>: After the LT</w:t>
      </w:r>
      <w:r w:rsidR="00E22C6E">
        <w:rPr>
          <w:rFonts w:hint="eastAsia"/>
        </w:rPr>
        <w:t>M</w:t>
      </w:r>
      <w:r>
        <w:t xml:space="preserve"> cell switch command, the UE shall assume the </w:t>
      </w:r>
      <w:r w:rsidR="00332B0F">
        <w:t xml:space="preserve">activated </w:t>
      </w:r>
      <w:r>
        <w:t xml:space="preserve">TCI states </w:t>
      </w:r>
      <w:r w:rsidR="00332B0F">
        <w:t>of candidate cells</w:t>
      </w:r>
      <w:r>
        <w:t xml:space="preserve"> </w:t>
      </w:r>
      <w:r w:rsidR="00E22C6E">
        <w:t xml:space="preserve">other than the TCI state indicated in cell switch command </w:t>
      </w:r>
      <w:r>
        <w:t>are deactivated.</w:t>
      </w:r>
    </w:p>
    <w:bookmarkEnd w:id="1"/>
    <w:bookmarkEnd w:id="2"/>
    <w:p w14:paraId="75961108" w14:textId="32EAE271" w:rsidR="00A5136E" w:rsidRDefault="00727469" w:rsidP="005753EB">
      <w:pPr>
        <w:pStyle w:val="00Text"/>
      </w:pPr>
      <w:r>
        <w:t>Another</w:t>
      </w:r>
      <w:r w:rsidR="008C5F4B">
        <w:t xml:space="preserve"> pending issues is the beam application time for TCI state indicated in the MAC-CE cell switch command</w:t>
      </w:r>
      <w:r w:rsidR="002C17E1">
        <w:t>:</w:t>
      </w:r>
    </w:p>
    <w:tbl>
      <w:tblPr>
        <w:tblStyle w:val="TableGrid"/>
        <w:tblW w:w="0" w:type="auto"/>
        <w:tblLook w:val="04A0" w:firstRow="1" w:lastRow="0" w:firstColumn="1" w:lastColumn="0" w:noHBand="0" w:noVBand="1"/>
      </w:tblPr>
      <w:tblGrid>
        <w:gridCol w:w="9288"/>
      </w:tblGrid>
      <w:tr w:rsidR="002C17E1" w14:paraId="574FA7A8" w14:textId="77777777" w:rsidTr="002C17E1">
        <w:tc>
          <w:tcPr>
            <w:tcW w:w="9288" w:type="dxa"/>
          </w:tcPr>
          <w:p w14:paraId="3A084898" w14:textId="77777777" w:rsidR="002C17E1" w:rsidRPr="00A654E2" w:rsidRDefault="002C17E1" w:rsidP="002C17E1">
            <w:pPr>
              <w:rPr>
                <w:highlight w:val="green"/>
                <w:lang w:eastAsia="zh-CN"/>
              </w:rPr>
            </w:pPr>
            <w:r w:rsidRPr="00A654E2">
              <w:rPr>
                <w:highlight w:val="green"/>
                <w:lang w:eastAsia="zh-CN"/>
              </w:rPr>
              <w:t>Agreement</w:t>
            </w:r>
          </w:p>
          <w:p w14:paraId="6AD5B56D" w14:textId="77777777" w:rsidR="002C17E1" w:rsidRPr="00A654E2" w:rsidRDefault="002C17E1" w:rsidP="002C17E1">
            <w:r w:rsidRPr="00A654E2">
              <w:t>For the beam application time for Rel-18 LTM,</w:t>
            </w:r>
          </w:p>
          <w:p w14:paraId="239DF802" w14:textId="77777777" w:rsidR="002C17E1" w:rsidRPr="00A654E2" w:rsidRDefault="002C17E1" w:rsidP="002C17E1">
            <w:pPr>
              <w:pStyle w:val="ListParagraph"/>
              <w:numPr>
                <w:ilvl w:val="0"/>
                <w:numId w:val="30"/>
              </w:numPr>
              <w:overflowPunct w:val="0"/>
              <w:autoSpaceDE w:val="0"/>
              <w:autoSpaceDN w:val="0"/>
              <w:adjustRightInd w:val="0"/>
              <w:ind w:left="714" w:hanging="357"/>
              <w:textAlignment w:val="baseline"/>
            </w:pPr>
            <w:r w:rsidRPr="00A654E2">
              <w:t>Beam application time is supported, and starts after the last symbol of the PUCCH or PUSCH carrying the HARQ-ACK for the PDSCH which carries MAC-CE containing cell switch command with the beam indication for the target cell(s)</w:t>
            </w:r>
          </w:p>
          <w:p w14:paraId="7E401D4B"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t>FFS: reference SCS, i.e. serving cell and/or target cell</w:t>
            </w:r>
          </w:p>
          <w:p w14:paraId="7CB0CBC4" w14:textId="77777777" w:rsidR="002C17E1" w:rsidRPr="00A654E2" w:rsidRDefault="002C17E1" w:rsidP="002C17E1">
            <w:pPr>
              <w:pStyle w:val="ListParagraph"/>
              <w:numPr>
                <w:ilvl w:val="0"/>
                <w:numId w:val="30"/>
              </w:numPr>
              <w:overflowPunct w:val="0"/>
              <w:autoSpaceDE w:val="0"/>
              <w:autoSpaceDN w:val="0"/>
              <w:adjustRightInd w:val="0"/>
              <w:ind w:left="714" w:hanging="357"/>
              <w:textAlignment w:val="baseline"/>
            </w:pPr>
            <w:r w:rsidRPr="00A654E2">
              <w:t>At least the following components are further studied to define the beam application time</w:t>
            </w:r>
          </w:p>
          <w:p w14:paraId="2586126B"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t>Whether TCI state activation is received before/together with cell switch command</w:t>
            </w:r>
          </w:p>
          <w:p w14:paraId="237D6239"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rPr>
                <w:iCs/>
              </w:rPr>
              <w:t xml:space="preserve">Legacy values, i.e.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A654E2">
              <w:rPr>
                <w:iCs/>
              </w:rPr>
              <w:t xml:space="preserve"> and BeamAppTime-r17</w:t>
            </w:r>
          </w:p>
          <w:p w14:paraId="1C2DE5E6"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rPr>
                <w:bCs/>
                <w:iCs/>
              </w:rPr>
              <w:t>RF retuning time when inter-frequency switch is performed, which is up to RAN4</w:t>
            </w:r>
          </w:p>
          <w:p w14:paraId="5ED9744D" w14:textId="6FEA911F" w:rsidR="002C17E1" w:rsidRDefault="002C17E1" w:rsidP="002C17E1">
            <w:pPr>
              <w:pStyle w:val="ListParagraph"/>
              <w:numPr>
                <w:ilvl w:val="1"/>
                <w:numId w:val="30"/>
              </w:numPr>
              <w:overflowPunct w:val="0"/>
              <w:autoSpaceDE w:val="0"/>
              <w:autoSpaceDN w:val="0"/>
              <w:adjustRightInd w:val="0"/>
              <w:textAlignment w:val="baseline"/>
            </w:pPr>
            <w:r w:rsidRPr="00A654E2">
              <w:rPr>
                <w:bCs/>
                <w:iCs/>
              </w:rPr>
              <w:t>Whether the target cell is one of the current serving cells</w:t>
            </w:r>
          </w:p>
        </w:tc>
      </w:tr>
    </w:tbl>
    <w:p w14:paraId="664CB0B9" w14:textId="77777777" w:rsidR="00073BB6" w:rsidRDefault="00073BB6" w:rsidP="005753EB">
      <w:pPr>
        <w:pStyle w:val="00Text"/>
      </w:pPr>
      <w:r>
        <w:t>To consider the beam application time for LTM, we shall first consider the whole procedure of LTM mobility latency. The TCI state(s) indicated in cell switch command are applied on the first DL/UL reception/transmission in the target cell. The components of LTM mobility latency are:</w:t>
      </w:r>
    </w:p>
    <w:p w14:paraId="38CB6A43" w14:textId="0AE9E59C" w:rsidR="002C17E1" w:rsidRDefault="00073BB6" w:rsidP="00073BB6">
      <w:pPr>
        <w:pStyle w:val="00Text"/>
        <w:jc w:val="center"/>
      </w:pPr>
      <w:r>
        <w:rPr>
          <w:noProof/>
        </w:rPr>
        <w:lastRenderedPageBreak/>
        <w:drawing>
          <wp:inline distT="0" distB="0" distL="0" distR="0" wp14:anchorId="477B0F9F" wp14:editId="606A73A8">
            <wp:extent cx="5760720" cy="1556871"/>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60720" cy="1556871"/>
                    </a:xfrm>
                    <a:prstGeom prst="rect">
                      <a:avLst/>
                    </a:prstGeom>
                    <a:noFill/>
                  </pic:spPr>
                </pic:pic>
              </a:graphicData>
            </a:graphic>
          </wp:inline>
        </w:drawing>
      </w:r>
    </w:p>
    <w:p w14:paraId="56D3B7A3" w14:textId="0294E166" w:rsidR="00480032" w:rsidRPr="00480032" w:rsidRDefault="00480032" w:rsidP="00073BB6">
      <w:pPr>
        <w:pStyle w:val="00Text"/>
        <w:jc w:val="center"/>
        <w:rPr>
          <w:b/>
          <w:bCs/>
        </w:rPr>
      </w:pPr>
      <w:r w:rsidRPr="00480032">
        <w:rPr>
          <w:b/>
          <w:bCs/>
        </w:rPr>
        <w:t>Figure 1: LTM latency components</w:t>
      </w:r>
    </w:p>
    <w:p w14:paraId="6D966C11" w14:textId="4281B384" w:rsidR="00073BB6" w:rsidRDefault="00987350" w:rsidP="00987350">
      <w:pPr>
        <w:pStyle w:val="00Text"/>
      </w:pPr>
      <w:r>
        <w:t>As shown in the figure, the indicated TCI state(s) shall be applied to the first DL reception and UL transmission in the new target cell.  We might meet various scenarios for the latency between the first DL/UL reception/transmission and the LTM cell switch command:</w:t>
      </w:r>
    </w:p>
    <w:p w14:paraId="529AD46B" w14:textId="76A6E364" w:rsidR="00987350" w:rsidRDefault="00987350" w:rsidP="00987350">
      <w:pPr>
        <w:pStyle w:val="00Text"/>
        <w:numPr>
          <w:ilvl w:val="0"/>
          <w:numId w:val="31"/>
        </w:numPr>
      </w:pPr>
      <w:r>
        <w:t xml:space="preserve">Case 1: the UE achieves DL and UL synchronization to the target cell before the cell switch command. </w:t>
      </w:r>
      <w:r w:rsidR="003E7039">
        <w:t>Thus,</w:t>
      </w:r>
      <w:r>
        <w:t xml:space="preserve"> the latency between the cell switch command and the first data in new cell is T</w:t>
      </w:r>
      <w:r w:rsidRPr="00987350">
        <w:rPr>
          <w:vertAlign w:val="subscript"/>
        </w:rPr>
        <w:t>cmd</w:t>
      </w:r>
      <w:r>
        <w:t>+T</w:t>
      </w:r>
      <w:r w:rsidRPr="00987350">
        <w:rPr>
          <w:vertAlign w:val="subscript"/>
        </w:rPr>
        <w:t>processing,2</w:t>
      </w:r>
      <w:r w:rsidR="003E7039">
        <w:t xml:space="preserve">, </w:t>
      </w:r>
      <w:r>
        <w:t xml:space="preserve">which includes </w:t>
      </w:r>
      <w:r w:rsidR="003E7039">
        <w:t>the time for processing the LTM cell switch MAC CE command and time for UE processing after cell switch command</w:t>
      </w:r>
      <w:r w:rsidR="00362332">
        <w:t>, which may include the L2/L3 reconfiguration, RF tuning, baseband retuning, security check, etc.</w:t>
      </w:r>
    </w:p>
    <w:p w14:paraId="305989C5" w14:textId="7112FB70" w:rsidR="003E7039" w:rsidRDefault="003E7039" w:rsidP="00987350">
      <w:pPr>
        <w:pStyle w:val="00Text"/>
        <w:numPr>
          <w:ilvl w:val="0"/>
          <w:numId w:val="31"/>
        </w:numPr>
      </w:pPr>
      <w:r>
        <w:t>Case 2: the UE achieves DL synchronization of the target cell before the cell switch command. The latency between cell switch command and the first data is T</w:t>
      </w:r>
      <w:r w:rsidRPr="00987350">
        <w:rPr>
          <w:vertAlign w:val="subscript"/>
        </w:rPr>
        <w:t>cmd</w:t>
      </w:r>
      <w:r>
        <w:t>+T</w:t>
      </w:r>
      <w:r w:rsidRPr="00987350">
        <w:rPr>
          <w:vertAlign w:val="subscript"/>
        </w:rPr>
        <w:t>processing,2</w:t>
      </w:r>
      <w:r>
        <w:t>+</w:t>
      </w:r>
      <w:r w:rsidRPr="003E7039">
        <w:t xml:space="preserve"> </w:t>
      </w:r>
      <w:r>
        <w:t>T</w:t>
      </w:r>
      <w:r>
        <w:rPr>
          <w:vertAlign w:val="subscript"/>
        </w:rPr>
        <w:t>search</w:t>
      </w:r>
      <w:r>
        <w:t>+</w:t>
      </w:r>
      <w:r w:rsidRPr="003E7039">
        <w:t xml:space="preserve"> </w:t>
      </w:r>
      <w:r>
        <w:t>T</w:t>
      </w:r>
      <w:r>
        <w:rPr>
          <w:vertAlign w:val="subscript"/>
        </w:rPr>
        <w:t>Δ</w:t>
      </w:r>
      <w:r>
        <w:t xml:space="preserve"> +T</w:t>
      </w:r>
      <w:r>
        <w:rPr>
          <w:vertAlign w:val="subscript"/>
        </w:rPr>
        <w:t>margin</w:t>
      </w:r>
      <w:r>
        <w:t>.</w:t>
      </w:r>
    </w:p>
    <w:p w14:paraId="37260634" w14:textId="7C9A964E" w:rsidR="003E7039" w:rsidRPr="00987350" w:rsidRDefault="003E7039" w:rsidP="00987350">
      <w:pPr>
        <w:pStyle w:val="00Text"/>
        <w:numPr>
          <w:ilvl w:val="0"/>
          <w:numId w:val="31"/>
        </w:numPr>
      </w:pPr>
      <w:r>
        <w:t>Case 3: the UE needs to conduct both DL synchronization and UL synchronization of the target cell. The latency between the cell switch command and the first data in the new cell would be: T</w:t>
      </w:r>
      <w:r w:rsidRPr="00987350">
        <w:rPr>
          <w:vertAlign w:val="subscript"/>
        </w:rPr>
        <w:t>cmd</w:t>
      </w:r>
      <w:r>
        <w:t>+T</w:t>
      </w:r>
      <w:r w:rsidRPr="00987350">
        <w:rPr>
          <w:vertAlign w:val="subscript"/>
        </w:rPr>
        <w:t>processing,2</w:t>
      </w:r>
      <w:r>
        <w:t>+ DL synchronization time + UL synchronization time.</w:t>
      </w:r>
    </w:p>
    <w:p w14:paraId="2405B4EB" w14:textId="77777777" w:rsidR="00496FAD" w:rsidRDefault="00496FAD" w:rsidP="005753EB">
      <w:pPr>
        <w:pStyle w:val="00Text"/>
      </w:pPr>
      <w:r>
        <w:t>In either of those scenarios, the TCI state indicated in the MAC CE cell switch command shall be applied to the first data in the new cell. Defining a application time seems not needed since the latency in either scenarios would be sufficient for beam application.</w:t>
      </w:r>
    </w:p>
    <w:p w14:paraId="3E6CD26E" w14:textId="5FCE2F54" w:rsidR="008C5F4B" w:rsidRDefault="008C5F4B" w:rsidP="008C5F4B">
      <w:pPr>
        <w:pStyle w:val="00Text"/>
        <w:rPr>
          <w:b/>
          <w:bCs/>
          <w:i/>
          <w:iCs/>
        </w:rPr>
      </w:pPr>
      <w:bookmarkStart w:id="3" w:name="_Hlk146739988"/>
      <w:r w:rsidRPr="00252541">
        <w:rPr>
          <w:b/>
          <w:bCs/>
          <w:i/>
          <w:iCs/>
        </w:rPr>
        <w:t xml:space="preserve">Proposal </w:t>
      </w:r>
      <w:r w:rsidR="00727469">
        <w:rPr>
          <w:b/>
          <w:bCs/>
          <w:i/>
          <w:iCs/>
        </w:rPr>
        <w:t>2</w:t>
      </w:r>
      <w:r w:rsidRPr="00252541">
        <w:rPr>
          <w:b/>
          <w:bCs/>
          <w:i/>
          <w:iCs/>
        </w:rPr>
        <w:t xml:space="preserve">: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TCI state indicated in MAC CE cell switch command of LTM.</w:t>
      </w:r>
    </w:p>
    <w:p w14:paraId="6FD1911D" w14:textId="401A62DD" w:rsidR="008C5F4B" w:rsidRPr="00252541" w:rsidRDefault="008C5F4B" w:rsidP="008C5F4B">
      <w:pPr>
        <w:pStyle w:val="00Text"/>
        <w:rPr>
          <w:b/>
          <w:bCs/>
          <w:i/>
          <w:iCs/>
        </w:rPr>
      </w:pPr>
      <w:bookmarkStart w:id="4" w:name="_Hlk146739992"/>
      <w:bookmarkEnd w:id="3"/>
      <w:r>
        <w:rPr>
          <w:b/>
          <w:bCs/>
          <w:i/>
          <w:iCs/>
        </w:rPr>
        <w:t xml:space="preserve">Proposal </w:t>
      </w:r>
      <w:r w:rsidR="00727469">
        <w:rPr>
          <w:b/>
          <w:bCs/>
          <w:i/>
          <w:iCs/>
        </w:rPr>
        <w:t>3</w:t>
      </w:r>
      <w:r>
        <w:rPr>
          <w:b/>
          <w:bCs/>
          <w:i/>
          <w:iCs/>
        </w:rPr>
        <w:t xml:space="preserve">: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bookmarkEnd w:id="4"/>
    <w:p w14:paraId="3AE4E474" w14:textId="1A643D3E" w:rsidR="00727469" w:rsidRDefault="00132B82" w:rsidP="005753EB">
      <w:pPr>
        <w:pStyle w:val="00Text"/>
      </w:pPr>
      <w:r>
        <w:t xml:space="preserve">One pending issue is the UE behavior for beam indication </w:t>
      </w:r>
      <w:r w:rsidR="00B372FA">
        <w:t xml:space="preserve">field </w:t>
      </w:r>
      <w:r>
        <w:t>in case of RACH-based handover:</w:t>
      </w:r>
    </w:p>
    <w:tbl>
      <w:tblPr>
        <w:tblStyle w:val="TableGrid"/>
        <w:tblW w:w="0" w:type="auto"/>
        <w:tblLook w:val="04A0" w:firstRow="1" w:lastRow="0" w:firstColumn="1" w:lastColumn="0" w:noHBand="0" w:noVBand="1"/>
      </w:tblPr>
      <w:tblGrid>
        <w:gridCol w:w="9288"/>
      </w:tblGrid>
      <w:tr w:rsidR="00132B82" w14:paraId="224D8220" w14:textId="77777777" w:rsidTr="00132B82">
        <w:tc>
          <w:tcPr>
            <w:tcW w:w="9288" w:type="dxa"/>
          </w:tcPr>
          <w:p w14:paraId="1285C3E5" w14:textId="77777777" w:rsidR="00132B82" w:rsidRPr="00CA32BB" w:rsidRDefault="00132B82" w:rsidP="00132B82">
            <w:pPr>
              <w:rPr>
                <w:rFonts w:ascii="Times" w:eastAsia="等线" w:hAnsi="Times"/>
                <w:highlight w:val="green"/>
                <w:lang w:val="en-GB"/>
              </w:rPr>
            </w:pPr>
            <w:r w:rsidRPr="00CA32BB">
              <w:rPr>
                <w:rFonts w:ascii="Times" w:eastAsia="等线" w:hAnsi="Times" w:hint="eastAsia"/>
                <w:highlight w:val="green"/>
                <w:lang w:val="en-GB"/>
              </w:rPr>
              <w:t>A</w:t>
            </w:r>
            <w:r w:rsidRPr="00CA32BB">
              <w:rPr>
                <w:rFonts w:ascii="Times" w:eastAsia="等线" w:hAnsi="Times"/>
                <w:highlight w:val="green"/>
                <w:lang w:val="en-GB"/>
              </w:rPr>
              <w:t>greement</w:t>
            </w:r>
          </w:p>
          <w:p w14:paraId="30B8D97F" w14:textId="77777777" w:rsidR="00132B82" w:rsidRPr="00CA32BB" w:rsidRDefault="00132B82" w:rsidP="00132B82">
            <w:pPr>
              <w:rPr>
                <w:rFonts w:ascii="Times" w:eastAsia="Batang" w:hAnsi="Times"/>
                <w:lang w:val="en-GB" w:eastAsia="x-none"/>
              </w:rPr>
            </w:pPr>
            <w:r w:rsidRPr="00CA32BB">
              <w:rPr>
                <w:rFonts w:ascii="Times" w:eastAsia="等线" w:hAnsi="Times" w:hint="eastAsia"/>
                <w:lang w:val="en-GB"/>
              </w:rPr>
              <w:t>O</w:t>
            </w:r>
            <w:r w:rsidRPr="00CA32BB">
              <w:rPr>
                <w:rFonts w:ascii="Times" w:eastAsia="等线" w:hAnsi="Times"/>
                <w:lang w:val="en-GB"/>
              </w:rPr>
              <w:t>n top the confirmed working assumption, o</w:t>
            </w:r>
            <w:r w:rsidRPr="00CA32BB">
              <w:rPr>
                <w:rFonts w:ascii="Times" w:eastAsia="Batang" w:hAnsi="Times"/>
                <w:lang w:val="en-GB" w:eastAsia="x-none"/>
              </w:rPr>
              <w:t>n the presence of beam indication within cell switch command, at least for scenario 2 following is supported:</w:t>
            </w:r>
          </w:p>
          <w:p w14:paraId="3E7CA48B" w14:textId="77777777" w:rsidR="00132B82" w:rsidRPr="00CA32BB" w:rsidRDefault="00132B82" w:rsidP="00132B82">
            <w:pPr>
              <w:numPr>
                <w:ilvl w:val="0"/>
                <w:numId w:val="23"/>
              </w:numPr>
              <w:snapToGrid w:val="0"/>
              <w:ind w:left="426" w:hanging="426"/>
              <w:jc w:val="both"/>
              <w:rPr>
                <w:rFonts w:ascii="Times" w:eastAsia="Batang" w:hAnsi="Times"/>
                <w:lang w:val="en-GB" w:eastAsia="x-none"/>
              </w:rPr>
            </w:pPr>
            <w:r w:rsidRPr="00CA32BB">
              <w:rPr>
                <w:rFonts w:ascii="Times" w:eastAsia="Batang" w:hAnsi="Times"/>
                <w:lang w:val="en-GB" w:eastAsia="x-none"/>
              </w:rPr>
              <w:t>A field to indicate 1 joint or 1 pair of UL and DL unified TCI State index for the target cell field is always present in the cell switch command.</w:t>
            </w:r>
          </w:p>
          <w:p w14:paraId="7B8E6F37" w14:textId="5E03D7C5" w:rsidR="00132B82" w:rsidRPr="00132B82" w:rsidRDefault="00132B82" w:rsidP="00132B82">
            <w:pPr>
              <w:numPr>
                <w:ilvl w:val="0"/>
                <w:numId w:val="23"/>
              </w:numPr>
              <w:snapToGrid w:val="0"/>
              <w:ind w:left="426" w:hanging="426"/>
              <w:jc w:val="both"/>
              <w:rPr>
                <w:lang w:val="en-GB"/>
              </w:rPr>
            </w:pPr>
            <w:r w:rsidRPr="00CA32BB">
              <w:rPr>
                <w:rFonts w:ascii="Times" w:eastAsia="Batang" w:hAnsi="Times"/>
                <w:lang w:val="en-GB" w:eastAsia="x-none"/>
              </w:rPr>
              <w:t>FFS UE behaviour for the beam indication field for the RACH-based handover scenario after cell switch command</w:t>
            </w:r>
          </w:p>
        </w:tc>
      </w:tr>
    </w:tbl>
    <w:p w14:paraId="445A98B7" w14:textId="5A77E2E4" w:rsidR="00132B82" w:rsidRDefault="00E0664E" w:rsidP="005753EB">
      <w:pPr>
        <w:pStyle w:val="00Text"/>
      </w:pPr>
      <w:r>
        <w:t xml:space="preserve">In LTM, RACH-based handover happens when the UL synchronization is not obtained and the MAC CE cell switch command does not indicate </w:t>
      </w:r>
      <w:r w:rsidR="002A1D62">
        <w:t>a</w:t>
      </w:r>
      <w:r>
        <w:t xml:space="preserve"> valid TA value. </w:t>
      </w:r>
      <w:r w:rsidR="002A1D62">
        <w:t>The purpose of the RACH is to obtain the UL synchronization.  Even with RACH-based handover, the TCI state(s) indicated in the cell switch command is still valid TCI state(s) for the new cell. Thus, the UE shall apply those TCI states in the new cell after the RACH procedure is finished.</w:t>
      </w:r>
    </w:p>
    <w:p w14:paraId="12625566" w14:textId="3E6457DD" w:rsidR="00F131F8" w:rsidRPr="00F131F8" w:rsidRDefault="00F131F8" w:rsidP="005753EB">
      <w:pPr>
        <w:pStyle w:val="00Text"/>
        <w:rPr>
          <w:b/>
          <w:bCs/>
          <w:i/>
          <w:iCs/>
        </w:rPr>
      </w:pPr>
      <w:bookmarkStart w:id="5" w:name="_Hlk146739997"/>
      <w:r w:rsidRPr="00F131F8">
        <w:rPr>
          <w:b/>
          <w:bCs/>
          <w:i/>
          <w:iCs/>
        </w:rPr>
        <w:t>Proposal 4: In RACH-based handover, the UE shall apply the TCI state(s) indicated in the MAC CE cell switch command after the RACH procedure is finished.</w:t>
      </w:r>
    </w:p>
    <w:bookmarkEnd w:id="5"/>
    <w:p w14:paraId="33411E32" w14:textId="47FC9FC5" w:rsidR="00C86271" w:rsidRDefault="00A11AD2" w:rsidP="005753EB">
      <w:pPr>
        <w:pStyle w:val="00Text"/>
      </w:pPr>
      <w:r>
        <w:lastRenderedPageBreak/>
        <w:t xml:space="preserve">The beam indication of LTM for the mTRP case is still </w:t>
      </w:r>
      <w:r w:rsidR="00F131F8">
        <w:t>a</w:t>
      </w:r>
      <w:r w:rsidR="00E62BF9">
        <w:t xml:space="preserve"> pending issue</w:t>
      </w:r>
      <w:r w:rsidR="00C86271">
        <w:t>:</w:t>
      </w:r>
    </w:p>
    <w:tbl>
      <w:tblPr>
        <w:tblStyle w:val="TableGrid"/>
        <w:tblW w:w="0" w:type="auto"/>
        <w:tblLook w:val="04A0" w:firstRow="1" w:lastRow="0" w:firstColumn="1" w:lastColumn="0" w:noHBand="0" w:noVBand="1"/>
      </w:tblPr>
      <w:tblGrid>
        <w:gridCol w:w="9288"/>
      </w:tblGrid>
      <w:tr w:rsidR="00C86271" w14:paraId="498390C7" w14:textId="77777777" w:rsidTr="00C86271">
        <w:tc>
          <w:tcPr>
            <w:tcW w:w="9288" w:type="dxa"/>
          </w:tcPr>
          <w:p w14:paraId="0D7D7F88" w14:textId="77777777" w:rsidR="00C86271" w:rsidRDefault="00C86271" w:rsidP="00C86271">
            <w:pPr>
              <w:pStyle w:val="ListParagraph"/>
              <w:snapToGrid w:val="0"/>
              <w:ind w:left="0"/>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2923171" w14:textId="77777777" w:rsidR="00C86271" w:rsidRPr="009F2F17" w:rsidRDefault="00C86271" w:rsidP="00C86271">
            <w:pPr>
              <w:pStyle w:val="ListParagraph"/>
              <w:numPr>
                <w:ilvl w:val="0"/>
                <w:numId w:val="9"/>
              </w:numPr>
              <w:snapToGrid w:val="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4359078D" w14:textId="752480E6" w:rsidR="00C86271" w:rsidRDefault="00C86271" w:rsidP="00C86271">
            <w:pPr>
              <w:pStyle w:val="ListParagraph"/>
              <w:numPr>
                <w:ilvl w:val="0"/>
                <w:numId w:val="9"/>
              </w:numPr>
              <w:snapToGrid w:val="0"/>
              <w:contextualSpacing w:val="0"/>
              <w:jc w:val="both"/>
            </w:pPr>
            <w:r w:rsidRPr="00242EF7">
              <w:t xml:space="preserve">FFS: </w:t>
            </w:r>
            <w:r>
              <w:t xml:space="preserve">beam indication for </w:t>
            </w:r>
            <w:r w:rsidRPr="00242EF7">
              <w:t>mTRP case</w:t>
            </w:r>
          </w:p>
        </w:tc>
      </w:tr>
    </w:tbl>
    <w:p w14:paraId="684EBA94" w14:textId="778137A8"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1B6EF119" w:rsidR="006B1665" w:rsidRDefault="006E6C39" w:rsidP="005753EB">
      <w:pPr>
        <w:pStyle w:val="00Text"/>
      </w:pPr>
      <w:r>
        <w:t>An example is shown in Fig.</w:t>
      </w:r>
      <w:r w:rsidR="00480032">
        <w:t>2</w:t>
      </w:r>
      <w:r>
        <w:t xml:space="preserve">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w:t>
      </w:r>
      <w:r w:rsidR="00BA6AE0">
        <w:lastRenderedPageBreak/>
        <w:t xml:space="preserve">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7E561ED7" w14:textId="6CA71252" w:rsidR="00215417" w:rsidRDefault="00215417" w:rsidP="00754EED">
      <w:pPr>
        <w:pStyle w:val="000proposal"/>
      </w:pPr>
      <w:bookmarkStart w:id="6" w:name="_Hlk134732329"/>
      <w:bookmarkStart w:id="7" w:name="_Hlk114598808"/>
      <w:bookmarkStart w:id="8" w:name="_Hlk146740004"/>
      <w:r>
        <w:t xml:space="preserve">Proposal </w:t>
      </w:r>
      <w:r w:rsidR="00F131F8">
        <w:t>5</w:t>
      </w:r>
      <w:r>
        <w:t xml:space="preserve">: </w:t>
      </w:r>
      <w:r w:rsidR="0049211A">
        <w:t xml:space="preserve">For the beam indication of LTM in the case of </w:t>
      </w:r>
      <w:r w:rsidR="00B50AE5">
        <w:t xml:space="preserve">inter-cell </w:t>
      </w:r>
      <w:r w:rsidR="0049211A">
        <w:t>mTRP</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0CC2B19C" w:rsidR="00E62FFC" w:rsidRDefault="00E62FFC">
      <w:pPr>
        <w:pStyle w:val="000proposal"/>
        <w:numPr>
          <w:ilvl w:val="0"/>
          <w:numId w:val="8"/>
        </w:numPr>
      </w:pPr>
      <w:r>
        <w:t>The TCI state</w:t>
      </w:r>
      <w:r w:rsidR="00114A01">
        <w:t>(s)</w:t>
      </w:r>
      <w:r>
        <w:t xml:space="preserve"> indicated in </w:t>
      </w:r>
      <w:r w:rsidR="00114A01">
        <w:t xml:space="preserve">MAC CE </w:t>
      </w:r>
      <w:r w:rsidR="0049211A">
        <w:t>cell switch</w:t>
      </w:r>
      <w:r>
        <w:t xml:space="preserve"> </w:t>
      </w:r>
      <w:r w:rsidR="00450681">
        <w:rPr>
          <w:rFonts w:hint="eastAsia"/>
        </w:rPr>
        <w:t>command</w:t>
      </w:r>
      <w:r w:rsidR="00450681">
        <w:t xml:space="preserve"> </w:t>
      </w:r>
      <w:r>
        <w:t>is</w:t>
      </w:r>
      <w:r w:rsidR="00114A01">
        <w:t xml:space="preserve"> only</w:t>
      </w:r>
      <w:r>
        <w:t xml:space="preserve"> applied to UE-common PDCCH/PDSCH.</w:t>
      </w:r>
    </w:p>
    <w:bookmarkEnd w:id="8"/>
    <w:p w14:paraId="45EBA390" w14:textId="722B8E9D" w:rsidR="00B21BCE" w:rsidRDefault="00B21BCE" w:rsidP="00B21BCE">
      <w:pPr>
        <w:pStyle w:val="00Text"/>
      </w:pPr>
      <w:r>
        <w:rPr>
          <w:rFonts w:hint="eastAsia"/>
        </w:rPr>
        <w:t>It</w:t>
      </w:r>
      <w:r>
        <w:t xml:space="preserve"> </w:t>
      </w:r>
      <w:r>
        <w:rPr>
          <w:rFonts w:hint="eastAsia"/>
        </w:rPr>
        <w:t>was</w:t>
      </w:r>
      <w:r>
        <w:t xml:space="preserve"> agreed that TRS of candidate cell can be configured in the TCI state before/during LTM:</w:t>
      </w:r>
    </w:p>
    <w:tbl>
      <w:tblPr>
        <w:tblStyle w:val="TableGrid"/>
        <w:tblW w:w="0" w:type="auto"/>
        <w:tblLook w:val="04A0" w:firstRow="1" w:lastRow="0" w:firstColumn="1" w:lastColumn="0" w:noHBand="0" w:noVBand="1"/>
      </w:tblPr>
      <w:tblGrid>
        <w:gridCol w:w="9288"/>
      </w:tblGrid>
      <w:tr w:rsidR="00B21BCE" w14:paraId="117ACA08" w14:textId="77777777" w:rsidTr="00B21BCE">
        <w:tc>
          <w:tcPr>
            <w:tcW w:w="9288" w:type="dxa"/>
          </w:tcPr>
          <w:p w14:paraId="2EA55798" w14:textId="77777777" w:rsidR="00B21BCE" w:rsidRPr="00B21BCE" w:rsidRDefault="00B21BCE" w:rsidP="00B21BCE">
            <w:pPr>
              <w:rPr>
                <w:rFonts w:ascii="Times" w:eastAsia="Batang" w:hAnsi="Times"/>
                <w:sz w:val="18"/>
                <w:szCs w:val="22"/>
                <w:highlight w:val="green"/>
                <w:lang w:val="en-GB"/>
              </w:rPr>
            </w:pPr>
            <w:r w:rsidRPr="00B21BCE">
              <w:rPr>
                <w:rFonts w:ascii="Times" w:eastAsia="Batang" w:hAnsi="Times"/>
                <w:b/>
                <w:bCs/>
                <w:sz w:val="18"/>
                <w:szCs w:val="22"/>
                <w:highlight w:val="green"/>
                <w:lang w:val="en-GB"/>
              </w:rPr>
              <w:t>Agreement</w:t>
            </w:r>
          </w:p>
          <w:p w14:paraId="181E2F06" w14:textId="77777777" w:rsidR="00B21BCE" w:rsidRPr="00B21BCE" w:rsidRDefault="00B21BCE" w:rsidP="00B21BCE">
            <w:pPr>
              <w:rPr>
                <w:rFonts w:ascii="Times" w:eastAsia="Batang" w:hAnsi="Times"/>
                <w:sz w:val="18"/>
                <w:szCs w:val="22"/>
                <w:lang w:val="en-GB"/>
              </w:rPr>
            </w:pPr>
            <w:r w:rsidRPr="00B21BCE">
              <w:rPr>
                <w:rFonts w:ascii="Times" w:eastAsia="Batang" w:hAnsi="Times"/>
                <w:sz w:val="18"/>
                <w:szCs w:val="22"/>
                <w:lang w:val="en-GB"/>
              </w:rPr>
              <w:t xml:space="preserve">In R18 LTM, on the QCL source of the TCI state before/during the cell switch command, </w:t>
            </w:r>
          </w:p>
          <w:p w14:paraId="58FEB39F" w14:textId="77777777" w:rsidR="00B21BCE" w:rsidRPr="00B21BCE" w:rsidRDefault="00B21BCE" w:rsidP="00B21BCE">
            <w:pPr>
              <w:numPr>
                <w:ilvl w:val="0"/>
                <w:numId w:val="32"/>
              </w:numPr>
              <w:snapToGrid w:val="0"/>
              <w:spacing w:after="100" w:afterAutospacing="1"/>
              <w:jc w:val="both"/>
              <w:rPr>
                <w:rFonts w:ascii="Times" w:eastAsia="Batang" w:hAnsi="Times"/>
                <w:sz w:val="18"/>
                <w:szCs w:val="22"/>
                <w:lang w:val="en-GB" w:eastAsia="x-none"/>
              </w:rPr>
            </w:pPr>
            <w:r w:rsidRPr="00B21BCE">
              <w:rPr>
                <w:rFonts w:ascii="Times" w:eastAsia="Batang" w:hAnsi="Times"/>
                <w:sz w:val="18"/>
                <w:szCs w:val="22"/>
                <w:lang w:val="en-GB" w:eastAsia="x-none"/>
              </w:rPr>
              <w:t>SSB or TRS can be configured in a TCI state for the candidate cell(s) before/during cell switch command</w:t>
            </w:r>
          </w:p>
          <w:p w14:paraId="40CCF25E" w14:textId="6BDABC0D" w:rsidR="00B21BCE" w:rsidRPr="00B21BCE" w:rsidRDefault="00B21BCE" w:rsidP="00B21BCE">
            <w:pPr>
              <w:numPr>
                <w:ilvl w:val="1"/>
                <w:numId w:val="32"/>
              </w:numPr>
              <w:snapToGrid w:val="0"/>
              <w:spacing w:after="100" w:afterAutospacing="1"/>
              <w:jc w:val="both"/>
              <w:rPr>
                <w:lang w:val="en-GB"/>
              </w:rPr>
            </w:pPr>
            <w:r w:rsidRPr="00B21BCE">
              <w:rPr>
                <w:rFonts w:ascii="Times" w:eastAsia="Batang" w:hAnsi="Times"/>
                <w:sz w:val="18"/>
                <w:szCs w:val="22"/>
                <w:lang w:val="en-GB" w:eastAsia="x-none"/>
              </w:rPr>
              <w:t>Whether the TRS can be used for the candidate cell(s) before/during cell switch command is up to UE capability</w:t>
            </w:r>
          </w:p>
        </w:tc>
      </w:tr>
    </w:tbl>
    <w:p w14:paraId="1EBB9DF3" w14:textId="12C26AB8" w:rsidR="00B21BCE" w:rsidRDefault="00B21BCE" w:rsidP="00B21BCE">
      <w:pPr>
        <w:pStyle w:val="00Text"/>
      </w:pPr>
      <w:r>
        <w:t xml:space="preserve">Whether/how to track one LTM TCI state with TRS of candidate cell is remaining issue. In our view, the UE should not be requested to track or measure any TRS of one candidate cell before the UE switch to that cell. In case </w:t>
      </w:r>
      <w:r>
        <w:rPr>
          <w:rFonts w:hint="eastAsia"/>
        </w:rPr>
        <w:t>o</w:t>
      </w:r>
      <w:r>
        <w:t>ne TCI state with TRS of candidate cell is activated before LTM, the UE can measure/track the SSB that is the QCL source of that TRS.</w:t>
      </w:r>
    </w:p>
    <w:p w14:paraId="4FF0F653" w14:textId="27612649" w:rsidR="00B21BCE" w:rsidRPr="00B21BCE" w:rsidRDefault="00B21BCE" w:rsidP="00B21BCE">
      <w:pPr>
        <w:pStyle w:val="00Text"/>
        <w:rPr>
          <w:b/>
          <w:bCs/>
          <w:i/>
          <w:iCs/>
        </w:rPr>
      </w:pPr>
      <w:bookmarkStart w:id="9" w:name="_Hlk146740009"/>
      <w:r w:rsidRPr="00B21BCE">
        <w:rPr>
          <w:b/>
          <w:bCs/>
          <w:i/>
          <w:iCs/>
        </w:rPr>
        <w:t>Proposal 6: For a TCI state with TRS of candidate cell before/during cell switch command, the UE may measure the SSB that is the QCL source of that TRS</w:t>
      </w:r>
      <w:r>
        <w:rPr>
          <w:b/>
          <w:bCs/>
          <w:i/>
          <w:iCs/>
        </w:rPr>
        <w:t xml:space="preserve"> for tracking the TCI state</w:t>
      </w:r>
      <w:r w:rsidRPr="00B21BCE">
        <w:rPr>
          <w:b/>
          <w:bCs/>
          <w:i/>
          <w:iCs/>
        </w:rPr>
        <w:t>.</w:t>
      </w:r>
    </w:p>
    <w:bookmarkEnd w:id="6"/>
    <w:bookmarkEnd w:id="7"/>
    <w:bookmarkEnd w:id="9"/>
    <w:p w14:paraId="3882022D" w14:textId="206F0462" w:rsidR="00071427" w:rsidRDefault="00071427" w:rsidP="00071427">
      <w:pPr>
        <w:pStyle w:val="01"/>
        <w:numPr>
          <w:ilvl w:val="0"/>
          <w:numId w:val="1"/>
        </w:numPr>
        <w:ind w:left="562" w:hanging="562"/>
      </w:pPr>
      <w:r>
        <w:t>Conclusion</w:t>
      </w:r>
    </w:p>
    <w:p w14:paraId="50BC132B" w14:textId="397E6DFA" w:rsidR="00E330A0" w:rsidRDefault="00262BCE" w:rsidP="00237DB1">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2D8D9E79" w14:textId="77777777" w:rsidR="00FF2B49" w:rsidRPr="009A7AB0" w:rsidRDefault="00FF2B49" w:rsidP="00FF2B49">
      <w:pPr>
        <w:pStyle w:val="000proposal"/>
      </w:pPr>
      <w:r>
        <w:t>Proposal 1: After the LT</w:t>
      </w:r>
      <w:r>
        <w:rPr>
          <w:rFonts w:hint="eastAsia"/>
        </w:rPr>
        <w:t>M</w:t>
      </w:r>
      <w:r>
        <w:t xml:space="preserve"> cell switch command, the UE shall assume the activated TCI states of candidate cells other than the TCI state indicated in cell switch command are deactivated.</w:t>
      </w:r>
    </w:p>
    <w:p w14:paraId="2D054387" w14:textId="77777777" w:rsidR="00FF2B49" w:rsidRDefault="00FF2B49" w:rsidP="00FF2B49">
      <w:pPr>
        <w:pStyle w:val="00Text"/>
        <w:rPr>
          <w:b/>
          <w:bCs/>
          <w:i/>
          <w:iCs/>
        </w:rPr>
      </w:pPr>
      <w:r w:rsidRPr="00252541">
        <w:rPr>
          <w:b/>
          <w:bCs/>
          <w:i/>
          <w:iCs/>
        </w:rPr>
        <w:t xml:space="preserve">Proposal </w:t>
      </w:r>
      <w:r>
        <w:rPr>
          <w:b/>
          <w:bCs/>
          <w:i/>
          <w:iCs/>
        </w:rPr>
        <w:t>2</w:t>
      </w:r>
      <w:r w:rsidRPr="00252541">
        <w:rPr>
          <w:b/>
          <w:bCs/>
          <w:i/>
          <w:iCs/>
        </w:rPr>
        <w:t xml:space="preserve">: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TCI state indicated in MAC CE cell switch command of LTM.</w:t>
      </w:r>
    </w:p>
    <w:p w14:paraId="3DFC5508" w14:textId="77777777" w:rsidR="00FF2B49" w:rsidRPr="00252541" w:rsidRDefault="00FF2B49" w:rsidP="00FF2B49">
      <w:pPr>
        <w:pStyle w:val="00Text"/>
        <w:rPr>
          <w:b/>
          <w:bCs/>
          <w:i/>
          <w:iCs/>
        </w:rPr>
      </w:pPr>
      <w:r>
        <w:rPr>
          <w:b/>
          <w:bCs/>
          <w:i/>
          <w:iCs/>
        </w:rPr>
        <w:t xml:space="preserve">Proposal 3: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p w14:paraId="1456D639" w14:textId="77777777" w:rsidR="00FF2B49" w:rsidRPr="00F131F8" w:rsidRDefault="00FF2B49" w:rsidP="00FF2B49">
      <w:pPr>
        <w:pStyle w:val="00Text"/>
        <w:rPr>
          <w:b/>
          <w:bCs/>
          <w:i/>
          <w:iCs/>
        </w:rPr>
      </w:pPr>
      <w:r w:rsidRPr="00F131F8">
        <w:rPr>
          <w:b/>
          <w:bCs/>
          <w:i/>
          <w:iCs/>
        </w:rPr>
        <w:t>Proposal 4: In RACH-based handover, the UE shall apply the TCI state(s) indicated in the MAC CE cell switch command after the RACH procedure is finished.</w:t>
      </w:r>
    </w:p>
    <w:p w14:paraId="6264F2AA" w14:textId="77777777" w:rsidR="00FF2B49" w:rsidRDefault="00FF2B49" w:rsidP="00FF2B49">
      <w:pPr>
        <w:pStyle w:val="000proposal"/>
      </w:pPr>
      <w:r>
        <w:t>Proposal 5: For the beam indication of LTM in the case of inter-cell mTRP:</w:t>
      </w:r>
    </w:p>
    <w:p w14:paraId="55BE592B" w14:textId="77777777" w:rsidR="00FF2B49" w:rsidRDefault="00FF2B49" w:rsidP="00FF2B49">
      <w:pPr>
        <w:pStyle w:val="000proposal"/>
        <w:numPr>
          <w:ilvl w:val="0"/>
          <w:numId w:val="8"/>
        </w:numPr>
      </w:pPr>
      <w:r>
        <w:t>The TCI state(s) indicated through inter-cell beam management is applied to UE-specific PDCCH/PDSCH, PUSCH and PUCCH, as specified in Rel-17</w:t>
      </w:r>
    </w:p>
    <w:p w14:paraId="026FB8AB" w14:textId="77777777" w:rsidR="00FF2B49" w:rsidRDefault="00FF2B49" w:rsidP="00FF2B49">
      <w:pPr>
        <w:pStyle w:val="000proposal"/>
        <w:numPr>
          <w:ilvl w:val="0"/>
          <w:numId w:val="8"/>
        </w:numPr>
      </w:pPr>
      <w:r>
        <w:t xml:space="preserve">The TCI state(s) indicated in MAC CE cell switch </w:t>
      </w:r>
      <w:r>
        <w:rPr>
          <w:rFonts w:hint="eastAsia"/>
        </w:rPr>
        <w:t>command</w:t>
      </w:r>
      <w:r>
        <w:t xml:space="preserve"> is only applied to UE-common PDCCH/PDSCH.</w:t>
      </w:r>
    </w:p>
    <w:p w14:paraId="130C16C5" w14:textId="77777777" w:rsidR="00FF2B49" w:rsidRPr="00B21BCE" w:rsidRDefault="00FF2B49" w:rsidP="00FF2B49">
      <w:pPr>
        <w:pStyle w:val="00Text"/>
        <w:rPr>
          <w:b/>
          <w:bCs/>
          <w:i/>
          <w:iCs/>
        </w:rPr>
      </w:pPr>
      <w:r w:rsidRPr="00B21BCE">
        <w:rPr>
          <w:b/>
          <w:bCs/>
          <w:i/>
          <w:iCs/>
        </w:rPr>
        <w:t>Proposal 6: For a TCI state with TRS of candidate cell before/during cell switch command, the UE may measure the SSB that is the QCL source of that TRS</w:t>
      </w:r>
      <w:r>
        <w:rPr>
          <w:b/>
          <w:bCs/>
          <w:i/>
          <w:iCs/>
        </w:rPr>
        <w:t xml:space="preserve"> for tracking the TCI state</w:t>
      </w:r>
      <w:r w:rsidRPr="00B21BCE">
        <w:rPr>
          <w:b/>
          <w:bCs/>
          <w:i/>
          <w:iCs/>
        </w:rPr>
        <w:t>.</w:t>
      </w: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1300" w14:textId="77777777" w:rsidR="00B6339C" w:rsidRDefault="00B6339C">
      <w:r>
        <w:separator/>
      </w:r>
    </w:p>
  </w:endnote>
  <w:endnote w:type="continuationSeparator" w:id="0">
    <w:p w14:paraId="7F080C0C" w14:textId="77777777" w:rsidR="00B6339C" w:rsidRDefault="00B6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2949" w14:textId="77777777" w:rsidR="00B6339C" w:rsidRDefault="00B6339C">
      <w:r>
        <w:separator/>
      </w:r>
    </w:p>
  </w:footnote>
  <w:footnote w:type="continuationSeparator" w:id="0">
    <w:p w14:paraId="73DB3A73" w14:textId="77777777" w:rsidR="00B6339C" w:rsidRDefault="00B63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29"/>
  </w:num>
  <w:num w:numId="2" w16cid:durableId="88620007">
    <w:abstractNumId w:val="11"/>
  </w:num>
  <w:num w:numId="3" w16cid:durableId="123159343">
    <w:abstractNumId w:val="22"/>
  </w:num>
  <w:num w:numId="4" w16cid:durableId="1426074486">
    <w:abstractNumId w:val="18"/>
  </w:num>
  <w:num w:numId="5" w16cid:durableId="1325162131">
    <w:abstractNumId w:val="3"/>
  </w:num>
  <w:num w:numId="6" w16cid:durableId="840241853">
    <w:abstractNumId w:val="5"/>
  </w:num>
  <w:num w:numId="7" w16cid:durableId="1828013031">
    <w:abstractNumId w:val="13"/>
  </w:num>
  <w:num w:numId="8" w16cid:durableId="434520049">
    <w:abstractNumId w:val="19"/>
  </w:num>
  <w:num w:numId="9" w16cid:durableId="2089962024">
    <w:abstractNumId w:val="24"/>
  </w:num>
  <w:num w:numId="10" w16cid:durableId="446001870">
    <w:abstractNumId w:val="6"/>
  </w:num>
  <w:num w:numId="11" w16cid:durableId="1814907546">
    <w:abstractNumId w:val="16"/>
  </w:num>
  <w:num w:numId="12" w16cid:durableId="1221020232">
    <w:abstractNumId w:val="21"/>
  </w:num>
  <w:num w:numId="13" w16cid:durableId="1940750200">
    <w:abstractNumId w:val="26"/>
  </w:num>
  <w:num w:numId="14" w16cid:durableId="1718506227">
    <w:abstractNumId w:val="30"/>
  </w:num>
  <w:num w:numId="15" w16cid:durableId="731273421">
    <w:abstractNumId w:val="1"/>
  </w:num>
  <w:num w:numId="16" w16cid:durableId="797842484">
    <w:abstractNumId w:val="12"/>
  </w:num>
  <w:num w:numId="17" w16cid:durableId="1768649698">
    <w:abstractNumId w:val="27"/>
  </w:num>
  <w:num w:numId="18" w16cid:durableId="1928807138">
    <w:abstractNumId w:val="4"/>
  </w:num>
  <w:num w:numId="19" w16cid:durableId="1441993963">
    <w:abstractNumId w:val="17"/>
  </w:num>
  <w:num w:numId="20" w16cid:durableId="1152023335">
    <w:abstractNumId w:val="17"/>
  </w:num>
  <w:num w:numId="21" w16cid:durableId="1843007900">
    <w:abstractNumId w:val="15"/>
  </w:num>
  <w:num w:numId="22" w16cid:durableId="503010540">
    <w:abstractNumId w:val="23"/>
  </w:num>
  <w:num w:numId="23" w16cid:durableId="1485660275">
    <w:abstractNumId w:val="25"/>
  </w:num>
  <w:num w:numId="24" w16cid:durableId="870998646">
    <w:abstractNumId w:val="2"/>
  </w:num>
  <w:num w:numId="25" w16cid:durableId="115879973">
    <w:abstractNumId w:val="28"/>
  </w:num>
  <w:num w:numId="26" w16cid:durableId="1015500391">
    <w:abstractNumId w:val="0"/>
  </w:num>
  <w:num w:numId="27" w16cid:durableId="888420351">
    <w:abstractNumId w:val="8"/>
  </w:num>
  <w:num w:numId="28" w16cid:durableId="981812377">
    <w:abstractNumId w:val="7"/>
  </w:num>
  <w:num w:numId="29" w16cid:durableId="1343897192">
    <w:abstractNumId w:val="20"/>
  </w:num>
  <w:num w:numId="30" w16cid:durableId="589049147">
    <w:abstractNumId w:val="9"/>
  </w:num>
  <w:num w:numId="31" w16cid:durableId="1277634339">
    <w:abstractNumId w:val="10"/>
  </w:num>
  <w:num w:numId="32" w16cid:durableId="205561648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1235"/>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D90"/>
    <w:rsid w:val="00164A53"/>
    <w:rsid w:val="00165271"/>
    <w:rsid w:val="001667AD"/>
    <w:rsid w:val="001708FD"/>
    <w:rsid w:val="0017178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3401"/>
    <w:rsid w:val="002239D1"/>
    <w:rsid w:val="00223B55"/>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539C"/>
    <w:rsid w:val="002E58C9"/>
    <w:rsid w:val="002F46B5"/>
    <w:rsid w:val="002F5E03"/>
    <w:rsid w:val="00311DA8"/>
    <w:rsid w:val="00312804"/>
    <w:rsid w:val="003144C9"/>
    <w:rsid w:val="0031751C"/>
    <w:rsid w:val="00321588"/>
    <w:rsid w:val="003218CE"/>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61818"/>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117A"/>
    <w:rsid w:val="00502E93"/>
    <w:rsid w:val="00502EA7"/>
    <w:rsid w:val="00503242"/>
    <w:rsid w:val="00504A8B"/>
    <w:rsid w:val="00507A08"/>
    <w:rsid w:val="00507C9F"/>
    <w:rsid w:val="00507FFE"/>
    <w:rsid w:val="00511113"/>
    <w:rsid w:val="005119EF"/>
    <w:rsid w:val="00514197"/>
    <w:rsid w:val="00527D26"/>
    <w:rsid w:val="0053029C"/>
    <w:rsid w:val="005350B8"/>
    <w:rsid w:val="0053652F"/>
    <w:rsid w:val="005366B1"/>
    <w:rsid w:val="0054041F"/>
    <w:rsid w:val="00540D9B"/>
    <w:rsid w:val="0054212F"/>
    <w:rsid w:val="00544A7B"/>
    <w:rsid w:val="0054622D"/>
    <w:rsid w:val="005517D2"/>
    <w:rsid w:val="00556940"/>
    <w:rsid w:val="00560E61"/>
    <w:rsid w:val="00566601"/>
    <w:rsid w:val="0057268B"/>
    <w:rsid w:val="00572ACD"/>
    <w:rsid w:val="005753EB"/>
    <w:rsid w:val="00576532"/>
    <w:rsid w:val="005806EF"/>
    <w:rsid w:val="005809A8"/>
    <w:rsid w:val="00582C25"/>
    <w:rsid w:val="0058647E"/>
    <w:rsid w:val="00590297"/>
    <w:rsid w:val="0059033D"/>
    <w:rsid w:val="0059211A"/>
    <w:rsid w:val="00593891"/>
    <w:rsid w:val="00594B79"/>
    <w:rsid w:val="00595661"/>
    <w:rsid w:val="005A09CE"/>
    <w:rsid w:val="005A0ACB"/>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3428"/>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3145F"/>
    <w:rsid w:val="00731A5A"/>
    <w:rsid w:val="0073224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DC4"/>
    <w:rsid w:val="00800CED"/>
    <w:rsid w:val="00801370"/>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3576"/>
    <w:rsid w:val="008646B9"/>
    <w:rsid w:val="008677D2"/>
    <w:rsid w:val="00870B5C"/>
    <w:rsid w:val="008714CC"/>
    <w:rsid w:val="00872002"/>
    <w:rsid w:val="008822C9"/>
    <w:rsid w:val="00882742"/>
    <w:rsid w:val="008831B4"/>
    <w:rsid w:val="008906D5"/>
    <w:rsid w:val="00890DA5"/>
    <w:rsid w:val="00892024"/>
    <w:rsid w:val="008938E0"/>
    <w:rsid w:val="008A13C0"/>
    <w:rsid w:val="008A33D5"/>
    <w:rsid w:val="008A41E2"/>
    <w:rsid w:val="008A75E3"/>
    <w:rsid w:val="008B11A3"/>
    <w:rsid w:val="008B213F"/>
    <w:rsid w:val="008B2F52"/>
    <w:rsid w:val="008B4832"/>
    <w:rsid w:val="008B6457"/>
    <w:rsid w:val="008B6586"/>
    <w:rsid w:val="008B79B1"/>
    <w:rsid w:val="008C0995"/>
    <w:rsid w:val="008C2323"/>
    <w:rsid w:val="008C24E0"/>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32AB"/>
    <w:rsid w:val="009F3DFF"/>
    <w:rsid w:val="009F5037"/>
    <w:rsid w:val="009F721C"/>
    <w:rsid w:val="00A02203"/>
    <w:rsid w:val="00A041E2"/>
    <w:rsid w:val="00A04A39"/>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20B4D"/>
    <w:rsid w:val="00B21B4F"/>
    <w:rsid w:val="00B21BCE"/>
    <w:rsid w:val="00B225C0"/>
    <w:rsid w:val="00B2467D"/>
    <w:rsid w:val="00B27537"/>
    <w:rsid w:val="00B27FAE"/>
    <w:rsid w:val="00B30B2A"/>
    <w:rsid w:val="00B34DCF"/>
    <w:rsid w:val="00B355FE"/>
    <w:rsid w:val="00B35C83"/>
    <w:rsid w:val="00B372FA"/>
    <w:rsid w:val="00B41147"/>
    <w:rsid w:val="00B458D2"/>
    <w:rsid w:val="00B46957"/>
    <w:rsid w:val="00B50AE5"/>
    <w:rsid w:val="00B50BD8"/>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7656"/>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D3DBF"/>
    <w:rsid w:val="00CD42D0"/>
    <w:rsid w:val="00CD79A3"/>
    <w:rsid w:val="00CD7A19"/>
    <w:rsid w:val="00CE07AE"/>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266A"/>
    <w:rsid w:val="00D42AEA"/>
    <w:rsid w:val="00D4775D"/>
    <w:rsid w:val="00D47A5D"/>
    <w:rsid w:val="00D51602"/>
    <w:rsid w:val="00D53F5F"/>
    <w:rsid w:val="00D547FB"/>
    <w:rsid w:val="00D54CA7"/>
    <w:rsid w:val="00D57EF4"/>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B2858"/>
    <w:rsid w:val="00DB50F9"/>
    <w:rsid w:val="00DB6F0E"/>
    <w:rsid w:val="00DC485D"/>
    <w:rsid w:val="00DC53C6"/>
    <w:rsid w:val="00DC728B"/>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30CE6"/>
    <w:rsid w:val="00E32A27"/>
    <w:rsid w:val="00E330A0"/>
    <w:rsid w:val="00E41BF7"/>
    <w:rsid w:val="00E46B92"/>
    <w:rsid w:val="00E46F0A"/>
    <w:rsid w:val="00E47088"/>
    <w:rsid w:val="00E47DF8"/>
    <w:rsid w:val="00E56D18"/>
    <w:rsid w:val="00E6074A"/>
    <w:rsid w:val="00E629DB"/>
    <w:rsid w:val="00E62BF9"/>
    <w:rsid w:val="00E62FFC"/>
    <w:rsid w:val="00E64225"/>
    <w:rsid w:val="00E673D8"/>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1896</Words>
  <Characters>10809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2023-09-28T01:46:00Z</dcterms:modified>
</cp:coreProperties>
</file>