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B706D" w14:textId="0D5A3069" w:rsidR="00C4194F" w:rsidRPr="000114C4" w:rsidRDefault="00C4194F" w:rsidP="00C4194F">
      <w:pPr>
        <w:tabs>
          <w:tab w:val="right" w:pos="9356"/>
          <w:tab w:val="right" w:pos="9639"/>
        </w:tabs>
        <w:ind w:right="2"/>
        <w:rPr>
          <w:rFonts w:ascii="Arial" w:hAnsi="Arial" w:cs="Arial"/>
          <w:b/>
          <w:bCs/>
          <w:sz w:val="28"/>
        </w:rPr>
      </w:pPr>
      <w:r w:rsidRPr="000114C4">
        <w:rPr>
          <w:rFonts w:ascii="Arial" w:hAnsi="Arial" w:cs="Arial"/>
          <w:b/>
          <w:bCs/>
          <w:sz w:val="28"/>
        </w:rPr>
        <w:t>3GPP TSG RAN WG1 #1</w:t>
      </w:r>
      <w:r>
        <w:rPr>
          <w:rFonts w:ascii="Arial" w:hAnsi="Arial" w:cs="Arial"/>
          <w:b/>
          <w:bCs/>
          <w:sz w:val="28"/>
        </w:rPr>
        <w:t>14</w:t>
      </w:r>
      <w:r w:rsidR="00D05B20">
        <w:rPr>
          <w:rFonts w:ascii="Arial" w:hAnsi="Arial" w:cs="Arial"/>
          <w:b/>
          <w:bCs/>
          <w:sz w:val="28"/>
        </w:rPr>
        <w:t>bis</w:t>
      </w:r>
      <w:r w:rsidRPr="000114C4">
        <w:rPr>
          <w:rFonts w:ascii="Arial" w:hAnsi="Arial" w:cs="Arial"/>
          <w:b/>
          <w:bCs/>
          <w:sz w:val="28"/>
        </w:rPr>
        <w:tab/>
        <w:t>R1-</w:t>
      </w:r>
      <w:r>
        <w:rPr>
          <w:rFonts w:ascii="Arial" w:hAnsi="Arial" w:cs="Arial"/>
          <w:b/>
          <w:bCs/>
          <w:sz w:val="28"/>
        </w:rPr>
        <w:t>230</w:t>
      </w:r>
      <w:r w:rsidR="00AB7C4E">
        <w:rPr>
          <w:rFonts w:ascii="Arial" w:hAnsi="Arial" w:cs="Arial"/>
          <w:b/>
          <w:bCs/>
          <w:sz w:val="28"/>
        </w:rPr>
        <w:t>9083</w:t>
      </w:r>
    </w:p>
    <w:p w14:paraId="4234BEEB" w14:textId="0B842F0F" w:rsidR="00C4194F" w:rsidRPr="000114C4" w:rsidRDefault="00D05B20" w:rsidP="00C4194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w:t>
      </w:r>
      <w:r w:rsidR="00C4194F">
        <w:rPr>
          <w:rFonts w:ascii="Arial" w:eastAsia="MS Mincho" w:hAnsi="Arial" w:cs="Arial"/>
          <w:b/>
          <w:bCs/>
          <w:sz w:val="28"/>
          <w:lang w:eastAsia="ja-JP"/>
        </w:rPr>
        <w:t xml:space="preserve">, </w:t>
      </w:r>
      <w:r>
        <w:rPr>
          <w:rFonts w:ascii="Arial" w:eastAsia="MS Mincho" w:hAnsi="Arial" w:cs="Arial"/>
          <w:b/>
          <w:bCs/>
          <w:sz w:val="28"/>
          <w:lang w:eastAsia="ja-JP"/>
        </w:rPr>
        <w:t>China</w:t>
      </w:r>
      <w:r w:rsidR="00C4194F">
        <w:rPr>
          <w:rFonts w:ascii="Arial" w:eastAsia="MS Mincho" w:hAnsi="Arial" w:cs="Arial"/>
          <w:b/>
          <w:bCs/>
          <w:sz w:val="28"/>
          <w:lang w:eastAsia="ja-JP"/>
        </w:rPr>
        <w:t xml:space="preserve">, </w:t>
      </w:r>
      <w:r>
        <w:rPr>
          <w:rFonts w:ascii="Arial" w:eastAsia="MS Mincho" w:hAnsi="Arial" w:cs="Arial"/>
          <w:b/>
          <w:bCs/>
          <w:sz w:val="28"/>
          <w:lang w:eastAsia="ja-JP"/>
        </w:rPr>
        <w:t>Oct</w:t>
      </w:r>
      <w:r w:rsidR="00C4194F" w:rsidRPr="00FE56C0">
        <w:rPr>
          <w:rFonts w:ascii="Arial" w:eastAsia="MS Mincho" w:hAnsi="Arial" w:cs="Arial"/>
          <w:b/>
          <w:bCs/>
          <w:sz w:val="28"/>
          <w:lang w:eastAsia="ja-JP"/>
        </w:rPr>
        <w:t xml:space="preserve"> </w:t>
      </w:r>
      <w:r>
        <w:rPr>
          <w:rFonts w:ascii="Arial" w:eastAsia="MS Mincho" w:hAnsi="Arial" w:cs="Arial"/>
          <w:b/>
          <w:bCs/>
          <w:sz w:val="28"/>
          <w:lang w:eastAsia="ja-JP"/>
        </w:rPr>
        <w:t>9</w:t>
      </w:r>
      <w:r w:rsidR="00C4194F">
        <w:rPr>
          <w:rFonts w:ascii="Arial" w:eastAsia="MS Mincho" w:hAnsi="Arial" w:cs="Arial"/>
          <w:b/>
          <w:bCs/>
          <w:sz w:val="28"/>
          <w:vertAlign w:val="superscript"/>
          <w:lang w:eastAsia="ja-JP"/>
        </w:rPr>
        <w:t>t</w:t>
      </w:r>
      <w:r>
        <w:rPr>
          <w:rFonts w:ascii="Arial" w:eastAsia="MS Mincho" w:hAnsi="Arial" w:cs="Arial"/>
          <w:b/>
          <w:bCs/>
          <w:sz w:val="28"/>
          <w:vertAlign w:val="superscript"/>
          <w:lang w:eastAsia="ja-JP"/>
        </w:rPr>
        <w:t>h</w:t>
      </w:r>
      <w:r w:rsidR="00C4194F" w:rsidRPr="00FE56C0">
        <w:rPr>
          <w:rFonts w:ascii="Arial" w:eastAsia="MS Mincho" w:hAnsi="Arial" w:cs="Arial"/>
          <w:b/>
          <w:bCs/>
          <w:sz w:val="28"/>
          <w:lang w:eastAsia="ja-JP"/>
        </w:rPr>
        <w:t xml:space="preserve"> –</w:t>
      </w:r>
      <w:r w:rsidR="00C4194F">
        <w:rPr>
          <w:rFonts w:ascii="Arial" w:eastAsia="MS Mincho" w:hAnsi="Arial" w:cs="Arial"/>
          <w:b/>
          <w:bCs/>
          <w:sz w:val="28"/>
          <w:lang w:eastAsia="ja-JP"/>
        </w:rPr>
        <w:t xml:space="preserve"> </w:t>
      </w:r>
      <w:r>
        <w:rPr>
          <w:rFonts w:ascii="Arial" w:eastAsia="MS Mincho" w:hAnsi="Arial" w:cs="Arial"/>
          <w:b/>
          <w:bCs/>
          <w:sz w:val="28"/>
          <w:lang w:eastAsia="ja-JP"/>
        </w:rPr>
        <w:t>Oct</w:t>
      </w:r>
      <w:r w:rsidR="00C4194F">
        <w:rPr>
          <w:rFonts w:ascii="Arial" w:eastAsia="MS Mincho" w:hAnsi="Arial" w:cs="Arial"/>
          <w:b/>
          <w:bCs/>
          <w:sz w:val="28"/>
          <w:lang w:eastAsia="ja-JP"/>
        </w:rPr>
        <w:t xml:space="preserve"> </w:t>
      </w:r>
      <w:r>
        <w:rPr>
          <w:rFonts w:ascii="Arial" w:eastAsia="MS Mincho" w:hAnsi="Arial" w:cs="Arial"/>
          <w:b/>
          <w:bCs/>
          <w:sz w:val="28"/>
          <w:lang w:eastAsia="ja-JP"/>
        </w:rPr>
        <w:t>13</w:t>
      </w:r>
      <w:r w:rsidR="00C4194F" w:rsidRPr="00AE57AD">
        <w:rPr>
          <w:rFonts w:ascii="Arial" w:eastAsia="MS Mincho" w:hAnsi="Arial" w:cs="Arial"/>
          <w:b/>
          <w:bCs/>
          <w:sz w:val="28"/>
          <w:vertAlign w:val="superscript"/>
          <w:lang w:eastAsia="ja-JP"/>
        </w:rPr>
        <w:t>th</w:t>
      </w:r>
      <w:r w:rsidR="00C4194F" w:rsidRPr="00C73569">
        <w:rPr>
          <w:rFonts w:ascii="Arial" w:eastAsia="MS Mincho" w:hAnsi="Arial" w:cs="Arial"/>
          <w:b/>
          <w:bCs/>
          <w:sz w:val="28"/>
          <w:lang w:eastAsia="ja-JP"/>
        </w:rPr>
        <w:t>, 202</w:t>
      </w:r>
      <w:r w:rsidR="00C4194F">
        <w:rPr>
          <w:rFonts w:ascii="Arial" w:eastAsia="MS Mincho" w:hAnsi="Arial" w:cs="Arial"/>
          <w:b/>
          <w:bCs/>
          <w:sz w:val="28"/>
          <w:lang w:eastAsia="ja-JP"/>
        </w:rPr>
        <w:t>3</w:t>
      </w:r>
    </w:p>
    <w:p w14:paraId="7C8D157C" w14:textId="77777777" w:rsidR="00C4194F" w:rsidRPr="000114C4" w:rsidRDefault="00C4194F" w:rsidP="00C4194F">
      <w:pPr>
        <w:pStyle w:val="a5"/>
        <w:tabs>
          <w:tab w:val="clear" w:pos="4536"/>
          <w:tab w:val="left" w:pos="1800"/>
        </w:tabs>
        <w:ind w:left="1800" w:hanging="1800"/>
        <w:rPr>
          <w:rFonts w:cs="Arial"/>
          <w:sz w:val="22"/>
          <w:szCs w:val="22"/>
        </w:rPr>
      </w:pPr>
    </w:p>
    <w:p w14:paraId="4B7E2743" w14:textId="77777777" w:rsidR="00C4194F" w:rsidRPr="000114C4" w:rsidRDefault="00C4194F" w:rsidP="00C4194F">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1B520DD" w14:textId="4CC3765F" w:rsidR="00C4194F" w:rsidRPr="000114C4" w:rsidRDefault="00C4194F" w:rsidP="00C4194F">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Pr>
          <w:rFonts w:cs="Arial"/>
          <w:sz w:val="22"/>
          <w:szCs w:val="22"/>
        </w:rPr>
        <w:t>Discussion on L1 enhancements for L1/L2</w:t>
      </w:r>
      <w:r w:rsidR="00B12218">
        <w:rPr>
          <w:rFonts w:cs="Arial"/>
          <w:sz w:val="22"/>
          <w:szCs w:val="22"/>
        </w:rPr>
        <w:t>-triggered</w:t>
      </w:r>
      <w:r>
        <w:rPr>
          <w:rFonts w:cs="Arial"/>
          <w:sz w:val="22"/>
          <w:szCs w:val="22"/>
        </w:rPr>
        <w:t xml:space="preserve"> mobility</w:t>
      </w:r>
    </w:p>
    <w:p w14:paraId="5CBA8ADC" w14:textId="77777777" w:rsidR="00C4194F" w:rsidRPr="000114C4" w:rsidRDefault="00C4194F" w:rsidP="00C4194F">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Pr>
          <w:rFonts w:eastAsia="宋体" w:cs="Arial"/>
          <w:sz w:val="22"/>
          <w:szCs w:val="22"/>
          <w:lang w:eastAsia="zh-CN"/>
        </w:rPr>
        <w:t>8</w:t>
      </w:r>
      <w:r w:rsidRPr="00231CC1">
        <w:rPr>
          <w:rFonts w:eastAsia="宋体" w:cs="Arial"/>
          <w:sz w:val="22"/>
          <w:szCs w:val="22"/>
          <w:lang w:eastAsia="zh-CN"/>
        </w:rPr>
        <w:t>.</w:t>
      </w:r>
      <w:r>
        <w:rPr>
          <w:rFonts w:eastAsia="宋体" w:cs="Arial"/>
          <w:sz w:val="22"/>
          <w:szCs w:val="22"/>
          <w:lang w:eastAsia="zh-CN"/>
        </w:rPr>
        <w:t>7</w:t>
      </w:r>
      <w:r w:rsidRPr="00231CC1">
        <w:rPr>
          <w:rFonts w:eastAsia="宋体" w:cs="Arial"/>
          <w:sz w:val="22"/>
          <w:szCs w:val="22"/>
          <w:lang w:eastAsia="zh-CN"/>
        </w:rPr>
        <w:t>.1</w:t>
      </w:r>
    </w:p>
    <w:p w14:paraId="7B6E0C2F" w14:textId="77777777" w:rsidR="00C4194F" w:rsidRPr="000114C4" w:rsidRDefault="00C4194F" w:rsidP="00C4194F">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47D6675A" w14:textId="77777777" w:rsidR="00C4194F" w:rsidRPr="00C914FE" w:rsidRDefault="00C4194F" w:rsidP="00C4194F">
      <w:pPr>
        <w:pStyle w:val="title1"/>
      </w:pPr>
      <w:r>
        <w:rPr>
          <w:rFonts w:hint="eastAsia"/>
        </w:rPr>
        <w:t>I</w:t>
      </w:r>
      <w:r>
        <w:t>ntroduction</w:t>
      </w:r>
    </w:p>
    <w:p w14:paraId="0747C057" w14:textId="77777777" w:rsidR="00C4194F" w:rsidRPr="009F7204" w:rsidRDefault="00C4194F" w:rsidP="00C4194F">
      <w:pPr>
        <w:rPr>
          <w:rFonts w:eastAsiaTheme="minorEastAsia"/>
          <w:lang w:eastAsia="zh-CN"/>
        </w:rPr>
      </w:pPr>
      <w:r w:rsidRPr="003716DB">
        <w:rPr>
          <w:lang w:val="en-GB" w:eastAsia="zh-CN"/>
        </w:rPr>
        <w:t xml:space="preserve">Significant progress has been made on </w:t>
      </w:r>
      <w:r>
        <w:rPr>
          <w:lang w:val="en-GB" w:eastAsia="zh-CN"/>
        </w:rPr>
        <w:t>L1 enhancement</w:t>
      </w:r>
      <w:r w:rsidRPr="003716DB">
        <w:rPr>
          <w:lang w:val="en-GB" w:eastAsia="zh-CN"/>
        </w:rPr>
        <w:t xml:space="preserve"> for LTM and the </w:t>
      </w:r>
      <w:r>
        <w:rPr>
          <w:lang w:val="en-GB" w:eastAsia="zh-CN"/>
        </w:rPr>
        <w:t>overall</w:t>
      </w:r>
      <w:r w:rsidRPr="003716DB">
        <w:rPr>
          <w:lang w:val="en-GB" w:eastAsia="zh-CN"/>
        </w:rPr>
        <w:t xml:space="preserve"> procedure of </w:t>
      </w:r>
      <w:r>
        <w:rPr>
          <w:lang w:val="en-GB" w:eastAsia="zh-CN"/>
        </w:rPr>
        <w:t xml:space="preserve">LTM </w:t>
      </w:r>
      <w:r w:rsidRPr="003716DB">
        <w:rPr>
          <w:lang w:val="en-GB" w:eastAsia="zh-CN"/>
        </w:rPr>
        <w:t xml:space="preserve">is almost clear. </w:t>
      </w:r>
      <w:r>
        <w:rPr>
          <w:lang w:val="en-GB" w:eastAsia="zh-CN"/>
        </w:rPr>
        <w:t xml:space="preserve">However, certain related details still require discussions, such as the activation of L1 measurement, report configuration, TCI configuration, and beam indication and application. In this contribution, </w:t>
      </w:r>
      <w:r w:rsidRPr="001B4AAA">
        <w:rPr>
          <w:rFonts w:eastAsiaTheme="minorEastAsia"/>
          <w:lang w:val="en-GB" w:eastAsia="zh-CN"/>
        </w:rPr>
        <w:t>we provide our views on the</w:t>
      </w:r>
      <w:r>
        <w:rPr>
          <w:rFonts w:eastAsiaTheme="minorEastAsia"/>
          <w:lang w:val="en-GB" w:eastAsia="zh-CN"/>
        </w:rPr>
        <w:t xml:space="preserve"> remaining issues mentioned above.</w:t>
      </w:r>
    </w:p>
    <w:p w14:paraId="66AA7882" w14:textId="77777777" w:rsidR="00C4194F" w:rsidRPr="00AA35D2" w:rsidRDefault="00C4194F" w:rsidP="00C4194F">
      <w:pPr>
        <w:pStyle w:val="title1"/>
      </w:pPr>
      <w:r>
        <w:rPr>
          <w:rFonts w:hint="eastAsia"/>
        </w:rPr>
        <w:t>L</w:t>
      </w:r>
      <w:r>
        <w:t>1 measurement reporting</w:t>
      </w:r>
    </w:p>
    <w:p w14:paraId="27DC5DB0" w14:textId="329ED71D" w:rsidR="00296858" w:rsidRDefault="00DD70CB" w:rsidP="00C4194F">
      <w:pPr>
        <w:pStyle w:val="title2"/>
        <w:rPr>
          <w:rFonts w:eastAsiaTheme="minorEastAsia"/>
          <w:lang w:val="en-GB"/>
        </w:rPr>
      </w:pPr>
      <w:r>
        <w:rPr>
          <w:rFonts w:eastAsiaTheme="minorEastAsia"/>
          <w:lang w:val="en-GB"/>
        </w:rPr>
        <w:t xml:space="preserve">Measurement </w:t>
      </w:r>
      <w:r w:rsidR="00296858">
        <w:rPr>
          <w:rFonts w:eastAsiaTheme="minorEastAsia" w:hint="eastAsia"/>
          <w:lang w:val="en-GB"/>
        </w:rPr>
        <w:t>R</w:t>
      </w:r>
      <w:r w:rsidR="00296858">
        <w:rPr>
          <w:rFonts w:eastAsiaTheme="minorEastAsia"/>
          <w:lang w:val="en-GB"/>
        </w:rPr>
        <w:t xml:space="preserve">S </w:t>
      </w:r>
      <w:r w:rsidR="00296858">
        <w:rPr>
          <w:rFonts w:eastAsiaTheme="minorEastAsia" w:hint="eastAsia"/>
          <w:lang w:val="en-GB"/>
        </w:rPr>
        <w:t>configuration</w:t>
      </w:r>
    </w:p>
    <w:p w14:paraId="49845C34" w14:textId="20A9A18D" w:rsidR="00544B84" w:rsidRDefault="00296858" w:rsidP="00296858">
      <w:pPr>
        <w:rPr>
          <w:rFonts w:eastAsiaTheme="minorEastAsia"/>
          <w:lang w:val="en-GB" w:eastAsia="zh-CN"/>
        </w:rPr>
      </w:pPr>
      <w:r>
        <w:rPr>
          <w:rFonts w:eastAsiaTheme="minorEastAsia"/>
          <w:lang w:val="en-GB" w:eastAsia="zh-CN"/>
        </w:rPr>
        <w:t>A</w:t>
      </w:r>
      <w:r>
        <w:rPr>
          <w:rFonts w:eastAsiaTheme="minorEastAsia" w:hint="eastAsia"/>
          <w:lang w:val="en-GB" w:eastAsia="zh-CN"/>
        </w:rPr>
        <w:t>c</w:t>
      </w:r>
      <w:r>
        <w:rPr>
          <w:rFonts w:eastAsiaTheme="minorEastAsia"/>
          <w:lang w:val="en-GB" w:eastAsia="zh-CN"/>
        </w:rPr>
        <w:t xml:space="preserve">cording to </w:t>
      </w:r>
      <w:r w:rsidR="00DD70CB">
        <w:rPr>
          <w:rFonts w:eastAsiaTheme="minorEastAsia"/>
          <w:lang w:val="en-GB" w:eastAsia="zh-CN"/>
        </w:rPr>
        <w:t>discussion on RRC parameters for LTM in the last meeting</w:t>
      </w:r>
      <w:r w:rsidR="00231EF5">
        <w:rPr>
          <w:rFonts w:eastAsiaTheme="minorEastAsia"/>
          <w:lang w:val="en-GB" w:eastAsia="zh-CN"/>
        </w:rPr>
        <w:t xml:space="preserve"> [1]</w:t>
      </w:r>
      <w:r w:rsidR="00DD70CB">
        <w:rPr>
          <w:rFonts w:eastAsiaTheme="minorEastAsia"/>
          <w:lang w:val="en-GB" w:eastAsia="zh-CN"/>
        </w:rPr>
        <w:t xml:space="preserve">, there </w:t>
      </w:r>
      <w:r w:rsidR="0010792B">
        <w:rPr>
          <w:rFonts w:eastAsiaTheme="minorEastAsia"/>
          <w:lang w:val="en-GB" w:eastAsia="zh-CN"/>
        </w:rPr>
        <w:t>would be</w:t>
      </w:r>
      <w:r w:rsidR="00DD70CB">
        <w:rPr>
          <w:rFonts w:eastAsiaTheme="minorEastAsia"/>
          <w:lang w:val="en-GB" w:eastAsia="zh-CN"/>
        </w:rPr>
        <w:t xml:space="preserve"> two measurement RS configuration, where the measurement RS configuration#1 for LTM is outside of candidate cell configuration, and measurement RS configuration#2 </w:t>
      </w:r>
      <w:r w:rsidR="00623CCB">
        <w:rPr>
          <w:rFonts w:eastAsiaTheme="minorEastAsia"/>
          <w:lang w:val="en-GB" w:eastAsia="zh-CN"/>
        </w:rPr>
        <w:t xml:space="preserve">for the candidate cell itself is inside of candidate cell. </w:t>
      </w:r>
      <w:r w:rsidR="0010792B">
        <w:rPr>
          <w:rFonts w:eastAsiaTheme="minorEastAsia"/>
          <w:lang w:val="en-GB" w:eastAsia="zh-CN"/>
        </w:rPr>
        <w:t>Measurement RS configuration#1 is always maintained by UE for subsequent LTM a</w:t>
      </w:r>
      <w:r w:rsidR="00623CCB">
        <w:rPr>
          <w:rFonts w:eastAsiaTheme="minorEastAsia"/>
          <w:lang w:val="en-GB" w:eastAsia="zh-CN"/>
        </w:rPr>
        <w:t xml:space="preserve">nd </w:t>
      </w:r>
      <w:r w:rsidR="0010792B">
        <w:rPr>
          <w:rFonts w:eastAsiaTheme="minorEastAsia"/>
          <w:lang w:val="en-GB" w:eastAsia="zh-CN"/>
        </w:rPr>
        <w:t xml:space="preserve">it </w:t>
      </w:r>
      <w:r w:rsidR="00623CCB">
        <w:rPr>
          <w:rFonts w:eastAsiaTheme="minorEastAsia"/>
          <w:lang w:val="en-GB" w:eastAsia="zh-CN"/>
        </w:rPr>
        <w:t xml:space="preserve">may be a subset of measurement RS configuration#2. </w:t>
      </w:r>
      <w:r w:rsidR="0010792B">
        <w:rPr>
          <w:rFonts w:eastAsiaTheme="minorEastAsia"/>
          <w:lang w:val="en-GB" w:eastAsia="zh-CN"/>
        </w:rPr>
        <w:t xml:space="preserve"> After cell switch operation, legacy </w:t>
      </w:r>
      <w:r w:rsidR="00544B84">
        <w:rPr>
          <w:rFonts w:eastAsiaTheme="minorEastAsia" w:hint="eastAsia"/>
          <w:lang w:val="en-GB" w:eastAsia="zh-CN"/>
        </w:rPr>
        <w:t>beam</w:t>
      </w:r>
      <w:r w:rsidR="00544B84">
        <w:rPr>
          <w:rFonts w:eastAsiaTheme="minorEastAsia"/>
          <w:lang w:val="en-GB" w:eastAsia="zh-CN"/>
        </w:rPr>
        <w:t xml:space="preserve"> and </w:t>
      </w:r>
      <w:r w:rsidR="0010792B">
        <w:rPr>
          <w:rFonts w:eastAsiaTheme="minorEastAsia"/>
          <w:lang w:val="en-GB" w:eastAsia="zh-CN"/>
        </w:rPr>
        <w:t xml:space="preserve">CSI </w:t>
      </w:r>
      <w:r w:rsidR="0010792B">
        <w:rPr>
          <w:rFonts w:eastAsiaTheme="minorEastAsia" w:hint="eastAsia"/>
          <w:lang w:val="en-GB" w:eastAsia="zh-CN"/>
        </w:rPr>
        <w:t>measurement</w:t>
      </w:r>
      <w:r w:rsidR="00544B84">
        <w:rPr>
          <w:rFonts w:eastAsiaTheme="minorEastAsia"/>
          <w:lang w:val="en-GB" w:eastAsia="zh-CN"/>
        </w:rPr>
        <w:t xml:space="preserve"> will be performed based on the measurement RS configuration#2, while beam measurement associated with LTM report and TRS tracking followed by </w:t>
      </w:r>
      <w:r w:rsidR="00A742AB">
        <w:rPr>
          <w:rFonts w:eastAsiaTheme="minorEastAsia"/>
          <w:lang w:val="en-GB" w:eastAsia="zh-CN"/>
        </w:rPr>
        <w:t xml:space="preserve">LTM </w:t>
      </w:r>
      <w:r w:rsidR="00544B84">
        <w:rPr>
          <w:rFonts w:eastAsiaTheme="minorEastAsia"/>
          <w:lang w:val="en-GB" w:eastAsia="zh-CN"/>
        </w:rPr>
        <w:t xml:space="preserve">TCI state activation will be performed based on the measurement RS configuration#1. Hence, there is no ambiguity. </w:t>
      </w:r>
    </w:p>
    <w:p w14:paraId="591BA857" w14:textId="0FB4D944" w:rsidR="00296858" w:rsidRPr="00D9423D" w:rsidRDefault="00544B84" w:rsidP="00D9423D">
      <w:pPr>
        <w:pStyle w:val="proposal"/>
        <w:spacing w:before="120" w:after="120"/>
        <w:ind w:left="1134" w:hanging="1134"/>
        <w:rPr>
          <w:lang w:val="en-GB"/>
        </w:rPr>
      </w:pPr>
      <w:r>
        <w:rPr>
          <w:lang w:val="en-GB"/>
        </w:rPr>
        <w:t xml:space="preserve">After cell switch operation, legacy beam measurement and CSI measurement is performed based on the measurement RS configuration inside candidate cell configuration, while beam measurement </w:t>
      </w:r>
      <w:r w:rsidR="00A742AB">
        <w:rPr>
          <w:lang w:val="en-GB"/>
        </w:rPr>
        <w:t xml:space="preserve">associated with LTM report </w:t>
      </w:r>
      <w:r>
        <w:rPr>
          <w:lang w:val="en-GB"/>
        </w:rPr>
        <w:t>and TRS tracking</w:t>
      </w:r>
      <w:r w:rsidR="00A742AB">
        <w:rPr>
          <w:lang w:val="en-GB"/>
        </w:rPr>
        <w:t xml:space="preserve"> followed by LTM TCI state activation is performed based on the measurement RS configuration outside the candidate cell information.</w:t>
      </w:r>
      <w:r>
        <w:rPr>
          <w:lang w:val="en-GB"/>
        </w:rPr>
        <w:t xml:space="preserve">   </w:t>
      </w:r>
      <w:r w:rsidR="0010792B">
        <w:rPr>
          <w:lang w:val="en-GB"/>
        </w:rPr>
        <w:t xml:space="preserve">  </w:t>
      </w:r>
    </w:p>
    <w:p w14:paraId="1C1185E1" w14:textId="350BFC57" w:rsidR="00C4194F" w:rsidRDefault="00C4194F" w:rsidP="00C4194F">
      <w:pPr>
        <w:pStyle w:val="title2"/>
        <w:rPr>
          <w:rFonts w:eastAsiaTheme="minorEastAsia"/>
          <w:lang w:val="en-GB"/>
        </w:rPr>
      </w:pPr>
      <w:r>
        <w:t xml:space="preserve">Activation of L1 measurement </w:t>
      </w:r>
    </w:p>
    <w:p w14:paraId="6749B6D1" w14:textId="73DCF510" w:rsidR="00C4194F" w:rsidRPr="003A77EC" w:rsidRDefault="00C4194F" w:rsidP="00C4194F">
      <w:pPr>
        <w:spacing w:beforeLines="50" w:before="120"/>
        <w:rPr>
          <w:rFonts w:eastAsiaTheme="minorEastAsia"/>
          <w:lang w:val="en-GB" w:eastAsia="zh-CN"/>
        </w:rPr>
      </w:pPr>
      <w:r w:rsidRPr="003A77EC">
        <w:rPr>
          <w:rFonts w:eastAsiaTheme="minorEastAsia"/>
          <w:lang w:val="en-GB" w:eastAsia="zh-CN"/>
        </w:rPr>
        <w:t xml:space="preserve">As for when UE starts to perform </w:t>
      </w:r>
      <w:r>
        <w:rPr>
          <w:rFonts w:eastAsiaTheme="minorEastAsia"/>
          <w:lang w:val="en-GB" w:eastAsia="zh-CN"/>
        </w:rPr>
        <w:t>L1-RSRP measurement</w:t>
      </w:r>
      <w:r w:rsidRPr="003A77EC">
        <w:rPr>
          <w:rFonts w:eastAsiaTheme="minorEastAsia"/>
          <w:lang w:val="en-GB" w:eastAsia="zh-CN"/>
        </w:rPr>
        <w:t xml:space="preserve"> on which candidate cells, the general understanding is that UE performs </w:t>
      </w:r>
      <w:r>
        <w:rPr>
          <w:rFonts w:eastAsiaTheme="minorEastAsia"/>
          <w:lang w:val="en-GB" w:eastAsia="zh-CN"/>
        </w:rPr>
        <w:t>L1-RSRP measurement</w:t>
      </w:r>
      <w:r w:rsidRPr="003A77EC">
        <w:rPr>
          <w:rFonts w:eastAsiaTheme="minorEastAsia"/>
          <w:lang w:val="en-GB" w:eastAsia="zh-CN"/>
        </w:rPr>
        <w:t xml:space="preserve"> on all configured candidate cells after the </w:t>
      </w:r>
      <w:r>
        <w:rPr>
          <w:rFonts w:eastAsiaTheme="minorEastAsia"/>
          <w:lang w:val="en-GB" w:eastAsia="zh-CN"/>
        </w:rPr>
        <w:t>measurement RS</w:t>
      </w:r>
      <w:r w:rsidRPr="003A77EC">
        <w:rPr>
          <w:rFonts w:eastAsiaTheme="minorEastAsia"/>
          <w:lang w:val="en-GB" w:eastAsia="zh-CN"/>
        </w:rPr>
        <w:t xml:space="preserve"> configuration </w:t>
      </w:r>
      <w:r>
        <w:rPr>
          <w:rFonts w:eastAsiaTheme="minorEastAsia"/>
          <w:lang w:val="en-GB" w:eastAsia="zh-CN"/>
        </w:rPr>
        <w:t xml:space="preserve">of candidate cell(s) </w:t>
      </w:r>
      <w:r w:rsidRPr="003A77EC">
        <w:rPr>
          <w:rFonts w:eastAsiaTheme="minorEastAsia"/>
          <w:lang w:val="en-GB" w:eastAsia="zh-CN"/>
        </w:rPr>
        <w:t xml:space="preserve">is received by the UE. </w:t>
      </w:r>
      <w:r>
        <w:rPr>
          <w:rFonts w:eastAsiaTheme="minorEastAsia"/>
          <w:lang w:val="en-GB" w:eastAsia="zh-CN"/>
        </w:rPr>
        <w:t>However,</w:t>
      </w:r>
      <w:r w:rsidRPr="003A77EC">
        <w:rPr>
          <w:rFonts w:eastAsiaTheme="minorEastAsia"/>
          <w:lang w:val="en-GB" w:eastAsia="zh-CN"/>
        </w:rPr>
        <w:t xml:space="preserve"> this is highly complex and requires a lot of computation capabilities, especially when the number of candidate cells is large. </w:t>
      </w:r>
      <w:r>
        <w:rPr>
          <w:rFonts w:eastAsiaTheme="minorEastAsia"/>
          <w:lang w:val="en-GB" w:eastAsia="zh-CN"/>
        </w:rPr>
        <w:t xml:space="preserve">If the number of candidate cell(s) to perform L1-RSRP measurement exceeds UE capability, it requires UE to select some of them for measurement and reporting. Compared to UE selection, it is more reasonable for </w:t>
      </w:r>
      <w:proofErr w:type="spellStart"/>
      <w:r>
        <w:rPr>
          <w:rFonts w:eastAsiaTheme="minorEastAsia" w:hint="eastAsia"/>
          <w:lang w:val="en-GB" w:eastAsia="zh-CN"/>
        </w:rPr>
        <w:t>g</w:t>
      </w:r>
      <w:r>
        <w:rPr>
          <w:rFonts w:eastAsiaTheme="minorEastAsia"/>
          <w:lang w:val="en-GB" w:eastAsia="zh-CN"/>
        </w:rPr>
        <w:t>NB</w:t>
      </w:r>
      <w:proofErr w:type="spellEnd"/>
      <w:r>
        <w:rPr>
          <w:rFonts w:eastAsiaTheme="minorEastAsia"/>
          <w:lang w:val="en-GB" w:eastAsia="zh-CN"/>
        </w:rPr>
        <w:t xml:space="preserve"> to handle it since the </w:t>
      </w:r>
      <w:proofErr w:type="spellStart"/>
      <w:r>
        <w:rPr>
          <w:rFonts w:eastAsiaTheme="minorEastAsia" w:hint="eastAsia"/>
          <w:lang w:val="en-GB" w:eastAsia="zh-CN"/>
        </w:rPr>
        <w:t>gNB</w:t>
      </w:r>
      <w:proofErr w:type="spellEnd"/>
      <w:r>
        <w:rPr>
          <w:rFonts w:eastAsiaTheme="minorEastAsia"/>
          <w:lang w:val="en-GB" w:eastAsia="zh-CN"/>
        </w:rPr>
        <w:t xml:space="preserve"> has more information about candidate cell(s). Thus, </w:t>
      </w:r>
      <w:r w:rsidRPr="003A77EC">
        <w:rPr>
          <w:rFonts w:eastAsiaTheme="minorEastAsia"/>
          <w:lang w:val="en-GB" w:eastAsia="zh-CN"/>
        </w:rPr>
        <w:t>to improve</w:t>
      </w:r>
      <w:r>
        <w:rPr>
          <w:rFonts w:eastAsiaTheme="minorEastAsia"/>
          <w:lang w:val="en-GB" w:eastAsia="zh-CN"/>
        </w:rPr>
        <w:t xml:space="preserve"> the L1</w:t>
      </w:r>
      <w:r w:rsidRPr="003A77EC">
        <w:rPr>
          <w:rFonts w:eastAsiaTheme="minorEastAsia"/>
          <w:lang w:val="en-GB" w:eastAsia="zh-CN"/>
        </w:rPr>
        <w:t xml:space="preserve"> measurement </w:t>
      </w:r>
      <w:r w:rsidRPr="000B32AE">
        <w:rPr>
          <w:rFonts w:eastAsiaTheme="minorEastAsia"/>
          <w:lang w:val="en-GB" w:eastAsia="zh-CN"/>
        </w:rPr>
        <w:t>effi</w:t>
      </w:r>
      <w:r>
        <w:rPr>
          <w:rFonts w:eastAsiaTheme="minorEastAsia"/>
          <w:lang w:val="en-GB" w:eastAsia="zh-CN"/>
        </w:rPr>
        <w:t>ci</w:t>
      </w:r>
      <w:r w:rsidRPr="000B32AE">
        <w:rPr>
          <w:rFonts w:eastAsiaTheme="minorEastAsia"/>
          <w:lang w:val="en-GB" w:eastAsia="zh-CN"/>
        </w:rPr>
        <w:t>ency</w:t>
      </w:r>
      <w:r w:rsidDel="004D77CF">
        <w:rPr>
          <w:rFonts w:eastAsiaTheme="minorEastAsia"/>
          <w:lang w:val="en-GB" w:eastAsia="zh-CN"/>
        </w:rPr>
        <w:t xml:space="preserve"> </w:t>
      </w:r>
      <w:r>
        <w:rPr>
          <w:rFonts w:eastAsiaTheme="minorEastAsia"/>
          <w:lang w:val="en-GB" w:eastAsia="zh-CN"/>
        </w:rPr>
        <w:t>based on limited UE capability</w:t>
      </w:r>
      <w:r w:rsidRPr="003A77EC">
        <w:rPr>
          <w:rFonts w:eastAsiaTheme="minorEastAsia"/>
          <w:lang w:val="en-GB" w:eastAsia="zh-CN"/>
        </w:rPr>
        <w:t>,</w:t>
      </w:r>
      <w:r>
        <w:rPr>
          <w:rFonts w:eastAsiaTheme="minorEastAsia"/>
          <w:lang w:val="en-GB" w:eastAsia="zh-CN"/>
        </w:rPr>
        <w:t xml:space="preserve"> a subset</w:t>
      </w:r>
      <w:r w:rsidRPr="003A77EC">
        <w:rPr>
          <w:rFonts w:eastAsiaTheme="minorEastAsia"/>
          <w:lang w:val="en-GB" w:eastAsia="zh-CN"/>
        </w:rPr>
        <w:t xml:space="preserve"> of candidate cell(s) from the RRC-configured candidate cells</w:t>
      </w:r>
      <w:r>
        <w:rPr>
          <w:rFonts w:eastAsiaTheme="minorEastAsia"/>
          <w:lang w:val="en-GB" w:eastAsia="zh-CN"/>
        </w:rPr>
        <w:t>/RSs</w:t>
      </w:r>
      <w:r w:rsidRPr="003A77EC">
        <w:rPr>
          <w:rFonts w:eastAsiaTheme="minorEastAsia"/>
          <w:lang w:val="en-GB" w:eastAsia="zh-CN"/>
        </w:rPr>
        <w:t xml:space="preserve"> for L1</w:t>
      </w:r>
      <w:r>
        <w:rPr>
          <w:rFonts w:eastAsiaTheme="minorEastAsia"/>
          <w:lang w:val="en-GB" w:eastAsia="zh-CN"/>
        </w:rPr>
        <w:t>-RSRP</w:t>
      </w:r>
      <w:r w:rsidRPr="003A77EC">
        <w:rPr>
          <w:rFonts w:eastAsiaTheme="minorEastAsia"/>
          <w:lang w:val="en-GB" w:eastAsia="zh-CN"/>
        </w:rPr>
        <w:t xml:space="preserve"> measurement </w:t>
      </w:r>
      <w:r>
        <w:rPr>
          <w:rFonts w:eastAsiaTheme="minorEastAsia"/>
          <w:lang w:val="en-GB" w:eastAsia="zh-CN"/>
        </w:rPr>
        <w:t>can be indicated via</w:t>
      </w:r>
      <w:r w:rsidRPr="003A77EC">
        <w:rPr>
          <w:rFonts w:eastAsiaTheme="minorEastAsia"/>
          <w:lang w:val="en-GB" w:eastAsia="zh-CN"/>
        </w:rPr>
        <w:t xml:space="preserve"> MAC CE</w:t>
      </w:r>
      <w:r>
        <w:rPr>
          <w:rFonts w:eastAsiaTheme="minorEastAsia"/>
          <w:lang w:val="en-GB" w:eastAsia="zh-CN"/>
        </w:rPr>
        <w:t xml:space="preserve"> by </w:t>
      </w:r>
      <w:proofErr w:type="spellStart"/>
      <w:r>
        <w:rPr>
          <w:rFonts w:eastAsiaTheme="minorEastAsia" w:hint="eastAsia"/>
          <w:lang w:val="en-GB" w:eastAsia="zh-CN"/>
        </w:rPr>
        <w:t>g</w:t>
      </w:r>
      <w:r>
        <w:rPr>
          <w:rFonts w:eastAsiaTheme="minorEastAsia"/>
          <w:lang w:val="en-GB" w:eastAsia="zh-CN"/>
        </w:rPr>
        <w:t>NB</w:t>
      </w:r>
      <w:proofErr w:type="spellEnd"/>
      <w:r w:rsidRPr="003A77EC">
        <w:rPr>
          <w:rFonts w:eastAsiaTheme="minorEastAsia"/>
          <w:lang w:val="en-GB" w:eastAsia="zh-CN"/>
        </w:rPr>
        <w:t xml:space="preserve">. </w:t>
      </w:r>
    </w:p>
    <w:p w14:paraId="11F764F8" w14:textId="3BD5E98B" w:rsidR="00C4194F" w:rsidRPr="000B32AE" w:rsidRDefault="00B84D0D" w:rsidP="00C4194F">
      <w:pPr>
        <w:pStyle w:val="proposal"/>
        <w:spacing w:before="120" w:after="120"/>
        <w:ind w:left="1021" w:hanging="1021"/>
      </w:pPr>
      <w:r>
        <w:t>I</w:t>
      </w:r>
      <w:r w:rsidR="00C4194F" w:rsidRPr="000B32AE">
        <w:t xml:space="preserve">ntroduce MAC CE to activate L1-RSRP measurement on </w:t>
      </w:r>
      <w:r w:rsidR="00C4194F">
        <w:t xml:space="preserve">a </w:t>
      </w:r>
      <w:r w:rsidR="00C4194F" w:rsidRPr="000B32AE">
        <w:t xml:space="preserve">subset of RRC-configured candidate cells/RSs to improve measurement </w:t>
      </w:r>
      <w:r w:rsidR="00C4194F">
        <w:t xml:space="preserve">efficiency, especially when the number of RRC-configured </w:t>
      </w:r>
      <w:r w:rsidR="00C4194F" w:rsidRPr="005E0AB3">
        <w:t>candidate cells for L1-RSRP measurement</w:t>
      </w:r>
      <w:r w:rsidR="00C4194F">
        <w:t xml:space="preserve"> is large</w:t>
      </w:r>
      <w:r w:rsidR="00C4194F" w:rsidRPr="000B32AE">
        <w:t xml:space="preserve">.   </w:t>
      </w:r>
    </w:p>
    <w:p w14:paraId="5AE926EE" w14:textId="77777777" w:rsidR="00C4194F" w:rsidRDefault="00C4194F" w:rsidP="00C4194F">
      <w:pPr>
        <w:pStyle w:val="title2"/>
        <w:rPr>
          <w:rFonts w:eastAsiaTheme="minorEastAsia"/>
        </w:rPr>
      </w:pPr>
      <w:r>
        <w:rPr>
          <w:rFonts w:eastAsiaTheme="minorEastAsia"/>
        </w:rPr>
        <w:t>Priority of reports</w:t>
      </w:r>
    </w:p>
    <w:p w14:paraId="3D875213" w14:textId="1F45B9B2" w:rsidR="00C4194F" w:rsidRDefault="00C4194F" w:rsidP="00C4194F">
      <w:pPr>
        <w:rPr>
          <w:rFonts w:eastAsiaTheme="minorEastAsia"/>
          <w:lang w:eastAsia="zh-CN"/>
        </w:rPr>
      </w:pPr>
      <w:r>
        <w:rPr>
          <w:rFonts w:eastAsiaTheme="minorEastAsia"/>
          <w:lang w:eastAsia="zh-CN"/>
        </w:rPr>
        <w:t>According to the agreement achieved in the previous meetings, LTM report is only reported on UCI. Based on the discussion on RRC parameters for LTM, there are two alternatives for LTM report configuration, where</w:t>
      </w:r>
      <w:r w:rsidR="00AC70C9">
        <w:rPr>
          <w:rFonts w:eastAsiaTheme="minorEastAsia"/>
          <w:lang w:eastAsia="zh-CN"/>
        </w:rPr>
        <w:t xml:space="preserve"> </w:t>
      </w:r>
      <w:r w:rsidR="00AC70C9">
        <w:rPr>
          <w:rFonts w:eastAsiaTheme="minorEastAsia" w:hint="eastAsia"/>
          <w:lang w:eastAsia="zh-CN"/>
        </w:rPr>
        <w:t>in</w:t>
      </w:r>
      <w:r>
        <w:rPr>
          <w:rFonts w:eastAsiaTheme="minorEastAsia"/>
          <w:lang w:eastAsia="zh-CN"/>
        </w:rPr>
        <w:t xml:space="preserve"> Alt-2 </w:t>
      </w:r>
      <w:r w:rsidR="00AC70C9">
        <w:rPr>
          <w:rFonts w:eastAsiaTheme="minorEastAsia"/>
          <w:lang w:eastAsia="zh-CN"/>
        </w:rPr>
        <w:t>the</w:t>
      </w:r>
      <w:r>
        <w:rPr>
          <w:rFonts w:eastAsiaTheme="minorEastAsia"/>
          <w:lang w:eastAsia="zh-CN"/>
        </w:rPr>
        <w:t xml:space="preserve"> LTM report configuration is separate from the legacy CSI report configuration. If Alt-2 is adopted</w:t>
      </w:r>
      <w:r>
        <w:rPr>
          <w:rFonts w:eastAsiaTheme="minorEastAsia" w:hint="eastAsia"/>
          <w:lang w:eastAsia="zh-CN"/>
        </w:rPr>
        <w:t>,</w:t>
      </w:r>
      <w:r>
        <w:rPr>
          <w:rFonts w:eastAsiaTheme="minorEastAsia"/>
          <w:lang w:eastAsia="zh-CN"/>
        </w:rPr>
        <w:t xml:space="preserve"> legacy priority rules for CSI reports cannot apply to LTM. To solve this issue, an additional factor </w:t>
      </w:r>
      <w:r w:rsidRPr="00B42D8F">
        <w:rPr>
          <w:rFonts w:eastAsiaTheme="minorEastAsia"/>
          <w:position w:val="-6"/>
          <w:lang w:eastAsia="zh-CN"/>
        </w:rPr>
        <w:object w:dxaOrig="139" w:dyaOrig="279" w14:anchorId="4F39F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14.25pt" o:ole="">
            <v:imagedata r:id="rId11" o:title=""/>
          </v:shape>
          <o:OLEObject Type="Embed" ProgID="Equation.DSMT4" ShapeID="_x0000_i1025" DrawAspect="Content" ObjectID="_1757424252" r:id="rId12"/>
        </w:object>
      </w:r>
      <w:r>
        <w:rPr>
          <w:rFonts w:eastAsiaTheme="minorEastAsia"/>
          <w:lang w:eastAsia="zh-CN"/>
        </w:rPr>
        <w:t xml:space="preserve">can be introduced in the legacy priority formula for CSI </w:t>
      </w:r>
      <w:r>
        <w:rPr>
          <w:rFonts w:eastAsiaTheme="minorEastAsia" w:hint="eastAsia"/>
          <w:lang w:eastAsia="zh-CN"/>
        </w:rPr>
        <w:t>repor</w:t>
      </w:r>
      <w:r>
        <w:rPr>
          <w:rFonts w:eastAsiaTheme="minorEastAsia"/>
          <w:lang w:eastAsia="zh-CN"/>
        </w:rPr>
        <w:t>ts as follows:</w:t>
      </w:r>
    </w:p>
    <w:p w14:paraId="0B648609" w14:textId="77777777" w:rsidR="00C4194F" w:rsidRDefault="00C4194F" w:rsidP="00C4194F">
      <w:pPr>
        <w:jc w:val="center"/>
      </w:pPr>
      <w:r w:rsidRPr="0012534B">
        <w:rPr>
          <w:position w:val="-12"/>
        </w:rPr>
        <w:object w:dxaOrig="7200" w:dyaOrig="360" w14:anchorId="7E34D53A">
          <v:shape id="_x0000_i1026" type="#_x0000_t75" style="width:344.95pt;height:16.75pt" o:ole="">
            <v:imagedata r:id="rId13" o:title=""/>
          </v:shape>
          <o:OLEObject Type="Embed" ProgID="Equation.DSMT4" ShapeID="_x0000_i1026" DrawAspect="Content" ObjectID="_1757424253" r:id="rId14"/>
        </w:object>
      </w:r>
    </w:p>
    <w:p w14:paraId="2A76C6A9" w14:textId="77777777" w:rsidR="00C4194F" w:rsidRDefault="00C4194F" w:rsidP="00C4194F">
      <w:pPr>
        <w:rPr>
          <w:rFonts w:eastAsiaTheme="minorEastAsia"/>
          <w:lang w:eastAsia="zh-CN"/>
        </w:rPr>
      </w:pPr>
      <w:r>
        <w:rPr>
          <w:rFonts w:eastAsiaTheme="minorEastAsia"/>
          <w:lang w:eastAsia="zh-CN"/>
        </w:rPr>
        <w:t xml:space="preserve">The enhanced priority formula is applicable for LTM report </w:t>
      </w:r>
      <w:r>
        <w:rPr>
          <w:rFonts w:eastAsiaTheme="minorEastAsia" w:hint="eastAsia"/>
          <w:lang w:eastAsia="zh-CN"/>
        </w:rPr>
        <w:t>and</w:t>
      </w:r>
      <w:r>
        <w:rPr>
          <w:rFonts w:eastAsiaTheme="minorEastAsia"/>
          <w:lang w:eastAsia="zh-CN"/>
        </w:rPr>
        <w:t xml:space="preserve"> CSI </w:t>
      </w:r>
      <w:r>
        <w:rPr>
          <w:rFonts w:eastAsiaTheme="minorEastAsia" w:hint="eastAsia"/>
          <w:lang w:eastAsia="zh-CN"/>
        </w:rPr>
        <w:t>report</w:t>
      </w:r>
      <w:r>
        <w:rPr>
          <w:rFonts w:eastAsiaTheme="minorEastAsia"/>
          <w:lang w:eastAsia="zh-CN"/>
        </w:rPr>
        <w:t xml:space="preserve">. A report with higher priority value calculated by the enhanced priority formula has lower priority. To improve flexibility, the value of </w:t>
      </w:r>
      <w:r w:rsidRPr="00414A58">
        <w:rPr>
          <w:rFonts w:eastAsiaTheme="minorEastAsia"/>
          <w:position w:val="-6"/>
          <w:lang w:eastAsia="zh-CN"/>
        </w:rPr>
        <w:object w:dxaOrig="139" w:dyaOrig="279" w14:anchorId="4BE508C2">
          <v:shape id="_x0000_i1027" type="#_x0000_t75" style="width:6.7pt;height:14.25pt" o:ole="">
            <v:imagedata r:id="rId11" o:title=""/>
          </v:shape>
          <o:OLEObject Type="Embed" ProgID="Equation.DSMT4" ShapeID="_x0000_i1027" DrawAspect="Content" ObjectID="_1757424254" r:id="rId15"/>
        </w:object>
      </w:r>
      <w:r>
        <w:rPr>
          <w:rFonts w:eastAsiaTheme="minorEastAsia"/>
          <w:lang w:eastAsia="zh-CN"/>
        </w:rPr>
        <w:t xml:space="preserve">is determined by the network. For example, </w:t>
      </w:r>
      <w:r>
        <w:rPr>
          <w:rFonts w:eastAsiaTheme="minorEastAsia" w:hint="eastAsia"/>
          <w:lang w:eastAsia="zh-CN"/>
        </w:rPr>
        <w:t>right</w:t>
      </w:r>
      <w:r>
        <w:rPr>
          <w:rFonts w:eastAsiaTheme="minorEastAsia"/>
          <w:lang w:eastAsia="zh-CN"/>
        </w:rPr>
        <w:t xml:space="preserve"> before handover, UE will receive an indication or RRC-reconfiguration parameter to inform that LTM reports have higher priority than CSI reports. In this case, </w:t>
      </w:r>
      <w:r w:rsidRPr="00414A58">
        <w:rPr>
          <w:rFonts w:eastAsiaTheme="minorEastAsia"/>
          <w:position w:val="-6"/>
          <w:lang w:eastAsia="zh-CN"/>
        </w:rPr>
        <w:object w:dxaOrig="420" w:dyaOrig="279" w14:anchorId="2C8DC987">
          <v:shape id="_x0000_i1028" type="#_x0000_t75" style="width:20.95pt;height:14.25pt" o:ole="">
            <v:imagedata r:id="rId16" o:title=""/>
          </v:shape>
          <o:OLEObject Type="Embed" ProgID="Equation.DSMT4" ShapeID="_x0000_i1028" DrawAspect="Content" ObjectID="_1757424255" r:id="rId17"/>
        </w:object>
      </w:r>
      <w:r>
        <w:rPr>
          <w:rFonts w:eastAsiaTheme="minorEastAsia"/>
          <w:lang w:eastAsia="zh-CN"/>
        </w:rPr>
        <w:t xml:space="preserve">for LTM </w:t>
      </w:r>
      <w:r>
        <w:rPr>
          <w:rFonts w:eastAsiaTheme="minorEastAsia" w:hint="eastAsia"/>
          <w:lang w:eastAsia="zh-CN"/>
        </w:rPr>
        <w:t>reports</w:t>
      </w:r>
      <w:r>
        <w:rPr>
          <w:rFonts w:eastAsiaTheme="minorEastAsia"/>
          <w:lang w:eastAsia="zh-CN"/>
        </w:rPr>
        <w:t xml:space="preserve">, and </w:t>
      </w:r>
      <w:r w:rsidRPr="00414A58">
        <w:rPr>
          <w:rFonts w:eastAsiaTheme="minorEastAsia"/>
          <w:position w:val="-6"/>
          <w:lang w:eastAsia="zh-CN"/>
        </w:rPr>
        <w:object w:dxaOrig="380" w:dyaOrig="279" w14:anchorId="56790BB8">
          <v:shape id="_x0000_i1029" type="#_x0000_t75" style="width:18.4pt;height:14.25pt" o:ole="">
            <v:imagedata r:id="rId18" o:title=""/>
          </v:shape>
          <o:OLEObject Type="Embed" ProgID="Equation.DSMT4" ShapeID="_x0000_i1029" DrawAspect="Content" ObjectID="_1757424256" r:id="rId19"/>
        </w:object>
      </w:r>
      <w:r>
        <w:rPr>
          <w:rFonts w:eastAsiaTheme="minorEastAsia"/>
          <w:lang w:eastAsia="zh-CN"/>
        </w:rPr>
        <w:t xml:space="preserve"> for CSI reports. If no handover is expected, an indication or RRC-reconfiguration parameter to inform that CSI reports have higher priority than LTM reports. Thus, </w:t>
      </w:r>
      <w:r w:rsidRPr="00414A58">
        <w:rPr>
          <w:rFonts w:eastAsiaTheme="minorEastAsia"/>
          <w:position w:val="-6"/>
          <w:lang w:eastAsia="zh-CN"/>
        </w:rPr>
        <w:object w:dxaOrig="380" w:dyaOrig="279" w14:anchorId="7CC37D36">
          <v:shape id="_x0000_i1030" type="#_x0000_t75" style="width:18.4pt;height:14.25pt" o:ole="">
            <v:imagedata r:id="rId20" o:title=""/>
          </v:shape>
          <o:OLEObject Type="Embed" ProgID="Equation.DSMT4" ShapeID="_x0000_i1030" DrawAspect="Content" ObjectID="_1757424257" r:id="rId21"/>
        </w:object>
      </w:r>
      <w:r>
        <w:rPr>
          <w:rFonts w:eastAsiaTheme="minorEastAsia"/>
          <w:lang w:eastAsia="zh-CN"/>
        </w:rPr>
        <w:t xml:space="preserve">for LTM </w:t>
      </w:r>
      <w:r>
        <w:rPr>
          <w:rFonts w:eastAsiaTheme="minorEastAsia" w:hint="eastAsia"/>
          <w:lang w:eastAsia="zh-CN"/>
        </w:rPr>
        <w:t>reports</w:t>
      </w:r>
      <w:r>
        <w:rPr>
          <w:rFonts w:eastAsiaTheme="minorEastAsia"/>
          <w:lang w:eastAsia="zh-CN"/>
        </w:rPr>
        <w:t xml:space="preserve">, and </w:t>
      </w:r>
      <w:r w:rsidRPr="00414A58">
        <w:rPr>
          <w:rFonts w:eastAsiaTheme="minorEastAsia"/>
          <w:position w:val="-6"/>
          <w:lang w:eastAsia="zh-CN"/>
        </w:rPr>
        <w:object w:dxaOrig="400" w:dyaOrig="279" w14:anchorId="72A78BFB">
          <v:shape id="_x0000_i1031" type="#_x0000_t75" style="width:20.95pt;height:14.25pt" o:ole="">
            <v:imagedata r:id="rId22" o:title=""/>
          </v:shape>
          <o:OLEObject Type="Embed" ProgID="Equation.DSMT4" ShapeID="_x0000_i1031" DrawAspect="Content" ObjectID="_1757424258" r:id="rId23"/>
        </w:object>
      </w:r>
      <w:r>
        <w:rPr>
          <w:rFonts w:eastAsiaTheme="minorEastAsia"/>
          <w:lang w:eastAsia="zh-CN"/>
        </w:rPr>
        <w:t xml:space="preserve"> for CSI reports. Besides factor </w:t>
      </w:r>
      <w:r w:rsidRPr="00414A58">
        <w:rPr>
          <w:rFonts w:eastAsiaTheme="minorEastAsia"/>
          <w:position w:val="-6"/>
          <w:lang w:eastAsia="zh-CN"/>
        </w:rPr>
        <w:object w:dxaOrig="139" w:dyaOrig="279" w14:anchorId="20B216B2">
          <v:shape id="_x0000_i1032" type="#_x0000_t75" style="width:6.7pt;height:14.25pt" o:ole="">
            <v:imagedata r:id="rId11" o:title=""/>
          </v:shape>
          <o:OLEObject Type="Embed" ProgID="Equation.DSMT4" ShapeID="_x0000_i1032" DrawAspect="Content" ObjectID="_1757424259" r:id="rId24"/>
        </w:object>
      </w:r>
      <w:r>
        <w:rPr>
          <w:rFonts w:eastAsiaTheme="minorEastAsia"/>
          <w:lang w:eastAsia="zh-CN"/>
        </w:rPr>
        <w:t>, other factors involved in the enhanced priority formula are interpreted as follows:</w:t>
      </w:r>
    </w:p>
    <w:p w14:paraId="29B00E7F" w14:textId="77777777" w:rsidR="00C4194F" w:rsidRPr="00B42D8F" w:rsidRDefault="00C4194F" w:rsidP="00C4194F">
      <w:pPr>
        <w:pStyle w:val="af2"/>
        <w:numPr>
          <w:ilvl w:val="0"/>
          <w:numId w:val="83"/>
        </w:numPr>
        <w:ind w:left="442" w:firstLineChars="0" w:hanging="442"/>
        <w:rPr>
          <w:rFonts w:eastAsiaTheme="minorEastAsia"/>
          <w:szCs w:val="20"/>
        </w:rPr>
      </w:pPr>
      <w:r w:rsidRPr="000B32AE">
        <w:rPr>
          <w:rFonts w:ascii="Times New Roman" w:hAnsi="Times New Roman"/>
          <w:sz w:val="20"/>
          <w:szCs w:val="20"/>
        </w:rPr>
        <w:t xml:space="preserve">y=0 </w:t>
      </w:r>
      <w:r w:rsidRPr="000B32AE">
        <w:rPr>
          <w:rFonts w:ascii="Times New Roman" w:eastAsiaTheme="minorEastAsia" w:hAnsi="Times New Roman"/>
          <w:sz w:val="20"/>
          <w:szCs w:val="20"/>
        </w:rPr>
        <w:t>for aperiodic CSI/LTM reports to be carried on PUSCH, y=1 for semi-persistent CSI/LTM reports to be carried on PUSCH, y=2 for semi-persistent CSI/LTM reports to be carried on PUCCH and y=3 for periodic CSI/LTM reports to be carried on PUCCH;</w:t>
      </w:r>
    </w:p>
    <w:p w14:paraId="6228F474" w14:textId="77777777" w:rsidR="00C4194F" w:rsidRPr="00B42D8F" w:rsidRDefault="00C4194F" w:rsidP="00C4194F">
      <w:pPr>
        <w:pStyle w:val="af2"/>
        <w:numPr>
          <w:ilvl w:val="0"/>
          <w:numId w:val="83"/>
        </w:numPr>
        <w:ind w:left="442" w:firstLineChars="0" w:hanging="442"/>
        <w:rPr>
          <w:rFonts w:eastAsiaTheme="minorEastAsia"/>
          <w:szCs w:val="20"/>
        </w:rPr>
      </w:pPr>
      <w:r w:rsidRPr="000B32AE">
        <w:rPr>
          <w:rFonts w:ascii="Times New Roman" w:eastAsiaTheme="minorEastAsia" w:hAnsi="Times New Roman"/>
          <w:sz w:val="20"/>
          <w:szCs w:val="20"/>
        </w:rPr>
        <w:t>k=0 for CSI/LTM reports carrying L1-RSRP or L1-SINR and k=1 for CSI reports not carrying L1-RSRP or L1-SINR;</w:t>
      </w:r>
    </w:p>
    <w:p w14:paraId="5836E992" w14:textId="77777777" w:rsidR="00C4194F" w:rsidRPr="00B42D8F" w:rsidRDefault="00C4194F" w:rsidP="00C4194F">
      <w:pPr>
        <w:pStyle w:val="af2"/>
        <w:numPr>
          <w:ilvl w:val="0"/>
          <w:numId w:val="83"/>
        </w:numPr>
        <w:ind w:left="442" w:firstLineChars="0" w:hanging="442"/>
        <w:rPr>
          <w:rFonts w:eastAsiaTheme="minorEastAsia"/>
          <w:szCs w:val="20"/>
        </w:rPr>
      </w:pPr>
      <w:r w:rsidRPr="000B32AE">
        <w:rPr>
          <w:rFonts w:ascii="Times New Roman" w:eastAsiaTheme="minorEastAsia" w:hAnsi="Times New Roman"/>
          <w:sz w:val="20"/>
          <w:szCs w:val="20"/>
        </w:rPr>
        <w:t xml:space="preserve">c is the serving cell index and </w:t>
      </w:r>
      <w:r w:rsidRPr="00B42D8F">
        <w:rPr>
          <w:rFonts w:ascii="Times New Roman" w:hAnsi="Times New Roman"/>
          <w:position w:val="-12"/>
          <w:sz w:val="20"/>
          <w:szCs w:val="20"/>
        </w:rPr>
        <w:object w:dxaOrig="520" w:dyaOrig="360" w14:anchorId="6B1D5D8A">
          <v:shape id="_x0000_i1033" type="#_x0000_t75" style="width:25.95pt;height:18.4pt" o:ole="">
            <v:imagedata r:id="rId25" o:title=""/>
          </v:shape>
          <o:OLEObject Type="Embed" ProgID="Equation.DSMT4" ShapeID="_x0000_i1033" DrawAspect="Content" ObjectID="_1757424260" r:id="rId26"/>
        </w:object>
      </w:r>
      <w:r w:rsidRPr="000B32AE">
        <w:rPr>
          <w:rFonts w:ascii="Times New Roman" w:eastAsiaTheme="minorEastAsia" w:hAnsi="Times New Roman"/>
          <w:sz w:val="20"/>
          <w:szCs w:val="20"/>
        </w:rPr>
        <w:t xml:space="preserve"> is the value of the higher layer parameter </w:t>
      </w:r>
      <w:r w:rsidRPr="000B32AE">
        <w:rPr>
          <w:rFonts w:ascii="Times New Roman" w:eastAsiaTheme="minorEastAsia" w:hAnsi="Times New Roman"/>
          <w:i/>
          <w:iCs/>
          <w:sz w:val="20"/>
          <w:szCs w:val="20"/>
        </w:rPr>
        <w:t>maxNrofServingCells</w:t>
      </w:r>
      <w:r w:rsidRPr="000B32AE">
        <w:rPr>
          <w:rFonts w:ascii="Times New Roman" w:eastAsiaTheme="minorEastAsia" w:hAnsi="Times New Roman"/>
          <w:sz w:val="20"/>
          <w:szCs w:val="20"/>
        </w:rPr>
        <w:t>;</w:t>
      </w:r>
    </w:p>
    <w:p w14:paraId="4DAB614D" w14:textId="77777777" w:rsidR="00C4194F" w:rsidRPr="006F4FB7" w:rsidRDefault="00C4194F" w:rsidP="00C4194F">
      <w:pPr>
        <w:pStyle w:val="af2"/>
        <w:numPr>
          <w:ilvl w:val="0"/>
          <w:numId w:val="83"/>
        </w:numPr>
        <w:ind w:left="442" w:firstLineChars="0" w:hanging="442"/>
        <w:rPr>
          <w:rFonts w:ascii="Times New Roman" w:eastAsiaTheme="minorEastAsia" w:hAnsi="Times New Roman"/>
          <w:sz w:val="20"/>
          <w:szCs w:val="20"/>
        </w:rPr>
      </w:pPr>
      <w:r w:rsidRPr="000B32AE">
        <w:rPr>
          <w:rFonts w:ascii="Times New Roman" w:eastAsiaTheme="minorEastAsia" w:hAnsi="Times New Roman"/>
          <w:sz w:val="20"/>
          <w:szCs w:val="20"/>
        </w:rPr>
        <w:t xml:space="preserve">s is the </w:t>
      </w:r>
      <w:proofErr w:type="spellStart"/>
      <w:r w:rsidRPr="000B32AE">
        <w:rPr>
          <w:rFonts w:ascii="Times New Roman" w:eastAsiaTheme="minorEastAsia" w:hAnsi="Times New Roman"/>
          <w:i/>
          <w:iCs/>
          <w:sz w:val="20"/>
          <w:szCs w:val="20"/>
        </w:rPr>
        <w:t>reportConfigID</w:t>
      </w:r>
      <w:proofErr w:type="spellEnd"/>
      <w:r w:rsidRPr="000B32AE">
        <w:rPr>
          <w:rFonts w:ascii="Times New Roman" w:eastAsiaTheme="minorEastAsia" w:hAnsi="Times New Roman"/>
          <w:sz w:val="20"/>
          <w:szCs w:val="20"/>
        </w:rPr>
        <w:t xml:space="preserve"> and </w:t>
      </w:r>
      <w:r w:rsidRPr="00B42D8F">
        <w:rPr>
          <w:rFonts w:ascii="Times New Roman" w:hAnsi="Times New Roman"/>
          <w:position w:val="-12"/>
          <w:sz w:val="20"/>
          <w:szCs w:val="20"/>
        </w:rPr>
        <w:object w:dxaOrig="360" w:dyaOrig="360" w14:anchorId="609A5DC8">
          <v:shape id="_x0000_i1034" type="#_x0000_t75" style="width:18.4pt;height:18.4pt" o:ole="">
            <v:imagedata r:id="rId27" o:title=""/>
          </v:shape>
          <o:OLEObject Type="Embed" ProgID="Equation.DSMT4" ShapeID="_x0000_i1034" DrawAspect="Content" ObjectID="_1757424261" r:id="rId28"/>
        </w:object>
      </w:r>
      <w:r w:rsidRPr="000B32AE">
        <w:rPr>
          <w:rFonts w:ascii="Times New Roman" w:eastAsiaTheme="minorEastAsia" w:hAnsi="Times New Roman"/>
          <w:sz w:val="20"/>
          <w:szCs w:val="20"/>
        </w:rPr>
        <w:t xml:space="preserve">is the value of the higher layer parameter </w:t>
      </w:r>
      <w:r w:rsidRPr="000B32AE">
        <w:rPr>
          <w:rFonts w:ascii="Times New Roman" w:eastAsiaTheme="minorEastAsia" w:hAnsi="Times New Roman"/>
          <w:i/>
          <w:iCs/>
          <w:sz w:val="20"/>
          <w:szCs w:val="20"/>
        </w:rPr>
        <w:t>maxNrofCSI-ReportConfigurations</w:t>
      </w:r>
      <w:r w:rsidRPr="000B32AE">
        <w:rPr>
          <w:rFonts w:ascii="Times New Roman" w:eastAsiaTheme="minorEastAsia" w:hAnsi="Times New Roman"/>
          <w:sz w:val="20"/>
          <w:szCs w:val="20"/>
        </w:rPr>
        <w:t xml:space="preserve"> when the report is a CSI report, or is the value of the </w:t>
      </w:r>
      <w:r>
        <w:rPr>
          <w:rFonts w:ascii="Times New Roman" w:eastAsiaTheme="minorEastAsia" w:hAnsi="Times New Roman"/>
          <w:sz w:val="20"/>
          <w:szCs w:val="20"/>
        </w:rPr>
        <w:t xml:space="preserve">maximum number of configured </w:t>
      </w:r>
      <w:r w:rsidRPr="004C4286">
        <w:rPr>
          <w:rFonts w:ascii="Times New Roman" w:eastAsiaTheme="minorEastAsia" w:hAnsi="Times New Roman"/>
          <w:i/>
          <w:iCs/>
          <w:sz w:val="20"/>
          <w:szCs w:val="20"/>
        </w:rPr>
        <w:t>LTM-ReportConfig</w:t>
      </w:r>
      <w:r>
        <w:rPr>
          <w:rFonts w:ascii="Times New Roman" w:eastAsiaTheme="minorEastAsia" w:hAnsi="Times New Roman"/>
          <w:sz w:val="20"/>
          <w:szCs w:val="20"/>
        </w:rPr>
        <w:t xml:space="preserve"> </w:t>
      </w:r>
      <w:r w:rsidRPr="000B32AE">
        <w:rPr>
          <w:rFonts w:ascii="Times New Roman" w:eastAsiaTheme="minorEastAsia" w:hAnsi="Times New Roman"/>
          <w:sz w:val="20"/>
          <w:szCs w:val="20"/>
        </w:rPr>
        <w:t>when the report is a LTM report.</w:t>
      </w:r>
    </w:p>
    <w:p w14:paraId="42C0A9F4" w14:textId="77777777" w:rsidR="00C4194F" w:rsidRPr="006F4FB7" w:rsidRDefault="00C4194F" w:rsidP="00C4194F">
      <w:pPr>
        <w:rPr>
          <w:rFonts w:eastAsiaTheme="minorEastAsia"/>
          <w:szCs w:val="20"/>
          <w:lang w:val="en-GB"/>
        </w:rPr>
      </w:pPr>
      <w:r w:rsidRPr="006F4FB7">
        <w:rPr>
          <w:rFonts w:eastAsiaTheme="minorEastAsia"/>
          <w:szCs w:val="20"/>
          <w:lang w:val="en-GB"/>
        </w:rPr>
        <w:t xml:space="preserve">When a UE is configured to transmit two colliding reports, </w:t>
      </w:r>
      <w:r>
        <w:rPr>
          <w:rFonts w:eastAsiaTheme="minorEastAsia"/>
          <w:szCs w:val="20"/>
          <w:lang w:val="en-GB"/>
        </w:rPr>
        <w:t xml:space="preserve">including </w:t>
      </w:r>
      <w:r w:rsidRPr="005E0AB3">
        <w:rPr>
          <w:rFonts w:eastAsiaTheme="minorEastAsia"/>
          <w:szCs w:val="20"/>
          <w:lang w:val="en-GB"/>
        </w:rPr>
        <w:t xml:space="preserve">LTM report and LTM report, </w:t>
      </w:r>
      <w:r>
        <w:rPr>
          <w:rFonts w:eastAsiaTheme="minorEastAsia"/>
          <w:szCs w:val="20"/>
          <w:lang w:val="en-GB"/>
        </w:rPr>
        <w:t xml:space="preserve">or </w:t>
      </w:r>
      <w:r w:rsidRPr="005E0AB3">
        <w:rPr>
          <w:rFonts w:eastAsiaTheme="minorEastAsia"/>
          <w:szCs w:val="20"/>
          <w:lang w:val="en-GB"/>
        </w:rPr>
        <w:t xml:space="preserve">CSI report and LTM report, </w:t>
      </w:r>
      <w:r>
        <w:rPr>
          <w:rFonts w:eastAsiaTheme="minorEastAsia"/>
          <w:szCs w:val="20"/>
          <w:lang w:val="en-GB"/>
        </w:rPr>
        <w:t xml:space="preserve">or </w:t>
      </w:r>
      <w:r w:rsidRPr="005E0AB3">
        <w:rPr>
          <w:rFonts w:eastAsiaTheme="minorEastAsia"/>
          <w:szCs w:val="20"/>
          <w:lang w:val="en-GB"/>
        </w:rPr>
        <w:t>CSI report and CSI report</w:t>
      </w:r>
      <w:r>
        <w:rPr>
          <w:rFonts w:eastAsiaTheme="minorEastAsia"/>
          <w:szCs w:val="20"/>
          <w:lang w:val="en-GB"/>
        </w:rPr>
        <w:t>,</w:t>
      </w:r>
      <w:r w:rsidRPr="005E0AB3">
        <w:rPr>
          <w:rFonts w:eastAsiaTheme="minorEastAsia"/>
          <w:szCs w:val="20"/>
          <w:lang w:val="en-GB"/>
        </w:rPr>
        <w:t xml:space="preserve"> </w:t>
      </w:r>
      <w:r>
        <w:rPr>
          <w:rFonts w:eastAsiaTheme="minorEastAsia"/>
          <w:szCs w:val="20"/>
          <w:lang w:val="en-GB"/>
        </w:rPr>
        <w:t>the legacy transmission strategy could be reused as follows:</w:t>
      </w:r>
    </w:p>
    <w:p w14:paraId="7444CD74" w14:textId="77777777" w:rsidR="00C4194F" w:rsidRPr="000B32AE" w:rsidRDefault="00C4194F" w:rsidP="00C4194F">
      <w:pPr>
        <w:pStyle w:val="af2"/>
        <w:numPr>
          <w:ilvl w:val="0"/>
          <w:numId w:val="83"/>
        </w:numPr>
        <w:ind w:firstLineChars="0"/>
        <w:rPr>
          <w:position w:val="-10"/>
          <w:szCs w:val="20"/>
        </w:rPr>
      </w:pPr>
      <w:r>
        <w:rPr>
          <w:rFonts w:ascii="Times New Roman" w:hAnsi="Times New Roman"/>
          <w:position w:val="-10"/>
          <w:sz w:val="20"/>
          <w:szCs w:val="20"/>
        </w:rPr>
        <w:t>I</w:t>
      </w:r>
      <w:r w:rsidRPr="000B32AE">
        <w:rPr>
          <w:rFonts w:ascii="Times New Roman" w:hAnsi="Times New Roman"/>
          <w:position w:val="-10"/>
          <w:sz w:val="20"/>
          <w:szCs w:val="20"/>
        </w:rPr>
        <w:t xml:space="preserve">f y values are different between the two reports, the following rules apply except for the case when one of the y value is 2 and the other y value is 3: </w:t>
      </w:r>
    </w:p>
    <w:p w14:paraId="0E8AD6DA" w14:textId="77777777" w:rsidR="00C4194F" w:rsidRPr="000B32AE" w:rsidRDefault="00C4194F" w:rsidP="00C4194F">
      <w:pPr>
        <w:pStyle w:val="af2"/>
        <w:numPr>
          <w:ilvl w:val="1"/>
          <w:numId w:val="83"/>
        </w:numPr>
        <w:ind w:firstLineChars="0"/>
        <w:rPr>
          <w:position w:val="-10"/>
          <w:szCs w:val="20"/>
        </w:rPr>
      </w:pPr>
      <w:r w:rsidRPr="000B32AE">
        <w:rPr>
          <w:rFonts w:ascii="Times New Roman" w:hAnsi="Times New Roman"/>
          <w:position w:val="-10"/>
          <w:sz w:val="20"/>
          <w:szCs w:val="20"/>
        </w:rPr>
        <w:t>The report with higher value shall not be sent by the UE.</w:t>
      </w:r>
    </w:p>
    <w:p w14:paraId="7F611879" w14:textId="77777777" w:rsidR="00C4194F" w:rsidRPr="000B32AE" w:rsidRDefault="00C4194F" w:rsidP="00C4194F">
      <w:pPr>
        <w:pStyle w:val="af2"/>
        <w:numPr>
          <w:ilvl w:val="0"/>
          <w:numId w:val="83"/>
        </w:numPr>
        <w:ind w:firstLineChars="0"/>
        <w:rPr>
          <w:rFonts w:ascii="Times New Roman" w:hAnsi="Times New Roman"/>
          <w:position w:val="-10"/>
          <w:sz w:val="20"/>
          <w:szCs w:val="20"/>
        </w:rPr>
      </w:pPr>
      <w:r>
        <w:rPr>
          <w:rFonts w:ascii="Times New Roman" w:hAnsi="Times New Roman"/>
          <w:position w:val="-10"/>
          <w:sz w:val="20"/>
          <w:szCs w:val="20"/>
        </w:rPr>
        <w:t>O</w:t>
      </w:r>
      <w:r w:rsidRPr="000B32AE">
        <w:rPr>
          <w:rFonts w:ascii="Times New Roman" w:hAnsi="Times New Roman"/>
          <w:position w:val="-10"/>
          <w:sz w:val="20"/>
          <w:szCs w:val="20"/>
        </w:rPr>
        <w:t>therwise, the two reports are multiplexed or either is dropped based on the priority values.</w:t>
      </w:r>
    </w:p>
    <w:p w14:paraId="4AF4CB66" w14:textId="261A158B" w:rsidR="00C4194F" w:rsidRPr="006F4FB7" w:rsidRDefault="00C4194F" w:rsidP="00C4194F">
      <w:pPr>
        <w:pStyle w:val="proposal"/>
        <w:spacing w:before="120" w:after="120"/>
        <w:ind w:left="1021" w:hanging="1021"/>
        <w:rPr>
          <w:rFonts w:eastAsiaTheme="minorEastAsia"/>
        </w:rPr>
      </w:pPr>
      <w:r>
        <w:t xml:space="preserve">If LTM report configuration is separate from CSI report configuration, </w:t>
      </w:r>
      <w:r w:rsidRPr="006F4FB7">
        <w:t xml:space="preserve">introduce </w:t>
      </w:r>
      <w:r>
        <w:t xml:space="preserve">an </w:t>
      </w:r>
      <w:r w:rsidRPr="006F4FB7">
        <w:t>additional factor to the legacy CSI report priority formula to</w:t>
      </w:r>
      <w:r>
        <w:t xml:space="preserve"> indicate whether LTM </w:t>
      </w:r>
      <w:r>
        <w:rPr>
          <w:rFonts w:hint="eastAsia"/>
        </w:rPr>
        <w:t>report</w:t>
      </w:r>
      <w:r>
        <w:t xml:space="preserve">s </w:t>
      </w:r>
      <w:r>
        <w:rPr>
          <w:rFonts w:hint="eastAsia"/>
        </w:rPr>
        <w:t>have</w:t>
      </w:r>
      <w:r>
        <w:t xml:space="preserve"> </w:t>
      </w:r>
      <w:r>
        <w:rPr>
          <w:rFonts w:hint="eastAsia"/>
        </w:rPr>
        <w:t>higher</w:t>
      </w:r>
      <w:r>
        <w:t xml:space="preserve"> priority than CSI reports</w:t>
      </w:r>
      <w:r w:rsidRPr="006F4FB7">
        <w:t>,</w:t>
      </w:r>
      <w:r>
        <w:t xml:space="preserve"> and the value of the additional factor is up to network configuration or indication. </w:t>
      </w:r>
      <w:r w:rsidR="00CD16DF">
        <w:t xml:space="preserve"> </w:t>
      </w:r>
    </w:p>
    <w:p w14:paraId="2C2BE232" w14:textId="77777777" w:rsidR="00C4194F" w:rsidRDefault="00C4194F" w:rsidP="00C4194F">
      <w:pPr>
        <w:pStyle w:val="title1"/>
        <w:rPr>
          <w:lang w:val="en-GB"/>
        </w:rPr>
      </w:pPr>
      <w:r>
        <w:rPr>
          <w:lang w:val="en-GB"/>
        </w:rPr>
        <w:t xml:space="preserve">Beam indication </w:t>
      </w:r>
    </w:p>
    <w:p w14:paraId="2A915F59" w14:textId="71AA8E24" w:rsidR="00C4194F" w:rsidRDefault="00C4194F" w:rsidP="00C4194F">
      <w:pPr>
        <w:spacing w:beforeLines="50" w:before="120"/>
        <w:rPr>
          <w:rFonts w:eastAsiaTheme="minorEastAsia"/>
          <w:lang w:val="en-GB" w:eastAsia="zh-CN"/>
        </w:rPr>
      </w:pPr>
      <w:r>
        <w:rPr>
          <w:rFonts w:eastAsiaTheme="minorEastAsia"/>
          <w:lang w:val="en-GB" w:eastAsia="zh-CN"/>
        </w:rPr>
        <w:t xml:space="preserve">In the last two meetings, agreements relevant to the beam indication were achieved as listed below </w:t>
      </w:r>
      <w:r>
        <w:rPr>
          <w:rFonts w:eastAsiaTheme="minorEastAsia" w:hint="eastAsia"/>
          <w:lang w:val="en-GB" w:eastAsia="zh-CN"/>
        </w:rPr>
        <w:t>[</w:t>
      </w:r>
      <w:r w:rsidR="00224248">
        <w:rPr>
          <w:rFonts w:eastAsiaTheme="minorEastAsia"/>
          <w:lang w:val="en-GB" w:eastAsia="zh-CN"/>
        </w:rPr>
        <w:t>2</w:t>
      </w:r>
      <w:r>
        <w:rPr>
          <w:rFonts w:eastAsiaTheme="minorEastAsia"/>
          <w:lang w:val="en-GB" w:eastAsia="zh-CN"/>
        </w:rPr>
        <w:t>]</w:t>
      </w:r>
      <w:r w:rsidR="00F50F58">
        <w:rPr>
          <w:rFonts w:eastAsiaTheme="minorEastAsia"/>
          <w:lang w:val="en-GB" w:eastAsia="zh-CN"/>
        </w:rPr>
        <w:t>[</w:t>
      </w:r>
      <w:r w:rsidR="00224248">
        <w:rPr>
          <w:rFonts w:eastAsiaTheme="minorEastAsia"/>
          <w:lang w:val="en-GB" w:eastAsia="zh-CN"/>
        </w:rPr>
        <w:t>3</w:t>
      </w:r>
      <w:r w:rsidR="00F50F58">
        <w:rPr>
          <w:rFonts w:eastAsiaTheme="minorEastAsia"/>
          <w:lang w:val="en-GB" w:eastAsia="zh-CN"/>
        </w:rPr>
        <w:t>]</w:t>
      </w:r>
      <w:r>
        <w:rPr>
          <w:rFonts w:eastAsiaTheme="minorEastAsia"/>
          <w:lang w:val="en-GB" w:eastAsia="zh-CN"/>
        </w:rPr>
        <w:t>:</w:t>
      </w:r>
    </w:p>
    <w:tbl>
      <w:tblPr>
        <w:tblStyle w:val="aa"/>
        <w:tblW w:w="0" w:type="auto"/>
        <w:tblLook w:val="04A0" w:firstRow="1" w:lastRow="0" w:firstColumn="1" w:lastColumn="0" w:noHBand="0" w:noVBand="1"/>
      </w:tblPr>
      <w:tblGrid>
        <w:gridCol w:w="9060"/>
      </w:tblGrid>
      <w:tr w:rsidR="00C4194F" w:rsidRPr="0016391D" w14:paraId="0B8444BA" w14:textId="77777777" w:rsidTr="009F4899">
        <w:trPr>
          <w:trHeight w:val="1626"/>
        </w:trPr>
        <w:tc>
          <w:tcPr>
            <w:tcW w:w="9060" w:type="dxa"/>
          </w:tcPr>
          <w:p w14:paraId="2603A23D" w14:textId="77777777" w:rsidR="00C4194F" w:rsidRPr="000B32AE" w:rsidRDefault="00C4194F" w:rsidP="009F4899">
            <w:pPr>
              <w:spacing w:beforeLines="100" w:before="240" w:after="0"/>
              <w:rPr>
                <w:rFonts w:eastAsia="等线"/>
                <w:b/>
                <w:bCs/>
                <w:szCs w:val="20"/>
                <w:highlight w:val="green"/>
              </w:rPr>
            </w:pPr>
            <w:r>
              <w:rPr>
                <w:rFonts w:eastAsia="等线"/>
                <w:b/>
                <w:bCs/>
                <w:szCs w:val="20"/>
                <w:highlight w:val="green"/>
                <w:lang w:val="en-GB"/>
              </w:rPr>
              <w:t xml:space="preserve">RAN1#113 </w:t>
            </w:r>
            <w:r w:rsidRPr="000B32AE">
              <w:rPr>
                <w:rFonts w:eastAsia="等线"/>
                <w:b/>
                <w:bCs/>
                <w:szCs w:val="20"/>
                <w:highlight w:val="green"/>
              </w:rPr>
              <w:t>Agreement</w:t>
            </w:r>
          </w:p>
          <w:p w14:paraId="7473CDE2" w14:textId="77777777" w:rsidR="00C4194F" w:rsidRPr="000B32AE" w:rsidRDefault="00C4194F" w:rsidP="009F4899">
            <w:pPr>
              <w:pStyle w:val="af2"/>
              <w:widowControl/>
              <w:numPr>
                <w:ilvl w:val="1"/>
                <w:numId w:val="15"/>
              </w:numPr>
              <w:snapToGrid w:val="0"/>
              <w:spacing w:after="100" w:afterAutospacing="1"/>
              <w:ind w:left="709" w:firstLineChars="0" w:hanging="289"/>
              <w:rPr>
                <w:rFonts w:ascii="Times New Roman" w:hAnsi="Times New Roman"/>
                <w:sz w:val="20"/>
                <w:szCs w:val="20"/>
              </w:rPr>
            </w:pPr>
            <w:r w:rsidRPr="000B32AE">
              <w:rPr>
                <w:rFonts w:ascii="Times New Roman" w:hAnsi="Times New Roman"/>
                <w:sz w:val="20"/>
                <w:szCs w:val="20"/>
              </w:rPr>
              <w:t>Each TCI state included up to 2 qcl-types and each qcl-type source RS in a QCL-Info of the TCI state is provided at least based on the RS configuration for LTM</w:t>
            </w:r>
          </w:p>
          <w:p w14:paraId="19AE3B22" w14:textId="77777777" w:rsidR="00C4194F" w:rsidRPr="000B32AE" w:rsidRDefault="00C4194F" w:rsidP="009F4899">
            <w:pPr>
              <w:pStyle w:val="af2"/>
              <w:widowControl/>
              <w:numPr>
                <w:ilvl w:val="2"/>
                <w:numId w:val="15"/>
              </w:numPr>
              <w:snapToGrid w:val="0"/>
              <w:spacing w:after="100" w:afterAutospacing="1"/>
              <w:ind w:firstLineChars="0"/>
              <w:rPr>
                <w:rFonts w:ascii="Times New Roman" w:hAnsi="Times New Roman"/>
                <w:sz w:val="20"/>
                <w:szCs w:val="20"/>
              </w:rPr>
            </w:pPr>
            <w:r w:rsidRPr="000B32AE">
              <w:rPr>
                <w:rFonts w:ascii="Times New Roman" w:hAnsi="Times New Roman"/>
                <w:sz w:val="20"/>
                <w:szCs w:val="20"/>
              </w:rPr>
              <w:t>FFS: other RS index outside measurement RS configuration for LTM</w:t>
            </w:r>
          </w:p>
          <w:p w14:paraId="4C1F4DB5" w14:textId="77777777" w:rsidR="00C4194F" w:rsidRPr="000B32AE" w:rsidRDefault="00C4194F" w:rsidP="009F4899">
            <w:pPr>
              <w:pStyle w:val="af2"/>
              <w:widowControl/>
              <w:numPr>
                <w:ilvl w:val="2"/>
                <w:numId w:val="15"/>
              </w:numPr>
              <w:snapToGrid w:val="0"/>
              <w:spacing w:after="100" w:afterAutospacing="1"/>
              <w:ind w:firstLineChars="0"/>
              <w:rPr>
                <w:szCs w:val="20"/>
              </w:rPr>
            </w:pPr>
            <w:r w:rsidRPr="000B32AE">
              <w:rPr>
                <w:rFonts w:ascii="Times New Roman" w:hAnsi="Times New Roman"/>
                <w:sz w:val="20"/>
                <w:szCs w:val="20"/>
              </w:rPr>
              <w:t>FFS: Additional contents of TCI states for LTM</w:t>
            </w:r>
          </w:p>
          <w:p w14:paraId="67F50818" w14:textId="77777777" w:rsidR="00C4194F" w:rsidRPr="000E7C82" w:rsidRDefault="00C4194F" w:rsidP="009F4899">
            <w:pPr>
              <w:shd w:val="clear" w:color="auto" w:fill="FFFFFF"/>
              <w:spacing w:after="0"/>
              <w:rPr>
                <w:b/>
                <w:bCs/>
                <w:szCs w:val="20"/>
              </w:rPr>
            </w:pPr>
            <w:bookmarkStart w:id="0" w:name="OLE_LINK3"/>
            <w:r w:rsidRPr="008374AF">
              <w:rPr>
                <w:b/>
                <w:bCs/>
                <w:szCs w:val="20"/>
                <w:highlight w:val="cyan"/>
              </w:rPr>
              <w:t xml:space="preserve">RAN1#113 </w:t>
            </w:r>
            <w:r w:rsidRPr="00BF293B">
              <w:rPr>
                <w:b/>
                <w:bCs/>
                <w:szCs w:val="20"/>
                <w:highlight w:val="cyan"/>
              </w:rPr>
              <w:t>Conclusion</w:t>
            </w:r>
          </w:p>
          <w:p w14:paraId="3E447DC6" w14:textId="77777777" w:rsidR="00C4194F" w:rsidRPr="004E17CC" w:rsidRDefault="00C4194F" w:rsidP="009F4899">
            <w:pPr>
              <w:spacing w:after="0"/>
            </w:pPr>
            <w:r w:rsidRPr="004E17CC">
              <w:t xml:space="preserve">There is no consensus to introduce </w:t>
            </w:r>
            <w:r w:rsidRPr="008374AF">
              <w:t>additional</w:t>
            </w:r>
            <w:r w:rsidRPr="004E17CC">
              <w:t xml:space="preserve"> mechanism to support the following procedures prior to and joint with the reception of L1/L2 cell switch command aiming at the reduction of handover delay/interruption in Rel-18 LTM</w:t>
            </w:r>
          </w:p>
          <w:p w14:paraId="6499F4D6" w14:textId="77777777" w:rsidR="00C4194F" w:rsidRPr="004E17CC" w:rsidRDefault="00C4194F" w:rsidP="009F4899">
            <w:pPr>
              <w:spacing w:after="0"/>
            </w:pPr>
            <w:r w:rsidRPr="004E17CC">
              <w:t xml:space="preserve">-        TRS tracking for candidate cells </w:t>
            </w:r>
          </w:p>
          <w:p w14:paraId="0152A2C4" w14:textId="77777777" w:rsidR="00C4194F" w:rsidRPr="004E17CC" w:rsidRDefault="00C4194F" w:rsidP="009F4899">
            <w:pPr>
              <w:spacing w:after="0"/>
            </w:pPr>
            <w:r w:rsidRPr="008374AF">
              <w:t>FFS: Whether/How the QCL reference information of TCI states of the candidate cell should be mapped to the source SSB</w:t>
            </w:r>
          </w:p>
          <w:p w14:paraId="5A3AF7B1" w14:textId="77777777" w:rsidR="00C4194F" w:rsidRPr="00FE4CCE" w:rsidRDefault="00C4194F" w:rsidP="009F4899">
            <w:pPr>
              <w:spacing w:after="0"/>
            </w:pPr>
            <w:r w:rsidRPr="004E17CC">
              <w:t>Note: At least for the candidate cells which are current serving cells, TRS tracking prior to cell switch command is supported</w:t>
            </w:r>
          </w:p>
          <w:bookmarkEnd w:id="0"/>
          <w:p w14:paraId="233D2DE0" w14:textId="77777777" w:rsidR="00C4194F" w:rsidRPr="0058456A" w:rsidRDefault="00C4194F" w:rsidP="009F4899"/>
          <w:p w14:paraId="7D15B0E1" w14:textId="77777777" w:rsidR="00C4194F" w:rsidRPr="000E7C82" w:rsidRDefault="00C4194F" w:rsidP="009F4899">
            <w:pPr>
              <w:shd w:val="clear" w:color="auto" w:fill="FFFFFF"/>
              <w:spacing w:after="0"/>
              <w:rPr>
                <w:b/>
                <w:bCs/>
                <w:szCs w:val="20"/>
              </w:rPr>
            </w:pPr>
            <w:r w:rsidRPr="008374AF">
              <w:rPr>
                <w:b/>
                <w:bCs/>
                <w:szCs w:val="20"/>
                <w:highlight w:val="cyan"/>
              </w:rPr>
              <w:t xml:space="preserve">RAN1#113 </w:t>
            </w:r>
            <w:r w:rsidRPr="00BF293B">
              <w:rPr>
                <w:b/>
                <w:bCs/>
                <w:szCs w:val="20"/>
                <w:highlight w:val="cyan"/>
              </w:rPr>
              <w:t>Conclusion</w:t>
            </w:r>
          </w:p>
          <w:p w14:paraId="442FA505" w14:textId="77777777" w:rsidR="00C4194F" w:rsidRPr="000E7C82" w:rsidRDefault="00C4194F" w:rsidP="009F4899">
            <w:pPr>
              <w:shd w:val="clear" w:color="auto" w:fill="FFFFFF"/>
              <w:rPr>
                <w:szCs w:val="20"/>
              </w:rPr>
            </w:pPr>
            <w:r w:rsidRPr="000E7C82">
              <w:rPr>
                <w:szCs w:val="20"/>
              </w:rPr>
              <w:t>For R18 LTM, in order to activate multiple joint TCI state or/and pair of (DL/UL) TCI states for candidate cell case, do not support TCI state activation together with beam indication of the candidate cell in the same MAC-CE message.</w:t>
            </w:r>
          </w:p>
          <w:p w14:paraId="72DA7F43" w14:textId="77777777" w:rsidR="00C4194F" w:rsidRDefault="00C4194F" w:rsidP="009F4899">
            <w:pPr>
              <w:numPr>
                <w:ilvl w:val="0"/>
                <w:numId w:val="58"/>
              </w:numPr>
              <w:shd w:val="clear" w:color="auto" w:fill="FFFFFF"/>
              <w:spacing w:after="0"/>
              <w:jc w:val="left"/>
              <w:rPr>
                <w:szCs w:val="20"/>
              </w:rPr>
            </w:pPr>
            <w:r w:rsidRPr="000E7C82">
              <w:rPr>
                <w:szCs w:val="20"/>
              </w:rPr>
              <w:lastRenderedPageBreak/>
              <w:t>FFS: UE assumption on the active TCI states other than the indicated TCI state after the reception of the cell switch command.</w:t>
            </w:r>
          </w:p>
          <w:p w14:paraId="4351345C" w14:textId="77777777" w:rsidR="00C4194F" w:rsidRPr="000B32AE" w:rsidRDefault="00C4194F" w:rsidP="009F4899">
            <w:pPr>
              <w:spacing w:beforeLines="100" w:before="240" w:after="0"/>
              <w:rPr>
                <w:rFonts w:eastAsia="等线"/>
                <w:b/>
                <w:bCs/>
                <w:szCs w:val="20"/>
                <w:highlight w:val="green"/>
              </w:rPr>
            </w:pPr>
            <w:r>
              <w:rPr>
                <w:rFonts w:eastAsia="等线"/>
                <w:b/>
                <w:bCs/>
                <w:szCs w:val="20"/>
                <w:highlight w:val="green"/>
                <w:lang w:val="en-GB"/>
              </w:rPr>
              <w:t xml:space="preserve">RAN1#113 </w:t>
            </w:r>
            <w:r w:rsidRPr="000B32AE">
              <w:rPr>
                <w:rFonts w:eastAsia="等线"/>
                <w:b/>
                <w:bCs/>
                <w:szCs w:val="20"/>
                <w:highlight w:val="green"/>
              </w:rPr>
              <w:t>Agreement</w:t>
            </w:r>
          </w:p>
          <w:p w14:paraId="1D52938D" w14:textId="77777777" w:rsidR="00C4194F" w:rsidRPr="000B32AE" w:rsidRDefault="00C4194F" w:rsidP="009F4899">
            <w:pPr>
              <w:pStyle w:val="af2"/>
              <w:widowControl/>
              <w:numPr>
                <w:ilvl w:val="0"/>
                <w:numId w:val="15"/>
              </w:numPr>
              <w:snapToGrid w:val="0"/>
              <w:spacing w:after="0"/>
              <w:ind w:left="357" w:firstLineChars="0" w:hanging="357"/>
              <w:rPr>
                <w:rFonts w:ascii="Times New Roman" w:hAnsi="Times New Roman"/>
                <w:sz w:val="20"/>
                <w:szCs w:val="20"/>
              </w:rPr>
            </w:pPr>
            <w:r w:rsidRPr="000B32AE">
              <w:rPr>
                <w:rFonts w:ascii="Times New Roman" w:hAnsi="Times New Roman"/>
                <w:sz w:val="20"/>
                <w:szCs w:val="20"/>
              </w:rPr>
              <w:t xml:space="preserve">For TCI state activation for candidate cell(s) before the cell switch command, </w:t>
            </w:r>
          </w:p>
          <w:p w14:paraId="03F351CE" w14:textId="77777777" w:rsidR="00C4194F" w:rsidRPr="00A2127C" w:rsidRDefault="00C4194F" w:rsidP="009F4899">
            <w:pPr>
              <w:pStyle w:val="af2"/>
              <w:widowControl/>
              <w:numPr>
                <w:ilvl w:val="1"/>
                <w:numId w:val="109"/>
              </w:numPr>
              <w:snapToGrid w:val="0"/>
              <w:spacing w:after="100" w:afterAutospacing="1"/>
              <w:ind w:firstLineChars="0"/>
              <w:rPr>
                <w:rFonts w:ascii="Times New Roman" w:hAnsi="Times New Roman"/>
                <w:sz w:val="20"/>
                <w:szCs w:val="20"/>
              </w:rPr>
            </w:pPr>
            <w:r w:rsidRPr="00A2127C">
              <w:rPr>
                <w:rFonts w:ascii="Times New Roman" w:hAnsi="Times New Roman"/>
                <w:sz w:val="20"/>
                <w:szCs w:val="20"/>
              </w:rPr>
              <w:t>MAC CE is used and the details of MAC-CE for TCI state activation for LTM is up to RAN2</w:t>
            </w:r>
          </w:p>
          <w:p w14:paraId="28960D8D" w14:textId="77777777" w:rsidR="00C4194F" w:rsidRPr="008374AF" w:rsidRDefault="00C4194F" w:rsidP="009F4899">
            <w:pPr>
              <w:pStyle w:val="af2"/>
              <w:widowControl/>
              <w:numPr>
                <w:ilvl w:val="1"/>
                <w:numId w:val="109"/>
              </w:numPr>
              <w:snapToGrid w:val="0"/>
              <w:spacing w:after="100" w:afterAutospacing="1"/>
              <w:ind w:firstLineChars="0"/>
              <w:rPr>
                <w:lang w:val="en-GB"/>
              </w:rPr>
            </w:pPr>
            <w:r w:rsidRPr="008374AF">
              <w:rPr>
                <w:rFonts w:ascii="Times New Roman" w:hAnsi="Times New Roman"/>
                <w:szCs w:val="20"/>
              </w:rPr>
              <w:t>Further study if PDCCH order for candidate cell(s) can be used</w:t>
            </w:r>
          </w:p>
          <w:p w14:paraId="1F92992A" w14:textId="77777777" w:rsidR="00C4194F" w:rsidRPr="008374AF" w:rsidRDefault="00C4194F" w:rsidP="009F4899">
            <w:pPr>
              <w:rPr>
                <w:rFonts w:eastAsia="等线"/>
                <w:b/>
                <w:bCs/>
                <w:szCs w:val="20"/>
                <w:highlight w:val="green"/>
              </w:rPr>
            </w:pPr>
            <w:r>
              <w:rPr>
                <w:rFonts w:eastAsia="等线"/>
                <w:b/>
                <w:bCs/>
                <w:szCs w:val="20"/>
                <w:highlight w:val="green"/>
              </w:rPr>
              <w:t xml:space="preserve">RAN1#114 </w:t>
            </w:r>
            <w:r w:rsidRPr="008374AF">
              <w:rPr>
                <w:rFonts w:eastAsia="等线" w:hint="eastAsia"/>
                <w:b/>
                <w:bCs/>
                <w:szCs w:val="20"/>
                <w:highlight w:val="green"/>
              </w:rPr>
              <w:t>A</w:t>
            </w:r>
            <w:r w:rsidRPr="008374AF">
              <w:rPr>
                <w:rFonts w:eastAsia="等线"/>
                <w:b/>
                <w:bCs/>
                <w:szCs w:val="20"/>
                <w:highlight w:val="green"/>
              </w:rPr>
              <w:t>greement</w:t>
            </w:r>
          </w:p>
          <w:p w14:paraId="560AA9E9" w14:textId="77777777" w:rsidR="00C4194F" w:rsidRPr="008374AF" w:rsidRDefault="00C4194F" w:rsidP="009F4899">
            <w:pPr>
              <w:pStyle w:val="af2"/>
              <w:spacing w:after="0"/>
              <w:ind w:firstLineChars="0" w:firstLine="0"/>
              <w:rPr>
                <w:rFonts w:ascii="Times New Roman" w:hAnsi="Times New Roman"/>
                <w:sz w:val="20"/>
                <w:szCs w:val="20"/>
              </w:rPr>
            </w:pPr>
            <w:r w:rsidRPr="008374AF">
              <w:rPr>
                <w:rFonts w:ascii="Times New Roman" w:eastAsia="等线" w:hAnsi="Times New Roman"/>
                <w:sz w:val="20"/>
                <w:szCs w:val="20"/>
              </w:rPr>
              <w:t>On top the confirmed working assumption, o</w:t>
            </w:r>
            <w:r w:rsidRPr="008374AF">
              <w:rPr>
                <w:rFonts w:ascii="Times New Roman" w:hAnsi="Times New Roman"/>
                <w:sz w:val="20"/>
                <w:szCs w:val="20"/>
              </w:rPr>
              <w:t>n the presence of beam indication within cell switch command, at least for scenario 2 following is supported:</w:t>
            </w:r>
          </w:p>
          <w:p w14:paraId="72253EAF" w14:textId="77777777" w:rsidR="00C4194F" w:rsidRPr="008374AF" w:rsidRDefault="00C4194F" w:rsidP="009F4899">
            <w:pPr>
              <w:pStyle w:val="af2"/>
              <w:widowControl/>
              <w:numPr>
                <w:ilvl w:val="0"/>
                <w:numId w:val="107"/>
              </w:numPr>
              <w:snapToGrid w:val="0"/>
              <w:spacing w:after="0"/>
              <w:ind w:left="400" w:hangingChars="200" w:hanging="400"/>
              <w:rPr>
                <w:rFonts w:ascii="Times New Roman" w:hAnsi="Times New Roman"/>
                <w:sz w:val="20"/>
                <w:szCs w:val="20"/>
              </w:rPr>
            </w:pPr>
            <w:r w:rsidRPr="008374AF">
              <w:rPr>
                <w:rFonts w:ascii="Times New Roman" w:hAnsi="Times New Roman"/>
                <w:sz w:val="20"/>
                <w:szCs w:val="20"/>
              </w:rPr>
              <w:t>A field to indicate 1 joint or 1 pair of UL and DL unified TCI State index for the target cell field is always present in the cell switch command.</w:t>
            </w:r>
          </w:p>
          <w:p w14:paraId="19E2C71F" w14:textId="77777777" w:rsidR="00C4194F" w:rsidRDefault="00C4194F" w:rsidP="009F4899">
            <w:pPr>
              <w:pStyle w:val="af2"/>
              <w:widowControl/>
              <w:numPr>
                <w:ilvl w:val="0"/>
                <w:numId w:val="107"/>
              </w:numPr>
              <w:snapToGrid w:val="0"/>
              <w:spacing w:after="0"/>
              <w:ind w:left="400" w:hangingChars="200" w:hanging="400"/>
              <w:rPr>
                <w:rFonts w:ascii="Times New Roman" w:hAnsi="Times New Roman"/>
                <w:sz w:val="20"/>
                <w:szCs w:val="20"/>
              </w:rPr>
            </w:pPr>
            <w:r w:rsidRPr="008374AF">
              <w:rPr>
                <w:rFonts w:ascii="Times New Roman" w:hAnsi="Times New Roman"/>
                <w:sz w:val="20"/>
                <w:szCs w:val="20"/>
              </w:rPr>
              <w:t>FFS UE behavior for the beam indication field for the RACH-based handover scenario after cell switch command</w:t>
            </w:r>
          </w:p>
          <w:p w14:paraId="2BFDBA5E" w14:textId="77777777" w:rsidR="00C4194F" w:rsidRDefault="00C4194F" w:rsidP="009F4899">
            <w:pPr>
              <w:snapToGrid w:val="0"/>
              <w:spacing w:after="0"/>
              <w:rPr>
                <w:szCs w:val="20"/>
              </w:rPr>
            </w:pPr>
          </w:p>
          <w:p w14:paraId="3FE37447" w14:textId="77777777" w:rsidR="00C4194F" w:rsidRDefault="00C4194F" w:rsidP="009F4899">
            <w:pPr>
              <w:rPr>
                <w:highlight w:val="green"/>
              </w:rPr>
            </w:pPr>
            <w:r>
              <w:rPr>
                <w:rFonts w:eastAsia="等线"/>
                <w:b/>
                <w:bCs/>
                <w:szCs w:val="20"/>
                <w:highlight w:val="green"/>
              </w:rPr>
              <w:t xml:space="preserve">RAN1#114 </w:t>
            </w:r>
            <w:r>
              <w:rPr>
                <w:b/>
                <w:bCs/>
                <w:highlight w:val="green"/>
              </w:rPr>
              <w:t>Agreement</w:t>
            </w:r>
          </w:p>
          <w:p w14:paraId="13F09040" w14:textId="77777777" w:rsidR="00C4194F" w:rsidRPr="00A2127C" w:rsidRDefault="00C4194F" w:rsidP="009F4899">
            <w:pPr>
              <w:spacing w:after="0"/>
              <w:rPr>
                <w:szCs w:val="20"/>
              </w:rPr>
            </w:pPr>
            <w:r w:rsidRPr="00A2127C">
              <w:rPr>
                <w:szCs w:val="20"/>
              </w:rPr>
              <w:t xml:space="preserve">In R18 LTM, on the QCL source of the TCI state before/during the cell switch command, </w:t>
            </w:r>
          </w:p>
          <w:p w14:paraId="0EDAB388" w14:textId="77777777" w:rsidR="00C4194F" w:rsidRPr="004E17CC" w:rsidRDefault="00C4194F" w:rsidP="009F4899">
            <w:pPr>
              <w:pStyle w:val="af2"/>
              <w:widowControl/>
              <w:numPr>
                <w:ilvl w:val="0"/>
                <w:numId w:val="108"/>
              </w:numPr>
              <w:snapToGrid w:val="0"/>
              <w:spacing w:after="0"/>
              <w:ind w:left="760" w:firstLineChars="0" w:hanging="420"/>
              <w:rPr>
                <w:rFonts w:ascii="Times New Roman" w:hAnsi="Times New Roman"/>
                <w:sz w:val="20"/>
                <w:szCs w:val="20"/>
              </w:rPr>
            </w:pPr>
            <w:r w:rsidRPr="004E17CC">
              <w:rPr>
                <w:rFonts w:ascii="Times New Roman" w:hAnsi="Times New Roman"/>
                <w:sz w:val="20"/>
                <w:szCs w:val="20"/>
              </w:rPr>
              <w:t>SSB or TRS can be configured in a TCI state for the candidate cell(s) before/during cell switch command</w:t>
            </w:r>
          </w:p>
          <w:p w14:paraId="7726186F" w14:textId="77777777" w:rsidR="00C4194F" w:rsidRPr="004E17CC" w:rsidRDefault="00C4194F" w:rsidP="009F4899">
            <w:pPr>
              <w:pStyle w:val="af2"/>
              <w:numPr>
                <w:ilvl w:val="0"/>
                <w:numId w:val="110"/>
              </w:numPr>
              <w:snapToGrid w:val="0"/>
              <w:spacing w:after="0"/>
              <w:ind w:firstLineChars="0"/>
              <w:rPr>
                <w:szCs w:val="20"/>
              </w:rPr>
            </w:pPr>
            <w:r w:rsidRPr="008374AF">
              <w:rPr>
                <w:rFonts w:ascii="Times New Roman" w:hAnsi="Times New Roman"/>
                <w:sz w:val="20"/>
                <w:szCs w:val="20"/>
              </w:rPr>
              <w:t>Whether the TRS can be used for the candidate cell(s) before/during cell switch command is up to UE capability</w:t>
            </w:r>
          </w:p>
        </w:tc>
      </w:tr>
    </w:tbl>
    <w:p w14:paraId="6C4D4459" w14:textId="77777777" w:rsidR="00C4194F" w:rsidRDefault="00C4194F" w:rsidP="00C4194F">
      <w:pPr>
        <w:pStyle w:val="title2"/>
        <w:rPr>
          <w:lang w:val="en-GB"/>
        </w:rPr>
      </w:pPr>
      <w:r w:rsidRPr="00EE2143">
        <w:rPr>
          <w:lang w:val="en-GB"/>
        </w:rPr>
        <w:lastRenderedPageBreak/>
        <w:t xml:space="preserve">TCI </w:t>
      </w:r>
      <w:r>
        <w:rPr>
          <w:lang w:val="en-GB"/>
        </w:rPr>
        <w:t>state configuration</w:t>
      </w:r>
    </w:p>
    <w:p w14:paraId="6B43EDAF" w14:textId="6EABFB4E" w:rsidR="00C4194F" w:rsidRPr="002B7ABA" w:rsidRDefault="00A742AB" w:rsidP="00D46879">
      <w:pPr>
        <w:pStyle w:val="13"/>
      </w:pPr>
      <w:r>
        <w:rPr>
          <w:rFonts w:eastAsiaTheme="minorEastAsia"/>
          <w:lang w:val="en-GB"/>
        </w:rPr>
        <w:t xml:space="preserve">Three </w:t>
      </w:r>
      <w:r w:rsidR="00C4194F">
        <w:rPr>
          <w:rFonts w:eastAsiaTheme="minorEastAsia"/>
          <w:lang w:val="en-GB"/>
        </w:rPr>
        <w:t xml:space="preserve">remaining issues related to TCI state </w:t>
      </w:r>
      <w:r w:rsidR="00C4194F">
        <w:rPr>
          <w:rFonts w:eastAsiaTheme="minorEastAsia" w:hint="eastAsia"/>
          <w:lang w:val="en-GB"/>
        </w:rPr>
        <w:t>configuration</w:t>
      </w:r>
      <w:r w:rsidR="00C4194F">
        <w:rPr>
          <w:rFonts w:eastAsiaTheme="minorEastAsia"/>
          <w:lang w:val="en-GB"/>
        </w:rPr>
        <w:t xml:space="preserve"> need to be discussed. The first one is RS configuration in </w:t>
      </w:r>
      <w:r w:rsidR="00C4194F">
        <w:rPr>
          <w:rFonts w:eastAsiaTheme="minorEastAsia" w:hint="eastAsia"/>
          <w:lang w:val="en-GB"/>
        </w:rPr>
        <w:t>the</w:t>
      </w:r>
      <w:r w:rsidR="00C4194F">
        <w:rPr>
          <w:rFonts w:eastAsiaTheme="minorEastAsia"/>
          <w:lang w:val="en-GB"/>
        </w:rPr>
        <w:t xml:space="preserve"> TCI </w:t>
      </w:r>
      <w:r w:rsidR="00C4194F">
        <w:rPr>
          <w:rFonts w:eastAsiaTheme="minorEastAsia" w:hint="eastAsia"/>
          <w:lang w:val="en-GB"/>
        </w:rPr>
        <w:t>state</w:t>
      </w:r>
      <w:r w:rsidR="00C4194F">
        <w:rPr>
          <w:rFonts w:eastAsiaTheme="minorEastAsia"/>
          <w:lang w:val="en-GB"/>
        </w:rPr>
        <w:t xml:space="preserve"> configuration for candidate cells. In the last meeting, </w:t>
      </w:r>
      <w:r w:rsidR="00C4194F" w:rsidRPr="0060294B">
        <w:rPr>
          <w:rFonts w:eastAsiaTheme="minorEastAsia"/>
          <w:lang w:val="en-GB"/>
        </w:rPr>
        <w:t>SSB or TRS configured in a TCI state for the candidate cell(s) before/during cell switch command</w:t>
      </w:r>
      <w:r w:rsidR="00C4194F">
        <w:rPr>
          <w:rFonts w:eastAsiaTheme="minorEastAsia"/>
          <w:lang w:val="en-GB"/>
        </w:rPr>
        <w:t xml:space="preserve"> was agreed and whether TRS can be used for candidate cell before/during cell switch command is up to UE capability</w:t>
      </w:r>
      <w:r w:rsidR="00C4194F">
        <w:rPr>
          <w:rFonts w:eastAsiaTheme="minorEastAsia" w:hint="eastAsia"/>
          <w:lang w:val="en-GB"/>
        </w:rPr>
        <w:t>.</w:t>
      </w:r>
      <w:r w:rsidR="00C4194F">
        <w:rPr>
          <w:rFonts w:eastAsiaTheme="minorEastAsia"/>
          <w:lang w:val="en-GB"/>
        </w:rPr>
        <w:t xml:space="preserve"> If UE supports </w:t>
      </w:r>
      <w:bookmarkStart w:id="1" w:name="_Hlk144748345"/>
      <w:r w:rsidR="00C4194F">
        <w:rPr>
          <w:rFonts w:eastAsiaTheme="minorEastAsia"/>
          <w:lang w:val="en-GB"/>
        </w:rPr>
        <w:t>TRS used for candidate cell(s) before cell switch command</w:t>
      </w:r>
      <w:bookmarkEnd w:id="1"/>
      <w:r w:rsidR="00C4194F">
        <w:rPr>
          <w:rFonts w:eastAsiaTheme="minorEastAsia"/>
          <w:lang w:val="en-GB"/>
        </w:rPr>
        <w:t xml:space="preserve">, it requires UE to acquire TRS configuration of candidate cell(s) and perform TRS tracking before cell switch. </w:t>
      </w:r>
      <w:r w:rsidR="00D46879">
        <w:rPr>
          <w:rFonts w:eastAsiaTheme="minorEastAsia"/>
          <w:lang w:val="en-GB"/>
        </w:rPr>
        <w:t xml:space="preserve">To improve the feasibility, TRS configured in the TCI state </w:t>
      </w:r>
      <w:r w:rsidR="00D46879">
        <w:rPr>
          <w:rFonts w:eastAsiaTheme="minorEastAsia" w:hint="eastAsia"/>
          <w:lang w:val="en-GB"/>
        </w:rPr>
        <w:t>should</w:t>
      </w:r>
      <w:r w:rsidR="00D46879">
        <w:rPr>
          <w:rFonts w:eastAsiaTheme="minorEastAsia"/>
          <w:lang w:val="en-GB"/>
        </w:rPr>
        <w:t xml:space="preserve"> </w:t>
      </w:r>
      <w:r w:rsidR="00D46879">
        <w:rPr>
          <w:rFonts w:eastAsiaTheme="minorEastAsia" w:hint="eastAsia"/>
          <w:lang w:val="en-GB"/>
        </w:rPr>
        <w:t>b</w:t>
      </w:r>
      <w:r w:rsidR="00D46879">
        <w:rPr>
          <w:rFonts w:eastAsiaTheme="minorEastAsia"/>
          <w:lang w:val="en-GB"/>
        </w:rPr>
        <w:t xml:space="preserve">e periodic. Otherwise, the interaction between </w:t>
      </w:r>
      <w:r w:rsidR="00D9423D">
        <w:rPr>
          <w:rFonts w:eastAsiaTheme="minorEastAsia"/>
          <w:lang w:val="en-GB"/>
        </w:rPr>
        <w:t xml:space="preserve">F1 </w:t>
      </w:r>
      <w:r w:rsidR="00D46879">
        <w:rPr>
          <w:rFonts w:eastAsiaTheme="minorEastAsia"/>
          <w:lang w:val="en-GB"/>
        </w:rPr>
        <w:t xml:space="preserve">interfaces </w:t>
      </w:r>
      <w:r w:rsidR="00D9423D">
        <w:rPr>
          <w:rFonts w:eastAsiaTheme="minorEastAsia"/>
          <w:lang w:val="en-GB"/>
        </w:rPr>
        <w:t xml:space="preserve">may </w:t>
      </w:r>
      <w:r w:rsidR="00D46879">
        <w:rPr>
          <w:rFonts w:eastAsiaTheme="minorEastAsia"/>
          <w:lang w:val="en-GB"/>
        </w:rPr>
        <w:t>need enhancement</w:t>
      </w:r>
      <w:r w:rsidR="00D9423D">
        <w:rPr>
          <w:rFonts w:eastAsiaTheme="minorEastAsia"/>
          <w:lang w:val="en-GB"/>
        </w:rPr>
        <w:t xml:space="preserve"> for inter-DU scenarios</w:t>
      </w:r>
      <w:r w:rsidR="00D46879">
        <w:rPr>
          <w:rFonts w:eastAsiaTheme="minorEastAsia"/>
          <w:lang w:val="en-GB"/>
        </w:rPr>
        <w:t>.</w:t>
      </w:r>
      <w:r w:rsidR="00D9423D">
        <w:rPr>
          <w:rFonts w:eastAsiaTheme="minorEastAsia"/>
          <w:lang w:val="en-GB"/>
        </w:rPr>
        <w:t xml:space="preserve"> </w:t>
      </w:r>
      <w:r w:rsidR="00C4194F">
        <w:rPr>
          <w:rFonts w:eastAsiaTheme="minorEastAsia"/>
          <w:lang w:val="en-GB"/>
        </w:rPr>
        <w:t xml:space="preserve">Therefore, </w:t>
      </w:r>
      <w:r w:rsidR="00214EE3" w:rsidRPr="00B05470">
        <w:rPr>
          <w:rFonts w:eastAsiaTheme="minorEastAsia"/>
          <w:i/>
          <w:iCs/>
          <w:lang w:val="en-GB"/>
        </w:rPr>
        <w:t>ResourceMapping</w:t>
      </w:r>
      <w:r w:rsidR="00214EE3">
        <w:rPr>
          <w:rFonts w:eastAsiaTheme="minorEastAsia"/>
          <w:lang w:val="en-GB"/>
        </w:rPr>
        <w:t xml:space="preserve">, </w:t>
      </w:r>
      <w:r w:rsidR="00D46879" w:rsidRPr="002B7ABA">
        <w:rPr>
          <w:rFonts w:eastAsiaTheme="minorEastAsia"/>
          <w:i/>
          <w:iCs/>
          <w:lang w:val="en-GB"/>
        </w:rPr>
        <w:t>periodicityAndOffset</w:t>
      </w:r>
      <w:r w:rsidR="00D46879">
        <w:rPr>
          <w:rFonts w:eastAsiaTheme="minorEastAsia"/>
          <w:lang w:val="en-GB"/>
        </w:rPr>
        <w:t>,</w:t>
      </w:r>
      <w:r w:rsidR="00D46879" w:rsidRPr="00D46879">
        <w:rPr>
          <w:rFonts w:eastAsiaTheme="minorEastAsia"/>
          <w:lang w:val="en-GB"/>
        </w:rPr>
        <w:t xml:space="preserve"> </w:t>
      </w:r>
      <w:r w:rsidR="00214EE3" w:rsidRPr="008374AF">
        <w:rPr>
          <w:rFonts w:eastAsiaTheme="minorEastAsia"/>
          <w:i/>
          <w:iCs/>
          <w:lang w:val="en-GB"/>
        </w:rPr>
        <w:t>qcl-InfoPerodicCSI-RS</w:t>
      </w:r>
      <w:r w:rsidR="00E24518">
        <w:rPr>
          <w:rFonts w:eastAsiaTheme="minorEastAsia"/>
          <w:i/>
          <w:iCs/>
          <w:lang w:val="en-GB"/>
        </w:rPr>
        <w:t xml:space="preserve">, </w:t>
      </w:r>
      <w:r w:rsidR="00E24518" w:rsidRPr="002B7ABA">
        <w:rPr>
          <w:i/>
          <w:iCs/>
        </w:rPr>
        <w:t>frequencyInfoDL</w:t>
      </w:r>
      <w:r w:rsidR="00D46879">
        <w:rPr>
          <w:rFonts w:eastAsiaTheme="minorEastAsia"/>
          <w:lang w:val="en-GB"/>
        </w:rPr>
        <w:t xml:space="preserve"> </w:t>
      </w:r>
      <w:r w:rsidR="00214EE3">
        <w:rPr>
          <w:rFonts w:eastAsiaTheme="minorEastAsia"/>
          <w:lang w:val="en-GB"/>
        </w:rPr>
        <w:t>and DL BWP-related information</w:t>
      </w:r>
      <w:r w:rsidR="00E86083">
        <w:rPr>
          <w:rFonts w:eastAsiaTheme="minorEastAsia"/>
          <w:lang w:val="en-GB"/>
        </w:rPr>
        <w:t>, such as</w:t>
      </w:r>
      <w:r w:rsidR="00214EE3">
        <w:rPr>
          <w:rFonts w:eastAsiaTheme="minorEastAsia"/>
          <w:lang w:val="en-GB"/>
        </w:rPr>
        <w:t xml:space="preserve"> </w:t>
      </w:r>
      <w:r w:rsidR="00E24518" w:rsidRPr="002B7ABA">
        <w:rPr>
          <w:i/>
          <w:iCs/>
        </w:rPr>
        <w:t>subcarrierSpacing</w:t>
      </w:r>
      <w:r w:rsidR="00E24518">
        <w:t xml:space="preserve">, </w:t>
      </w:r>
      <w:r w:rsidR="00E24518" w:rsidRPr="002B7ABA">
        <w:rPr>
          <w:i/>
          <w:iCs/>
        </w:rPr>
        <w:t>locationAndBandwidth</w:t>
      </w:r>
      <w:r w:rsidR="00E24518">
        <w:rPr>
          <w:rFonts w:hint="eastAsia"/>
        </w:rPr>
        <w:t>,</w:t>
      </w:r>
      <w:r w:rsidR="00E24518">
        <w:t xml:space="preserve"> </w:t>
      </w:r>
      <w:r w:rsidR="00E24518" w:rsidRPr="002B7ABA">
        <w:rPr>
          <w:i/>
          <w:iCs/>
        </w:rPr>
        <w:t>cyclicPrefix</w:t>
      </w:r>
      <w:r w:rsidR="00E24518">
        <w:t xml:space="preserve">, </w:t>
      </w:r>
      <w:r w:rsidR="00214EE3">
        <w:rPr>
          <w:rFonts w:eastAsiaTheme="minorEastAsia"/>
          <w:lang w:val="en-GB"/>
        </w:rPr>
        <w:t xml:space="preserve">need to be included in the TRS configuration. </w:t>
      </w:r>
      <w:r w:rsidR="00C4194F">
        <w:rPr>
          <w:rFonts w:eastAsiaTheme="minorEastAsia"/>
          <w:lang w:val="en-GB"/>
        </w:rPr>
        <w:t xml:space="preserve">Thus, </w:t>
      </w:r>
      <w:r w:rsidR="008E562D">
        <w:rPr>
          <w:rFonts w:eastAsiaTheme="minorEastAsia"/>
          <w:lang w:val="en-GB"/>
        </w:rPr>
        <w:t xml:space="preserve">when UE receives a TCI state activation command </w:t>
      </w:r>
      <w:r w:rsidR="00C4194F">
        <w:rPr>
          <w:rFonts w:eastAsiaTheme="minorEastAsia"/>
          <w:lang w:val="en-GB"/>
        </w:rPr>
        <w:t>before cell switch</w:t>
      </w:r>
      <w:r w:rsidR="008E562D">
        <w:rPr>
          <w:rFonts w:eastAsiaTheme="minorEastAsia"/>
          <w:lang w:val="en-GB"/>
        </w:rPr>
        <w:t xml:space="preserve"> and at least one </w:t>
      </w:r>
      <w:r w:rsidR="00B565D6">
        <w:rPr>
          <w:rFonts w:eastAsiaTheme="minorEastAsia"/>
          <w:lang w:val="en-GB"/>
        </w:rPr>
        <w:t xml:space="preserve">QCL source RS of the </w:t>
      </w:r>
      <w:r w:rsidR="008E562D">
        <w:rPr>
          <w:rFonts w:eastAsiaTheme="minorEastAsia"/>
          <w:lang w:val="en-GB"/>
        </w:rPr>
        <w:t>activated TCI state</w:t>
      </w:r>
      <w:r w:rsidR="00B565D6">
        <w:rPr>
          <w:rFonts w:eastAsiaTheme="minorEastAsia"/>
          <w:lang w:val="en-GB"/>
        </w:rPr>
        <w:t>(s)</w:t>
      </w:r>
      <w:r w:rsidR="008E562D">
        <w:rPr>
          <w:rFonts w:eastAsiaTheme="minorEastAsia"/>
          <w:lang w:val="en-GB"/>
        </w:rPr>
        <w:t xml:space="preserve"> is TRS, </w:t>
      </w:r>
      <w:r w:rsidR="00AA5060">
        <w:rPr>
          <w:rFonts w:eastAsiaTheme="minorEastAsia"/>
          <w:lang w:val="en-GB"/>
        </w:rPr>
        <w:t>fine synchronization based on the TRS</w:t>
      </w:r>
      <w:r w:rsidR="008E562D">
        <w:rPr>
          <w:rFonts w:eastAsiaTheme="minorEastAsia"/>
          <w:lang w:val="en-GB"/>
        </w:rPr>
        <w:t xml:space="preserve"> w</w:t>
      </w:r>
      <w:r w:rsidR="008E562D">
        <w:rPr>
          <w:rFonts w:eastAsiaTheme="minorEastAsia" w:hint="eastAsia"/>
          <w:lang w:val="en-GB"/>
        </w:rPr>
        <w:t>ill</w:t>
      </w:r>
      <w:r w:rsidR="008E562D">
        <w:rPr>
          <w:rFonts w:eastAsiaTheme="minorEastAsia"/>
          <w:lang w:val="en-GB"/>
        </w:rPr>
        <w:t xml:space="preserve"> </w:t>
      </w:r>
      <w:r w:rsidR="008E562D">
        <w:rPr>
          <w:rFonts w:eastAsiaTheme="minorEastAsia" w:hint="eastAsia"/>
          <w:lang w:val="en-GB"/>
        </w:rPr>
        <w:t>b</w:t>
      </w:r>
      <w:r w:rsidR="008E562D">
        <w:rPr>
          <w:rFonts w:eastAsiaTheme="minorEastAsia"/>
          <w:lang w:val="en-GB"/>
        </w:rPr>
        <w:t xml:space="preserve">e </w:t>
      </w:r>
      <w:r w:rsidR="00AA5060">
        <w:rPr>
          <w:rFonts w:eastAsiaTheme="minorEastAsia"/>
          <w:lang w:val="en-GB"/>
        </w:rPr>
        <w:t xml:space="preserve">achieved. </w:t>
      </w:r>
      <w:r w:rsidR="00945890">
        <w:rPr>
          <w:rFonts w:eastAsiaTheme="minorEastAsia"/>
          <w:lang w:val="en-GB"/>
        </w:rPr>
        <w:t>Hence, a</w:t>
      </w:r>
      <w:r w:rsidR="00C4194F">
        <w:rPr>
          <w:rFonts w:eastAsiaTheme="minorEastAsia"/>
          <w:lang w:val="en-GB"/>
        </w:rPr>
        <w:t xml:space="preserve">fter receiving cell switch command, </w:t>
      </w:r>
      <w:r w:rsidR="00AA5060">
        <w:rPr>
          <w:rFonts w:eastAsiaTheme="minorEastAsia"/>
          <w:lang w:val="en-GB"/>
        </w:rPr>
        <w:t xml:space="preserve">downlink data </w:t>
      </w:r>
      <w:r w:rsidR="00945890">
        <w:rPr>
          <w:rFonts w:eastAsiaTheme="minorEastAsia"/>
          <w:lang w:val="en-GB"/>
        </w:rPr>
        <w:t>can</w:t>
      </w:r>
      <w:r w:rsidR="00AA5060">
        <w:rPr>
          <w:rFonts w:eastAsiaTheme="minorEastAsia"/>
          <w:lang w:val="en-GB"/>
        </w:rPr>
        <w:t xml:space="preserve"> be </w:t>
      </w:r>
      <w:r w:rsidR="00945890">
        <w:rPr>
          <w:rFonts w:eastAsiaTheme="minorEastAsia"/>
          <w:lang w:val="en-GB"/>
        </w:rPr>
        <w:t>received</w:t>
      </w:r>
      <w:r w:rsidR="00AA5060">
        <w:rPr>
          <w:rFonts w:eastAsiaTheme="minorEastAsia"/>
          <w:lang w:val="en-GB"/>
        </w:rPr>
        <w:t xml:space="preserve"> based on the fine synchronization if the indicated TCI state </w:t>
      </w:r>
      <w:r w:rsidR="00AA5060">
        <w:rPr>
          <w:rFonts w:eastAsiaTheme="minorEastAsia" w:hint="eastAsia"/>
          <w:lang w:val="en-GB"/>
        </w:rPr>
        <w:t>in</w:t>
      </w:r>
      <w:r w:rsidR="00AA5060">
        <w:rPr>
          <w:rFonts w:eastAsiaTheme="minorEastAsia"/>
          <w:lang w:val="en-GB"/>
        </w:rPr>
        <w:t xml:space="preserve"> </w:t>
      </w:r>
      <w:r w:rsidR="00AA5060">
        <w:rPr>
          <w:rFonts w:eastAsiaTheme="minorEastAsia" w:hint="eastAsia"/>
          <w:lang w:val="en-GB"/>
        </w:rPr>
        <w:t>the</w:t>
      </w:r>
      <w:r w:rsidR="00AA5060">
        <w:rPr>
          <w:rFonts w:eastAsiaTheme="minorEastAsia"/>
          <w:lang w:val="en-GB"/>
        </w:rPr>
        <w:t xml:space="preserve"> </w:t>
      </w:r>
      <w:r w:rsidR="00AA5060">
        <w:rPr>
          <w:rFonts w:eastAsiaTheme="minorEastAsia" w:hint="eastAsia"/>
          <w:lang w:val="en-GB"/>
        </w:rPr>
        <w:t>cell</w:t>
      </w:r>
      <w:r w:rsidR="00AA5060">
        <w:rPr>
          <w:rFonts w:eastAsiaTheme="minorEastAsia"/>
          <w:lang w:val="en-GB"/>
        </w:rPr>
        <w:t xml:space="preserve"> </w:t>
      </w:r>
      <w:r w:rsidR="00AA5060">
        <w:rPr>
          <w:rFonts w:eastAsiaTheme="minorEastAsia" w:hint="eastAsia"/>
          <w:lang w:val="en-GB"/>
        </w:rPr>
        <w:t>switch</w:t>
      </w:r>
      <w:r w:rsidR="00AA5060">
        <w:rPr>
          <w:rFonts w:eastAsiaTheme="minorEastAsia"/>
          <w:lang w:val="en-GB"/>
        </w:rPr>
        <w:t xml:space="preserve"> </w:t>
      </w:r>
      <w:r w:rsidR="00AA5060">
        <w:rPr>
          <w:rFonts w:eastAsiaTheme="minorEastAsia" w:hint="eastAsia"/>
          <w:lang w:val="en-GB"/>
        </w:rPr>
        <w:t>command</w:t>
      </w:r>
      <w:r w:rsidR="00AA5060">
        <w:rPr>
          <w:rFonts w:eastAsiaTheme="minorEastAsia"/>
          <w:lang w:val="en-GB"/>
        </w:rPr>
        <w:t xml:space="preserve"> has been activated before and its QCL source RS is TRS. </w:t>
      </w:r>
    </w:p>
    <w:p w14:paraId="28024D62" w14:textId="69F6B99A" w:rsidR="00C4194F" w:rsidRDefault="00D51F11" w:rsidP="00C4194F">
      <w:pPr>
        <w:pStyle w:val="proposal"/>
        <w:spacing w:before="120" w:after="120"/>
        <w:ind w:left="1134" w:hanging="1134"/>
        <w:rPr>
          <w:lang w:val="en-GB"/>
        </w:rPr>
      </w:pPr>
      <w:r>
        <w:rPr>
          <w:lang w:val="en-GB"/>
        </w:rPr>
        <w:t xml:space="preserve">If UE supports TRS </w:t>
      </w:r>
      <w:r w:rsidR="00CC1092">
        <w:rPr>
          <w:lang w:val="en-GB"/>
        </w:rPr>
        <w:t>configured in a TCI state</w:t>
      </w:r>
      <w:r>
        <w:rPr>
          <w:lang w:val="en-GB"/>
        </w:rPr>
        <w:t xml:space="preserve"> for</w:t>
      </w:r>
      <w:r w:rsidR="00CC1092">
        <w:rPr>
          <w:lang w:val="en-GB"/>
        </w:rPr>
        <w:t xml:space="preserve"> the</w:t>
      </w:r>
      <w:r>
        <w:rPr>
          <w:lang w:val="en-GB"/>
        </w:rPr>
        <w:t xml:space="preserve"> candidate cell before cell switch command, at least following information should be provided in t</w:t>
      </w:r>
      <w:r w:rsidR="00C4194F">
        <w:rPr>
          <w:lang w:val="en-GB"/>
        </w:rPr>
        <w:t>he TRS configuration for candidate cell(s)</w:t>
      </w:r>
      <w:r>
        <w:rPr>
          <w:lang w:val="en-GB"/>
        </w:rPr>
        <w:t>:</w:t>
      </w:r>
    </w:p>
    <w:p w14:paraId="2890D65B" w14:textId="77777777" w:rsidR="00D51F11" w:rsidRDefault="00C4194F" w:rsidP="00C4194F">
      <w:pPr>
        <w:pStyle w:val="af2"/>
        <w:numPr>
          <w:ilvl w:val="0"/>
          <w:numId w:val="112"/>
        </w:numPr>
        <w:ind w:firstLineChars="0"/>
        <w:rPr>
          <w:rFonts w:ascii="Times New Roman" w:eastAsiaTheme="minorEastAsia" w:hAnsi="Times New Roman"/>
          <w:b/>
          <w:bCs/>
          <w:sz w:val="20"/>
          <w:szCs w:val="20"/>
          <w:lang w:val="en-GB"/>
        </w:rPr>
      </w:pPr>
      <w:r w:rsidRPr="008374AF">
        <w:rPr>
          <w:rFonts w:ascii="Times New Roman" w:eastAsiaTheme="minorEastAsia" w:hAnsi="Times New Roman"/>
          <w:b/>
          <w:bCs/>
          <w:i/>
          <w:iCs/>
          <w:sz w:val="20"/>
          <w:szCs w:val="20"/>
          <w:lang w:val="en-GB"/>
        </w:rPr>
        <w:t>nzp-CSI-RS-ResourceId</w:t>
      </w:r>
      <w:r w:rsidRPr="008374AF">
        <w:rPr>
          <w:rFonts w:ascii="Times New Roman" w:eastAsiaTheme="minorEastAsia" w:hAnsi="Times New Roman"/>
          <w:b/>
          <w:bCs/>
          <w:sz w:val="20"/>
          <w:szCs w:val="20"/>
          <w:lang w:val="en-GB"/>
        </w:rPr>
        <w:t xml:space="preserve"> </w:t>
      </w:r>
    </w:p>
    <w:p w14:paraId="0155F272" w14:textId="717EF39F" w:rsidR="00D46879" w:rsidRPr="002B7ABA" w:rsidRDefault="00D46879" w:rsidP="00C4194F">
      <w:pPr>
        <w:pStyle w:val="af2"/>
        <w:numPr>
          <w:ilvl w:val="0"/>
          <w:numId w:val="112"/>
        </w:numPr>
        <w:ind w:firstLineChars="0"/>
        <w:rPr>
          <w:rFonts w:ascii="Times New Roman" w:eastAsiaTheme="minorEastAsia" w:hAnsi="Times New Roman"/>
          <w:b/>
          <w:bCs/>
          <w:i/>
          <w:iCs/>
          <w:sz w:val="20"/>
          <w:szCs w:val="20"/>
          <w:lang w:val="en-GB"/>
        </w:rPr>
      </w:pPr>
      <w:r w:rsidRPr="002B7ABA">
        <w:rPr>
          <w:rFonts w:ascii="Times New Roman" w:eastAsiaTheme="minorEastAsia" w:hAnsi="Times New Roman"/>
          <w:b/>
          <w:bCs/>
          <w:i/>
          <w:iCs/>
          <w:sz w:val="20"/>
          <w:szCs w:val="20"/>
          <w:lang w:val="en-GB"/>
        </w:rPr>
        <w:t>periodicityAndOffset</w:t>
      </w:r>
    </w:p>
    <w:p w14:paraId="7B5F7759" w14:textId="596A4DCB" w:rsidR="00C4194F" w:rsidRDefault="00C4194F" w:rsidP="00C4194F">
      <w:pPr>
        <w:pStyle w:val="af2"/>
        <w:numPr>
          <w:ilvl w:val="0"/>
          <w:numId w:val="112"/>
        </w:numPr>
        <w:ind w:firstLineChars="0"/>
        <w:rPr>
          <w:rFonts w:ascii="Times New Roman" w:eastAsiaTheme="minorEastAsia" w:hAnsi="Times New Roman"/>
          <w:b/>
          <w:bCs/>
          <w:sz w:val="20"/>
          <w:szCs w:val="20"/>
          <w:lang w:val="en-GB"/>
        </w:rPr>
      </w:pPr>
      <w:r w:rsidRPr="008374AF">
        <w:rPr>
          <w:rFonts w:ascii="Times New Roman" w:eastAsiaTheme="minorEastAsia" w:hAnsi="Times New Roman"/>
          <w:b/>
          <w:bCs/>
          <w:i/>
          <w:iCs/>
          <w:sz w:val="20"/>
          <w:szCs w:val="20"/>
          <w:lang w:val="en-GB"/>
        </w:rPr>
        <w:t>qcl-InfoPerodicCSI-RS</w:t>
      </w:r>
      <w:r w:rsidRPr="008374AF">
        <w:rPr>
          <w:rFonts w:ascii="Times New Roman" w:eastAsiaTheme="minorEastAsia" w:hAnsi="Times New Roman"/>
          <w:b/>
          <w:bCs/>
          <w:sz w:val="20"/>
          <w:szCs w:val="20"/>
          <w:lang w:val="en-GB"/>
        </w:rPr>
        <w:t xml:space="preserve"> </w:t>
      </w:r>
    </w:p>
    <w:p w14:paraId="18728DDE" w14:textId="77966188" w:rsidR="00C4194F" w:rsidRPr="002B7ABA" w:rsidRDefault="00D51F11" w:rsidP="00C4194F">
      <w:pPr>
        <w:pStyle w:val="af2"/>
        <w:numPr>
          <w:ilvl w:val="0"/>
          <w:numId w:val="112"/>
        </w:numPr>
        <w:ind w:firstLineChars="0"/>
        <w:rPr>
          <w:rFonts w:eastAsiaTheme="minorEastAsia"/>
          <w:bCs/>
          <w:i/>
          <w:iCs/>
          <w:lang w:val="en-GB"/>
        </w:rPr>
      </w:pPr>
      <w:r w:rsidRPr="00B84D0D">
        <w:rPr>
          <w:rFonts w:ascii="Times New Roman" w:eastAsiaTheme="minorEastAsia" w:hAnsi="Times New Roman"/>
          <w:b/>
          <w:bCs/>
          <w:i/>
          <w:iCs/>
          <w:sz w:val="20"/>
          <w:szCs w:val="20"/>
          <w:lang w:val="en-GB"/>
        </w:rPr>
        <w:t>ResourceMapping</w:t>
      </w:r>
    </w:p>
    <w:p w14:paraId="0F09262D" w14:textId="51B8F220" w:rsidR="00D46879" w:rsidRPr="002B7ABA" w:rsidRDefault="00D46879" w:rsidP="00C4194F">
      <w:pPr>
        <w:pStyle w:val="af2"/>
        <w:numPr>
          <w:ilvl w:val="0"/>
          <w:numId w:val="112"/>
        </w:numPr>
        <w:ind w:firstLineChars="0"/>
        <w:rPr>
          <w:rFonts w:ascii="Times New Roman" w:eastAsiaTheme="minorEastAsia" w:hAnsi="Times New Roman"/>
          <w:b/>
          <w:bCs/>
          <w:i/>
          <w:iCs/>
          <w:sz w:val="20"/>
          <w:szCs w:val="20"/>
          <w:lang w:val="en-GB"/>
        </w:rPr>
      </w:pPr>
      <w:r w:rsidRPr="002B7ABA">
        <w:rPr>
          <w:rFonts w:ascii="Times New Roman" w:eastAsiaTheme="minorEastAsia" w:hAnsi="Times New Roman"/>
          <w:b/>
          <w:bCs/>
          <w:i/>
          <w:iCs/>
          <w:sz w:val="20"/>
          <w:szCs w:val="20"/>
          <w:lang w:val="en-GB"/>
        </w:rPr>
        <w:t>frequencyInfoDL</w:t>
      </w:r>
    </w:p>
    <w:p w14:paraId="4EC4FF3A" w14:textId="51ACADC2" w:rsidR="00D51F11" w:rsidRPr="00B84D0D" w:rsidRDefault="00D51F11" w:rsidP="00C4194F">
      <w:pPr>
        <w:pStyle w:val="af2"/>
        <w:numPr>
          <w:ilvl w:val="0"/>
          <w:numId w:val="112"/>
        </w:numPr>
        <w:ind w:firstLineChars="0"/>
        <w:rPr>
          <w:rFonts w:eastAsiaTheme="minorEastAsia"/>
          <w:bCs/>
          <w:i/>
          <w:iCs/>
          <w:lang w:val="en-GB"/>
        </w:rPr>
      </w:pPr>
      <w:r>
        <w:rPr>
          <w:rFonts w:ascii="Times New Roman" w:eastAsiaTheme="minorEastAsia" w:hAnsi="Times New Roman"/>
          <w:b/>
          <w:bCs/>
          <w:i/>
          <w:iCs/>
          <w:sz w:val="20"/>
          <w:szCs w:val="20"/>
          <w:lang w:val="en-GB"/>
        </w:rPr>
        <w:t xml:space="preserve">DL </w:t>
      </w:r>
      <w:r>
        <w:rPr>
          <w:rFonts w:ascii="Times New Roman" w:eastAsiaTheme="minorEastAsia" w:hAnsi="Times New Roman" w:hint="eastAsia"/>
          <w:b/>
          <w:bCs/>
          <w:i/>
          <w:iCs/>
          <w:sz w:val="20"/>
          <w:szCs w:val="20"/>
          <w:lang w:val="en-GB"/>
        </w:rPr>
        <w:t>B</w:t>
      </w:r>
      <w:r>
        <w:rPr>
          <w:rFonts w:ascii="Times New Roman" w:eastAsiaTheme="minorEastAsia" w:hAnsi="Times New Roman"/>
          <w:b/>
          <w:bCs/>
          <w:i/>
          <w:iCs/>
          <w:sz w:val="20"/>
          <w:szCs w:val="20"/>
          <w:lang w:val="en-GB"/>
        </w:rPr>
        <w:t>WP-related information</w:t>
      </w:r>
      <w:r w:rsidR="00D46879">
        <w:rPr>
          <w:rFonts w:ascii="Times New Roman" w:eastAsiaTheme="minorEastAsia" w:hAnsi="Times New Roman"/>
          <w:b/>
          <w:bCs/>
          <w:i/>
          <w:iCs/>
          <w:sz w:val="20"/>
          <w:szCs w:val="20"/>
          <w:lang w:val="en-GB"/>
        </w:rPr>
        <w:t xml:space="preserve">, i.e., </w:t>
      </w:r>
      <w:r w:rsidR="00D46879" w:rsidRPr="00D46879">
        <w:rPr>
          <w:rFonts w:ascii="Times New Roman" w:eastAsiaTheme="minorEastAsia" w:hAnsi="Times New Roman"/>
          <w:b/>
          <w:bCs/>
          <w:i/>
          <w:iCs/>
          <w:sz w:val="20"/>
          <w:szCs w:val="20"/>
          <w:lang w:val="en-GB"/>
        </w:rPr>
        <w:t>subcarrierSpacing, locationAndBandwidth, cyclicPrefix</w:t>
      </w:r>
    </w:p>
    <w:p w14:paraId="531C5662" w14:textId="13E07C6D" w:rsidR="00D51F11" w:rsidRDefault="0098525F" w:rsidP="00B05470">
      <w:pPr>
        <w:pStyle w:val="proposal"/>
        <w:spacing w:before="120" w:after="120"/>
        <w:ind w:left="1134" w:hanging="1134"/>
        <w:rPr>
          <w:lang w:val="en-GB"/>
        </w:rPr>
      </w:pPr>
      <w:r>
        <w:rPr>
          <w:lang w:val="en-GB"/>
        </w:rPr>
        <w:t xml:space="preserve">TRS tracking for candidate cell(s) </w:t>
      </w:r>
      <w:r w:rsidR="00B565D6">
        <w:rPr>
          <w:lang w:val="en-GB"/>
        </w:rPr>
        <w:t>is</w:t>
      </w:r>
      <w:r>
        <w:rPr>
          <w:lang w:val="en-GB"/>
        </w:rPr>
        <w:t xml:space="preserve"> performed when UE receives TCI state activation command before cell switch command and </w:t>
      </w:r>
      <w:r w:rsidR="00B565D6" w:rsidRPr="00B565D6">
        <w:rPr>
          <w:lang w:val="en-GB"/>
        </w:rPr>
        <w:t xml:space="preserve">at least one QCL source RS of the activated TCI state(s) </w:t>
      </w:r>
      <w:r w:rsidR="00B565D6">
        <w:rPr>
          <w:lang w:val="en-GB"/>
        </w:rPr>
        <w:t xml:space="preserve">associated with the candidate cell(s) </w:t>
      </w:r>
      <w:r w:rsidR="00B565D6" w:rsidRPr="00B565D6">
        <w:rPr>
          <w:lang w:val="en-GB"/>
        </w:rPr>
        <w:t>is TRS</w:t>
      </w:r>
      <w:r w:rsidR="00B565D6">
        <w:rPr>
          <w:lang w:val="en-GB"/>
        </w:rPr>
        <w:t>.</w:t>
      </w:r>
    </w:p>
    <w:p w14:paraId="2FAD19EC" w14:textId="7FE1113B" w:rsidR="00A742AB" w:rsidRDefault="005B4F43" w:rsidP="00A742AB">
      <w:pPr>
        <w:rPr>
          <w:rFonts w:eastAsiaTheme="minorEastAsia"/>
          <w:lang w:val="en-GB" w:eastAsia="zh-CN"/>
        </w:rPr>
      </w:pPr>
      <w:r>
        <w:rPr>
          <w:rFonts w:eastAsiaTheme="minorEastAsia"/>
          <w:lang w:val="en-GB" w:eastAsia="zh-CN"/>
        </w:rPr>
        <w:t>Similar to measurement RS configuration in section 2.1, t</w:t>
      </w:r>
      <w:r w:rsidR="00A742AB">
        <w:rPr>
          <w:rFonts w:eastAsiaTheme="minorEastAsia"/>
          <w:lang w:val="en-GB" w:eastAsia="zh-CN"/>
        </w:rPr>
        <w:t xml:space="preserve">he </w:t>
      </w:r>
      <w:r>
        <w:rPr>
          <w:rFonts w:eastAsiaTheme="minorEastAsia"/>
          <w:lang w:val="en-GB" w:eastAsia="zh-CN"/>
        </w:rPr>
        <w:t>secon</w:t>
      </w:r>
      <w:r w:rsidR="00A742AB">
        <w:rPr>
          <w:rFonts w:eastAsiaTheme="minorEastAsia"/>
          <w:lang w:val="en-GB" w:eastAsia="zh-CN"/>
        </w:rPr>
        <w:t xml:space="preserve">d issue of TCI </w:t>
      </w:r>
      <w:r w:rsidR="00A742AB">
        <w:rPr>
          <w:rFonts w:eastAsiaTheme="minorEastAsia" w:hint="eastAsia"/>
          <w:lang w:val="en-GB" w:eastAsia="zh-CN"/>
        </w:rPr>
        <w:t>state</w:t>
      </w:r>
      <w:r w:rsidR="00A742AB">
        <w:rPr>
          <w:rFonts w:eastAsiaTheme="minorEastAsia"/>
          <w:lang w:val="en-GB" w:eastAsia="zh-CN"/>
        </w:rPr>
        <w:t xml:space="preserve"> configuration is </w:t>
      </w:r>
      <w:r w:rsidR="00DB1768">
        <w:rPr>
          <w:rFonts w:eastAsiaTheme="minorEastAsia"/>
          <w:lang w:val="en-GB" w:eastAsia="zh-CN"/>
        </w:rPr>
        <w:t xml:space="preserve">how to handle the two TCI state configuration after cell switch. </w:t>
      </w:r>
      <w:r>
        <w:rPr>
          <w:rFonts w:eastAsiaTheme="minorEastAsia"/>
          <w:lang w:val="en-GB" w:eastAsia="zh-CN"/>
        </w:rPr>
        <w:t>O</w:t>
      </w:r>
      <w:r w:rsidR="00DB1768" w:rsidRPr="00DB1768">
        <w:rPr>
          <w:rFonts w:eastAsiaTheme="minorEastAsia"/>
          <w:lang w:val="en-GB" w:eastAsia="zh-CN"/>
        </w:rPr>
        <w:t xml:space="preserve">ne </w:t>
      </w:r>
      <w:r w:rsidR="002155FF">
        <w:rPr>
          <w:rFonts w:eastAsiaTheme="minorEastAsia"/>
          <w:lang w:val="en-GB" w:eastAsia="zh-CN"/>
        </w:rPr>
        <w:t>TCI state configuration</w:t>
      </w:r>
      <w:r w:rsidR="00A87798">
        <w:rPr>
          <w:rFonts w:eastAsiaTheme="minorEastAsia"/>
          <w:lang w:val="en-GB" w:eastAsia="zh-CN"/>
        </w:rPr>
        <w:t xml:space="preserve"> (i.e., TCI state configuration#1)</w:t>
      </w:r>
      <w:r w:rsidR="002155FF">
        <w:rPr>
          <w:rFonts w:eastAsiaTheme="minorEastAsia"/>
          <w:lang w:val="en-GB" w:eastAsia="zh-CN"/>
        </w:rPr>
        <w:t xml:space="preserve"> </w:t>
      </w:r>
      <w:r w:rsidR="00DB1768" w:rsidRPr="00DB1768">
        <w:rPr>
          <w:rFonts w:eastAsiaTheme="minorEastAsia"/>
          <w:lang w:val="en-GB" w:eastAsia="zh-CN"/>
        </w:rPr>
        <w:t xml:space="preserve">is configured outside of candidate cell </w:t>
      </w:r>
      <w:r w:rsidR="00A87798">
        <w:rPr>
          <w:rFonts w:eastAsiaTheme="minorEastAsia"/>
          <w:lang w:val="en-GB" w:eastAsia="zh-CN"/>
        </w:rPr>
        <w:t xml:space="preserve">for DL sync on candidate cell for LTM, </w:t>
      </w:r>
      <w:r w:rsidR="00DB1768" w:rsidRPr="00DB1768">
        <w:rPr>
          <w:rFonts w:eastAsiaTheme="minorEastAsia"/>
          <w:lang w:val="en-GB" w:eastAsia="zh-CN"/>
        </w:rPr>
        <w:t xml:space="preserve">and the other </w:t>
      </w:r>
      <w:r w:rsidR="00A87798">
        <w:rPr>
          <w:rFonts w:eastAsiaTheme="minorEastAsia"/>
          <w:lang w:val="en-GB" w:eastAsia="zh-CN"/>
        </w:rPr>
        <w:t xml:space="preserve">(i.e., TCI state configuration#2) </w:t>
      </w:r>
      <w:r w:rsidR="00DB1768" w:rsidRPr="00DB1768">
        <w:rPr>
          <w:rFonts w:eastAsiaTheme="minorEastAsia"/>
          <w:lang w:val="en-GB" w:eastAsia="zh-CN"/>
        </w:rPr>
        <w:t>is configured in the candidate cell configuration</w:t>
      </w:r>
      <w:r w:rsidR="00A87798">
        <w:rPr>
          <w:rFonts w:eastAsiaTheme="minorEastAsia"/>
          <w:lang w:val="en-GB" w:eastAsia="zh-CN"/>
        </w:rPr>
        <w:t xml:space="preserve"> for beam indication</w:t>
      </w:r>
      <w:r w:rsidR="002155FF">
        <w:rPr>
          <w:rFonts w:eastAsiaTheme="minorEastAsia"/>
          <w:lang w:val="en-GB" w:eastAsia="zh-CN"/>
        </w:rPr>
        <w:t xml:space="preserve">. </w:t>
      </w:r>
      <w:r w:rsidR="00A87798">
        <w:rPr>
          <w:rFonts w:eastAsiaTheme="minorEastAsia"/>
          <w:lang w:val="en-GB" w:eastAsia="zh-CN"/>
        </w:rPr>
        <w:t xml:space="preserve">When receiving </w:t>
      </w:r>
      <w:r w:rsidR="00A87798">
        <w:rPr>
          <w:rFonts w:eastAsiaTheme="minorEastAsia"/>
          <w:lang w:val="en-GB" w:eastAsia="zh-CN"/>
        </w:rPr>
        <w:lastRenderedPageBreak/>
        <w:t>LTM TCI state activation command</w:t>
      </w:r>
      <w:r w:rsidR="00E7518A">
        <w:rPr>
          <w:rFonts w:eastAsiaTheme="minorEastAsia"/>
          <w:lang w:val="en-GB" w:eastAsia="zh-CN"/>
        </w:rPr>
        <w:t xml:space="preserve"> and cell switch command</w:t>
      </w:r>
      <w:r w:rsidR="00A87798">
        <w:rPr>
          <w:rFonts w:eastAsiaTheme="minorEastAsia"/>
          <w:lang w:val="en-GB" w:eastAsia="zh-CN"/>
        </w:rPr>
        <w:t>, the activated TCI stat</w:t>
      </w:r>
      <w:r w:rsidR="00A87798">
        <w:rPr>
          <w:rFonts w:eastAsiaTheme="minorEastAsia" w:hint="eastAsia"/>
          <w:lang w:val="en-GB" w:eastAsia="zh-CN"/>
        </w:rPr>
        <w:t>e</w:t>
      </w:r>
      <w:r w:rsidR="00A87798">
        <w:rPr>
          <w:rFonts w:eastAsiaTheme="minorEastAsia"/>
          <w:lang w:val="en-GB" w:eastAsia="zh-CN"/>
        </w:rPr>
        <w:t>(s)</w:t>
      </w:r>
      <w:r w:rsidR="00E7518A">
        <w:rPr>
          <w:rFonts w:eastAsiaTheme="minorEastAsia"/>
          <w:lang w:val="en-GB" w:eastAsia="zh-CN"/>
        </w:rPr>
        <w:t xml:space="preserve"> and indicated TCI state</w:t>
      </w:r>
      <w:r w:rsidR="00A87798">
        <w:rPr>
          <w:rFonts w:eastAsiaTheme="minorEastAsia"/>
          <w:lang w:val="en-GB" w:eastAsia="zh-CN"/>
        </w:rPr>
        <w:t xml:space="preserve"> can be determined based on the TCI state configuration#1. </w:t>
      </w:r>
      <w:r w:rsidR="00E7518A">
        <w:rPr>
          <w:rFonts w:eastAsiaTheme="minorEastAsia"/>
          <w:lang w:val="en-GB" w:eastAsia="zh-CN"/>
        </w:rPr>
        <w:t xml:space="preserve">When receiving unified TCI state activation/deactivation command, the activated/deactivated TCI state(s) can be determined </w:t>
      </w:r>
      <w:r w:rsidR="00717094">
        <w:rPr>
          <w:rFonts w:eastAsiaTheme="minorEastAsia"/>
          <w:lang w:val="en-GB" w:eastAsia="zh-CN"/>
        </w:rPr>
        <w:t>based on TCI state configuration#2.</w:t>
      </w:r>
      <w:r w:rsidR="00E7518A">
        <w:rPr>
          <w:rFonts w:eastAsiaTheme="minorEastAsia"/>
          <w:lang w:val="en-GB" w:eastAsia="zh-CN"/>
        </w:rPr>
        <w:t xml:space="preserve"> </w:t>
      </w:r>
      <w:r w:rsidR="00486328">
        <w:rPr>
          <w:rFonts w:eastAsiaTheme="minorEastAsia"/>
          <w:lang w:val="en-GB" w:eastAsia="zh-CN"/>
        </w:rPr>
        <w:t xml:space="preserve"> Besides activated TCI state(s) and indicated TCI state in cell switch command, </w:t>
      </w:r>
      <w:r w:rsidR="00ED32D9">
        <w:rPr>
          <w:rFonts w:eastAsiaTheme="minorEastAsia"/>
          <w:lang w:val="en-GB" w:eastAsia="zh-CN"/>
        </w:rPr>
        <w:t xml:space="preserve">the </w:t>
      </w:r>
      <w:r w:rsidR="00486328">
        <w:rPr>
          <w:rFonts w:eastAsiaTheme="minorEastAsia"/>
          <w:lang w:val="en-GB" w:eastAsia="zh-CN"/>
        </w:rPr>
        <w:t>TCI state</w:t>
      </w:r>
      <w:r w:rsidR="00ED32D9">
        <w:rPr>
          <w:rFonts w:eastAsiaTheme="minorEastAsia"/>
          <w:lang w:val="en-GB" w:eastAsia="zh-CN"/>
        </w:rPr>
        <w:t>s</w:t>
      </w:r>
      <w:r w:rsidR="00486328">
        <w:rPr>
          <w:rFonts w:eastAsiaTheme="minorEastAsia"/>
          <w:lang w:val="en-GB" w:eastAsia="zh-CN"/>
        </w:rPr>
        <w:t xml:space="preserve"> </w:t>
      </w:r>
      <w:r w:rsidR="00ED32D9">
        <w:rPr>
          <w:rFonts w:eastAsiaTheme="minorEastAsia"/>
          <w:lang w:val="en-GB" w:eastAsia="zh-CN"/>
        </w:rPr>
        <w:t xml:space="preserve">configured for RSs </w:t>
      </w:r>
      <w:r w:rsidR="00ED32D9" w:rsidRPr="00ED32D9">
        <w:rPr>
          <w:rFonts w:eastAsiaTheme="minorEastAsia"/>
          <w:lang w:val="en-GB" w:eastAsia="zh-CN"/>
        </w:rPr>
        <w:t>inside of the candidate cell configuration are referred to TCI state configuration inside of candidate cell configuration</w:t>
      </w:r>
      <w:r w:rsidR="00ED32D9">
        <w:rPr>
          <w:rFonts w:eastAsiaTheme="minorEastAsia"/>
          <w:lang w:val="en-GB" w:eastAsia="zh-CN"/>
        </w:rPr>
        <w:t xml:space="preserve">, while the </w:t>
      </w:r>
      <w:r w:rsidR="00ED32D9" w:rsidRPr="00ED32D9">
        <w:rPr>
          <w:rFonts w:eastAsiaTheme="minorEastAsia"/>
          <w:lang w:val="en-GB" w:eastAsia="zh-CN"/>
        </w:rPr>
        <w:t>TCI states configured for RSs outside of the candidate cell configuration are referred to TCI state configuration outside of candidate cell configuration</w:t>
      </w:r>
      <w:r w:rsidR="00ED32D9">
        <w:rPr>
          <w:rFonts w:eastAsiaTheme="minorEastAsia"/>
          <w:lang w:val="en-GB" w:eastAsia="zh-CN"/>
        </w:rPr>
        <w:t xml:space="preserve">. </w:t>
      </w:r>
    </w:p>
    <w:p w14:paraId="73A7FED8" w14:textId="3D1B83CD" w:rsidR="00717094" w:rsidRPr="002B7ABA" w:rsidRDefault="00717094" w:rsidP="00ED32D9">
      <w:pPr>
        <w:pStyle w:val="proposal"/>
        <w:spacing w:before="120" w:after="120"/>
        <w:ind w:left="1134" w:hanging="1134"/>
        <w:rPr>
          <w:lang w:val="en-GB"/>
        </w:rPr>
      </w:pPr>
      <w:r w:rsidRPr="00717094">
        <w:rPr>
          <w:lang w:val="en-GB"/>
        </w:rPr>
        <w:t xml:space="preserve">After cell switch operation, </w:t>
      </w:r>
      <w:r>
        <w:rPr>
          <w:lang w:val="en-GB"/>
        </w:rPr>
        <w:t>TCI state</w:t>
      </w:r>
      <w:r w:rsidR="00486328">
        <w:rPr>
          <w:lang w:val="en-GB"/>
        </w:rPr>
        <w:t>s</w:t>
      </w:r>
      <w:r>
        <w:rPr>
          <w:lang w:val="en-GB"/>
        </w:rPr>
        <w:t xml:space="preserve"> activated by unified TCI state </w:t>
      </w:r>
      <w:r>
        <w:rPr>
          <w:rFonts w:hint="eastAsia"/>
          <w:lang w:val="en-GB"/>
        </w:rPr>
        <w:t>activation</w:t>
      </w:r>
      <w:r>
        <w:rPr>
          <w:lang w:val="en-GB"/>
        </w:rPr>
        <w:t xml:space="preserve"> command and</w:t>
      </w:r>
      <w:r w:rsidR="00486328">
        <w:rPr>
          <w:lang w:val="en-GB"/>
        </w:rPr>
        <w:t>/or</w:t>
      </w:r>
      <w:r>
        <w:rPr>
          <w:lang w:val="en-GB"/>
        </w:rPr>
        <w:t xml:space="preserve"> configured for RSs inside of </w:t>
      </w:r>
      <w:r w:rsidR="00486328">
        <w:rPr>
          <w:lang w:val="en-GB"/>
        </w:rPr>
        <w:t>the candidate cell configuration</w:t>
      </w:r>
      <w:r>
        <w:rPr>
          <w:lang w:val="en-GB"/>
        </w:rPr>
        <w:t xml:space="preserve"> are referred to TCI state</w:t>
      </w:r>
      <w:r w:rsidRPr="00717094">
        <w:rPr>
          <w:lang w:val="en-GB"/>
        </w:rPr>
        <w:t xml:space="preserve"> configuration inside </w:t>
      </w:r>
      <w:r w:rsidR="00486328">
        <w:rPr>
          <w:lang w:val="en-GB"/>
        </w:rPr>
        <w:t xml:space="preserve">of </w:t>
      </w:r>
      <w:r w:rsidRPr="00717094">
        <w:rPr>
          <w:lang w:val="en-GB"/>
        </w:rPr>
        <w:t xml:space="preserve">candidate cell configuration, while </w:t>
      </w:r>
      <w:r w:rsidR="00486328">
        <w:rPr>
          <w:lang w:val="en-GB"/>
        </w:rPr>
        <w:t xml:space="preserve">TCI state(s) activated by LTM TCI state </w:t>
      </w:r>
      <w:r w:rsidR="00486328">
        <w:rPr>
          <w:rFonts w:hint="eastAsia"/>
          <w:lang w:val="en-GB"/>
        </w:rPr>
        <w:t>activation</w:t>
      </w:r>
      <w:r w:rsidR="00486328">
        <w:rPr>
          <w:lang w:val="en-GB"/>
        </w:rPr>
        <w:t xml:space="preserve"> command,  TCI state indicated in the cell switch command, and TCI states configured for RSs outside of the candidate cell configuration are referred to TCI state</w:t>
      </w:r>
      <w:r w:rsidR="00486328" w:rsidRPr="00717094">
        <w:rPr>
          <w:lang w:val="en-GB"/>
        </w:rPr>
        <w:t xml:space="preserve"> configuration </w:t>
      </w:r>
      <w:r w:rsidR="00486328">
        <w:rPr>
          <w:lang w:val="en-GB"/>
        </w:rPr>
        <w:t>out</w:t>
      </w:r>
      <w:r w:rsidR="00486328" w:rsidRPr="00717094">
        <w:rPr>
          <w:lang w:val="en-GB"/>
        </w:rPr>
        <w:t xml:space="preserve">side </w:t>
      </w:r>
      <w:r w:rsidR="00486328">
        <w:rPr>
          <w:lang w:val="en-GB"/>
        </w:rPr>
        <w:t xml:space="preserve">of </w:t>
      </w:r>
      <w:r w:rsidR="00486328" w:rsidRPr="00717094">
        <w:rPr>
          <w:lang w:val="en-GB"/>
        </w:rPr>
        <w:t>candidate cell configuration</w:t>
      </w:r>
      <w:r w:rsidRPr="00717094">
        <w:rPr>
          <w:lang w:val="en-GB"/>
        </w:rPr>
        <w:t xml:space="preserve">.  </w:t>
      </w:r>
    </w:p>
    <w:p w14:paraId="6CF99545" w14:textId="77777777" w:rsidR="00C4194F" w:rsidRDefault="00C4194F" w:rsidP="00C4194F">
      <w:pPr>
        <w:pStyle w:val="title2"/>
        <w:rPr>
          <w:lang w:val="en-GB"/>
        </w:rPr>
      </w:pPr>
      <w:r>
        <w:rPr>
          <w:lang w:val="en-GB"/>
        </w:rPr>
        <w:t>TCI state activation</w:t>
      </w:r>
    </w:p>
    <w:p w14:paraId="3DE0659D" w14:textId="27EAB4A9" w:rsidR="00C4194F" w:rsidRDefault="00C4194F" w:rsidP="00C4194F">
      <w:pPr>
        <w:rPr>
          <w:rFonts w:eastAsiaTheme="minorEastAsia"/>
          <w:lang w:val="en-GB" w:eastAsia="zh-CN"/>
        </w:rPr>
      </w:pP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RAN1#113 </w:t>
      </w:r>
      <w:r>
        <w:rPr>
          <w:rFonts w:eastAsiaTheme="minorEastAsia" w:hint="eastAsia"/>
          <w:lang w:val="en-GB" w:eastAsia="zh-CN"/>
        </w:rPr>
        <w:t>meeting</w:t>
      </w:r>
      <w:r>
        <w:rPr>
          <w:rFonts w:eastAsiaTheme="minorEastAsia"/>
          <w:lang w:val="en-GB" w:eastAsia="zh-CN"/>
        </w:rPr>
        <w:t xml:space="preserve">, MAC CE-based TCI </w:t>
      </w:r>
      <w:r>
        <w:rPr>
          <w:rFonts w:eastAsiaTheme="minorEastAsia" w:hint="eastAsia"/>
          <w:lang w:val="en-GB" w:eastAsia="zh-CN"/>
        </w:rPr>
        <w:t>state</w:t>
      </w:r>
      <w:r>
        <w:rPr>
          <w:rFonts w:eastAsiaTheme="minorEastAsia"/>
          <w:lang w:val="en-GB" w:eastAsia="zh-CN"/>
        </w:rPr>
        <w:t xml:space="preserve"> activation for candidate cell before the reception of cell switch command was agreed and the number of activated TCI </w:t>
      </w:r>
      <w:r>
        <w:rPr>
          <w:rFonts w:eastAsiaTheme="minorEastAsia" w:hint="eastAsia"/>
          <w:lang w:val="en-GB" w:eastAsia="zh-CN"/>
        </w:rPr>
        <w:t>state</w:t>
      </w:r>
      <w:r>
        <w:rPr>
          <w:rFonts w:eastAsiaTheme="minorEastAsia"/>
          <w:lang w:val="en-GB" w:eastAsia="zh-CN"/>
        </w:rPr>
        <w:t xml:space="preserve">s must be larger than 1 </w:t>
      </w:r>
      <w:r w:rsidRPr="002F0E11">
        <w:rPr>
          <w:rFonts w:eastAsiaTheme="minorEastAsia"/>
          <w:lang w:val="en-GB" w:eastAsia="zh-CN"/>
        </w:rPr>
        <w:t>if supported</w:t>
      </w:r>
      <w:r>
        <w:rPr>
          <w:rFonts w:eastAsiaTheme="minorEastAsia"/>
          <w:lang w:val="en-GB" w:eastAsia="zh-CN"/>
        </w:rPr>
        <w:t>. As only one TCI-State index or one pair of TCI-S</w:t>
      </w:r>
      <w:r>
        <w:rPr>
          <w:rFonts w:eastAsiaTheme="minorEastAsia" w:hint="eastAsia"/>
          <w:lang w:val="en-GB" w:eastAsia="zh-CN"/>
        </w:rPr>
        <w:t>tate</w:t>
      </w:r>
      <w:r>
        <w:rPr>
          <w:rFonts w:eastAsiaTheme="minorEastAsia"/>
          <w:lang w:val="en-GB" w:eastAsia="zh-CN"/>
        </w:rPr>
        <w:t xml:space="preserve"> and TCI</w:t>
      </w:r>
      <w:r>
        <w:rPr>
          <w:rFonts w:eastAsiaTheme="minorEastAsia" w:hint="eastAsia"/>
          <w:lang w:val="en-GB" w:eastAsia="zh-CN"/>
        </w:rPr>
        <w:t>-</w:t>
      </w:r>
      <w:r>
        <w:rPr>
          <w:rFonts w:eastAsiaTheme="minorEastAsia"/>
          <w:lang w:val="en-GB" w:eastAsia="zh-CN"/>
        </w:rPr>
        <w:t>UL-S</w:t>
      </w:r>
      <w:r>
        <w:rPr>
          <w:rFonts w:eastAsiaTheme="minorEastAsia" w:hint="eastAsia"/>
          <w:lang w:val="en-GB" w:eastAsia="zh-CN"/>
        </w:rPr>
        <w:t>tate</w:t>
      </w:r>
      <w:r>
        <w:rPr>
          <w:rFonts w:eastAsiaTheme="minorEastAsia"/>
          <w:lang w:val="en-GB" w:eastAsia="zh-CN"/>
        </w:rPr>
        <w:t xml:space="preserve"> index indicated in the cell switch command can be applied after handover, UE behaviour on the other activated TCI </w:t>
      </w:r>
      <w:r>
        <w:rPr>
          <w:rFonts w:eastAsiaTheme="minorEastAsia" w:hint="eastAsia"/>
          <w:lang w:val="en-GB" w:eastAsia="zh-CN"/>
        </w:rPr>
        <w:t>state</w:t>
      </w:r>
      <w:r>
        <w:rPr>
          <w:rFonts w:eastAsiaTheme="minorEastAsia"/>
          <w:lang w:val="en-GB" w:eastAsia="zh-CN"/>
        </w:rPr>
        <w:t>s is not clear. And in the last meeting, following three alternative</w:t>
      </w:r>
      <w:r w:rsidR="00406D9E">
        <w:rPr>
          <w:rFonts w:eastAsiaTheme="minorEastAsia"/>
          <w:lang w:val="en-GB" w:eastAsia="zh-CN"/>
        </w:rPr>
        <w:t>s</w:t>
      </w:r>
      <w:r>
        <w:rPr>
          <w:rFonts w:eastAsiaTheme="minorEastAsia"/>
          <w:lang w:val="en-GB" w:eastAsia="zh-CN"/>
        </w:rPr>
        <w:t xml:space="preserve"> w</w:t>
      </w:r>
      <w:r w:rsidR="00406D9E">
        <w:rPr>
          <w:rFonts w:eastAsiaTheme="minorEastAsia"/>
          <w:lang w:val="en-GB" w:eastAsia="zh-CN"/>
        </w:rPr>
        <w:t>ere</w:t>
      </w:r>
      <w:r>
        <w:rPr>
          <w:rFonts w:eastAsiaTheme="minorEastAsia"/>
          <w:lang w:val="en-GB" w:eastAsia="zh-CN"/>
        </w:rPr>
        <w:t xml:space="preserve"> </w:t>
      </w:r>
      <w:r w:rsidR="00406D9E">
        <w:rPr>
          <w:rFonts w:eastAsiaTheme="minorEastAsia"/>
          <w:lang w:val="en-GB" w:eastAsia="zh-CN"/>
        </w:rPr>
        <w:t>discussed</w:t>
      </w:r>
      <w:r>
        <w:rPr>
          <w:rFonts w:eastAsiaTheme="minorEastAsia"/>
          <w:lang w:val="en-GB" w:eastAsia="zh-CN"/>
        </w:rPr>
        <w:t xml:space="preserve"> without any consensus.</w:t>
      </w:r>
    </w:p>
    <w:p w14:paraId="64A70117" w14:textId="77777777" w:rsidR="00C4194F" w:rsidRPr="008374AF" w:rsidRDefault="00C4194F" w:rsidP="00C4194F">
      <w:pPr>
        <w:pStyle w:val="af2"/>
        <w:numPr>
          <w:ilvl w:val="0"/>
          <w:numId w:val="113"/>
        </w:numPr>
        <w:ind w:firstLineChars="0"/>
        <w:rPr>
          <w:rFonts w:ascii="Times New Roman" w:eastAsiaTheme="minorEastAsia" w:hAnsi="Times New Roman"/>
          <w:sz w:val="20"/>
          <w:szCs w:val="20"/>
          <w:lang w:val="en-GB"/>
        </w:rPr>
      </w:pPr>
      <w:r w:rsidRPr="008374AF">
        <w:rPr>
          <w:rFonts w:ascii="Times New Roman" w:eastAsiaTheme="minorEastAsia" w:hAnsi="Times New Roman"/>
          <w:sz w:val="20"/>
          <w:szCs w:val="20"/>
          <w:lang w:val="en-GB"/>
        </w:rPr>
        <w:t>Alt-1: Retain all activate</w:t>
      </w:r>
      <w:r>
        <w:rPr>
          <w:rFonts w:ascii="Times New Roman" w:eastAsiaTheme="minorEastAsia" w:hAnsi="Times New Roman"/>
          <w:sz w:val="20"/>
          <w:szCs w:val="20"/>
          <w:lang w:val="en-GB"/>
        </w:rPr>
        <w:t>d</w:t>
      </w:r>
      <w:r w:rsidRPr="008374AF">
        <w:rPr>
          <w:rFonts w:ascii="Times New Roman" w:eastAsiaTheme="minorEastAsia" w:hAnsi="Times New Roman"/>
          <w:sz w:val="20"/>
          <w:szCs w:val="20"/>
          <w:lang w:val="en-GB"/>
        </w:rPr>
        <w:t xml:space="preserve"> TCI states;</w:t>
      </w:r>
    </w:p>
    <w:p w14:paraId="75E1AD03" w14:textId="4BFB5BD8" w:rsidR="00C4194F" w:rsidRPr="008374AF" w:rsidRDefault="00C4194F" w:rsidP="00C4194F">
      <w:pPr>
        <w:pStyle w:val="af2"/>
        <w:numPr>
          <w:ilvl w:val="0"/>
          <w:numId w:val="113"/>
        </w:numPr>
        <w:ind w:firstLineChars="0"/>
        <w:rPr>
          <w:rFonts w:ascii="Times New Roman" w:eastAsiaTheme="minorEastAsia" w:hAnsi="Times New Roman"/>
          <w:sz w:val="20"/>
          <w:szCs w:val="20"/>
          <w:lang w:val="en-GB"/>
        </w:rPr>
      </w:pPr>
      <w:r w:rsidRPr="008374AF">
        <w:rPr>
          <w:rFonts w:ascii="Times New Roman" w:eastAsiaTheme="minorEastAsia" w:hAnsi="Times New Roman"/>
          <w:sz w:val="20"/>
          <w:szCs w:val="20"/>
          <w:lang w:val="en-GB"/>
        </w:rPr>
        <w:t>Alt-2: Deactivate all TCI states</w:t>
      </w:r>
      <w:r w:rsidR="00E35E9B">
        <w:rPr>
          <w:rFonts w:ascii="Times New Roman" w:eastAsiaTheme="minorEastAsia" w:hAnsi="Times New Roman"/>
          <w:sz w:val="20"/>
          <w:szCs w:val="20"/>
          <w:lang w:val="en-GB"/>
        </w:rPr>
        <w:t xml:space="preserve"> </w:t>
      </w:r>
      <w:r w:rsidR="00E35E9B">
        <w:rPr>
          <w:rFonts w:ascii="Times New Roman" w:eastAsiaTheme="minorEastAsia" w:hAnsi="Times New Roman" w:hint="eastAsia"/>
          <w:sz w:val="20"/>
          <w:szCs w:val="20"/>
          <w:lang w:val="en-GB"/>
        </w:rPr>
        <w:t>other</w:t>
      </w:r>
      <w:r w:rsidR="00E35E9B">
        <w:rPr>
          <w:rFonts w:ascii="Times New Roman" w:eastAsiaTheme="minorEastAsia" w:hAnsi="Times New Roman"/>
          <w:sz w:val="20"/>
          <w:szCs w:val="20"/>
          <w:lang w:val="en-GB"/>
        </w:rPr>
        <w:t xml:space="preserve"> than the indicated TCI state in the cell switch command</w:t>
      </w:r>
      <w:r w:rsidRPr="008374AF">
        <w:rPr>
          <w:rFonts w:ascii="Times New Roman" w:eastAsiaTheme="minorEastAsia" w:hAnsi="Times New Roman"/>
          <w:sz w:val="20"/>
          <w:szCs w:val="20"/>
          <w:lang w:val="en-GB"/>
        </w:rPr>
        <w:t>;</w:t>
      </w:r>
    </w:p>
    <w:p w14:paraId="6DB74E3D" w14:textId="77777777" w:rsidR="00C4194F" w:rsidRPr="005572B3" w:rsidRDefault="00C4194F" w:rsidP="00C4194F">
      <w:pPr>
        <w:pStyle w:val="af2"/>
        <w:numPr>
          <w:ilvl w:val="0"/>
          <w:numId w:val="113"/>
        </w:numPr>
        <w:ind w:firstLineChars="0"/>
        <w:rPr>
          <w:rFonts w:eastAsiaTheme="minorEastAsia"/>
          <w:szCs w:val="20"/>
          <w:lang w:val="en-GB"/>
        </w:rPr>
      </w:pPr>
      <w:r w:rsidRPr="008374AF">
        <w:rPr>
          <w:rFonts w:ascii="Times New Roman" w:eastAsiaTheme="minorEastAsia" w:hAnsi="Times New Roman"/>
          <w:sz w:val="20"/>
          <w:szCs w:val="20"/>
          <w:lang w:val="en-GB"/>
        </w:rPr>
        <w:t>Alt-3: Do not specify any behaviour, i.e.</w:t>
      </w:r>
      <w:r>
        <w:rPr>
          <w:rFonts w:ascii="Times New Roman" w:eastAsiaTheme="minorEastAsia" w:hAnsi="Times New Roman"/>
          <w:sz w:val="20"/>
          <w:szCs w:val="20"/>
          <w:lang w:val="en-GB"/>
        </w:rPr>
        <w:t>,</w:t>
      </w:r>
      <w:r w:rsidRPr="008374AF">
        <w:rPr>
          <w:rFonts w:ascii="Times New Roman" w:eastAsiaTheme="minorEastAsia" w:hAnsi="Times New Roman"/>
          <w:sz w:val="20"/>
          <w:szCs w:val="20"/>
          <w:lang w:val="en-GB"/>
        </w:rPr>
        <w:t xml:space="preserve"> new serving cell need to perform TCI state activation as a target cell (i.e.</w:t>
      </w:r>
      <w:r>
        <w:rPr>
          <w:rFonts w:ascii="Times New Roman" w:eastAsiaTheme="minorEastAsia" w:hAnsi="Times New Roman"/>
          <w:sz w:val="20"/>
          <w:szCs w:val="20"/>
          <w:lang w:val="en-GB"/>
        </w:rPr>
        <w:t>,</w:t>
      </w:r>
      <w:r w:rsidRPr="008374AF">
        <w:rPr>
          <w:rFonts w:ascii="Times New Roman" w:eastAsiaTheme="minorEastAsia" w:hAnsi="Times New Roman"/>
          <w:sz w:val="20"/>
          <w:szCs w:val="20"/>
          <w:lang w:val="en-GB"/>
        </w:rPr>
        <w:t xml:space="preserve"> a new serving cell) has no information about the activated TCI state at a UE other than the indicated TCI state(s);</w:t>
      </w:r>
    </w:p>
    <w:p w14:paraId="2C4167A2" w14:textId="1C605C5C" w:rsidR="00C4194F" w:rsidRPr="00863550" w:rsidRDefault="00C4194F" w:rsidP="00C4194F">
      <w:pPr>
        <w:rPr>
          <w:rFonts w:eastAsiaTheme="minorEastAsia"/>
          <w:lang w:val="en-GB" w:eastAsia="zh-CN"/>
        </w:rPr>
      </w:pPr>
      <w:r>
        <w:rPr>
          <w:rFonts w:eastAsiaTheme="minorEastAsia"/>
          <w:lang w:val="en-GB" w:eastAsia="zh-CN"/>
        </w:rPr>
        <w:t xml:space="preserve">From the perspective of TCI </w:t>
      </w:r>
      <w:r>
        <w:rPr>
          <w:rFonts w:eastAsiaTheme="minorEastAsia" w:hint="eastAsia"/>
          <w:lang w:val="en-GB" w:eastAsia="zh-CN"/>
        </w:rPr>
        <w:t>state</w:t>
      </w:r>
      <w:r>
        <w:rPr>
          <w:rFonts w:eastAsiaTheme="minorEastAsia"/>
          <w:lang w:val="en-GB" w:eastAsia="zh-CN"/>
        </w:rPr>
        <w:t xml:space="preserve"> switch latency, Alt-1&lt;Alt-2=Alt-3. While from another point of UE energy consumption, Alt-2&lt;Alt-1=Alt-3. </w:t>
      </w:r>
      <w:r w:rsidR="00625DD6">
        <w:rPr>
          <w:rFonts w:eastAsiaTheme="minorEastAsia"/>
          <w:lang w:val="en-GB" w:eastAsia="zh-CN"/>
        </w:rPr>
        <w:t>C</w:t>
      </w:r>
      <w:r>
        <w:rPr>
          <w:rFonts w:eastAsiaTheme="minorEastAsia"/>
          <w:lang w:val="en-GB" w:eastAsia="zh-CN"/>
        </w:rPr>
        <w:t>onsider</w:t>
      </w:r>
      <w:r w:rsidR="00625DD6">
        <w:rPr>
          <w:rFonts w:eastAsiaTheme="minorEastAsia"/>
          <w:lang w:val="en-GB" w:eastAsia="zh-CN"/>
        </w:rPr>
        <w:t>ing</w:t>
      </w:r>
      <w:r>
        <w:rPr>
          <w:rFonts w:eastAsiaTheme="minorEastAsia"/>
          <w:lang w:val="en-GB" w:eastAsia="zh-CN"/>
        </w:rPr>
        <w:t xml:space="preserve"> the number of activated TCI </w:t>
      </w:r>
      <w:r>
        <w:rPr>
          <w:rFonts w:eastAsiaTheme="minorEastAsia" w:hint="eastAsia"/>
          <w:lang w:val="en-GB" w:eastAsia="zh-CN"/>
        </w:rPr>
        <w:t>state</w:t>
      </w:r>
      <w:r>
        <w:rPr>
          <w:rFonts w:eastAsiaTheme="minorEastAsia"/>
          <w:lang w:val="en-GB" w:eastAsia="zh-CN"/>
        </w:rPr>
        <w:t xml:space="preserve">s maybe large and the cell associated with the activated TCI </w:t>
      </w:r>
      <w:r>
        <w:rPr>
          <w:rFonts w:eastAsiaTheme="minorEastAsia" w:hint="eastAsia"/>
          <w:lang w:val="en-GB" w:eastAsia="zh-CN"/>
        </w:rPr>
        <w:t>state</w:t>
      </w:r>
      <w:r>
        <w:rPr>
          <w:rFonts w:eastAsiaTheme="minorEastAsia"/>
          <w:lang w:val="en-GB" w:eastAsia="zh-CN"/>
        </w:rPr>
        <w:t>s maybe in different frequency layer</w:t>
      </w:r>
      <w:r w:rsidR="00625DD6">
        <w:rPr>
          <w:rFonts w:eastAsiaTheme="minorEastAsia"/>
          <w:lang w:val="en-GB" w:eastAsia="zh-CN"/>
        </w:rPr>
        <w:t>s</w:t>
      </w:r>
      <w:r>
        <w:rPr>
          <w:rFonts w:eastAsiaTheme="minorEastAsia"/>
          <w:lang w:val="en-GB" w:eastAsia="zh-CN"/>
        </w:rPr>
        <w:t xml:space="preserve"> from that of the serving cell, retaining all activated TCI </w:t>
      </w:r>
      <w:r>
        <w:rPr>
          <w:rFonts w:eastAsiaTheme="minorEastAsia" w:hint="eastAsia"/>
          <w:lang w:val="en-GB" w:eastAsia="zh-CN"/>
        </w:rPr>
        <w:t>state</w:t>
      </w:r>
      <w:r>
        <w:rPr>
          <w:rFonts w:eastAsiaTheme="minorEastAsia"/>
          <w:lang w:val="en-GB" w:eastAsia="zh-CN"/>
        </w:rPr>
        <w:t>s would result in a significant increase in UE complexity. Therefore, Alt-2 is preferred.</w:t>
      </w:r>
    </w:p>
    <w:p w14:paraId="643173DD" w14:textId="4A410F1E" w:rsidR="00C4194F" w:rsidRDefault="00E35E9B" w:rsidP="00C4194F">
      <w:pPr>
        <w:pStyle w:val="proposal"/>
        <w:spacing w:before="120" w:after="120"/>
        <w:ind w:left="1134" w:hanging="1134"/>
        <w:rPr>
          <w:lang w:val="en-GB"/>
        </w:rPr>
      </w:pPr>
      <w:r>
        <w:rPr>
          <w:lang w:val="en-GB"/>
        </w:rPr>
        <w:t>A</w:t>
      </w:r>
      <w:r w:rsidR="00C4194F">
        <w:rPr>
          <w:lang w:val="en-GB"/>
        </w:rPr>
        <w:t xml:space="preserve">ll TCI </w:t>
      </w:r>
      <w:r w:rsidR="00C4194F">
        <w:rPr>
          <w:rFonts w:hint="eastAsia"/>
          <w:lang w:val="en-GB"/>
        </w:rPr>
        <w:t>state</w:t>
      </w:r>
      <w:r w:rsidR="00C4194F">
        <w:rPr>
          <w:lang w:val="en-GB"/>
        </w:rPr>
        <w:t xml:space="preserve">s </w:t>
      </w:r>
      <w:r w:rsidRPr="00E35E9B">
        <w:rPr>
          <w:lang w:val="en-GB"/>
        </w:rPr>
        <w:t xml:space="preserve">other than the indicated TCI state in the cell switch command </w:t>
      </w:r>
      <w:r>
        <w:rPr>
          <w:lang w:val="en-GB"/>
        </w:rPr>
        <w:t xml:space="preserve">are deactivated </w:t>
      </w:r>
      <w:r w:rsidR="00C4194F">
        <w:rPr>
          <w:lang w:val="en-GB"/>
        </w:rPr>
        <w:t xml:space="preserve">when UE receives cell switch command (i.e., Alt-2) to save UE energy consumption. </w:t>
      </w:r>
    </w:p>
    <w:p w14:paraId="565E9D94" w14:textId="77777777" w:rsidR="00C4194F" w:rsidRPr="007A6848" w:rsidRDefault="00C4194F" w:rsidP="00C4194F">
      <w:pPr>
        <w:pStyle w:val="title2"/>
        <w:rPr>
          <w:lang w:val="en-GB"/>
        </w:rPr>
      </w:pPr>
      <w:r>
        <w:rPr>
          <w:rFonts w:eastAsiaTheme="minorEastAsia" w:hint="eastAsia"/>
          <w:lang w:val="en-GB"/>
        </w:rPr>
        <w:t>B</w:t>
      </w:r>
      <w:r>
        <w:rPr>
          <w:rFonts w:eastAsiaTheme="minorEastAsia"/>
          <w:lang w:val="en-GB"/>
        </w:rPr>
        <w:t>eam determination</w:t>
      </w:r>
    </w:p>
    <w:p w14:paraId="06D009DD" w14:textId="77777777" w:rsidR="00C4194F" w:rsidRDefault="00C4194F" w:rsidP="00C4194F">
      <w:pPr>
        <w:rPr>
          <w:rFonts w:eastAsiaTheme="minorEastAsia"/>
          <w:lang w:val="en-GB" w:eastAsia="zh-CN"/>
        </w:rPr>
      </w:pPr>
      <w:r>
        <w:rPr>
          <w:rFonts w:eastAsiaTheme="minorEastAsia"/>
          <w:lang w:val="en-GB" w:eastAsia="zh-CN"/>
        </w:rPr>
        <w:t xml:space="preserve">In the RAN1#112 meeting, it was agreed that for scenario 2, the beam of </w:t>
      </w:r>
      <w:r w:rsidRPr="00104B69">
        <w:rPr>
          <w:rFonts w:eastAsiaTheme="minorEastAsia"/>
          <w:lang w:val="en-GB" w:eastAsia="zh-CN"/>
        </w:rPr>
        <w:t>signals/channels at the target cell(s)</w:t>
      </w:r>
      <w:r>
        <w:rPr>
          <w:rFonts w:eastAsiaTheme="minorEastAsia"/>
          <w:lang w:val="en-GB" w:eastAsia="zh-CN"/>
        </w:rPr>
        <w:t xml:space="preserve"> </w:t>
      </w:r>
      <w:r w:rsidRPr="00104B69">
        <w:rPr>
          <w:rFonts w:eastAsiaTheme="minorEastAsia"/>
          <w:lang w:val="en-GB" w:eastAsia="zh-CN"/>
        </w:rPr>
        <w:t xml:space="preserve">that follow or are configured to follow Rel-17 unified TCI </w:t>
      </w:r>
      <w:r>
        <w:rPr>
          <w:rFonts w:eastAsiaTheme="minorEastAsia"/>
          <w:lang w:val="en-GB" w:eastAsia="zh-CN"/>
        </w:rPr>
        <w:t xml:space="preserve">state is determined by the indicated TCI state carried in the cell switch command. While for the </w:t>
      </w:r>
      <w:r w:rsidRPr="00104B69">
        <w:rPr>
          <w:rFonts w:eastAsiaTheme="minorEastAsia"/>
          <w:lang w:val="en-GB" w:eastAsia="zh-CN"/>
        </w:rPr>
        <w:t>signals/channels at the target cell(s)</w:t>
      </w:r>
      <w:r>
        <w:rPr>
          <w:rFonts w:eastAsiaTheme="minorEastAsia"/>
          <w:lang w:val="en-GB" w:eastAsia="zh-CN"/>
        </w:rPr>
        <w:t xml:space="preserve"> </w:t>
      </w:r>
      <w:r w:rsidRPr="00104B69">
        <w:rPr>
          <w:rFonts w:eastAsiaTheme="minorEastAsia"/>
          <w:lang w:val="en-GB" w:eastAsia="zh-CN"/>
        </w:rPr>
        <w:t xml:space="preserve">that </w:t>
      </w:r>
      <w:r>
        <w:rPr>
          <w:rFonts w:eastAsiaTheme="minorEastAsia"/>
          <w:lang w:val="en-GB" w:eastAsia="zh-CN"/>
        </w:rPr>
        <w:t xml:space="preserve">do not follow or </w:t>
      </w:r>
      <w:r w:rsidRPr="00104B69">
        <w:rPr>
          <w:rFonts w:eastAsiaTheme="minorEastAsia"/>
          <w:lang w:val="en-GB" w:eastAsia="zh-CN"/>
        </w:rPr>
        <w:t xml:space="preserve">are configured </w:t>
      </w:r>
      <w:r>
        <w:rPr>
          <w:rFonts w:eastAsiaTheme="minorEastAsia"/>
          <w:lang w:val="en-GB" w:eastAsia="zh-CN"/>
        </w:rPr>
        <w:t xml:space="preserve">not </w:t>
      </w:r>
      <w:r w:rsidRPr="00104B69">
        <w:rPr>
          <w:rFonts w:eastAsiaTheme="minorEastAsia"/>
          <w:lang w:val="en-GB" w:eastAsia="zh-CN"/>
        </w:rPr>
        <w:t>to follow Rel-17 unified TCI</w:t>
      </w:r>
      <w:r>
        <w:rPr>
          <w:rFonts w:eastAsiaTheme="minorEastAsia"/>
          <w:lang w:val="en-GB" w:eastAsia="zh-CN"/>
        </w:rPr>
        <w:t xml:space="preserve"> state, the beam determination rule was discussed and two alternatives are listed for down selection.</w:t>
      </w:r>
    </w:p>
    <w:p w14:paraId="7617279E" w14:textId="77777777" w:rsidR="00C4194F" w:rsidRPr="007A6848" w:rsidRDefault="00C4194F" w:rsidP="00C4194F">
      <w:pPr>
        <w:pStyle w:val="af2"/>
        <w:numPr>
          <w:ilvl w:val="0"/>
          <w:numId w:val="40"/>
        </w:numPr>
        <w:ind w:firstLineChars="0"/>
        <w:rPr>
          <w:rFonts w:ascii="Times New Roman" w:eastAsiaTheme="minorEastAsia" w:hAnsi="Times New Roman"/>
          <w:sz w:val="20"/>
          <w:szCs w:val="20"/>
          <w:lang w:val="en-GB"/>
        </w:rPr>
      </w:pPr>
      <w:r w:rsidRPr="007A6848">
        <w:rPr>
          <w:rFonts w:ascii="Times New Roman" w:eastAsiaTheme="minorEastAsia" w:hAnsi="Times New Roman"/>
          <w:sz w:val="20"/>
          <w:szCs w:val="20"/>
          <w:lang w:val="en-GB"/>
        </w:rPr>
        <w:t>Alt-1: Follow the indicated TCI state until a new TCI state is configured or activated by the target cell.</w:t>
      </w:r>
    </w:p>
    <w:p w14:paraId="3E642246" w14:textId="4A4D1C56" w:rsidR="004C4286" w:rsidRPr="0073773A" w:rsidRDefault="00C4194F" w:rsidP="0073773A">
      <w:pPr>
        <w:pStyle w:val="af2"/>
        <w:numPr>
          <w:ilvl w:val="0"/>
          <w:numId w:val="40"/>
        </w:numPr>
        <w:ind w:firstLineChars="0"/>
        <w:rPr>
          <w:rFonts w:ascii="Times New Roman" w:eastAsiaTheme="minorEastAsia" w:hAnsi="Times New Roman" w:hint="eastAsia"/>
          <w:sz w:val="20"/>
          <w:szCs w:val="20"/>
          <w:lang w:val="en-GB"/>
        </w:rPr>
      </w:pPr>
      <w:r w:rsidRPr="007A6848">
        <w:rPr>
          <w:rFonts w:ascii="Times New Roman" w:eastAsiaTheme="minorEastAsia" w:hAnsi="Times New Roman"/>
          <w:sz w:val="20"/>
          <w:szCs w:val="20"/>
          <w:lang w:val="en-GB"/>
        </w:rPr>
        <w:t>Alt-</w:t>
      </w:r>
      <w:r>
        <w:rPr>
          <w:rFonts w:ascii="Times New Roman" w:eastAsiaTheme="minorEastAsia" w:hAnsi="Times New Roman"/>
          <w:sz w:val="20"/>
          <w:szCs w:val="20"/>
          <w:lang w:val="en-GB"/>
        </w:rPr>
        <w:t>4</w:t>
      </w:r>
      <w:r w:rsidRPr="007A6848">
        <w:rPr>
          <w:rFonts w:ascii="Times New Roman" w:eastAsiaTheme="minorEastAsia" w:hAnsi="Times New Roman"/>
          <w:sz w:val="20"/>
          <w:szCs w:val="20"/>
          <w:lang w:val="en-GB"/>
        </w:rPr>
        <w:t>: No new behavio</w:t>
      </w:r>
      <w:r w:rsidR="00AB7C4E">
        <w:rPr>
          <w:rFonts w:ascii="Times New Roman" w:eastAsiaTheme="minorEastAsia" w:hAnsi="Times New Roman" w:hint="eastAsia"/>
          <w:sz w:val="20"/>
          <w:szCs w:val="20"/>
          <w:lang w:val="en-GB"/>
        </w:rPr>
        <w:t>u</w:t>
      </w:r>
      <w:r w:rsidRPr="007A6848">
        <w:rPr>
          <w:rFonts w:ascii="Times New Roman" w:eastAsiaTheme="minorEastAsia" w:hAnsi="Times New Roman"/>
          <w:sz w:val="20"/>
          <w:szCs w:val="20"/>
          <w:lang w:val="en-GB"/>
        </w:rPr>
        <w:t>r is introduced on top of Rel-17 unified TCI</w:t>
      </w:r>
    </w:p>
    <w:p w14:paraId="50237474" w14:textId="77777777" w:rsidR="00C4194F" w:rsidRDefault="00C4194F" w:rsidP="00C4194F">
      <w:pPr>
        <w:pStyle w:val="table"/>
        <w:rPr>
          <w:lang w:val="en-GB"/>
        </w:rPr>
      </w:pPr>
      <w:r>
        <w:rPr>
          <w:lang w:val="en-GB"/>
        </w:rPr>
        <w:t xml:space="preserve">The beam indication mechanism for signals/channels do not follow the indicated unified TCI state </w:t>
      </w:r>
    </w:p>
    <w:tbl>
      <w:tblPr>
        <w:tblStyle w:val="aa"/>
        <w:tblW w:w="0" w:type="auto"/>
        <w:tblLook w:val="04A0" w:firstRow="1" w:lastRow="0" w:firstColumn="1" w:lastColumn="0" w:noHBand="0" w:noVBand="1"/>
      </w:tblPr>
      <w:tblGrid>
        <w:gridCol w:w="2263"/>
        <w:gridCol w:w="2694"/>
        <w:gridCol w:w="1701"/>
        <w:gridCol w:w="2402"/>
      </w:tblGrid>
      <w:tr w:rsidR="00C4194F" w14:paraId="3470C3BA" w14:textId="77777777" w:rsidTr="009F4899">
        <w:tc>
          <w:tcPr>
            <w:tcW w:w="4957" w:type="dxa"/>
            <w:gridSpan w:val="2"/>
            <w:shd w:val="clear" w:color="auto" w:fill="00B0F0"/>
          </w:tcPr>
          <w:p w14:paraId="7B3762F9" w14:textId="77777777" w:rsidR="00C4194F" w:rsidRDefault="00C4194F" w:rsidP="009F4899">
            <w:pPr>
              <w:rPr>
                <w:rFonts w:eastAsiaTheme="minorEastAsia"/>
                <w:lang w:val="en-GB" w:eastAsia="zh-CN"/>
              </w:rPr>
            </w:pPr>
            <w:r>
              <w:rPr>
                <w:rFonts w:eastAsiaTheme="minorEastAsia" w:hint="eastAsia"/>
                <w:lang w:val="en-GB" w:eastAsia="zh-CN"/>
              </w:rPr>
              <w:t>D</w:t>
            </w:r>
            <w:r>
              <w:rPr>
                <w:rFonts w:eastAsiaTheme="minorEastAsia"/>
                <w:lang w:val="en-GB" w:eastAsia="zh-CN"/>
              </w:rPr>
              <w:t>L</w:t>
            </w:r>
          </w:p>
        </w:tc>
        <w:tc>
          <w:tcPr>
            <w:tcW w:w="4103" w:type="dxa"/>
            <w:gridSpan w:val="2"/>
            <w:shd w:val="clear" w:color="auto" w:fill="00B0F0"/>
          </w:tcPr>
          <w:p w14:paraId="16DCECAF" w14:textId="77777777" w:rsidR="00C4194F" w:rsidRDefault="00C4194F" w:rsidP="009F4899">
            <w:pPr>
              <w:rPr>
                <w:rFonts w:eastAsiaTheme="minorEastAsia"/>
                <w:lang w:val="en-GB" w:eastAsia="zh-CN"/>
              </w:rPr>
            </w:pPr>
            <w:r>
              <w:rPr>
                <w:rFonts w:eastAsiaTheme="minorEastAsia" w:hint="eastAsia"/>
                <w:lang w:val="en-GB" w:eastAsia="zh-CN"/>
              </w:rPr>
              <w:t>U</w:t>
            </w:r>
            <w:r>
              <w:rPr>
                <w:rFonts w:eastAsiaTheme="minorEastAsia"/>
                <w:lang w:val="en-GB" w:eastAsia="zh-CN"/>
              </w:rPr>
              <w:t>L</w:t>
            </w:r>
          </w:p>
        </w:tc>
      </w:tr>
      <w:tr w:rsidR="00C4194F" w14:paraId="07D90CBD" w14:textId="77777777" w:rsidTr="009F4899">
        <w:tc>
          <w:tcPr>
            <w:tcW w:w="2263" w:type="dxa"/>
          </w:tcPr>
          <w:p w14:paraId="65117B5A" w14:textId="77777777" w:rsidR="00C4194F" w:rsidRDefault="00C4194F" w:rsidP="009F4899">
            <w:pPr>
              <w:rPr>
                <w:rFonts w:eastAsiaTheme="minorEastAsia"/>
                <w:lang w:val="en-GB" w:eastAsia="zh-CN"/>
              </w:rPr>
            </w:pPr>
            <w:r>
              <w:rPr>
                <w:rFonts w:eastAsiaTheme="minorEastAsia" w:hint="eastAsia"/>
                <w:lang w:val="en-GB" w:eastAsia="zh-CN"/>
              </w:rPr>
              <w:t>P</w:t>
            </w:r>
            <w:r>
              <w:rPr>
                <w:rFonts w:eastAsiaTheme="minorEastAsia"/>
                <w:lang w:val="en-GB" w:eastAsia="zh-CN"/>
              </w:rPr>
              <w:t>DCCH</w:t>
            </w:r>
          </w:p>
        </w:tc>
        <w:tc>
          <w:tcPr>
            <w:tcW w:w="2694" w:type="dxa"/>
          </w:tcPr>
          <w:p w14:paraId="6AB62228" w14:textId="77777777" w:rsidR="00C4194F" w:rsidRDefault="00C4194F" w:rsidP="009F4899">
            <w:pPr>
              <w:rPr>
                <w:rFonts w:eastAsiaTheme="minorEastAsia"/>
                <w:lang w:val="en-GB" w:eastAsia="zh-CN"/>
              </w:rPr>
            </w:pPr>
            <w:r w:rsidRPr="004D7551">
              <w:rPr>
                <w:rFonts w:eastAsiaTheme="minorEastAsia"/>
                <w:lang w:val="en-GB" w:eastAsia="zh-CN"/>
              </w:rPr>
              <w:t>TCI State Indication for UE-specific PDCCH MAC CE</w:t>
            </w:r>
          </w:p>
        </w:tc>
        <w:tc>
          <w:tcPr>
            <w:tcW w:w="1701" w:type="dxa"/>
          </w:tcPr>
          <w:p w14:paraId="68493909" w14:textId="77777777" w:rsidR="00C4194F" w:rsidRDefault="00C4194F" w:rsidP="009F4899">
            <w:pPr>
              <w:rPr>
                <w:rFonts w:eastAsiaTheme="minorEastAsia"/>
                <w:lang w:val="en-GB" w:eastAsia="zh-CN"/>
              </w:rPr>
            </w:pPr>
            <w:r>
              <w:rPr>
                <w:rFonts w:eastAsiaTheme="minorEastAsia" w:hint="eastAsia"/>
                <w:lang w:val="en-GB" w:eastAsia="zh-CN"/>
              </w:rPr>
              <w:t>A</w:t>
            </w:r>
            <w:r>
              <w:rPr>
                <w:rFonts w:eastAsiaTheme="minorEastAsia"/>
                <w:lang w:val="en-GB" w:eastAsia="zh-CN"/>
              </w:rPr>
              <w:t>periodic SRS</w:t>
            </w:r>
          </w:p>
        </w:tc>
        <w:tc>
          <w:tcPr>
            <w:tcW w:w="2402" w:type="dxa"/>
          </w:tcPr>
          <w:p w14:paraId="5C1E0CAC" w14:textId="77777777" w:rsidR="00C4194F" w:rsidRDefault="00C4194F" w:rsidP="009F4899">
            <w:pPr>
              <w:rPr>
                <w:rFonts w:eastAsiaTheme="minorEastAsia"/>
                <w:lang w:val="en-GB" w:eastAsia="zh-CN"/>
              </w:rPr>
            </w:pPr>
            <w:r>
              <w:rPr>
                <w:rFonts w:eastAsiaTheme="minorEastAsia" w:hint="eastAsia"/>
                <w:lang w:val="en-GB" w:eastAsia="zh-CN"/>
              </w:rPr>
              <w:t>R</w:t>
            </w:r>
            <w:r>
              <w:rPr>
                <w:rFonts w:eastAsiaTheme="minorEastAsia"/>
                <w:lang w:val="en-GB" w:eastAsia="zh-CN"/>
              </w:rPr>
              <w:t>RC configuration</w:t>
            </w:r>
          </w:p>
        </w:tc>
      </w:tr>
      <w:tr w:rsidR="00C4194F" w14:paraId="7D6FBE5A" w14:textId="77777777" w:rsidTr="009F4899">
        <w:tc>
          <w:tcPr>
            <w:tcW w:w="2263" w:type="dxa"/>
          </w:tcPr>
          <w:p w14:paraId="2CCA5181" w14:textId="77777777" w:rsidR="00C4194F" w:rsidRDefault="00C4194F" w:rsidP="009F4899">
            <w:pPr>
              <w:rPr>
                <w:rFonts w:eastAsiaTheme="minorEastAsia"/>
                <w:lang w:val="en-GB" w:eastAsia="zh-CN"/>
              </w:rPr>
            </w:pPr>
            <w:r>
              <w:rPr>
                <w:rFonts w:eastAsiaTheme="minorEastAsia"/>
                <w:lang w:val="en-GB" w:eastAsia="zh-CN"/>
              </w:rPr>
              <w:t>PDSCH scheduled by PDCCH does not follow the unified TCI state</w:t>
            </w:r>
          </w:p>
        </w:tc>
        <w:tc>
          <w:tcPr>
            <w:tcW w:w="2694" w:type="dxa"/>
          </w:tcPr>
          <w:p w14:paraId="68A58718" w14:textId="77777777" w:rsidR="00C4194F" w:rsidRDefault="00C4194F" w:rsidP="009F4899">
            <w:pPr>
              <w:rPr>
                <w:rFonts w:eastAsiaTheme="minorEastAsia"/>
                <w:lang w:val="en-GB" w:eastAsia="zh-CN"/>
              </w:rPr>
            </w:pPr>
            <w:r w:rsidRPr="004D7551">
              <w:rPr>
                <w:rFonts w:eastAsiaTheme="minorEastAsia"/>
                <w:lang w:val="en-GB" w:eastAsia="zh-CN"/>
              </w:rPr>
              <w:t>TCI States Activation for UE-specific PDSCH MAC CE</w:t>
            </w:r>
            <w:r>
              <w:rPr>
                <w:rFonts w:eastAsiaTheme="minorEastAsia"/>
                <w:lang w:val="en-GB" w:eastAsia="zh-CN"/>
              </w:rPr>
              <w:t xml:space="preserve"> + TCI field in DCI</w:t>
            </w:r>
          </w:p>
        </w:tc>
        <w:tc>
          <w:tcPr>
            <w:tcW w:w="1701" w:type="dxa"/>
          </w:tcPr>
          <w:p w14:paraId="313C9DA1" w14:textId="77777777" w:rsidR="00C4194F" w:rsidRDefault="00C4194F" w:rsidP="009F4899">
            <w:pPr>
              <w:rPr>
                <w:rFonts w:eastAsiaTheme="minorEastAsia"/>
                <w:lang w:val="en-GB" w:eastAsia="zh-CN"/>
              </w:rPr>
            </w:pPr>
            <w:r>
              <w:rPr>
                <w:rFonts w:eastAsiaTheme="minorEastAsia"/>
                <w:lang w:val="en-GB" w:eastAsia="zh-CN"/>
              </w:rPr>
              <w:t>Semi-persistent SRS</w:t>
            </w:r>
          </w:p>
        </w:tc>
        <w:tc>
          <w:tcPr>
            <w:tcW w:w="2402" w:type="dxa"/>
          </w:tcPr>
          <w:p w14:paraId="7D77F144" w14:textId="77777777" w:rsidR="00C4194F" w:rsidRDefault="00C4194F" w:rsidP="009F4899">
            <w:pPr>
              <w:rPr>
                <w:rFonts w:eastAsiaTheme="minorEastAsia"/>
                <w:lang w:val="en-GB" w:eastAsia="zh-CN"/>
              </w:rPr>
            </w:pPr>
            <w:r>
              <w:rPr>
                <w:rFonts w:eastAsiaTheme="minorEastAsia" w:hint="eastAsia"/>
                <w:lang w:val="en-GB" w:eastAsia="zh-CN"/>
              </w:rPr>
              <w:t>R</w:t>
            </w:r>
            <w:r>
              <w:rPr>
                <w:rFonts w:eastAsiaTheme="minorEastAsia"/>
                <w:lang w:val="en-GB" w:eastAsia="zh-CN"/>
              </w:rPr>
              <w:t xml:space="preserve">RC configuration </w:t>
            </w:r>
          </w:p>
        </w:tc>
      </w:tr>
      <w:tr w:rsidR="00C4194F" w14:paraId="4547DDDF" w14:textId="77777777" w:rsidTr="009F4899">
        <w:tc>
          <w:tcPr>
            <w:tcW w:w="2263" w:type="dxa"/>
          </w:tcPr>
          <w:p w14:paraId="42E67E41" w14:textId="77777777" w:rsidR="00C4194F" w:rsidRDefault="00C4194F" w:rsidP="009F4899">
            <w:pPr>
              <w:rPr>
                <w:rFonts w:eastAsiaTheme="minorEastAsia"/>
                <w:lang w:val="en-GB" w:eastAsia="zh-CN"/>
              </w:rPr>
            </w:pPr>
            <w:r>
              <w:rPr>
                <w:rFonts w:eastAsiaTheme="minorEastAsia" w:hint="eastAsia"/>
                <w:lang w:val="en-GB" w:eastAsia="zh-CN"/>
              </w:rPr>
              <w:t>A</w:t>
            </w:r>
            <w:r>
              <w:rPr>
                <w:rFonts w:eastAsiaTheme="minorEastAsia"/>
                <w:lang w:val="en-GB" w:eastAsia="zh-CN"/>
              </w:rPr>
              <w:t>periodic CSI-RS</w:t>
            </w:r>
          </w:p>
        </w:tc>
        <w:tc>
          <w:tcPr>
            <w:tcW w:w="2694" w:type="dxa"/>
          </w:tcPr>
          <w:p w14:paraId="1F864B52" w14:textId="77777777" w:rsidR="00C4194F" w:rsidRDefault="00C4194F" w:rsidP="009F4899">
            <w:pPr>
              <w:rPr>
                <w:rFonts w:eastAsiaTheme="minorEastAsia"/>
                <w:lang w:val="en-GB" w:eastAsia="zh-CN"/>
              </w:rPr>
            </w:pPr>
            <w:r>
              <w:rPr>
                <w:rFonts w:eastAsiaTheme="minorEastAsia" w:hint="eastAsia"/>
                <w:lang w:val="en-GB" w:eastAsia="zh-CN"/>
              </w:rPr>
              <w:t>R</w:t>
            </w:r>
            <w:r>
              <w:rPr>
                <w:rFonts w:eastAsiaTheme="minorEastAsia"/>
                <w:lang w:val="en-GB" w:eastAsia="zh-CN"/>
              </w:rPr>
              <w:t xml:space="preserve">RC configuration </w:t>
            </w:r>
          </w:p>
        </w:tc>
        <w:tc>
          <w:tcPr>
            <w:tcW w:w="1701" w:type="dxa"/>
          </w:tcPr>
          <w:p w14:paraId="7E045C1B" w14:textId="77777777" w:rsidR="00C4194F" w:rsidRDefault="00C4194F" w:rsidP="009F4899">
            <w:pPr>
              <w:rPr>
                <w:rFonts w:eastAsiaTheme="minorEastAsia"/>
                <w:lang w:val="en-GB" w:eastAsia="zh-CN"/>
              </w:rPr>
            </w:pPr>
            <w:r>
              <w:rPr>
                <w:rFonts w:eastAsiaTheme="minorEastAsia"/>
                <w:lang w:val="en-GB" w:eastAsia="zh-CN"/>
              </w:rPr>
              <w:t>Periodic SRS</w:t>
            </w:r>
          </w:p>
        </w:tc>
        <w:tc>
          <w:tcPr>
            <w:tcW w:w="2402" w:type="dxa"/>
          </w:tcPr>
          <w:p w14:paraId="084E776A" w14:textId="77777777" w:rsidR="00C4194F" w:rsidRDefault="00C4194F" w:rsidP="009F4899">
            <w:pPr>
              <w:rPr>
                <w:rFonts w:eastAsiaTheme="minorEastAsia"/>
                <w:lang w:val="en-GB" w:eastAsia="zh-CN"/>
              </w:rPr>
            </w:pPr>
            <w:r>
              <w:rPr>
                <w:rFonts w:eastAsiaTheme="minorEastAsia" w:hint="eastAsia"/>
                <w:lang w:val="en-GB" w:eastAsia="zh-CN"/>
              </w:rPr>
              <w:t>R</w:t>
            </w:r>
            <w:r>
              <w:rPr>
                <w:rFonts w:eastAsiaTheme="minorEastAsia"/>
                <w:lang w:val="en-GB" w:eastAsia="zh-CN"/>
              </w:rPr>
              <w:t>RC configuration</w:t>
            </w:r>
          </w:p>
        </w:tc>
      </w:tr>
      <w:tr w:rsidR="00C4194F" w14:paraId="5894DC19" w14:textId="77777777" w:rsidTr="009F4899">
        <w:tc>
          <w:tcPr>
            <w:tcW w:w="2263" w:type="dxa"/>
          </w:tcPr>
          <w:p w14:paraId="71178EF9" w14:textId="77777777" w:rsidR="00C4194F" w:rsidRDefault="00C4194F" w:rsidP="009F4899">
            <w:pPr>
              <w:rPr>
                <w:rFonts w:eastAsiaTheme="minorEastAsia"/>
                <w:lang w:val="en-GB" w:eastAsia="zh-CN"/>
              </w:rPr>
            </w:pPr>
            <w:r>
              <w:rPr>
                <w:rFonts w:eastAsiaTheme="minorEastAsia"/>
                <w:lang w:val="en-GB" w:eastAsia="zh-CN"/>
              </w:rPr>
              <w:t>Semi-persistent CSI-RS</w:t>
            </w:r>
          </w:p>
        </w:tc>
        <w:tc>
          <w:tcPr>
            <w:tcW w:w="2694" w:type="dxa"/>
          </w:tcPr>
          <w:p w14:paraId="2FD4D3EE" w14:textId="77777777" w:rsidR="00C4194F" w:rsidRDefault="00C4194F" w:rsidP="009F4899">
            <w:pPr>
              <w:rPr>
                <w:rFonts w:eastAsiaTheme="minorEastAsia"/>
                <w:lang w:val="en-GB" w:eastAsia="zh-CN"/>
              </w:rPr>
            </w:pPr>
            <w:r w:rsidRPr="004D7551">
              <w:rPr>
                <w:rFonts w:eastAsiaTheme="minorEastAsia"/>
                <w:lang w:val="en-GB" w:eastAsia="zh-CN"/>
              </w:rPr>
              <w:t>SP CSI-RS Resource Set Activation MAC CE</w:t>
            </w:r>
            <w:r>
              <w:rPr>
                <w:rFonts w:eastAsiaTheme="minorEastAsia"/>
                <w:lang w:val="en-GB" w:eastAsia="zh-CN"/>
              </w:rPr>
              <w:t xml:space="preserve"> </w:t>
            </w:r>
          </w:p>
        </w:tc>
        <w:tc>
          <w:tcPr>
            <w:tcW w:w="1701" w:type="dxa"/>
          </w:tcPr>
          <w:p w14:paraId="12D3137A" w14:textId="77777777" w:rsidR="00C4194F" w:rsidRDefault="00C4194F" w:rsidP="009F4899">
            <w:pPr>
              <w:rPr>
                <w:rFonts w:eastAsiaTheme="minorEastAsia"/>
                <w:lang w:val="en-GB" w:eastAsia="zh-CN"/>
              </w:rPr>
            </w:pPr>
          </w:p>
        </w:tc>
        <w:tc>
          <w:tcPr>
            <w:tcW w:w="2402" w:type="dxa"/>
          </w:tcPr>
          <w:p w14:paraId="469EE3C5" w14:textId="77777777" w:rsidR="00C4194F" w:rsidRDefault="00C4194F" w:rsidP="009F4899">
            <w:pPr>
              <w:rPr>
                <w:rFonts w:eastAsiaTheme="minorEastAsia"/>
                <w:lang w:val="en-GB" w:eastAsia="zh-CN"/>
              </w:rPr>
            </w:pPr>
          </w:p>
        </w:tc>
      </w:tr>
      <w:tr w:rsidR="00C4194F" w14:paraId="4DA6BBCA" w14:textId="77777777" w:rsidTr="009F4899">
        <w:tc>
          <w:tcPr>
            <w:tcW w:w="2263" w:type="dxa"/>
          </w:tcPr>
          <w:p w14:paraId="61CC9B9F" w14:textId="77777777" w:rsidR="00C4194F" w:rsidRDefault="00C4194F" w:rsidP="009F4899">
            <w:pPr>
              <w:rPr>
                <w:rFonts w:eastAsiaTheme="minorEastAsia"/>
                <w:lang w:val="en-GB" w:eastAsia="zh-CN"/>
              </w:rPr>
            </w:pPr>
            <w:r>
              <w:rPr>
                <w:rFonts w:eastAsiaTheme="minorEastAsia"/>
                <w:lang w:val="en-GB" w:eastAsia="zh-CN"/>
              </w:rPr>
              <w:t>Periodic CSI-RS</w:t>
            </w:r>
          </w:p>
        </w:tc>
        <w:tc>
          <w:tcPr>
            <w:tcW w:w="2694" w:type="dxa"/>
          </w:tcPr>
          <w:p w14:paraId="017B1C3A" w14:textId="77777777" w:rsidR="00C4194F" w:rsidRDefault="00C4194F" w:rsidP="009F4899">
            <w:pPr>
              <w:rPr>
                <w:rFonts w:eastAsiaTheme="minorEastAsia"/>
                <w:lang w:val="en-GB" w:eastAsia="zh-CN"/>
              </w:rPr>
            </w:pPr>
            <w:r>
              <w:rPr>
                <w:rFonts w:eastAsiaTheme="minorEastAsia" w:hint="eastAsia"/>
                <w:lang w:val="en-GB" w:eastAsia="zh-CN"/>
              </w:rPr>
              <w:t>R</w:t>
            </w:r>
            <w:r>
              <w:rPr>
                <w:rFonts w:eastAsiaTheme="minorEastAsia"/>
                <w:lang w:val="en-GB" w:eastAsia="zh-CN"/>
              </w:rPr>
              <w:t>RC configuration</w:t>
            </w:r>
          </w:p>
        </w:tc>
        <w:tc>
          <w:tcPr>
            <w:tcW w:w="1701" w:type="dxa"/>
          </w:tcPr>
          <w:p w14:paraId="6AF67B0A" w14:textId="77777777" w:rsidR="00C4194F" w:rsidRDefault="00C4194F" w:rsidP="009F4899">
            <w:pPr>
              <w:rPr>
                <w:rFonts w:eastAsiaTheme="minorEastAsia"/>
                <w:lang w:val="en-GB" w:eastAsia="zh-CN"/>
              </w:rPr>
            </w:pPr>
          </w:p>
        </w:tc>
        <w:tc>
          <w:tcPr>
            <w:tcW w:w="2402" w:type="dxa"/>
          </w:tcPr>
          <w:p w14:paraId="0CDB21A7" w14:textId="77777777" w:rsidR="00C4194F" w:rsidRDefault="00C4194F" w:rsidP="009F4899">
            <w:pPr>
              <w:rPr>
                <w:rFonts w:eastAsiaTheme="minorEastAsia"/>
                <w:lang w:val="en-GB" w:eastAsia="zh-CN"/>
              </w:rPr>
            </w:pPr>
          </w:p>
        </w:tc>
      </w:tr>
    </w:tbl>
    <w:p w14:paraId="107F1019" w14:textId="79489B70" w:rsidR="00C4194F" w:rsidRPr="007A6848" w:rsidRDefault="00C4194F" w:rsidP="00C4194F">
      <w:pPr>
        <w:spacing w:beforeLines="50" w:before="120"/>
        <w:rPr>
          <w:rFonts w:eastAsiaTheme="minorEastAsia"/>
          <w:szCs w:val="20"/>
          <w:lang w:val="en-GB"/>
        </w:rPr>
      </w:pPr>
      <w:r w:rsidRPr="005B3599">
        <w:rPr>
          <w:rFonts w:eastAsiaTheme="minorEastAsia"/>
          <w:szCs w:val="20"/>
          <w:lang w:val="en-GB"/>
        </w:rPr>
        <w:lastRenderedPageBreak/>
        <w:t xml:space="preserve">As shown in Table </w:t>
      </w:r>
      <w:r>
        <w:rPr>
          <w:rFonts w:eastAsiaTheme="minorEastAsia"/>
          <w:szCs w:val="20"/>
          <w:lang w:val="en-GB"/>
        </w:rPr>
        <w:t>1</w:t>
      </w:r>
      <w:r w:rsidRPr="005B3599">
        <w:rPr>
          <w:rFonts w:eastAsiaTheme="minorEastAsia"/>
          <w:szCs w:val="20"/>
          <w:lang w:val="en-GB"/>
        </w:rPr>
        <w:t>, for the signals whose beam indication is configured</w:t>
      </w:r>
      <w:r>
        <w:rPr>
          <w:rFonts w:eastAsiaTheme="minorEastAsia"/>
          <w:szCs w:val="20"/>
          <w:lang w:val="en-GB"/>
        </w:rPr>
        <w:t xml:space="preserve"> by </w:t>
      </w:r>
      <w:r w:rsidRPr="005B3599">
        <w:rPr>
          <w:rFonts w:eastAsiaTheme="minorEastAsia"/>
          <w:szCs w:val="20"/>
          <w:lang w:val="en-GB"/>
        </w:rPr>
        <w:t xml:space="preserve">RRC </w:t>
      </w:r>
      <w:r>
        <w:rPr>
          <w:rFonts w:eastAsiaTheme="minorEastAsia"/>
          <w:szCs w:val="20"/>
          <w:lang w:val="en-GB"/>
        </w:rPr>
        <w:t>signaling</w:t>
      </w:r>
      <w:r w:rsidRPr="005B3599">
        <w:rPr>
          <w:rFonts w:eastAsiaTheme="minorEastAsia"/>
          <w:szCs w:val="20"/>
          <w:lang w:val="en-GB"/>
        </w:rPr>
        <w:t xml:space="preserve">, after receiving the cell switch command and RRC signaling for the target cell is applied, UE can transmit/receive the signals based on TCI state/TCI-UL-State configured by RRC signaling. For semi-persistent CSI-RS, it is activated by MAC CE and corresponding beam indication is also carried in the MAC CE signaling. While for the PDCCH configured not to follow the unified TCI and PDSCH scheduled by the PDCCH, the determination of their QCL assumption needs further study. </w:t>
      </w:r>
      <w:r>
        <w:rPr>
          <w:rFonts w:eastAsiaTheme="minorEastAsia"/>
          <w:szCs w:val="20"/>
          <w:lang w:val="en-GB"/>
        </w:rPr>
        <w:t xml:space="preserve">If they follow the indicated TCI state until a new TCI state </w:t>
      </w:r>
      <w:r>
        <w:rPr>
          <w:rFonts w:eastAsiaTheme="minorEastAsia" w:hint="eastAsia"/>
          <w:szCs w:val="20"/>
          <w:lang w:val="en-GB" w:eastAsia="zh-CN"/>
        </w:rPr>
        <w:t>is</w:t>
      </w:r>
      <w:r>
        <w:rPr>
          <w:rFonts w:eastAsiaTheme="minorEastAsia"/>
          <w:szCs w:val="20"/>
          <w:lang w:val="en-GB"/>
        </w:rPr>
        <w:t xml:space="preserve"> </w:t>
      </w:r>
      <w:r>
        <w:rPr>
          <w:rFonts w:eastAsiaTheme="minorEastAsia" w:hint="eastAsia"/>
          <w:szCs w:val="20"/>
          <w:lang w:val="en-GB" w:eastAsia="zh-CN"/>
        </w:rPr>
        <w:t>activated</w:t>
      </w:r>
      <w:r>
        <w:rPr>
          <w:rFonts w:eastAsiaTheme="minorEastAsia"/>
          <w:szCs w:val="20"/>
          <w:lang w:val="en-GB"/>
        </w:rPr>
        <w:t xml:space="preserve"> and indicated by the target cell, i.e., Alt-1</w:t>
      </w:r>
      <w:r w:rsidRPr="005B3599">
        <w:rPr>
          <w:rFonts w:eastAsiaTheme="minorEastAsia"/>
          <w:szCs w:val="20"/>
          <w:lang w:val="en-GB"/>
        </w:rPr>
        <w:t xml:space="preserve">, </w:t>
      </w:r>
      <w:r w:rsidR="00DA0C13">
        <w:rPr>
          <w:rFonts w:eastAsiaTheme="minorEastAsia" w:hint="eastAsia"/>
          <w:szCs w:val="20"/>
          <w:lang w:val="en-GB" w:eastAsia="zh-CN"/>
        </w:rPr>
        <w:t>which</w:t>
      </w:r>
      <w:r>
        <w:rPr>
          <w:rFonts w:eastAsiaTheme="minorEastAsia"/>
          <w:szCs w:val="20"/>
          <w:lang w:val="en-GB"/>
        </w:rPr>
        <w:t xml:space="preserve"> violates the Rel-17 beam indication mechanism. T</w:t>
      </w:r>
      <w:r w:rsidRPr="005B3599">
        <w:rPr>
          <w:rFonts w:eastAsiaTheme="minorEastAsia"/>
          <w:szCs w:val="20"/>
          <w:lang w:val="en-GB"/>
        </w:rPr>
        <w:t xml:space="preserve">he root </w:t>
      </w:r>
      <w:r>
        <w:rPr>
          <w:rFonts w:eastAsiaTheme="minorEastAsia" w:hint="eastAsia"/>
          <w:szCs w:val="20"/>
          <w:lang w:val="en-GB" w:eastAsia="zh-CN"/>
        </w:rPr>
        <w:t>cause</w:t>
      </w:r>
      <w:r>
        <w:rPr>
          <w:rFonts w:eastAsiaTheme="minorEastAsia"/>
          <w:szCs w:val="20"/>
          <w:lang w:val="en-GB"/>
        </w:rPr>
        <w:t xml:space="preserve"> </w:t>
      </w:r>
      <w:r w:rsidRPr="005B3599">
        <w:rPr>
          <w:rFonts w:eastAsiaTheme="minorEastAsia"/>
          <w:szCs w:val="20"/>
          <w:lang w:val="en-GB"/>
        </w:rPr>
        <w:t>of the confusion is the PDCCH and scheduled PDSCH are scheduled by the network before corresponding beam indications are provided. Therefore, to avoid confusion and reduce the number of UE blindly detecting PDCCH, it is better to limit the network to schedule transmission only based on the CORESET following Rel-17 unified TCI before the dedicated beam indication signaling is received, which is for the PDCCH configured to not follow the unified TCI and PDSCH scheduled by the PDCCH.</w:t>
      </w:r>
      <w:r>
        <w:rPr>
          <w:rFonts w:eastAsiaTheme="minorEastAsia"/>
          <w:szCs w:val="20"/>
          <w:lang w:val="en-GB"/>
        </w:rPr>
        <w:t xml:space="preserve"> Therefore, Alt-4 is preferred.</w:t>
      </w:r>
    </w:p>
    <w:p w14:paraId="75994F25" w14:textId="77777777" w:rsidR="00C4194F" w:rsidRDefault="00C4194F" w:rsidP="00C4194F">
      <w:pPr>
        <w:pStyle w:val="proposal"/>
        <w:spacing w:before="120" w:after="120"/>
        <w:ind w:left="1134" w:hanging="1134"/>
        <w:rPr>
          <w:lang w:val="en-GB"/>
        </w:rPr>
      </w:pPr>
      <w:r>
        <w:rPr>
          <w:lang w:val="en-GB"/>
        </w:rPr>
        <w:t xml:space="preserve">To avoid </w:t>
      </w:r>
      <w:r w:rsidRPr="00AE57AD">
        <w:rPr>
          <w:lang w:val="en-GB"/>
        </w:rPr>
        <w:t xml:space="preserve">ambiguity </w:t>
      </w:r>
      <w:r>
        <w:rPr>
          <w:lang w:val="en-GB"/>
        </w:rPr>
        <w:t xml:space="preserve">of beam determination for PDCCH configured to not follow the unified TCI and scheduled PDSCH and </w:t>
      </w:r>
      <w:r w:rsidRPr="00AE57AD">
        <w:rPr>
          <w:lang w:val="en-GB"/>
        </w:rPr>
        <w:t>reduce the number of UE blindly detecting PDCCH</w:t>
      </w:r>
      <w:r>
        <w:rPr>
          <w:lang w:val="en-GB"/>
        </w:rPr>
        <w:t xml:space="preserve">, it is expected that the </w:t>
      </w:r>
      <w:r w:rsidRPr="00AE57AD">
        <w:rPr>
          <w:lang w:val="en-GB"/>
        </w:rPr>
        <w:t>network schedules transmission only</w:t>
      </w:r>
      <w:r>
        <w:rPr>
          <w:lang w:val="en-GB"/>
        </w:rPr>
        <w:t xml:space="preserve"> based </w:t>
      </w:r>
      <w:r w:rsidRPr="00AE57AD">
        <w:rPr>
          <w:lang w:val="en-GB"/>
        </w:rPr>
        <w:t>on the CORESET follow</w:t>
      </w:r>
      <w:r>
        <w:rPr>
          <w:lang w:val="en-GB"/>
        </w:rPr>
        <w:t>ing</w:t>
      </w:r>
      <w:r w:rsidRPr="00AE57AD">
        <w:rPr>
          <w:lang w:val="en-GB"/>
        </w:rPr>
        <w:t xml:space="preserve"> Rel-17 unified TCI before the dedicated beam indication signaling for PDCCH configured to not follow the unified TCI and PDSCH scheduled </w:t>
      </w:r>
      <w:r>
        <w:rPr>
          <w:lang w:val="en-GB"/>
        </w:rPr>
        <w:t xml:space="preserve">by the PDCCH </w:t>
      </w:r>
      <w:r w:rsidRPr="00AE57AD">
        <w:rPr>
          <w:lang w:val="en-GB"/>
        </w:rPr>
        <w:t>is received</w:t>
      </w:r>
      <w:r>
        <w:rPr>
          <w:lang w:val="en-GB"/>
        </w:rPr>
        <w:t>, i.e., Alt-4.</w:t>
      </w:r>
    </w:p>
    <w:p w14:paraId="157E23E6" w14:textId="77777777" w:rsidR="00C4194F" w:rsidRDefault="00C4194F" w:rsidP="00C4194F">
      <w:pPr>
        <w:rPr>
          <w:rFonts w:eastAsiaTheme="minorEastAsia"/>
          <w:lang w:val="en-GB" w:eastAsia="zh-CN"/>
        </w:rPr>
      </w:pPr>
      <w:r w:rsidRPr="004D7551">
        <w:rPr>
          <w:rFonts w:eastAsiaTheme="minorEastAsia"/>
          <w:lang w:val="en-GB" w:eastAsia="zh-CN"/>
        </w:rPr>
        <w:t>LTM in CA scenario</w:t>
      </w:r>
      <w:r>
        <w:rPr>
          <w:rFonts w:eastAsiaTheme="minorEastAsia"/>
          <w:lang w:val="en-GB" w:eastAsia="zh-CN"/>
        </w:rPr>
        <w:t xml:space="preserve">s has been agreed in the RAN2#119-e meeting. Thus, </w:t>
      </w:r>
      <w:r w:rsidRPr="004D7551">
        <w:rPr>
          <w:rFonts w:eastAsiaTheme="minorEastAsia"/>
          <w:lang w:val="en-GB" w:eastAsia="zh-CN"/>
        </w:rPr>
        <w:t>more than on</w:t>
      </w:r>
      <w:r>
        <w:rPr>
          <w:rFonts w:eastAsiaTheme="minorEastAsia"/>
          <w:lang w:val="en-GB" w:eastAsia="zh-CN"/>
        </w:rPr>
        <w:t>e</w:t>
      </w:r>
      <w:r w:rsidRPr="004D7551">
        <w:rPr>
          <w:rFonts w:eastAsiaTheme="minorEastAsia"/>
          <w:lang w:val="en-GB" w:eastAsia="zh-CN"/>
        </w:rPr>
        <w:t xml:space="preserve"> target serving cells </w:t>
      </w:r>
      <w:r>
        <w:rPr>
          <w:rFonts w:eastAsiaTheme="minorEastAsia"/>
          <w:lang w:val="en-GB" w:eastAsia="zh-CN"/>
        </w:rPr>
        <w:t>are present</w:t>
      </w:r>
      <w:r w:rsidRPr="004D7551">
        <w:rPr>
          <w:rFonts w:eastAsiaTheme="minorEastAsia"/>
          <w:lang w:val="en-GB" w:eastAsia="zh-CN"/>
        </w:rPr>
        <w:t>.</w:t>
      </w:r>
      <w:r>
        <w:rPr>
          <w:rFonts w:eastAsiaTheme="minorEastAsia"/>
          <w:lang w:val="en-GB" w:eastAsia="zh-CN"/>
        </w:rPr>
        <w:t xml:space="preserve"> And, in the RAN1#111 meeting, for scenario 2, </w:t>
      </w:r>
      <w:r>
        <w:rPr>
          <w:rFonts w:eastAsiaTheme="minorEastAsia" w:hint="eastAsia"/>
          <w:lang w:val="en-GB" w:eastAsia="zh-CN"/>
        </w:rPr>
        <w:t>b</w:t>
      </w:r>
      <w:r w:rsidRPr="004D7551">
        <w:rPr>
          <w:rFonts w:eastAsiaTheme="minorEastAsia"/>
          <w:lang w:val="en-GB" w:eastAsia="zh-CN"/>
        </w:rPr>
        <w:t>eam indication indicates TCI state for each target serving cell</w:t>
      </w:r>
      <w:r>
        <w:rPr>
          <w:rFonts w:eastAsiaTheme="minorEastAsia"/>
          <w:lang w:val="en-GB" w:eastAsia="zh-CN"/>
        </w:rPr>
        <w:t xml:space="preserve"> was agreed for CA scenarios. To ensure LTM works well, the TCI state for the target SpCell must be included in the cell switch command. As for the target SCell in intra-band CA case, if it is configured for simultaneous TCI update with the target SpCell, </w:t>
      </w:r>
      <w:r w:rsidRPr="004D7551">
        <w:rPr>
          <w:rFonts w:eastAsiaTheme="minorEastAsia"/>
          <w:lang w:val="en-GB" w:eastAsia="zh-CN"/>
        </w:rPr>
        <w:t xml:space="preserve">the indicated TCI state </w:t>
      </w:r>
      <w:r>
        <w:rPr>
          <w:rFonts w:eastAsiaTheme="minorEastAsia"/>
          <w:lang w:val="en-GB" w:eastAsia="zh-CN"/>
        </w:rPr>
        <w:t xml:space="preserve">in the cell switch command </w:t>
      </w:r>
      <w:r w:rsidRPr="004D7551">
        <w:rPr>
          <w:rFonts w:eastAsiaTheme="minorEastAsia"/>
          <w:lang w:val="en-GB" w:eastAsia="zh-CN"/>
        </w:rPr>
        <w:t xml:space="preserve">should be applied to </w:t>
      </w:r>
      <w:r>
        <w:rPr>
          <w:rFonts w:eastAsiaTheme="minorEastAsia"/>
          <w:lang w:val="en-GB" w:eastAsia="zh-CN"/>
        </w:rPr>
        <w:t>the target SCell</w:t>
      </w:r>
      <w:r w:rsidRPr="004D7551">
        <w:rPr>
          <w:rFonts w:eastAsiaTheme="minorEastAsia"/>
          <w:lang w:val="en-GB" w:eastAsia="zh-CN"/>
        </w:rPr>
        <w:t>.</w:t>
      </w:r>
      <w:r>
        <w:rPr>
          <w:rFonts w:eastAsiaTheme="minorEastAsia"/>
          <w:lang w:val="en-GB" w:eastAsia="zh-CN"/>
        </w:rPr>
        <w:t xml:space="preserve"> Otherwise, it is not necessary to indicate separate beam indication for the target SCell with the following consideration.</w:t>
      </w:r>
    </w:p>
    <w:p w14:paraId="2333DFEF" w14:textId="77777777" w:rsidR="00C4194F" w:rsidRPr="007A6848" w:rsidRDefault="00C4194F" w:rsidP="00C4194F">
      <w:pPr>
        <w:pStyle w:val="af2"/>
        <w:numPr>
          <w:ilvl w:val="0"/>
          <w:numId w:val="26"/>
        </w:numPr>
        <w:ind w:firstLineChars="0"/>
        <w:rPr>
          <w:rFonts w:ascii="Times New Roman" w:eastAsiaTheme="minorEastAsia" w:hAnsi="Times New Roman"/>
          <w:sz w:val="20"/>
          <w:szCs w:val="20"/>
          <w:lang w:val="en-GB"/>
        </w:rPr>
      </w:pPr>
      <w:r w:rsidRPr="007A6848">
        <w:rPr>
          <w:rFonts w:ascii="Times New Roman" w:eastAsiaTheme="minorEastAsia" w:hAnsi="Times New Roman"/>
          <w:sz w:val="20"/>
          <w:szCs w:val="20"/>
          <w:lang w:val="en-GB"/>
        </w:rPr>
        <w:t xml:space="preserve">Large measurement overhead. In general, the prerequisite for beam indication is beam measurement. If beam indication for target SCell is included in the cell switch command, beam measurement for target SCell should be performed before handover. In this case, UE needs to perform L1 measurement on candidate </w:t>
      </w:r>
      <w:r>
        <w:rPr>
          <w:rFonts w:ascii="Times New Roman" w:eastAsiaTheme="minorEastAsia" w:hAnsi="Times New Roman"/>
          <w:sz w:val="20"/>
          <w:szCs w:val="20"/>
          <w:lang w:val="en-GB"/>
        </w:rPr>
        <w:t>SpCell</w:t>
      </w:r>
      <w:r w:rsidRPr="007A6848">
        <w:rPr>
          <w:rFonts w:ascii="Times New Roman" w:eastAsiaTheme="minorEastAsia" w:hAnsi="Times New Roman"/>
          <w:sz w:val="20"/>
          <w:szCs w:val="20"/>
          <w:lang w:val="en-GB"/>
        </w:rPr>
        <w:t xml:space="preserve">(s) and SCell(s) configured for the candidate </w:t>
      </w:r>
      <w:r>
        <w:rPr>
          <w:rFonts w:ascii="Times New Roman" w:eastAsiaTheme="minorEastAsia" w:hAnsi="Times New Roman"/>
          <w:sz w:val="20"/>
          <w:szCs w:val="20"/>
          <w:lang w:val="en-GB"/>
        </w:rPr>
        <w:t>SpCell</w:t>
      </w:r>
      <w:r w:rsidRPr="007A6848">
        <w:rPr>
          <w:rFonts w:ascii="Times New Roman" w:eastAsiaTheme="minorEastAsia" w:hAnsi="Times New Roman"/>
          <w:sz w:val="20"/>
          <w:szCs w:val="20"/>
          <w:lang w:val="en-GB"/>
        </w:rPr>
        <w:t>(s).  The measurement overhead will be multiplied.</w:t>
      </w:r>
    </w:p>
    <w:p w14:paraId="1822A234" w14:textId="77777777" w:rsidR="00C4194F" w:rsidRPr="007A6848" w:rsidRDefault="00C4194F" w:rsidP="00C4194F">
      <w:pPr>
        <w:pStyle w:val="af2"/>
        <w:numPr>
          <w:ilvl w:val="0"/>
          <w:numId w:val="26"/>
        </w:numPr>
        <w:ind w:firstLineChars="0"/>
        <w:rPr>
          <w:rFonts w:eastAsiaTheme="minorEastAsia"/>
          <w:sz w:val="20"/>
          <w:szCs w:val="20"/>
          <w:lang w:val="en-GB"/>
        </w:rPr>
      </w:pPr>
      <w:r w:rsidRPr="007A6848">
        <w:rPr>
          <w:rFonts w:ascii="Times New Roman" w:eastAsiaTheme="minorEastAsia" w:hAnsi="Times New Roman"/>
          <w:sz w:val="20"/>
          <w:szCs w:val="20"/>
          <w:lang w:val="en-GB"/>
        </w:rPr>
        <w:t xml:space="preserve">Limited benefits. In the current network deployment, </w:t>
      </w:r>
      <w:r>
        <w:rPr>
          <w:rFonts w:ascii="Times New Roman" w:eastAsiaTheme="minorEastAsia" w:hAnsi="Times New Roman"/>
          <w:sz w:val="20"/>
          <w:szCs w:val="20"/>
          <w:lang w:val="en-GB"/>
        </w:rPr>
        <w:t>SpCell</w:t>
      </w:r>
      <w:r w:rsidRPr="007A6848">
        <w:rPr>
          <w:rFonts w:ascii="Times New Roman" w:eastAsiaTheme="minorEastAsia" w:hAnsi="Times New Roman"/>
          <w:sz w:val="20"/>
          <w:szCs w:val="20"/>
          <w:lang w:val="en-GB"/>
        </w:rPr>
        <w:t xml:space="preserve"> and SCell are co-located in most cases. Thus, </w:t>
      </w:r>
      <w:r>
        <w:rPr>
          <w:rFonts w:ascii="Times New Roman" w:eastAsiaTheme="minorEastAsia" w:hAnsi="Times New Roman"/>
          <w:sz w:val="20"/>
          <w:szCs w:val="20"/>
          <w:lang w:val="en-GB"/>
        </w:rPr>
        <w:t>SpCell</w:t>
      </w:r>
      <w:r w:rsidRPr="007A6848">
        <w:rPr>
          <w:rFonts w:ascii="Times New Roman" w:eastAsiaTheme="minorEastAsia" w:hAnsi="Times New Roman"/>
          <w:sz w:val="20"/>
          <w:szCs w:val="20"/>
          <w:lang w:val="en-GB"/>
        </w:rPr>
        <w:t xml:space="preserve"> and SCell can share the same beam indication to perform TCI updates simultaneously.  Furthermore, in the legacy handover procedure, beam indication for target SCell is not included either. And the beam indication for target SCell is transmitted after the handover is complete. Therefore, it is unnecessary optimization. </w:t>
      </w:r>
    </w:p>
    <w:p w14:paraId="03B55838" w14:textId="77777777" w:rsidR="00C4194F" w:rsidRPr="004D7551" w:rsidRDefault="00C4194F" w:rsidP="00C4194F">
      <w:pPr>
        <w:pStyle w:val="proposal"/>
        <w:spacing w:before="120" w:after="120"/>
        <w:ind w:left="1134" w:hanging="1134"/>
        <w:rPr>
          <w:lang w:val="en-GB"/>
        </w:rPr>
      </w:pPr>
      <w:r>
        <w:rPr>
          <w:lang w:val="en-GB"/>
        </w:rPr>
        <w:t>Only t</w:t>
      </w:r>
      <w:r w:rsidRPr="004D7551">
        <w:rPr>
          <w:lang w:val="en-GB"/>
        </w:rPr>
        <w:t xml:space="preserve">he beam indication </w:t>
      </w:r>
      <w:r>
        <w:rPr>
          <w:lang w:val="en-GB"/>
        </w:rPr>
        <w:t xml:space="preserve">for target SpCell is included </w:t>
      </w:r>
      <w:r w:rsidRPr="004D7551">
        <w:rPr>
          <w:lang w:val="en-GB"/>
        </w:rPr>
        <w:t>in the cell switch command</w:t>
      </w:r>
      <w:r>
        <w:rPr>
          <w:lang w:val="en-GB"/>
        </w:rPr>
        <w:t>, and the beam indication</w:t>
      </w:r>
      <w:r w:rsidRPr="004D7551">
        <w:rPr>
          <w:lang w:val="en-GB"/>
        </w:rPr>
        <w:t xml:space="preserve"> can be applied to a set of </w:t>
      </w:r>
      <w:r>
        <w:rPr>
          <w:lang w:val="en-GB"/>
        </w:rPr>
        <w:t xml:space="preserve">intra-band </w:t>
      </w:r>
      <w:r w:rsidRPr="004D7551">
        <w:rPr>
          <w:lang w:val="en-GB"/>
        </w:rPr>
        <w:t xml:space="preserve">CCs, </w:t>
      </w:r>
      <w:r>
        <w:rPr>
          <w:lang w:val="en-GB"/>
        </w:rPr>
        <w:t xml:space="preserve">which are included in the same list of </w:t>
      </w:r>
      <w:r w:rsidRPr="004D7551">
        <w:rPr>
          <w:lang w:val="en-GB"/>
        </w:rPr>
        <w:t>simultaneous TCI state updating</w:t>
      </w:r>
      <w:r>
        <w:rPr>
          <w:lang w:val="en-GB"/>
        </w:rPr>
        <w:t xml:space="preserve"> as that including </w:t>
      </w:r>
      <w:r w:rsidRPr="004D7551">
        <w:rPr>
          <w:lang w:val="en-GB"/>
        </w:rPr>
        <w:t xml:space="preserve">target </w:t>
      </w:r>
      <w:r>
        <w:rPr>
          <w:lang w:val="en-GB"/>
        </w:rPr>
        <w:t>SpCell</w:t>
      </w:r>
      <w:r w:rsidRPr="004D7551">
        <w:rPr>
          <w:lang w:val="en-GB"/>
        </w:rPr>
        <w:t>.</w:t>
      </w:r>
    </w:p>
    <w:p w14:paraId="5F062014" w14:textId="77777777" w:rsidR="00C4194F" w:rsidRDefault="00C4194F" w:rsidP="00C4194F">
      <w:pPr>
        <w:pStyle w:val="title1"/>
        <w:rPr>
          <w:lang w:val="en-GB"/>
        </w:rPr>
      </w:pPr>
      <w:r>
        <w:rPr>
          <w:lang w:val="en-GB"/>
        </w:rPr>
        <w:t>Cell switch command</w:t>
      </w:r>
    </w:p>
    <w:p w14:paraId="090980E7" w14:textId="5A2978B0" w:rsidR="00C4194F" w:rsidRDefault="00C4194F" w:rsidP="00C4194F">
      <w:pPr>
        <w:rPr>
          <w:rFonts w:eastAsiaTheme="minorEastAsia"/>
          <w:lang w:val="en-GB" w:eastAsia="zh-CN"/>
        </w:rPr>
      </w:pPr>
      <w:r>
        <w:rPr>
          <w:rFonts w:eastAsiaTheme="minorEastAsia"/>
          <w:lang w:val="en-GB" w:eastAsia="zh-CN"/>
        </w:rPr>
        <w:t>In the RAN1#112</w:t>
      </w:r>
      <w:r>
        <w:rPr>
          <w:rFonts w:eastAsiaTheme="minorEastAsia" w:hint="eastAsia"/>
          <w:lang w:val="en-GB" w:eastAsia="zh-CN"/>
        </w:rPr>
        <w:t>bis-</w:t>
      </w:r>
      <w:r>
        <w:rPr>
          <w:rFonts w:eastAsiaTheme="minorEastAsia"/>
          <w:lang w:val="en-GB" w:eastAsia="zh-CN"/>
        </w:rPr>
        <w:t xml:space="preserve">e meeting, the following agreement about cell switch command was achieved </w:t>
      </w:r>
      <w:r>
        <w:rPr>
          <w:rFonts w:eastAsiaTheme="minorEastAsia" w:hint="eastAsia"/>
          <w:lang w:val="en-GB" w:eastAsia="zh-CN"/>
        </w:rPr>
        <w:t>[</w:t>
      </w:r>
      <w:r w:rsidR="00373CED">
        <w:rPr>
          <w:rFonts w:eastAsiaTheme="minorEastAsia"/>
          <w:lang w:val="en-GB" w:eastAsia="zh-CN"/>
        </w:rPr>
        <w:t>2</w:t>
      </w:r>
      <w:r>
        <w:rPr>
          <w:rFonts w:eastAsiaTheme="minorEastAsia"/>
          <w:lang w:val="en-GB" w:eastAsia="zh-CN"/>
        </w:rPr>
        <w:t xml:space="preserve">]. </w:t>
      </w:r>
    </w:p>
    <w:tbl>
      <w:tblPr>
        <w:tblStyle w:val="aa"/>
        <w:tblW w:w="0" w:type="auto"/>
        <w:tblLook w:val="04A0" w:firstRow="1" w:lastRow="0" w:firstColumn="1" w:lastColumn="0" w:noHBand="0" w:noVBand="1"/>
      </w:tblPr>
      <w:tblGrid>
        <w:gridCol w:w="9060"/>
      </w:tblGrid>
      <w:tr w:rsidR="00C4194F" w14:paraId="315EC08D" w14:textId="77777777" w:rsidTr="009F4899">
        <w:tc>
          <w:tcPr>
            <w:tcW w:w="9060" w:type="dxa"/>
          </w:tcPr>
          <w:p w14:paraId="4CA2C508" w14:textId="77777777" w:rsidR="00C4194F" w:rsidRPr="009D61F3" w:rsidRDefault="00C4194F" w:rsidP="009F4899">
            <w:pPr>
              <w:rPr>
                <w:szCs w:val="20"/>
                <w:highlight w:val="green"/>
              </w:rPr>
            </w:pPr>
            <w:r w:rsidRPr="009D61F3">
              <w:rPr>
                <w:b/>
                <w:bCs/>
                <w:szCs w:val="20"/>
                <w:highlight w:val="green"/>
              </w:rPr>
              <w:t>Agreement</w:t>
            </w:r>
          </w:p>
          <w:p w14:paraId="1B6D96B4" w14:textId="77777777" w:rsidR="00C4194F" w:rsidRPr="009D61F3" w:rsidRDefault="00C4194F" w:rsidP="009F4899">
            <w:pPr>
              <w:rPr>
                <w:szCs w:val="20"/>
              </w:rPr>
            </w:pPr>
            <w:r w:rsidRPr="009D61F3">
              <w:rPr>
                <w:szCs w:val="20"/>
              </w:rPr>
              <w:t>Confirm the following working assumption achieved in RAN-112bis-e</w:t>
            </w:r>
          </w:p>
          <w:p w14:paraId="563B4637" w14:textId="77777777" w:rsidR="00C4194F" w:rsidRPr="009D61F3" w:rsidRDefault="00C4194F" w:rsidP="009F4899">
            <w:pPr>
              <w:rPr>
                <w:szCs w:val="20"/>
              </w:rPr>
            </w:pPr>
            <w:r w:rsidRPr="009D61F3">
              <w:rPr>
                <w:szCs w:val="20"/>
              </w:rPr>
              <w:t xml:space="preserve"> </w:t>
            </w:r>
          </w:p>
          <w:p w14:paraId="3B01891E" w14:textId="77777777" w:rsidR="00C4194F" w:rsidRPr="009D61F3" w:rsidRDefault="00C4194F" w:rsidP="009F4899">
            <w:pPr>
              <w:rPr>
                <w:rFonts w:eastAsia="等线"/>
                <w:b/>
                <w:bCs/>
                <w:szCs w:val="20"/>
                <w:highlight w:val="green"/>
              </w:rPr>
            </w:pPr>
            <w:r w:rsidRPr="009D61F3">
              <w:rPr>
                <w:rFonts w:eastAsia="等线"/>
                <w:b/>
                <w:bCs/>
                <w:szCs w:val="20"/>
                <w:highlight w:val="green"/>
              </w:rPr>
              <w:t>Agreement</w:t>
            </w:r>
          </w:p>
          <w:p w14:paraId="44F61545" w14:textId="77777777" w:rsidR="00C4194F" w:rsidRPr="009D61F3" w:rsidRDefault="00C4194F" w:rsidP="009F4899">
            <w:pPr>
              <w:pStyle w:val="af2"/>
              <w:ind w:firstLineChars="0" w:firstLine="0"/>
              <w:rPr>
                <w:rFonts w:ascii="Times New Roman" w:hAnsi="Times New Roman"/>
                <w:sz w:val="20"/>
                <w:szCs w:val="20"/>
              </w:rPr>
            </w:pPr>
            <w:r w:rsidRPr="009D61F3">
              <w:rPr>
                <w:rFonts w:ascii="Times New Roman" w:eastAsia="等线" w:hAnsi="Times New Roman"/>
                <w:sz w:val="20"/>
                <w:szCs w:val="20"/>
              </w:rPr>
              <w:t>On top the confirmed working assumption, o</w:t>
            </w:r>
            <w:r w:rsidRPr="009D61F3">
              <w:rPr>
                <w:rFonts w:ascii="Times New Roman" w:hAnsi="Times New Roman"/>
                <w:sz w:val="20"/>
                <w:szCs w:val="20"/>
              </w:rPr>
              <w:t>n the presence of beam indication within cell switch command, at least for scenario 2 following is supported:</w:t>
            </w:r>
          </w:p>
          <w:p w14:paraId="2F9ADBF2" w14:textId="77777777" w:rsidR="00C4194F" w:rsidRPr="009D61F3" w:rsidRDefault="00C4194F" w:rsidP="009F4899">
            <w:pPr>
              <w:pStyle w:val="af2"/>
              <w:widowControl/>
              <w:numPr>
                <w:ilvl w:val="0"/>
                <w:numId w:val="46"/>
              </w:numPr>
              <w:snapToGrid w:val="0"/>
              <w:spacing w:after="100" w:afterAutospacing="1"/>
              <w:ind w:firstLineChars="0"/>
              <w:rPr>
                <w:rFonts w:ascii="Times New Roman" w:hAnsi="Times New Roman"/>
                <w:sz w:val="20"/>
                <w:szCs w:val="20"/>
              </w:rPr>
            </w:pPr>
            <w:r w:rsidRPr="009D61F3">
              <w:rPr>
                <w:rFonts w:ascii="Times New Roman" w:hAnsi="Times New Roman"/>
                <w:sz w:val="20"/>
                <w:szCs w:val="20"/>
              </w:rPr>
              <w:t>A field to indicate 1 joint or 1 pair of UL and DL unified TCI State index for the target cell field is always present in the cell switch command.</w:t>
            </w:r>
          </w:p>
          <w:p w14:paraId="62F4B19F" w14:textId="77777777" w:rsidR="00C4194F" w:rsidRPr="009D61F3" w:rsidRDefault="00C4194F" w:rsidP="009F4899">
            <w:pPr>
              <w:pStyle w:val="af2"/>
              <w:widowControl/>
              <w:numPr>
                <w:ilvl w:val="0"/>
                <w:numId w:val="46"/>
              </w:numPr>
              <w:snapToGrid w:val="0"/>
              <w:spacing w:after="100" w:afterAutospacing="1"/>
              <w:ind w:firstLineChars="0"/>
              <w:rPr>
                <w:rFonts w:ascii="Times New Roman" w:hAnsi="Times New Roman"/>
                <w:sz w:val="20"/>
                <w:szCs w:val="20"/>
              </w:rPr>
            </w:pPr>
            <w:r w:rsidRPr="009D61F3">
              <w:rPr>
                <w:rFonts w:ascii="Times New Roman" w:hAnsi="Times New Roman"/>
                <w:sz w:val="20"/>
                <w:szCs w:val="20"/>
              </w:rPr>
              <w:t>FFS UE behavior for the beam indication field for the RACH-based handover scenario after cell switch command</w:t>
            </w:r>
          </w:p>
          <w:p w14:paraId="604F1161" w14:textId="77777777" w:rsidR="00C4194F" w:rsidRDefault="00C4194F" w:rsidP="009F4899">
            <w:r>
              <w:rPr>
                <w:b/>
                <w:bCs/>
              </w:rPr>
              <w:t>Conclusion</w:t>
            </w:r>
            <w:r>
              <w:t xml:space="preserve"> </w:t>
            </w:r>
          </w:p>
          <w:p w14:paraId="545A904D" w14:textId="77777777" w:rsidR="00C4194F" w:rsidRPr="009D61F3" w:rsidRDefault="00C4194F" w:rsidP="009F4899">
            <w:pPr>
              <w:rPr>
                <w:rFonts w:eastAsia="Batang"/>
                <w:szCs w:val="20"/>
              </w:rPr>
            </w:pPr>
            <w:r>
              <w:t>In R18 LTM, there is no consensus to support triggering of aperiodic SRS transmission to the target cell in the cell switch command.</w:t>
            </w:r>
          </w:p>
        </w:tc>
      </w:tr>
    </w:tbl>
    <w:p w14:paraId="1B0DAE40" w14:textId="77777777" w:rsidR="00C4194F" w:rsidRDefault="00C4194F" w:rsidP="00C4194F">
      <w:pPr>
        <w:spacing w:beforeLines="50" w:before="120"/>
        <w:rPr>
          <w:rFonts w:eastAsiaTheme="minorEastAsia"/>
          <w:lang w:val="en-GB" w:eastAsia="zh-CN"/>
        </w:rPr>
      </w:pPr>
      <w:r>
        <w:rPr>
          <w:rFonts w:eastAsiaTheme="minorEastAsia"/>
          <w:lang w:val="en-GB" w:eastAsia="zh-CN"/>
        </w:rPr>
        <w:lastRenderedPageBreak/>
        <w:t>For the contents to be included in the cell switch command, potential information is listed as the above agreement in the section. In this meeting, whether the presence of each field is mandatory or configurable needs to be discussed. And, our views on some fields are provided as follows.</w:t>
      </w:r>
    </w:p>
    <w:p w14:paraId="76E29C99" w14:textId="77777777" w:rsidR="00C4194F" w:rsidRDefault="00C4194F" w:rsidP="00C4194F">
      <w:pPr>
        <w:spacing w:beforeLines="50" w:before="120"/>
        <w:rPr>
          <w:rFonts w:eastAsiaTheme="minorEastAsia"/>
          <w:i/>
          <w:iCs/>
          <w:u w:val="single"/>
          <w:lang w:val="en-GB" w:eastAsia="zh-CN"/>
        </w:rPr>
      </w:pPr>
      <w:r w:rsidRPr="007A6848">
        <w:rPr>
          <w:rFonts w:eastAsiaTheme="minorEastAsia"/>
          <w:i/>
          <w:iCs/>
          <w:u w:val="single"/>
          <w:lang w:val="en-GB" w:eastAsia="zh-CN"/>
        </w:rPr>
        <w:t>1 joint or 1 pair of UL and DL unified TCI State index for the target Cell</w:t>
      </w:r>
    </w:p>
    <w:p w14:paraId="6E9E8121" w14:textId="77777777" w:rsidR="00C4194F" w:rsidRDefault="00C4194F" w:rsidP="00C4194F">
      <w:pPr>
        <w:spacing w:beforeLines="50" w:before="120"/>
        <w:jc w:val="center"/>
        <w:rPr>
          <w:rFonts w:eastAsiaTheme="minorEastAsia"/>
          <w:lang w:val="en-GB" w:eastAsia="zh-CN"/>
        </w:rPr>
      </w:pPr>
      <w:r>
        <w:object w:dxaOrig="13590" w:dyaOrig="5940" w14:anchorId="1D0CBC2B">
          <v:shape id="_x0000_i1035" type="#_x0000_t75" style="width:362.5pt;height:159.9pt" o:ole="">
            <v:imagedata r:id="rId29" o:title=""/>
          </v:shape>
          <o:OLEObject Type="Embed" ProgID="Visio.Drawing.15" ShapeID="_x0000_i1035" DrawAspect="Content" ObjectID="_1757424262" r:id="rId30"/>
        </w:object>
      </w:r>
    </w:p>
    <w:p w14:paraId="51CCD064" w14:textId="77777777" w:rsidR="00C4194F" w:rsidRPr="006813BD" w:rsidRDefault="00C4194F" w:rsidP="00C4194F">
      <w:pPr>
        <w:pStyle w:val="figure"/>
        <w:rPr>
          <w:rFonts w:eastAsiaTheme="minorEastAsia"/>
          <w:lang w:val="en-GB" w:eastAsia="zh-CN"/>
        </w:rPr>
      </w:pPr>
      <w:r>
        <w:rPr>
          <w:rFonts w:eastAsiaTheme="minorEastAsia" w:hint="eastAsia"/>
          <w:lang w:val="en-GB" w:eastAsia="zh-CN"/>
        </w:rPr>
        <w:t>R</w:t>
      </w:r>
      <w:r>
        <w:rPr>
          <w:rFonts w:eastAsiaTheme="minorEastAsia"/>
          <w:lang w:val="en-GB" w:eastAsia="zh-CN"/>
        </w:rPr>
        <w:t xml:space="preserve">ACH-based handover </w:t>
      </w:r>
    </w:p>
    <w:p w14:paraId="39635A7B" w14:textId="659CFAB7" w:rsidR="00C4194F" w:rsidRDefault="00C4194F" w:rsidP="00C4194F">
      <w:pPr>
        <w:spacing w:beforeLines="50" w:before="120"/>
        <w:rPr>
          <w:rFonts w:eastAsiaTheme="minorEastAsia"/>
          <w:lang w:val="en-GB" w:eastAsia="zh-CN"/>
        </w:rPr>
      </w:pPr>
      <w:r>
        <w:rPr>
          <w:rFonts w:eastAsiaTheme="minorEastAsia"/>
          <w:lang w:val="en-GB" w:eastAsia="zh-CN"/>
        </w:rPr>
        <w:t xml:space="preserve">For scenario 2, beam indication field in the cell switch command always present in the cell switch command was agreed in the last meeting. However, for </w:t>
      </w:r>
      <w:r w:rsidR="00F43B97">
        <w:rPr>
          <w:rFonts w:eastAsiaTheme="minorEastAsia"/>
          <w:lang w:val="en-GB" w:eastAsia="zh-CN"/>
        </w:rPr>
        <w:t>CBRA</w:t>
      </w:r>
      <w:r>
        <w:rPr>
          <w:rFonts w:eastAsiaTheme="minorEastAsia"/>
          <w:lang w:val="en-GB" w:eastAsia="zh-CN"/>
        </w:rPr>
        <w:t xml:space="preserve">-based handover cases, it is ambiguous for UE to determine the spatial relation/QCL assumption of the UL/DL </w:t>
      </w:r>
      <w:r>
        <w:rPr>
          <w:rFonts w:eastAsiaTheme="minorEastAsia" w:hint="eastAsia"/>
          <w:lang w:val="en-GB" w:eastAsia="zh-CN"/>
        </w:rPr>
        <w:t>channels</w:t>
      </w:r>
      <w:r>
        <w:rPr>
          <w:rFonts w:eastAsiaTheme="minorEastAsia"/>
          <w:lang w:val="en-GB" w:eastAsia="zh-CN"/>
        </w:rPr>
        <w:t xml:space="preserve">/RSs </w:t>
      </w:r>
      <w:r>
        <w:rPr>
          <w:rFonts w:eastAsiaTheme="minorEastAsia" w:hint="eastAsia"/>
          <w:lang w:val="en-GB" w:eastAsia="zh-CN"/>
        </w:rPr>
        <w:t>f</w:t>
      </w:r>
      <w:r>
        <w:rPr>
          <w:rFonts w:eastAsiaTheme="minorEastAsia"/>
          <w:lang w:val="en-GB" w:eastAsia="zh-CN"/>
        </w:rPr>
        <w:t xml:space="preserve">or transmission and reception. As shown in Figure 2, the </w:t>
      </w:r>
      <w:r w:rsidR="00224248">
        <w:rPr>
          <w:rFonts w:eastAsiaTheme="minorEastAsia"/>
          <w:lang w:val="en-GB" w:eastAsia="zh-CN"/>
        </w:rPr>
        <w:t xml:space="preserve">direct or </w:t>
      </w:r>
      <w:r>
        <w:rPr>
          <w:rFonts w:eastAsiaTheme="minorEastAsia"/>
          <w:lang w:val="en-GB" w:eastAsia="zh-CN"/>
        </w:rPr>
        <w:t xml:space="preserve">indirect QCL source RS of the TCI </w:t>
      </w:r>
      <w:r>
        <w:rPr>
          <w:rFonts w:eastAsiaTheme="minorEastAsia" w:hint="eastAsia"/>
          <w:lang w:val="en-GB" w:eastAsia="zh-CN"/>
        </w:rPr>
        <w:t>state</w:t>
      </w:r>
      <w:r>
        <w:rPr>
          <w:rFonts w:eastAsiaTheme="minorEastAsia"/>
          <w:lang w:val="en-GB" w:eastAsia="zh-CN"/>
        </w:rPr>
        <w:t xml:space="preserve"> indicated in the cell switch command is SSB#2, while the successful PRACH transmission for the target cell is associated with SSB#4. After the completion of RACH procedure, does UE receive the PDSCH with the same </w:t>
      </w:r>
      <w:r>
        <w:rPr>
          <w:rFonts w:eastAsiaTheme="minorEastAsia" w:hint="eastAsia"/>
          <w:lang w:val="en-GB" w:eastAsia="zh-CN"/>
        </w:rPr>
        <w:t>re</w:t>
      </w:r>
      <w:r>
        <w:rPr>
          <w:rFonts w:eastAsiaTheme="minorEastAsia"/>
          <w:lang w:val="en-GB" w:eastAsia="zh-CN"/>
        </w:rPr>
        <w:t xml:space="preserve">ceive spatial filter for SSB#2 </w:t>
      </w:r>
      <w:r>
        <w:rPr>
          <w:rFonts w:eastAsiaTheme="minorEastAsia" w:hint="eastAsia"/>
          <w:lang w:val="en-GB" w:eastAsia="zh-CN"/>
        </w:rPr>
        <w:t>or</w:t>
      </w:r>
      <w:r>
        <w:rPr>
          <w:rFonts w:eastAsiaTheme="minorEastAsia"/>
          <w:lang w:val="en-GB" w:eastAsia="zh-CN"/>
        </w:rPr>
        <w:t xml:space="preserve"> SSB#4?  </w:t>
      </w:r>
    </w:p>
    <w:p w14:paraId="3392E578" w14:textId="4606B021" w:rsidR="00C4194F" w:rsidRPr="008374AF" w:rsidRDefault="00C4194F" w:rsidP="00C4194F">
      <w:pPr>
        <w:spacing w:beforeLines="50" w:before="120"/>
        <w:rPr>
          <w:rFonts w:eastAsiaTheme="minorEastAsia"/>
          <w:lang w:val="en-GB"/>
        </w:rPr>
      </w:pPr>
      <w:r>
        <w:rPr>
          <w:rFonts w:eastAsiaTheme="minorEastAsia"/>
          <w:lang w:val="en-GB" w:eastAsia="zh-CN"/>
        </w:rPr>
        <w:t xml:space="preserve">From the perspective of timeliness, it is more reasonable that the subsequent data transmission/reception is performed based on the QCL assumption determined in the RACH procedure, rather than the pre-indicated TCI </w:t>
      </w:r>
      <w:r>
        <w:rPr>
          <w:rFonts w:eastAsiaTheme="minorEastAsia" w:hint="eastAsia"/>
          <w:lang w:val="en-GB" w:eastAsia="zh-CN"/>
        </w:rPr>
        <w:t>state</w:t>
      </w:r>
      <w:r>
        <w:rPr>
          <w:rFonts w:eastAsiaTheme="minorEastAsia"/>
          <w:lang w:val="en-GB" w:eastAsia="zh-CN"/>
        </w:rPr>
        <w:t>/TCI-UL-State</w:t>
      </w:r>
      <w:r>
        <w:rPr>
          <w:rFonts w:eastAsiaTheme="minorEastAsia" w:hint="eastAsia"/>
          <w:lang w:val="en-GB" w:eastAsia="zh-CN"/>
        </w:rPr>
        <w:t>.</w:t>
      </w:r>
      <w:r>
        <w:rPr>
          <w:rFonts w:eastAsiaTheme="minorEastAsia"/>
          <w:lang w:val="en-GB" w:eastAsia="zh-CN"/>
        </w:rPr>
        <w:t xml:space="preserve"> </w:t>
      </w:r>
      <w:r w:rsidR="00E37B53">
        <w:rPr>
          <w:rFonts w:eastAsiaTheme="minorEastAsia"/>
          <w:lang w:val="en-GB" w:eastAsia="zh-CN"/>
        </w:rPr>
        <w:t>B</w:t>
      </w:r>
      <w:r w:rsidR="00E37B53">
        <w:rPr>
          <w:rFonts w:eastAsiaTheme="minorEastAsia" w:hint="eastAsia"/>
          <w:lang w:val="en-GB" w:eastAsia="zh-CN"/>
        </w:rPr>
        <w:t>esides</w:t>
      </w:r>
      <w:r w:rsidR="00E37B53">
        <w:rPr>
          <w:rFonts w:eastAsiaTheme="minorEastAsia"/>
          <w:lang w:val="en-GB" w:eastAsia="zh-CN"/>
        </w:rPr>
        <w:t xml:space="preserve"> </w:t>
      </w:r>
      <w:r w:rsidR="00E37B53">
        <w:rPr>
          <w:rFonts w:eastAsiaTheme="minorEastAsia" w:hint="eastAsia"/>
          <w:lang w:val="en-GB" w:eastAsia="zh-CN"/>
        </w:rPr>
        <w:t>scenario</w:t>
      </w:r>
      <w:r w:rsidR="00E37B53">
        <w:rPr>
          <w:rFonts w:eastAsiaTheme="minorEastAsia"/>
          <w:lang w:val="en-GB" w:eastAsia="zh-CN"/>
        </w:rPr>
        <w:t xml:space="preserve"> 2, this beam determination mechanism also applies for scenario 1 (i.e., beam indication before cell switch command) and scenario 3 (i.e., beam indication after cell switch) if beam indication is before </w:t>
      </w:r>
      <w:r w:rsidR="00D9423D">
        <w:rPr>
          <w:rFonts w:eastAsiaTheme="minorEastAsia"/>
          <w:lang w:val="en-GB" w:eastAsia="zh-CN"/>
        </w:rPr>
        <w:t>CBRA</w:t>
      </w:r>
      <w:r w:rsidR="00E37B53">
        <w:rPr>
          <w:rFonts w:eastAsiaTheme="minorEastAsia"/>
          <w:lang w:val="en-GB" w:eastAsia="zh-CN"/>
        </w:rPr>
        <w:t>-based procedure and after cell switch command.</w:t>
      </w:r>
    </w:p>
    <w:p w14:paraId="2579FCB2" w14:textId="5E7AF9F9" w:rsidR="00C4194F" w:rsidRDefault="00E37B53" w:rsidP="00C4194F">
      <w:pPr>
        <w:pStyle w:val="proposal"/>
        <w:spacing w:before="120" w:after="120"/>
        <w:ind w:left="1134" w:hanging="1134"/>
        <w:rPr>
          <w:lang w:val="en-GB"/>
        </w:rPr>
      </w:pPr>
      <w:r>
        <w:rPr>
          <w:lang w:val="en-GB"/>
        </w:rPr>
        <w:t>W</w:t>
      </w:r>
      <w:r w:rsidR="00C4194F">
        <w:rPr>
          <w:lang w:val="en-GB"/>
        </w:rPr>
        <w:t xml:space="preserve">hen </w:t>
      </w:r>
      <w:r w:rsidR="00D9423D">
        <w:rPr>
          <w:lang w:val="en-GB"/>
        </w:rPr>
        <w:t>CBRA</w:t>
      </w:r>
      <w:r w:rsidR="00C4194F">
        <w:rPr>
          <w:lang w:val="en-GB"/>
        </w:rPr>
        <w:t>-based handover is performed, the QCL assumption of channels/RSs should follow that determined within RACH procedure, rather than the indicated TCI-State/TCI-IUL-State in the cell switch command</w:t>
      </w:r>
      <w:r w:rsidR="00C4194F" w:rsidRPr="008137B9">
        <w:rPr>
          <w:lang w:val="en-GB"/>
        </w:rPr>
        <w:t>.</w:t>
      </w:r>
    </w:p>
    <w:p w14:paraId="53DFF2CF" w14:textId="77777777" w:rsidR="00C4194F" w:rsidRDefault="00C4194F" w:rsidP="00E35E9B">
      <w:pPr>
        <w:pStyle w:val="title1"/>
        <w:numPr>
          <w:ilvl w:val="0"/>
          <w:numId w:val="0"/>
        </w:numPr>
        <w:ind w:left="425" w:hanging="425"/>
      </w:pPr>
      <w:r w:rsidRPr="00C914FE">
        <w:t xml:space="preserve">Conclusions </w:t>
      </w:r>
    </w:p>
    <w:p w14:paraId="1B239C8D" w14:textId="77777777" w:rsidR="00E35E9B" w:rsidRPr="00E35E9B" w:rsidRDefault="00E35E9B" w:rsidP="00E35E9B">
      <w:pPr>
        <w:pStyle w:val="proposal"/>
        <w:numPr>
          <w:ilvl w:val="0"/>
          <w:numId w:val="115"/>
        </w:numPr>
        <w:spacing w:before="120" w:after="120"/>
        <w:ind w:left="1134" w:hanging="1134"/>
        <w:rPr>
          <w:lang w:val="en-GB"/>
        </w:rPr>
      </w:pPr>
      <w:r w:rsidRPr="00E35E9B">
        <w:rPr>
          <w:lang w:val="en-GB"/>
        </w:rPr>
        <w:t xml:space="preserve">After cell switch operation, legacy beam measurement and CSI measurement is performed based on the measurement RS configuration inside candidate cell configuration, while beam measurement associated with LTM report and TRS tracking followed by LTM TCI state activation is performed based on the measurement RS configuration outside the candidate cell information.     </w:t>
      </w:r>
    </w:p>
    <w:p w14:paraId="2EB423C7" w14:textId="77777777" w:rsidR="00E35E9B" w:rsidRPr="000B32AE" w:rsidRDefault="00E35E9B" w:rsidP="00E35E9B">
      <w:pPr>
        <w:pStyle w:val="proposal"/>
        <w:numPr>
          <w:ilvl w:val="0"/>
          <w:numId w:val="115"/>
        </w:numPr>
        <w:spacing w:before="120" w:after="120"/>
        <w:ind w:left="1134" w:hanging="1134"/>
      </w:pPr>
      <w:r>
        <w:t>I</w:t>
      </w:r>
      <w:r w:rsidRPr="000B32AE">
        <w:t xml:space="preserve">ntroduce MAC CE to activate L1-RSRP measurement on </w:t>
      </w:r>
      <w:r>
        <w:t xml:space="preserve">a </w:t>
      </w:r>
      <w:r w:rsidRPr="000B32AE">
        <w:t xml:space="preserve">subset of RRC-configured candidate cells/RSs to improve measurement </w:t>
      </w:r>
      <w:r>
        <w:t xml:space="preserve">efficiency, especially when the number of RRC-configured </w:t>
      </w:r>
      <w:r w:rsidRPr="005E0AB3">
        <w:t>candidate cells for L1-RSRP measurement</w:t>
      </w:r>
      <w:r>
        <w:t xml:space="preserve"> is large</w:t>
      </w:r>
      <w:r w:rsidRPr="000B32AE">
        <w:t xml:space="preserve">.   </w:t>
      </w:r>
    </w:p>
    <w:p w14:paraId="0D114190" w14:textId="77777777" w:rsidR="00E35E9B" w:rsidRPr="00E35E9B" w:rsidRDefault="00E35E9B" w:rsidP="00E35E9B">
      <w:pPr>
        <w:pStyle w:val="proposal"/>
        <w:numPr>
          <w:ilvl w:val="0"/>
          <w:numId w:val="115"/>
        </w:numPr>
        <w:spacing w:before="120" w:after="120"/>
        <w:ind w:left="1134" w:hanging="1134"/>
        <w:rPr>
          <w:rFonts w:eastAsiaTheme="minorEastAsia"/>
        </w:rPr>
      </w:pPr>
      <w:r>
        <w:t xml:space="preserve">If LTM report configuration is separate from CSI report configuration, </w:t>
      </w:r>
      <w:r w:rsidRPr="006F4FB7">
        <w:t xml:space="preserve">introduce </w:t>
      </w:r>
      <w:r>
        <w:t xml:space="preserve">an </w:t>
      </w:r>
      <w:r w:rsidRPr="006F4FB7">
        <w:t>additional factor to the legacy CSI report priority formula to</w:t>
      </w:r>
      <w:r>
        <w:t xml:space="preserve"> indicate whether LTM </w:t>
      </w:r>
      <w:r>
        <w:rPr>
          <w:rFonts w:hint="eastAsia"/>
        </w:rPr>
        <w:t>report</w:t>
      </w:r>
      <w:r>
        <w:t xml:space="preserve">s </w:t>
      </w:r>
      <w:r>
        <w:rPr>
          <w:rFonts w:hint="eastAsia"/>
        </w:rPr>
        <w:t>have</w:t>
      </w:r>
      <w:r>
        <w:t xml:space="preserve"> </w:t>
      </w:r>
      <w:r>
        <w:rPr>
          <w:rFonts w:hint="eastAsia"/>
        </w:rPr>
        <w:t>higher</w:t>
      </w:r>
      <w:r>
        <w:t xml:space="preserve"> priority than CSI reports</w:t>
      </w:r>
      <w:r w:rsidRPr="006F4FB7">
        <w:t>,</w:t>
      </w:r>
      <w:r>
        <w:t xml:space="preserve"> and the value of the additional factor is up to network configuration or indication.  </w:t>
      </w:r>
    </w:p>
    <w:p w14:paraId="2E5EAE5C" w14:textId="77777777" w:rsidR="00E35E9B" w:rsidRDefault="00E35E9B" w:rsidP="00E35E9B">
      <w:pPr>
        <w:pStyle w:val="proposal"/>
        <w:spacing w:before="120" w:after="120"/>
        <w:ind w:left="1134" w:hanging="1134"/>
        <w:rPr>
          <w:lang w:val="en-GB"/>
        </w:rPr>
      </w:pPr>
      <w:r>
        <w:rPr>
          <w:lang w:val="en-GB"/>
        </w:rPr>
        <w:t>If UE supports TRS configured in a TCI state for the candidate cell before cell switch command, at least following information should be provided in the TRS configuration for candidate cell(s):</w:t>
      </w:r>
    </w:p>
    <w:p w14:paraId="0153C004" w14:textId="77777777" w:rsidR="00E35E9B" w:rsidRDefault="00E35E9B" w:rsidP="00E35E9B">
      <w:pPr>
        <w:pStyle w:val="af2"/>
        <w:numPr>
          <w:ilvl w:val="0"/>
          <w:numId w:val="112"/>
        </w:numPr>
        <w:ind w:firstLineChars="0"/>
        <w:rPr>
          <w:rFonts w:ascii="Times New Roman" w:eastAsiaTheme="minorEastAsia" w:hAnsi="Times New Roman"/>
          <w:b/>
          <w:bCs/>
          <w:sz w:val="20"/>
          <w:szCs w:val="20"/>
          <w:lang w:val="en-GB"/>
        </w:rPr>
      </w:pPr>
      <w:proofErr w:type="spellStart"/>
      <w:r w:rsidRPr="008374AF">
        <w:rPr>
          <w:rFonts w:ascii="Times New Roman" w:eastAsiaTheme="minorEastAsia" w:hAnsi="Times New Roman"/>
          <w:b/>
          <w:bCs/>
          <w:i/>
          <w:iCs/>
          <w:sz w:val="20"/>
          <w:szCs w:val="20"/>
          <w:lang w:val="en-GB"/>
        </w:rPr>
        <w:t>nzp</w:t>
      </w:r>
      <w:proofErr w:type="spellEnd"/>
      <w:r w:rsidRPr="008374AF">
        <w:rPr>
          <w:rFonts w:ascii="Times New Roman" w:eastAsiaTheme="minorEastAsia" w:hAnsi="Times New Roman"/>
          <w:b/>
          <w:bCs/>
          <w:i/>
          <w:iCs/>
          <w:sz w:val="20"/>
          <w:szCs w:val="20"/>
          <w:lang w:val="en-GB"/>
        </w:rPr>
        <w:t>-CSI-RS-</w:t>
      </w:r>
      <w:proofErr w:type="spellStart"/>
      <w:r w:rsidRPr="008374AF">
        <w:rPr>
          <w:rFonts w:ascii="Times New Roman" w:eastAsiaTheme="minorEastAsia" w:hAnsi="Times New Roman"/>
          <w:b/>
          <w:bCs/>
          <w:i/>
          <w:iCs/>
          <w:sz w:val="20"/>
          <w:szCs w:val="20"/>
          <w:lang w:val="en-GB"/>
        </w:rPr>
        <w:t>ResourceId</w:t>
      </w:r>
      <w:proofErr w:type="spellEnd"/>
      <w:r w:rsidRPr="008374AF">
        <w:rPr>
          <w:rFonts w:ascii="Times New Roman" w:eastAsiaTheme="minorEastAsia" w:hAnsi="Times New Roman"/>
          <w:b/>
          <w:bCs/>
          <w:sz w:val="20"/>
          <w:szCs w:val="20"/>
          <w:lang w:val="en-GB"/>
        </w:rPr>
        <w:t xml:space="preserve"> </w:t>
      </w:r>
    </w:p>
    <w:p w14:paraId="04F9FC99" w14:textId="77777777" w:rsidR="00E35E9B" w:rsidRPr="002B7ABA" w:rsidRDefault="00E35E9B" w:rsidP="00E35E9B">
      <w:pPr>
        <w:pStyle w:val="af2"/>
        <w:numPr>
          <w:ilvl w:val="0"/>
          <w:numId w:val="112"/>
        </w:numPr>
        <w:ind w:firstLineChars="0"/>
        <w:rPr>
          <w:rFonts w:ascii="Times New Roman" w:eastAsiaTheme="minorEastAsia" w:hAnsi="Times New Roman"/>
          <w:b/>
          <w:bCs/>
          <w:i/>
          <w:iCs/>
          <w:sz w:val="20"/>
          <w:szCs w:val="20"/>
          <w:lang w:val="en-GB"/>
        </w:rPr>
      </w:pPr>
      <w:proofErr w:type="spellStart"/>
      <w:r w:rsidRPr="002B7ABA">
        <w:rPr>
          <w:rFonts w:ascii="Times New Roman" w:eastAsiaTheme="minorEastAsia" w:hAnsi="Times New Roman"/>
          <w:b/>
          <w:bCs/>
          <w:i/>
          <w:iCs/>
          <w:sz w:val="20"/>
          <w:szCs w:val="20"/>
          <w:lang w:val="en-GB"/>
        </w:rPr>
        <w:t>periodicityAndOffset</w:t>
      </w:r>
      <w:proofErr w:type="spellEnd"/>
    </w:p>
    <w:p w14:paraId="055C3455" w14:textId="77777777" w:rsidR="00E35E9B" w:rsidRDefault="00E35E9B" w:rsidP="00E35E9B">
      <w:pPr>
        <w:pStyle w:val="af2"/>
        <w:numPr>
          <w:ilvl w:val="0"/>
          <w:numId w:val="112"/>
        </w:numPr>
        <w:ind w:firstLineChars="0"/>
        <w:rPr>
          <w:rFonts w:ascii="Times New Roman" w:eastAsiaTheme="minorEastAsia" w:hAnsi="Times New Roman"/>
          <w:b/>
          <w:bCs/>
          <w:sz w:val="20"/>
          <w:szCs w:val="20"/>
          <w:lang w:val="en-GB"/>
        </w:rPr>
      </w:pPr>
      <w:proofErr w:type="spellStart"/>
      <w:r w:rsidRPr="008374AF">
        <w:rPr>
          <w:rFonts w:ascii="Times New Roman" w:eastAsiaTheme="minorEastAsia" w:hAnsi="Times New Roman"/>
          <w:b/>
          <w:bCs/>
          <w:i/>
          <w:iCs/>
          <w:sz w:val="20"/>
          <w:szCs w:val="20"/>
          <w:lang w:val="en-GB"/>
        </w:rPr>
        <w:t>qcl</w:t>
      </w:r>
      <w:proofErr w:type="spellEnd"/>
      <w:r w:rsidRPr="008374AF">
        <w:rPr>
          <w:rFonts w:ascii="Times New Roman" w:eastAsiaTheme="minorEastAsia" w:hAnsi="Times New Roman"/>
          <w:b/>
          <w:bCs/>
          <w:i/>
          <w:iCs/>
          <w:sz w:val="20"/>
          <w:szCs w:val="20"/>
          <w:lang w:val="en-GB"/>
        </w:rPr>
        <w:t>-</w:t>
      </w:r>
      <w:proofErr w:type="spellStart"/>
      <w:r w:rsidRPr="008374AF">
        <w:rPr>
          <w:rFonts w:ascii="Times New Roman" w:eastAsiaTheme="minorEastAsia" w:hAnsi="Times New Roman"/>
          <w:b/>
          <w:bCs/>
          <w:i/>
          <w:iCs/>
          <w:sz w:val="20"/>
          <w:szCs w:val="20"/>
          <w:lang w:val="en-GB"/>
        </w:rPr>
        <w:t>InfoPerodicCSI</w:t>
      </w:r>
      <w:proofErr w:type="spellEnd"/>
      <w:r w:rsidRPr="008374AF">
        <w:rPr>
          <w:rFonts w:ascii="Times New Roman" w:eastAsiaTheme="minorEastAsia" w:hAnsi="Times New Roman"/>
          <w:b/>
          <w:bCs/>
          <w:i/>
          <w:iCs/>
          <w:sz w:val="20"/>
          <w:szCs w:val="20"/>
          <w:lang w:val="en-GB"/>
        </w:rPr>
        <w:t>-RS</w:t>
      </w:r>
      <w:r w:rsidRPr="008374AF">
        <w:rPr>
          <w:rFonts w:ascii="Times New Roman" w:eastAsiaTheme="minorEastAsia" w:hAnsi="Times New Roman"/>
          <w:b/>
          <w:bCs/>
          <w:sz w:val="20"/>
          <w:szCs w:val="20"/>
          <w:lang w:val="en-GB"/>
        </w:rPr>
        <w:t xml:space="preserve"> </w:t>
      </w:r>
    </w:p>
    <w:p w14:paraId="3D504913" w14:textId="77777777" w:rsidR="00E35E9B" w:rsidRPr="002B7ABA" w:rsidRDefault="00E35E9B" w:rsidP="00E35E9B">
      <w:pPr>
        <w:pStyle w:val="af2"/>
        <w:numPr>
          <w:ilvl w:val="0"/>
          <w:numId w:val="112"/>
        </w:numPr>
        <w:ind w:firstLineChars="0"/>
        <w:rPr>
          <w:rFonts w:eastAsiaTheme="minorEastAsia"/>
          <w:bCs/>
          <w:i/>
          <w:iCs/>
          <w:lang w:val="en-GB"/>
        </w:rPr>
      </w:pPr>
      <w:proofErr w:type="spellStart"/>
      <w:r w:rsidRPr="00B84D0D">
        <w:rPr>
          <w:rFonts w:ascii="Times New Roman" w:eastAsiaTheme="minorEastAsia" w:hAnsi="Times New Roman"/>
          <w:b/>
          <w:bCs/>
          <w:i/>
          <w:iCs/>
          <w:sz w:val="20"/>
          <w:szCs w:val="20"/>
          <w:lang w:val="en-GB"/>
        </w:rPr>
        <w:t>ResourceMapping</w:t>
      </w:r>
      <w:proofErr w:type="spellEnd"/>
    </w:p>
    <w:p w14:paraId="4C102E34" w14:textId="77777777" w:rsidR="00E35E9B" w:rsidRPr="002B7ABA" w:rsidRDefault="00E35E9B" w:rsidP="00E35E9B">
      <w:pPr>
        <w:pStyle w:val="af2"/>
        <w:numPr>
          <w:ilvl w:val="0"/>
          <w:numId w:val="112"/>
        </w:numPr>
        <w:ind w:firstLineChars="0"/>
        <w:rPr>
          <w:rFonts w:ascii="Times New Roman" w:eastAsiaTheme="minorEastAsia" w:hAnsi="Times New Roman"/>
          <w:b/>
          <w:bCs/>
          <w:i/>
          <w:iCs/>
          <w:sz w:val="20"/>
          <w:szCs w:val="20"/>
          <w:lang w:val="en-GB"/>
        </w:rPr>
      </w:pPr>
      <w:proofErr w:type="spellStart"/>
      <w:r w:rsidRPr="002B7ABA">
        <w:rPr>
          <w:rFonts w:ascii="Times New Roman" w:eastAsiaTheme="minorEastAsia" w:hAnsi="Times New Roman"/>
          <w:b/>
          <w:bCs/>
          <w:i/>
          <w:iCs/>
          <w:sz w:val="20"/>
          <w:szCs w:val="20"/>
          <w:lang w:val="en-GB"/>
        </w:rPr>
        <w:lastRenderedPageBreak/>
        <w:t>frequencyInfoDL</w:t>
      </w:r>
      <w:proofErr w:type="spellEnd"/>
    </w:p>
    <w:p w14:paraId="23C9502B" w14:textId="77777777" w:rsidR="00E35E9B" w:rsidRPr="00B84D0D" w:rsidRDefault="00E35E9B" w:rsidP="00E35E9B">
      <w:pPr>
        <w:pStyle w:val="af2"/>
        <w:numPr>
          <w:ilvl w:val="0"/>
          <w:numId w:val="112"/>
        </w:numPr>
        <w:ind w:firstLineChars="0"/>
        <w:rPr>
          <w:rFonts w:eastAsiaTheme="minorEastAsia"/>
          <w:bCs/>
          <w:i/>
          <w:iCs/>
          <w:lang w:val="en-GB"/>
        </w:rPr>
      </w:pPr>
      <w:r>
        <w:rPr>
          <w:rFonts w:ascii="Times New Roman" w:eastAsiaTheme="minorEastAsia" w:hAnsi="Times New Roman"/>
          <w:b/>
          <w:bCs/>
          <w:i/>
          <w:iCs/>
          <w:sz w:val="20"/>
          <w:szCs w:val="20"/>
          <w:lang w:val="en-GB"/>
        </w:rPr>
        <w:t xml:space="preserve">DL </w:t>
      </w:r>
      <w:r>
        <w:rPr>
          <w:rFonts w:ascii="Times New Roman" w:eastAsiaTheme="minorEastAsia" w:hAnsi="Times New Roman" w:hint="eastAsia"/>
          <w:b/>
          <w:bCs/>
          <w:i/>
          <w:iCs/>
          <w:sz w:val="20"/>
          <w:szCs w:val="20"/>
          <w:lang w:val="en-GB"/>
        </w:rPr>
        <w:t>B</w:t>
      </w:r>
      <w:r>
        <w:rPr>
          <w:rFonts w:ascii="Times New Roman" w:eastAsiaTheme="minorEastAsia" w:hAnsi="Times New Roman"/>
          <w:b/>
          <w:bCs/>
          <w:i/>
          <w:iCs/>
          <w:sz w:val="20"/>
          <w:szCs w:val="20"/>
          <w:lang w:val="en-GB"/>
        </w:rPr>
        <w:t xml:space="preserve">WP-related information, i.e., </w:t>
      </w:r>
      <w:proofErr w:type="spellStart"/>
      <w:r w:rsidRPr="00D46879">
        <w:rPr>
          <w:rFonts w:ascii="Times New Roman" w:eastAsiaTheme="minorEastAsia" w:hAnsi="Times New Roman"/>
          <w:b/>
          <w:bCs/>
          <w:i/>
          <w:iCs/>
          <w:sz w:val="20"/>
          <w:szCs w:val="20"/>
          <w:lang w:val="en-GB"/>
        </w:rPr>
        <w:t>subcarrierSpacing</w:t>
      </w:r>
      <w:proofErr w:type="spellEnd"/>
      <w:r w:rsidRPr="00D46879">
        <w:rPr>
          <w:rFonts w:ascii="Times New Roman" w:eastAsiaTheme="minorEastAsia" w:hAnsi="Times New Roman"/>
          <w:b/>
          <w:bCs/>
          <w:i/>
          <w:iCs/>
          <w:sz w:val="20"/>
          <w:szCs w:val="20"/>
          <w:lang w:val="en-GB"/>
        </w:rPr>
        <w:t xml:space="preserve">, </w:t>
      </w:r>
      <w:proofErr w:type="spellStart"/>
      <w:r w:rsidRPr="00D46879">
        <w:rPr>
          <w:rFonts w:ascii="Times New Roman" w:eastAsiaTheme="minorEastAsia" w:hAnsi="Times New Roman"/>
          <w:b/>
          <w:bCs/>
          <w:i/>
          <w:iCs/>
          <w:sz w:val="20"/>
          <w:szCs w:val="20"/>
          <w:lang w:val="en-GB"/>
        </w:rPr>
        <w:t>locationAndBandwidth</w:t>
      </w:r>
      <w:proofErr w:type="spellEnd"/>
      <w:r w:rsidRPr="00D46879">
        <w:rPr>
          <w:rFonts w:ascii="Times New Roman" w:eastAsiaTheme="minorEastAsia" w:hAnsi="Times New Roman"/>
          <w:b/>
          <w:bCs/>
          <w:i/>
          <w:iCs/>
          <w:sz w:val="20"/>
          <w:szCs w:val="20"/>
          <w:lang w:val="en-GB"/>
        </w:rPr>
        <w:t xml:space="preserve">, </w:t>
      </w:r>
      <w:proofErr w:type="spellStart"/>
      <w:r w:rsidRPr="00D46879">
        <w:rPr>
          <w:rFonts w:ascii="Times New Roman" w:eastAsiaTheme="minorEastAsia" w:hAnsi="Times New Roman"/>
          <w:b/>
          <w:bCs/>
          <w:i/>
          <w:iCs/>
          <w:sz w:val="20"/>
          <w:szCs w:val="20"/>
          <w:lang w:val="en-GB"/>
        </w:rPr>
        <w:t>cyclicPrefix</w:t>
      </w:r>
      <w:proofErr w:type="spellEnd"/>
    </w:p>
    <w:p w14:paraId="7D153BD6" w14:textId="77777777" w:rsidR="00E35E9B" w:rsidRDefault="00E35E9B" w:rsidP="00E35E9B">
      <w:pPr>
        <w:pStyle w:val="proposal"/>
        <w:spacing w:before="120" w:after="120"/>
        <w:ind w:left="1134" w:hanging="1134"/>
        <w:rPr>
          <w:lang w:val="en-GB"/>
        </w:rPr>
      </w:pPr>
      <w:r>
        <w:rPr>
          <w:lang w:val="en-GB"/>
        </w:rPr>
        <w:t xml:space="preserve">TRS tracking for candidate cell(s) is performed when UE receives TCI state activation command before cell switch command and </w:t>
      </w:r>
      <w:r w:rsidRPr="00B565D6">
        <w:rPr>
          <w:lang w:val="en-GB"/>
        </w:rPr>
        <w:t xml:space="preserve">at least one QCL source RS of the activated TCI state(s) </w:t>
      </w:r>
      <w:r>
        <w:rPr>
          <w:lang w:val="en-GB"/>
        </w:rPr>
        <w:t xml:space="preserve">associated with the candidate cell(s) </w:t>
      </w:r>
      <w:r w:rsidRPr="00B565D6">
        <w:rPr>
          <w:lang w:val="en-GB"/>
        </w:rPr>
        <w:t>is TRS</w:t>
      </w:r>
      <w:r>
        <w:rPr>
          <w:lang w:val="en-GB"/>
        </w:rPr>
        <w:t>.</w:t>
      </w:r>
    </w:p>
    <w:p w14:paraId="7181FF56" w14:textId="77777777" w:rsidR="00E35E9B" w:rsidRPr="002B7ABA" w:rsidRDefault="00E35E9B" w:rsidP="00E35E9B">
      <w:pPr>
        <w:pStyle w:val="proposal"/>
        <w:spacing w:before="120" w:after="120"/>
        <w:ind w:left="1134" w:hanging="1134"/>
        <w:rPr>
          <w:lang w:val="en-GB"/>
        </w:rPr>
      </w:pPr>
      <w:r w:rsidRPr="00717094">
        <w:rPr>
          <w:lang w:val="en-GB"/>
        </w:rPr>
        <w:t xml:space="preserve">After cell switch operation, </w:t>
      </w:r>
      <w:r>
        <w:rPr>
          <w:lang w:val="en-GB"/>
        </w:rPr>
        <w:t xml:space="preserve">TCI states activated by unified TCI state </w:t>
      </w:r>
      <w:r>
        <w:rPr>
          <w:rFonts w:hint="eastAsia"/>
          <w:lang w:val="en-GB"/>
        </w:rPr>
        <w:t>activation</w:t>
      </w:r>
      <w:r>
        <w:rPr>
          <w:lang w:val="en-GB"/>
        </w:rPr>
        <w:t xml:space="preserve"> command and/or configured for RSs inside of the candidate cell configuration are referred to TCI state</w:t>
      </w:r>
      <w:r w:rsidRPr="00717094">
        <w:rPr>
          <w:lang w:val="en-GB"/>
        </w:rPr>
        <w:t xml:space="preserve"> configuration inside </w:t>
      </w:r>
      <w:r>
        <w:rPr>
          <w:lang w:val="en-GB"/>
        </w:rPr>
        <w:t xml:space="preserve">of </w:t>
      </w:r>
      <w:r w:rsidRPr="00717094">
        <w:rPr>
          <w:lang w:val="en-GB"/>
        </w:rPr>
        <w:t xml:space="preserve">candidate cell configuration, while </w:t>
      </w:r>
      <w:r>
        <w:rPr>
          <w:lang w:val="en-GB"/>
        </w:rPr>
        <w:t xml:space="preserve">TCI state(s) activated by LTM TCI state </w:t>
      </w:r>
      <w:r>
        <w:rPr>
          <w:rFonts w:hint="eastAsia"/>
          <w:lang w:val="en-GB"/>
        </w:rPr>
        <w:t>activation</w:t>
      </w:r>
      <w:r>
        <w:rPr>
          <w:lang w:val="en-GB"/>
        </w:rPr>
        <w:t xml:space="preserve"> command,  TCI state indicated in the cell switch command, and TCI states configured for RSs outside of the candidate cell configuration are referred to TCI state</w:t>
      </w:r>
      <w:r w:rsidRPr="00717094">
        <w:rPr>
          <w:lang w:val="en-GB"/>
        </w:rPr>
        <w:t xml:space="preserve"> configuration </w:t>
      </w:r>
      <w:r>
        <w:rPr>
          <w:lang w:val="en-GB"/>
        </w:rPr>
        <w:t>out</w:t>
      </w:r>
      <w:r w:rsidRPr="00717094">
        <w:rPr>
          <w:lang w:val="en-GB"/>
        </w:rPr>
        <w:t xml:space="preserve">side </w:t>
      </w:r>
      <w:r>
        <w:rPr>
          <w:lang w:val="en-GB"/>
        </w:rPr>
        <w:t xml:space="preserve">of </w:t>
      </w:r>
      <w:r w:rsidRPr="00717094">
        <w:rPr>
          <w:lang w:val="en-GB"/>
        </w:rPr>
        <w:t xml:space="preserve">candidate cell configuration.  </w:t>
      </w:r>
    </w:p>
    <w:p w14:paraId="43D68A9A" w14:textId="77777777" w:rsidR="00E35E9B" w:rsidRDefault="00E35E9B" w:rsidP="00E35E9B">
      <w:pPr>
        <w:pStyle w:val="proposal"/>
        <w:spacing w:before="120" w:after="120"/>
        <w:ind w:left="1134" w:hanging="1134"/>
        <w:rPr>
          <w:lang w:val="en-GB"/>
        </w:rPr>
      </w:pPr>
      <w:r>
        <w:rPr>
          <w:lang w:val="en-GB"/>
        </w:rPr>
        <w:t xml:space="preserve">All TCI </w:t>
      </w:r>
      <w:r>
        <w:rPr>
          <w:rFonts w:hint="eastAsia"/>
          <w:lang w:val="en-GB"/>
        </w:rPr>
        <w:t>state</w:t>
      </w:r>
      <w:r>
        <w:rPr>
          <w:lang w:val="en-GB"/>
        </w:rPr>
        <w:t xml:space="preserve">s </w:t>
      </w:r>
      <w:r w:rsidRPr="00E35E9B">
        <w:rPr>
          <w:lang w:val="en-GB"/>
        </w:rPr>
        <w:t xml:space="preserve">other than the indicated TCI state in the cell switch command </w:t>
      </w:r>
      <w:r>
        <w:rPr>
          <w:lang w:val="en-GB"/>
        </w:rPr>
        <w:t xml:space="preserve">are deactivated when UE receives cell switch command (i.e., Alt-2) to save UE energy consumption. </w:t>
      </w:r>
    </w:p>
    <w:p w14:paraId="189021C5" w14:textId="77777777" w:rsidR="00E35E9B" w:rsidRDefault="00E35E9B" w:rsidP="00E35E9B">
      <w:pPr>
        <w:pStyle w:val="proposal"/>
        <w:spacing w:before="120" w:after="120"/>
        <w:ind w:left="1134" w:hanging="1134"/>
        <w:rPr>
          <w:lang w:val="en-GB"/>
        </w:rPr>
      </w:pPr>
      <w:r>
        <w:rPr>
          <w:lang w:val="en-GB"/>
        </w:rPr>
        <w:t xml:space="preserve">To avoid </w:t>
      </w:r>
      <w:r w:rsidRPr="00AE57AD">
        <w:rPr>
          <w:lang w:val="en-GB"/>
        </w:rPr>
        <w:t xml:space="preserve">ambiguity </w:t>
      </w:r>
      <w:r>
        <w:rPr>
          <w:lang w:val="en-GB"/>
        </w:rPr>
        <w:t xml:space="preserve">of beam determination for PDCCH configured to not follow the unified TCI and scheduled PDSCH and </w:t>
      </w:r>
      <w:r w:rsidRPr="00AE57AD">
        <w:rPr>
          <w:lang w:val="en-GB"/>
        </w:rPr>
        <w:t>reduce the number of UE blindly detecting PDCCH</w:t>
      </w:r>
      <w:r>
        <w:rPr>
          <w:lang w:val="en-GB"/>
        </w:rPr>
        <w:t xml:space="preserve">, it is expected that the </w:t>
      </w:r>
      <w:r w:rsidRPr="00AE57AD">
        <w:rPr>
          <w:lang w:val="en-GB"/>
        </w:rPr>
        <w:t>network schedules transmission only</w:t>
      </w:r>
      <w:r>
        <w:rPr>
          <w:lang w:val="en-GB"/>
        </w:rPr>
        <w:t xml:space="preserve"> based </w:t>
      </w:r>
      <w:r w:rsidRPr="00AE57AD">
        <w:rPr>
          <w:lang w:val="en-GB"/>
        </w:rPr>
        <w:t>on the CORESET follow</w:t>
      </w:r>
      <w:r>
        <w:rPr>
          <w:lang w:val="en-GB"/>
        </w:rPr>
        <w:t>ing</w:t>
      </w:r>
      <w:r w:rsidRPr="00AE57AD">
        <w:rPr>
          <w:lang w:val="en-GB"/>
        </w:rPr>
        <w:t xml:space="preserve"> Rel-17 unified TCI before the dedicated beam indication </w:t>
      </w:r>
      <w:proofErr w:type="spellStart"/>
      <w:r w:rsidRPr="00AE57AD">
        <w:rPr>
          <w:lang w:val="en-GB"/>
        </w:rPr>
        <w:t>signaling</w:t>
      </w:r>
      <w:proofErr w:type="spellEnd"/>
      <w:r w:rsidRPr="00AE57AD">
        <w:rPr>
          <w:lang w:val="en-GB"/>
        </w:rPr>
        <w:t xml:space="preserve"> for PDCCH configured to not follow the unified TCI and PDSCH scheduled </w:t>
      </w:r>
      <w:r>
        <w:rPr>
          <w:lang w:val="en-GB"/>
        </w:rPr>
        <w:t xml:space="preserve">by the PDCCH </w:t>
      </w:r>
      <w:r w:rsidRPr="00AE57AD">
        <w:rPr>
          <w:lang w:val="en-GB"/>
        </w:rPr>
        <w:t>is received</w:t>
      </w:r>
      <w:r>
        <w:rPr>
          <w:lang w:val="en-GB"/>
        </w:rPr>
        <w:t>, i.e., Alt-4.</w:t>
      </w:r>
    </w:p>
    <w:p w14:paraId="10929C74" w14:textId="77777777" w:rsidR="00E35E9B" w:rsidRPr="004D7551" w:rsidRDefault="00E35E9B" w:rsidP="00E35E9B">
      <w:pPr>
        <w:pStyle w:val="proposal"/>
        <w:spacing w:before="120" w:after="120"/>
        <w:ind w:left="1134" w:hanging="1134"/>
        <w:rPr>
          <w:lang w:val="en-GB"/>
        </w:rPr>
      </w:pPr>
      <w:r>
        <w:rPr>
          <w:lang w:val="en-GB"/>
        </w:rPr>
        <w:t>Only t</w:t>
      </w:r>
      <w:r w:rsidRPr="004D7551">
        <w:rPr>
          <w:lang w:val="en-GB"/>
        </w:rPr>
        <w:t xml:space="preserve">he beam indication </w:t>
      </w:r>
      <w:r>
        <w:rPr>
          <w:lang w:val="en-GB"/>
        </w:rPr>
        <w:t xml:space="preserve">for target </w:t>
      </w:r>
      <w:proofErr w:type="spellStart"/>
      <w:r>
        <w:rPr>
          <w:lang w:val="en-GB"/>
        </w:rPr>
        <w:t>SpCell</w:t>
      </w:r>
      <w:proofErr w:type="spellEnd"/>
      <w:r>
        <w:rPr>
          <w:lang w:val="en-GB"/>
        </w:rPr>
        <w:t xml:space="preserve"> is included </w:t>
      </w:r>
      <w:r w:rsidRPr="004D7551">
        <w:rPr>
          <w:lang w:val="en-GB"/>
        </w:rPr>
        <w:t>in the cell switch command</w:t>
      </w:r>
      <w:r>
        <w:rPr>
          <w:lang w:val="en-GB"/>
        </w:rPr>
        <w:t>, and the beam indication</w:t>
      </w:r>
      <w:r w:rsidRPr="004D7551">
        <w:rPr>
          <w:lang w:val="en-GB"/>
        </w:rPr>
        <w:t xml:space="preserve"> can be applied to a set of </w:t>
      </w:r>
      <w:r>
        <w:rPr>
          <w:lang w:val="en-GB"/>
        </w:rPr>
        <w:t xml:space="preserve">intra-band </w:t>
      </w:r>
      <w:r w:rsidRPr="004D7551">
        <w:rPr>
          <w:lang w:val="en-GB"/>
        </w:rPr>
        <w:t xml:space="preserve">CCs, </w:t>
      </w:r>
      <w:r>
        <w:rPr>
          <w:lang w:val="en-GB"/>
        </w:rPr>
        <w:t xml:space="preserve">which are included in the same list of </w:t>
      </w:r>
      <w:r w:rsidRPr="004D7551">
        <w:rPr>
          <w:lang w:val="en-GB"/>
        </w:rPr>
        <w:t>simultaneous TCI state updating</w:t>
      </w:r>
      <w:r>
        <w:rPr>
          <w:lang w:val="en-GB"/>
        </w:rPr>
        <w:t xml:space="preserve"> as that including </w:t>
      </w:r>
      <w:r w:rsidRPr="004D7551">
        <w:rPr>
          <w:lang w:val="en-GB"/>
        </w:rPr>
        <w:t xml:space="preserve">target </w:t>
      </w:r>
      <w:proofErr w:type="spellStart"/>
      <w:r>
        <w:rPr>
          <w:lang w:val="en-GB"/>
        </w:rPr>
        <w:t>SpCell</w:t>
      </w:r>
      <w:proofErr w:type="spellEnd"/>
      <w:r w:rsidRPr="004D7551">
        <w:rPr>
          <w:lang w:val="en-GB"/>
        </w:rPr>
        <w:t>.</w:t>
      </w:r>
    </w:p>
    <w:p w14:paraId="10B7D93A" w14:textId="77777777" w:rsidR="00E35E9B" w:rsidRDefault="00E35E9B" w:rsidP="00E35E9B">
      <w:pPr>
        <w:pStyle w:val="proposal"/>
        <w:spacing w:before="120" w:after="120"/>
        <w:ind w:left="1134" w:hanging="1134"/>
        <w:rPr>
          <w:lang w:val="en-GB"/>
        </w:rPr>
      </w:pPr>
      <w:r>
        <w:rPr>
          <w:lang w:val="en-GB"/>
        </w:rPr>
        <w:t>When CBRA-based handover is performed, the QCL assumption of channels/RSs should follow that determined within RACH procedure, rather than the indicated TCI-State/TCI-IUL-State in the cell switch command</w:t>
      </w:r>
      <w:r w:rsidRPr="008137B9">
        <w:rPr>
          <w:lang w:val="en-GB"/>
        </w:rPr>
        <w:t>.</w:t>
      </w:r>
    </w:p>
    <w:p w14:paraId="1C9744F6" w14:textId="77777777" w:rsidR="00C4194F" w:rsidRPr="00C914FE" w:rsidRDefault="00C4194F" w:rsidP="00C4194F">
      <w:pPr>
        <w:pStyle w:val="titlereference"/>
      </w:pPr>
      <w:r w:rsidRPr="00C914FE">
        <w:t>References</w:t>
      </w:r>
    </w:p>
    <w:p w14:paraId="044DF76C" w14:textId="182B3940" w:rsidR="00224248" w:rsidRDefault="00224248" w:rsidP="00C4194F">
      <w:pPr>
        <w:pStyle w:val="references"/>
      </w:pPr>
      <w:r>
        <w:rPr>
          <w:rFonts w:hint="eastAsia"/>
        </w:rPr>
        <w:t>R</w:t>
      </w:r>
      <w:r>
        <w:t xml:space="preserve">1-2308663 </w:t>
      </w:r>
    </w:p>
    <w:p w14:paraId="6FBDC362" w14:textId="7510104B" w:rsidR="00C4194F" w:rsidRDefault="00C4194F" w:rsidP="00C4194F">
      <w:pPr>
        <w:pStyle w:val="references"/>
      </w:pPr>
      <w:r>
        <w:t>Chairman’s Note, RAN1#113</w:t>
      </w:r>
    </w:p>
    <w:p w14:paraId="19A842FC" w14:textId="77963E2A" w:rsidR="00F50F58" w:rsidRDefault="00F50F58" w:rsidP="00F50F58">
      <w:pPr>
        <w:pStyle w:val="references"/>
      </w:pPr>
      <w:r>
        <w:t>Chairman’s Note, RAN1#114</w:t>
      </w:r>
    </w:p>
    <w:p w14:paraId="3A9944F7" w14:textId="2A5BDDF4" w:rsidR="00872B4D" w:rsidRPr="009330B9" w:rsidRDefault="00872B4D" w:rsidP="00B84D0D">
      <w:pPr>
        <w:pStyle w:val="references"/>
        <w:numPr>
          <w:ilvl w:val="0"/>
          <w:numId w:val="0"/>
        </w:numPr>
      </w:pPr>
    </w:p>
    <w:sectPr w:rsidR="00872B4D" w:rsidRPr="009330B9" w:rsidSect="009435B6">
      <w:headerReference w:type="default" r:id="rId3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B3E17" w14:textId="77777777" w:rsidR="00A92FA5" w:rsidRDefault="00A92FA5">
      <w:r>
        <w:separator/>
      </w:r>
    </w:p>
  </w:endnote>
  <w:endnote w:type="continuationSeparator" w:id="0">
    <w:p w14:paraId="096262D6" w14:textId="77777777" w:rsidR="00A92FA5" w:rsidRDefault="00A92FA5">
      <w:r>
        <w:continuationSeparator/>
      </w:r>
    </w:p>
  </w:endnote>
  <w:endnote w:type="continuationNotice" w:id="1">
    <w:p w14:paraId="3E6C164D" w14:textId="77777777" w:rsidR="00A92FA5" w:rsidRDefault="00A92F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98E61" w14:textId="77777777" w:rsidR="00A92FA5" w:rsidRDefault="00A92FA5">
      <w:r>
        <w:separator/>
      </w:r>
    </w:p>
  </w:footnote>
  <w:footnote w:type="continuationSeparator" w:id="0">
    <w:p w14:paraId="603B9B35" w14:textId="77777777" w:rsidR="00A92FA5" w:rsidRDefault="00A92FA5">
      <w:r>
        <w:continuationSeparator/>
      </w:r>
    </w:p>
  </w:footnote>
  <w:footnote w:type="continuationNotice" w:id="1">
    <w:p w14:paraId="3DDEF22D" w14:textId="77777777" w:rsidR="00A92FA5" w:rsidRDefault="00A92F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5F6E48" w:rsidRDefault="005F6E4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0CA"/>
    <w:multiLevelType w:val="multilevel"/>
    <w:tmpl w:val="5DDAE2B4"/>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 w15:restartNumberingAfterBreak="0">
    <w:nsid w:val="02B46033"/>
    <w:multiLevelType w:val="hybridMultilevel"/>
    <w:tmpl w:val="E28A74DC"/>
    <w:lvl w:ilvl="0" w:tplc="7FF0B558">
      <w:start w:val="1"/>
      <w:numFmt w:val="decimal"/>
      <w:pStyle w:val="table"/>
      <w:lvlText w:val="Table %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3" w15:restartNumberingAfterBreak="0">
    <w:nsid w:val="05426747"/>
    <w:multiLevelType w:val="hybridMultilevel"/>
    <w:tmpl w:val="D7B6F88C"/>
    <w:lvl w:ilvl="0" w:tplc="479CA6E0">
      <w:start w:val="1"/>
      <w:numFmt w:val="bullet"/>
      <w:lvlText w:val="–"/>
      <w:lvlJc w:val="left"/>
      <w:pPr>
        <w:ind w:left="840" w:hanging="440"/>
      </w:pPr>
      <w:rPr>
        <w:rFonts w:ascii="Arial" w:hAnsi="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4" w15:restartNumberingAfterBreak="0">
    <w:nsid w:val="08CE661F"/>
    <w:multiLevelType w:val="hybridMultilevel"/>
    <w:tmpl w:val="203C2452"/>
    <w:lvl w:ilvl="0" w:tplc="479CA6E0">
      <w:start w:val="1"/>
      <w:numFmt w:val="bullet"/>
      <w:lvlText w:val="–"/>
      <w:lvlJc w:val="left"/>
      <w:pPr>
        <w:ind w:left="485" w:hanging="440"/>
      </w:pPr>
      <w:rPr>
        <w:rFonts w:ascii="Arial" w:hAnsi="Arial" w:hint="default"/>
      </w:rPr>
    </w:lvl>
    <w:lvl w:ilvl="1" w:tplc="04090003" w:tentative="1">
      <w:start w:val="1"/>
      <w:numFmt w:val="bullet"/>
      <w:lvlText w:val=""/>
      <w:lvlJc w:val="left"/>
      <w:pPr>
        <w:ind w:left="925" w:hanging="440"/>
      </w:pPr>
      <w:rPr>
        <w:rFonts w:ascii="Wingdings" w:hAnsi="Wingdings" w:hint="default"/>
      </w:rPr>
    </w:lvl>
    <w:lvl w:ilvl="2" w:tplc="04090005" w:tentative="1">
      <w:start w:val="1"/>
      <w:numFmt w:val="bullet"/>
      <w:lvlText w:val=""/>
      <w:lvlJc w:val="left"/>
      <w:pPr>
        <w:ind w:left="1365" w:hanging="440"/>
      </w:pPr>
      <w:rPr>
        <w:rFonts w:ascii="Wingdings" w:hAnsi="Wingdings" w:hint="default"/>
      </w:rPr>
    </w:lvl>
    <w:lvl w:ilvl="3" w:tplc="04090001" w:tentative="1">
      <w:start w:val="1"/>
      <w:numFmt w:val="bullet"/>
      <w:lvlText w:val=""/>
      <w:lvlJc w:val="left"/>
      <w:pPr>
        <w:ind w:left="1805" w:hanging="440"/>
      </w:pPr>
      <w:rPr>
        <w:rFonts w:ascii="Wingdings" w:hAnsi="Wingdings" w:hint="default"/>
      </w:rPr>
    </w:lvl>
    <w:lvl w:ilvl="4" w:tplc="04090003" w:tentative="1">
      <w:start w:val="1"/>
      <w:numFmt w:val="bullet"/>
      <w:lvlText w:val=""/>
      <w:lvlJc w:val="left"/>
      <w:pPr>
        <w:ind w:left="2245" w:hanging="440"/>
      </w:pPr>
      <w:rPr>
        <w:rFonts w:ascii="Wingdings" w:hAnsi="Wingdings" w:hint="default"/>
      </w:rPr>
    </w:lvl>
    <w:lvl w:ilvl="5" w:tplc="04090005" w:tentative="1">
      <w:start w:val="1"/>
      <w:numFmt w:val="bullet"/>
      <w:lvlText w:val=""/>
      <w:lvlJc w:val="left"/>
      <w:pPr>
        <w:ind w:left="2685" w:hanging="440"/>
      </w:pPr>
      <w:rPr>
        <w:rFonts w:ascii="Wingdings" w:hAnsi="Wingdings" w:hint="default"/>
      </w:rPr>
    </w:lvl>
    <w:lvl w:ilvl="6" w:tplc="04090001" w:tentative="1">
      <w:start w:val="1"/>
      <w:numFmt w:val="bullet"/>
      <w:lvlText w:val=""/>
      <w:lvlJc w:val="left"/>
      <w:pPr>
        <w:ind w:left="3125" w:hanging="440"/>
      </w:pPr>
      <w:rPr>
        <w:rFonts w:ascii="Wingdings" w:hAnsi="Wingdings" w:hint="default"/>
      </w:rPr>
    </w:lvl>
    <w:lvl w:ilvl="7" w:tplc="04090003" w:tentative="1">
      <w:start w:val="1"/>
      <w:numFmt w:val="bullet"/>
      <w:lvlText w:val=""/>
      <w:lvlJc w:val="left"/>
      <w:pPr>
        <w:ind w:left="3565" w:hanging="440"/>
      </w:pPr>
      <w:rPr>
        <w:rFonts w:ascii="Wingdings" w:hAnsi="Wingdings" w:hint="default"/>
      </w:rPr>
    </w:lvl>
    <w:lvl w:ilvl="8" w:tplc="04090005" w:tentative="1">
      <w:start w:val="1"/>
      <w:numFmt w:val="bullet"/>
      <w:lvlText w:val=""/>
      <w:lvlJc w:val="left"/>
      <w:pPr>
        <w:ind w:left="4005" w:hanging="440"/>
      </w:pPr>
      <w:rPr>
        <w:rFonts w:ascii="Wingdings" w:hAnsi="Wingdings" w:hint="default"/>
      </w:rPr>
    </w:lvl>
  </w:abstractNum>
  <w:abstractNum w:abstractNumId="5" w15:restartNumberingAfterBreak="0">
    <w:nsid w:val="09CC77C0"/>
    <w:multiLevelType w:val="multilevel"/>
    <w:tmpl w:val="A7EA39FE"/>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 w15:restartNumberingAfterBreak="0">
    <w:nsid w:val="0A273285"/>
    <w:multiLevelType w:val="hybridMultilevel"/>
    <w:tmpl w:val="965E1EAC"/>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A9C2CE4"/>
    <w:multiLevelType w:val="hybridMultilevel"/>
    <w:tmpl w:val="93B89402"/>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C1070DF"/>
    <w:multiLevelType w:val="multilevel"/>
    <w:tmpl w:val="4B544D04"/>
    <w:lvl w:ilvl="0">
      <w:start w:val="1"/>
      <w:numFmt w:val="bullet"/>
      <w:lvlText w:val="-"/>
      <w:lvlJc w:val="left"/>
      <w:pPr>
        <w:tabs>
          <w:tab w:val="left" w:pos="-840"/>
        </w:tabs>
        <w:ind w:left="-840" w:hanging="360"/>
      </w:pPr>
      <w:rPr>
        <w:rFonts w:ascii="Times New Roman" w:hAnsi="Times New Roman" w:hint="default"/>
      </w:rPr>
    </w:lvl>
    <w:lvl w:ilvl="1">
      <w:numFmt w:val="bullet"/>
      <w:lvlText w:val="-"/>
      <w:lvlJc w:val="left"/>
      <w:pPr>
        <w:tabs>
          <w:tab w:val="left" w:pos="-120"/>
        </w:tabs>
        <w:ind w:left="-120" w:hanging="360"/>
      </w:pPr>
      <w:rPr>
        <w:rFonts w:ascii="Yu Gothic" w:hAnsi="Yu Gothic" w:hint="default"/>
      </w:rPr>
    </w:lvl>
    <w:lvl w:ilvl="2">
      <w:start w:val="1"/>
      <w:numFmt w:val="bullet"/>
      <w:lvlText w:val="–"/>
      <w:lvlJc w:val="left"/>
      <w:pPr>
        <w:ind w:left="680" w:hanging="440"/>
      </w:pPr>
      <w:rPr>
        <w:rFonts w:ascii="Arial" w:hAnsi="Arial" w:hint="default"/>
      </w:rPr>
    </w:lvl>
    <w:lvl w:ilvl="3">
      <w:start w:val="1"/>
      <w:numFmt w:val="bullet"/>
      <w:lvlText w:val="•"/>
      <w:lvlJc w:val="left"/>
      <w:pPr>
        <w:ind w:left="1400" w:hanging="440"/>
      </w:pPr>
      <w:rPr>
        <w:rFonts w:ascii="Arial" w:hAnsi="Arial" w:hint="default"/>
      </w:rPr>
    </w:lvl>
    <w:lvl w:ilvl="4">
      <w:start w:val="1"/>
      <w:numFmt w:val="bullet"/>
      <w:lvlText w:val=""/>
      <w:lvlJc w:val="left"/>
      <w:pPr>
        <w:ind w:left="2120" w:hanging="440"/>
      </w:pPr>
      <w:rPr>
        <w:rFonts w:ascii="Wingdings" w:hAnsi="Wingdings" w:hint="default"/>
      </w:rPr>
    </w:lvl>
    <w:lvl w:ilvl="5">
      <w:start w:val="1"/>
      <w:numFmt w:val="bullet"/>
      <w:lvlText w:val="-"/>
      <w:lvlJc w:val="left"/>
      <w:pPr>
        <w:tabs>
          <w:tab w:val="left" w:pos="2760"/>
        </w:tabs>
        <w:ind w:left="2760" w:hanging="360"/>
      </w:pPr>
      <w:rPr>
        <w:rFonts w:ascii="Times New Roman" w:hAnsi="Times New Roman" w:hint="default"/>
      </w:rPr>
    </w:lvl>
    <w:lvl w:ilvl="6">
      <w:start w:val="1"/>
      <w:numFmt w:val="bullet"/>
      <w:lvlText w:val="-"/>
      <w:lvlJc w:val="left"/>
      <w:pPr>
        <w:tabs>
          <w:tab w:val="left" w:pos="3480"/>
        </w:tabs>
        <w:ind w:left="3480" w:hanging="360"/>
      </w:pPr>
      <w:rPr>
        <w:rFonts w:ascii="Times New Roman" w:hAnsi="Times New Roman" w:hint="default"/>
      </w:rPr>
    </w:lvl>
    <w:lvl w:ilvl="7">
      <w:start w:val="1"/>
      <w:numFmt w:val="bullet"/>
      <w:lvlText w:val="-"/>
      <w:lvlJc w:val="left"/>
      <w:pPr>
        <w:tabs>
          <w:tab w:val="left" w:pos="4200"/>
        </w:tabs>
        <w:ind w:left="4200" w:hanging="360"/>
      </w:pPr>
      <w:rPr>
        <w:rFonts w:ascii="Times New Roman" w:hAnsi="Times New Roman" w:hint="default"/>
      </w:rPr>
    </w:lvl>
    <w:lvl w:ilvl="8">
      <w:start w:val="1"/>
      <w:numFmt w:val="bullet"/>
      <w:lvlText w:val="-"/>
      <w:lvlJc w:val="left"/>
      <w:pPr>
        <w:tabs>
          <w:tab w:val="left" w:pos="4920"/>
        </w:tabs>
        <w:ind w:left="4920" w:hanging="360"/>
      </w:pPr>
      <w:rPr>
        <w:rFonts w:ascii="Times New Roman" w:hAnsi="Times New Roman" w:hint="default"/>
      </w:rPr>
    </w:lvl>
  </w:abstractNum>
  <w:abstractNum w:abstractNumId="9" w15:restartNumberingAfterBreak="0">
    <w:nsid w:val="0CB244D8"/>
    <w:multiLevelType w:val="hybridMultilevel"/>
    <w:tmpl w:val="A94C4686"/>
    <w:lvl w:ilvl="0" w:tplc="397220B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E481AC2"/>
    <w:multiLevelType w:val="hybridMultilevel"/>
    <w:tmpl w:val="63E8157E"/>
    <w:lvl w:ilvl="0" w:tplc="479CA6E0">
      <w:start w:val="1"/>
      <w:numFmt w:val="bullet"/>
      <w:lvlText w:val="–"/>
      <w:lvlJc w:val="left"/>
      <w:pPr>
        <w:ind w:left="840" w:hanging="440"/>
      </w:pPr>
      <w:rPr>
        <w:rFonts w:ascii="Arial" w:hAnsi="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1"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2ED49C4"/>
    <w:multiLevelType w:val="hybridMultilevel"/>
    <w:tmpl w:val="218426A8"/>
    <w:lvl w:ilvl="0" w:tplc="04090003">
      <w:start w:val="1"/>
      <w:numFmt w:val="bullet"/>
      <w:lvlText w:val="o"/>
      <w:lvlJc w:val="left"/>
      <w:pPr>
        <w:ind w:left="1240" w:hanging="440"/>
      </w:pPr>
      <w:rPr>
        <w:rFonts w:ascii="Courier New" w:hAnsi="Courier New" w:cs="Courier New"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13" w15:restartNumberingAfterBreak="0">
    <w:nsid w:val="1A015B79"/>
    <w:multiLevelType w:val="hybridMultilevel"/>
    <w:tmpl w:val="115AED52"/>
    <w:lvl w:ilvl="0" w:tplc="270074C0">
      <w:start w:val="5"/>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AC65095"/>
    <w:multiLevelType w:val="multilevel"/>
    <w:tmpl w:val="53520320"/>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60" w:hanging="44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BD0411D"/>
    <w:multiLevelType w:val="hybridMultilevel"/>
    <w:tmpl w:val="6F96668E"/>
    <w:lvl w:ilvl="0" w:tplc="E7D689F0">
      <w:numFmt w:val="bullet"/>
      <w:lvlText w:val="-"/>
      <w:lvlJc w:val="left"/>
      <w:pPr>
        <w:ind w:left="493" w:hanging="440"/>
      </w:pPr>
      <w:rPr>
        <w:rFonts w:ascii="Times New Roman" w:hAnsi="Times New Roman" w:hint="default"/>
      </w:rPr>
    </w:lvl>
    <w:lvl w:ilvl="1" w:tplc="04090003" w:tentative="1">
      <w:start w:val="1"/>
      <w:numFmt w:val="bullet"/>
      <w:lvlText w:val=""/>
      <w:lvlJc w:val="left"/>
      <w:pPr>
        <w:ind w:left="933" w:hanging="440"/>
      </w:pPr>
      <w:rPr>
        <w:rFonts w:ascii="Wingdings" w:hAnsi="Wingdings" w:hint="default"/>
      </w:rPr>
    </w:lvl>
    <w:lvl w:ilvl="2" w:tplc="04090005" w:tentative="1">
      <w:start w:val="1"/>
      <w:numFmt w:val="bullet"/>
      <w:lvlText w:val=""/>
      <w:lvlJc w:val="left"/>
      <w:pPr>
        <w:ind w:left="1373" w:hanging="440"/>
      </w:pPr>
      <w:rPr>
        <w:rFonts w:ascii="Wingdings" w:hAnsi="Wingdings" w:hint="default"/>
      </w:rPr>
    </w:lvl>
    <w:lvl w:ilvl="3" w:tplc="04090001" w:tentative="1">
      <w:start w:val="1"/>
      <w:numFmt w:val="bullet"/>
      <w:lvlText w:val=""/>
      <w:lvlJc w:val="left"/>
      <w:pPr>
        <w:ind w:left="1813" w:hanging="440"/>
      </w:pPr>
      <w:rPr>
        <w:rFonts w:ascii="Wingdings" w:hAnsi="Wingdings" w:hint="default"/>
      </w:rPr>
    </w:lvl>
    <w:lvl w:ilvl="4" w:tplc="04090003" w:tentative="1">
      <w:start w:val="1"/>
      <w:numFmt w:val="bullet"/>
      <w:lvlText w:val=""/>
      <w:lvlJc w:val="left"/>
      <w:pPr>
        <w:ind w:left="2253" w:hanging="440"/>
      </w:pPr>
      <w:rPr>
        <w:rFonts w:ascii="Wingdings" w:hAnsi="Wingdings" w:hint="default"/>
      </w:rPr>
    </w:lvl>
    <w:lvl w:ilvl="5" w:tplc="04090005" w:tentative="1">
      <w:start w:val="1"/>
      <w:numFmt w:val="bullet"/>
      <w:lvlText w:val=""/>
      <w:lvlJc w:val="left"/>
      <w:pPr>
        <w:ind w:left="2693" w:hanging="440"/>
      </w:pPr>
      <w:rPr>
        <w:rFonts w:ascii="Wingdings" w:hAnsi="Wingdings" w:hint="default"/>
      </w:rPr>
    </w:lvl>
    <w:lvl w:ilvl="6" w:tplc="04090001" w:tentative="1">
      <w:start w:val="1"/>
      <w:numFmt w:val="bullet"/>
      <w:lvlText w:val=""/>
      <w:lvlJc w:val="left"/>
      <w:pPr>
        <w:ind w:left="3133" w:hanging="440"/>
      </w:pPr>
      <w:rPr>
        <w:rFonts w:ascii="Wingdings" w:hAnsi="Wingdings" w:hint="default"/>
      </w:rPr>
    </w:lvl>
    <w:lvl w:ilvl="7" w:tplc="04090003" w:tentative="1">
      <w:start w:val="1"/>
      <w:numFmt w:val="bullet"/>
      <w:lvlText w:val=""/>
      <w:lvlJc w:val="left"/>
      <w:pPr>
        <w:ind w:left="3573" w:hanging="440"/>
      </w:pPr>
      <w:rPr>
        <w:rFonts w:ascii="Wingdings" w:hAnsi="Wingdings" w:hint="default"/>
      </w:rPr>
    </w:lvl>
    <w:lvl w:ilvl="8" w:tplc="04090005" w:tentative="1">
      <w:start w:val="1"/>
      <w:numFmt w:val="bullet"/>
      <w:lvlText w:val=""/>
      <w:lvlJc w:val="left"/>
      <w:pPr>
        <w:ind w:left="4013" w:hanging="440"/>
      </w:pPr>
      <w:rPr>
        <w:rFonts w:ascii="Wingdings" w:hAnsi="Wingdings" w:hint="default"/>
      </w:rPr>
    </w:lvl>
  </w:abstractNum>
  <w:abstractNum w:abstractNumId="16" w15:restartNumberingAfterBreak="0">
    <w:nsid w:val="1C4E0094"/>
    <w:multiLevelType w:val="hybridMultilevel"/>
    <w:tmpl w:val="D9A4198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CD71883"/>
    <w:multiLevelType w:val="hybridMultilevel"/>
    <w:tmpl w:val="94D40F84"/>
    <w:lvl w:ilvl="0" w:tplc="353C8AB6">
      <w:start w:val="1"/>
      <w:numFmt w:val="decimal"/>
      <w:pStyle w:val="proposal"/>
      <w:lvlText w:val="Proposal %1:"/>
      <w:lvlJc w:val="left"/>
      <w:pPr>
        <w:ind w:left="420" w:hanging="420"/>
      </w:pPr>
    </w:lvl>
    <w:lvl w:ilvl="1" w:tplc="04090019">
      <w:start w:val="1"/>
      <w:numFmt w:val="lowerLetter"/>
      <w:lvlText w:val="%2)"/>
      <w:lvlJc w:val="left"/>
      <w:pPr>
        <w:ind w:left="132" w:hanging="420"/>
      </w:pPr>
    </w:lvl>
    <w:lvl w:ilvl="2" w:tplc="0409001B" w:tentative="1">
      <w:start w:val="1"/>
      <w:numFmt w:val="lowerRoman"/>
      <w:lvlText w:val="%3."/>
      <w:lvlJc w:val="right"/>
      <w:pPr>
        <w:ind w:left="552" w:hanging="420"/>
      </w:pPr>
    </w:lvl>
    <w:lvl w:ilvl="3" w:tplc="0409000F" w:tentative="1">
      <w:start w:val="1"/>
      <w:numFmt w:val="decimal"/>
      <w:lvlText w:val="%4."/>
      <w:lvlJc w:val="left"/>
      <w:pPr>
        <w:ind w:left="972" w:hanging="420"/>
      </w:pPr>
    </w:lvl>
    <w:lvl w:ilvl="4" w:tplc="04090019" w:tentative="1">
      <w:start w:val="1"/>
      <w:numFmt w:val="lowerLetter"/>
      <w:lvlText w:val="%5)"/>
      <w:lvlJc w:val="left"/>
      <w:pPr>
        <w:ind w:left="1392" w:hanging="420"/>
      </w:pPr>
    </w:lvl>
    <w:lvl w:ilvl="5" w:tplc="0409001B" w:tentative="1">
      <w:start w:val="1"/>
      <w:numFmt w:val="lowerRoman"/>
      <w:lvlText w:val="%6."/>
      <w:lvlJc w:val="right"/>
      <w:pPr>
        <w:ind w:left="1812" w:hanging="420"/>
      </w:pPr>
    </w:lvl>
    <w:lvl w:ilvl="6" w:tplc="0409000F" w:tentative="1">
      <w:start w:val="1"/>
      <w:numFmt w:val="decimal"/>
      <w:lvlText w:val="%7."/>
      <w:lvlJc w:val="left"/>
      <w:pPr>
        <w:ind w:left="2232" w:hanging="420"/>
      </w:pPr>
    </w:lvl>
    <w:lvl w:ilvl="7" w:tplc="04090019" w:tentative="1">
      <w:start w:val="1"/>
      <w:numFmt w:val="lowerLetter"/>
      <w:lvlText w:val="%8)"/>
      <w:lvlJc w:val="left"/>
      <w:pPr>
        <w:ind w:left="2652" w:hanging="420"/>
      </w:pPr>
    </w:lvl>
    <w:lvl w:ilvl="8" w:tplc="0409001B" w:tentative="1">
      <w:start w:val="1"/>
      <w:numFmt w:val="lowerRoman"/>
      <w:lvlText w:val="%9."/>
      <w:lvlJc w:val="right"/>
      <w:pPr>
        <w:ind w:left="3072" w:hanging="420"/>
      </w:pPr>
    </w:lvl>
  </w:abstractNum>
  <w:abstractNum w:abstractNumId="18" w15:restartNumberingAfterBreak="0">
    <w:nsid w:val="1DA15A6D"/>
    <w:multiLevelType w:val="hybridMultilevel"/>
    <w:tmpl w:val="A0D80540"/>
    <w:lvl w:ilvl="0" w:tplc="A61CF6A2">
      <w:start w:val="1"/>
      <w:numFmt w:val="bullet"/>
      <w:lvlText w:val="-"/>
      <w:lvlJc w:val="left"/>
      <w:pPr>
        <w:ind w:left="840" w:hanging="440"/>
      </w:pPr>
      <w:rPr>
        <w:rFonts w:ascii="宋体" w:eastAsia="宋体" w:hAnsi="宋体" w:cs="Times New Roman" w:hint="eastAsia"/>
        <w:sz w:val="13"/>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9" w15:restartNumberingAfterBreak="0">
    <w:nsid w:val="215F7A48"/>
    <w:multiLevelType w:val="hybridMultilevel"/>
    <w:tmpl w:val="EB082EFA"/>
    <w:lvl w:ilvl="0" w:tplc="FFFFFFFF">
      <w:start w:val="1"/>
      <w:numFmt w:val="bullet"/>
      <w:lvlText w:val="-"/>
      <w:lvlJc w:val="left"/>
      <w:pPr>
        <w:ind w:left="440" w:hanging="440"/>
      </w:pPr>
      <w:rPr>
        <w:rFonts w:ascii="宋体" w:eastAsia="宋体" w:hAnsi="宋体" w:cs="Times New Roman" w:hint="eastAsia"/>
        <w:sz w:val="13"/>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A61CF6A2">
      <w:start w:val="1"/>
      <w:numFmt w:val="bullet"/>
      <w:lvlText w:val="-"/>
      <w:lvlJc w:val="left"/>
      <w:pPr>
        <w:ind w:left="840" w:hanging="440"/>
      </w:pPr>
      <w:rPr>
        <w:rFonts w:ascii="宋体" w:eastAsia="宋体" w:hAnsi="宋体" w:cs="Times New Roman" w:hint="eastAsia"/>
        <w:sz w:val="13"/>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27E00236"/>
    <w:multiLevelType w:val="multilevel"/>
    <w:tmpl w:val="DADE315A"/>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strike w:val="0"/>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8533F2F"/>
    <w:multiLevelType w:val="multilevel"/>
    <w:tmpl w:val="43BE595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strike w:val="0"/>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8F86914"/>
    <w:multiLevelType w:val="multilevel"/>
    <w:tmpl w:val="2BB6487E"/>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2C242B09"/>
    <w:multiLevelType w:val="hybridMultilevel"/>
    <w:tmpl w:val="41F6CCF6"/>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F5457E0"/>
    <w:multiLevelType w:val="multilevel"/>
    <w:tmpl w:val="E5B6F540"/>
    <w:lvl w:ilvl="0">
      <w:start w:val="1"/>
      <w:numFmt w:val="bullet"/>
      <w:lvlText w:val=""/>
      <w:lvlJc w:val="left"/>
      <w:pPr>
        <w:ind w:left="-180" w:hanging="360"/>
      </w:pPr>
      <w:rPr>
        <w:rFonts w:ascii="Symbol" w:hAnsi="Symbol" w:hint="default"/>
      </w:rPr>
    </w:lvl>
    <w:lvl w:ilvl="1">
      <w:start w:val="1"/>
      <w:numFmt w:val="bullet"/>
      <w:lvlText w:val="o"/>
      <w:lvlJc w:val="left"/>
      <w:pPr>
        <w:ind w:left="540" w:hanging="360"/>
      </w:pPr>
      <w:rPr>
        <w:rFonts w:ascii="Courier New" w:hAnsi="Courier New" w:cs="Courier New" w:hint="default"/>
      </w:rPr>
    </w:lvl>
    <w:lvl w:ilvl="2">
      <w:start w:val="1"/>
      <w:numFmt w:val="bullet"/>
      <w:lvlText w:val=""/>
      <w:lvlJc w:val="left"/>
      <w:pPr>
        <w:ind w:left="1260" w:hanging="360"/>
      </w:pPr>
      <w:rPr>
        <w:rFonts w:ascii="Wingdings" w:hAnsi="Wingdings" w:hint="default"/>
      </w:rPr>
    </w:lvl>
    <w:lvl w:ilvl="3">
      <w:start w:val="1"/>
      <w:numFmt w:val="bullet"/>
      <w:lvlText w:val=""/>
      <w:lvlJc w:val="left"/>
      <w:pPr>
        <w:ind w:left="1980" w:hanging="360"/>
      </w:pPr>
      <w:rPr>
        <w:rFonts w:ascii="Symbol" w:hAnsi="Symbol" w:hint="default"/>
      </w:rPr>
    </w:lvl>
    <w:lvl w:ilvl="4">
      <w:start w:val="1"/>
      <w:numFmt w:val="bullet"/>
      <w:lvlText w:val="o"/>
      <w:lvlJc w:val="left"/>
      <w:pPr>
        <w:ind w:left="2700" w:hanging="360"/>
      </w:pPr>
      <w:rPr>
        <w:rFonts w:ascii="Courier New" w:hAnsi="Courier New" w:cs="Courier New" w:hint="default"/>
      </w:rPr>
    </w:lvl>
    <w:lvl w:ilvl="5">
      <w:start w:val="1"/>
      <w:numFmt w:val="bullet"/>
      <w:lvlText w:val=""/>
      <w:lvlJc w:val="left"/>
      <w:pPr>
        <w:ind w:left="3420" w:hanging="360"/>
      </w:pPr>
      <w:rPr>
        <w:rFonts w:ascii="Wingdings" w:hAnsi="Wingdings" w:hint="default"/>
      </w:rPr>
    </w:lvl>
    <w:lvl w:ilvl="6">
      <w:start w:val="1"/>
      <w:numFmt w:val="bullet"/>
      <w:lvlText w:val=""/>
      <w:lvlJc w:val="left"/>
      <w:pPr>
        <w:ind w:left="4140" w:hanging="360"/>
      </w:pPr>
      <w:rPr>
        <w:rFonts w:ascii="Symbol" w:hAnsi="Symbol" w:hint="default"/>
      </w:rPr>
    </w:lvl>
    <w:lvl w:ilvl="7">
      <w:start w:val="1"/>
      <w:numFmt w:val="bullet"/>
      <w:lvlText w:val="o"/>
      <w:lvlJc w:val="left"/>
      <w:pPr>
        <w:ind w:left="4860" w:hanging="360"/>
      </w:pPr>
      <w:rPr>
        <w:rFonts w:ascii="Courier New" w:hAnsi="Courier New" w:cs="Courier New" w:hint="default"/>
      </w:rPr>
    </w:lvl>
    <w:lvl w:ilvl="8">
      <w:start w:val="1"/>
      <w:numFmt w:val="bullet"/>
      <w:lvlText w:val=""/>
      <w:lvlJc w:val="left"/>
      <w:pPr>
        <w:ind w:left="5580" w:hanging="360"/>
      </w:pPr>
      <w:rPr>
        <w:rFonts w:ascii="Wingdings" w:hAnsi="Wingdings" w:hint="default"/>
      </w:rPr>
    </w:lvl>
  </w:abstractNum>
  <w:abstractNum w:abstractNumId="25" w15:restartNumberingAfterBreak="0">
    <w:nsid w:val="305F7A61"/>
    <w:multiLevelType w:val="multilevel"/>
    <w:tmpl w:val="64CC80B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0613CE4"/>
    <w:multiLevelType w:val="hybridMultilevel"/>
    <w:tmpl w:val="69A69EC4"/>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30724F6A"/>
    <w:multiLevelType w:val="hybridMultilevel"/>
    <w:tmpl w:val="AD1C7BEA"/>
    <w:lvl w:ilvl="0" w:tplc="5686AFCE">
      <w:start w:val="2"/>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31A24D87"/>
    <w:multiLevelType w:val="hybridMultilevel"/>
    <w:tmpl w:val="04A8E110"/>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3F16A7F"/>
    <w:multiLevelType w:val="hybridMultilevel"/>
    <w:tmpl w:val="FEA00CBE"/>
    <w:lvl w:ilvl="0" w:tplc="479CA6E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49904A7"/>
    <w:multiLevelType w:val="hybridMultilevel"/>
    <w:tmpl w:val="710694DA"/>
    <w:lvl w:ilvl="0" w:tplc="397220B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5DA1D13"/>
    <w:multiLevelType w:val="hybridMultilevel"/>
    <w:tmpl w:val="37F89CC6"/>
    <w:lvl w:ilvl="0" w:tplc="5686AFCE">
      <w:start w:val="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6157CA4"/>
    <w:multiLevelType w:val="hybridMultilevel"/>
    <w:tmpl w:val="FC365B96"/>
    <w:lvl w:ilvl="0" w:tplc="A61CF6A2">
      <w:start w:val="1"/>
      <w:numFmt w:val="bullet"/>
      <w:lvlText w:val="-"/>
      <w:lvlJc w:val="left"/>
      <w:pPr>
        <w:ind w:left="860" w:hanging="440"/>
      </w:pPr>
      <w:rPr>
        <w:rFonts w:ascii="宋体" w:eastAsia="宋体" w:hAnsi="宋体" w:cs="Times New Roman" w:hint="eastAsia"/>
        <w:sz w:val="13"/>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3" w15:restartNumberingAfterBreak="0">
    <w:nsid w:val="362A30CC"/>
    <w:multiLevelType w:val="multilevel"/>
    <w:tmpl w:val="F0127078"/>
    <w:lvl w:ilvl="0">
      <w:start w:val="1"/>
      <w:numFmt w:val="bullet"/>
      <w:lvlText w:val="-"/>
      <w:lvlJc w:val="left"/>
      <w:pPr>
        <w:tabs>
          <w:tab w:val="left" w:pos="-840"/>
        </w:tabs>
        <w:ind w:left="-840" w:hanging="360"/>
      </w:pPr>
      <w:rPr>
        <w:rFonts w:ascii="Times New Roman" w:hAnsi="Times New Roman" w:hint="default"/>
      </w:rPr>
    </w:lvl>
    <w:lvl w:ilvl="1">
      <w:numFmt w:val="bullet"/>
      <w:lvlText w:val="-"/>
      <w:lvlJc w:val="left"/>
      <w:pPr>
        <w:tabs>
          <w:tab w:val="left" w:pos="-120"/>
        </w:tabs>
        <w:ind w:left="-120" w:hanging="360"/>
      </w:pPr>
      <w:rPr>
        <w:rFonts w:ascii="Yu Gothic" w:hAnsi="Yu Gothic" w:hint="default"/>
      </w:rPr>
    </w:lvl>
    <w:lvl w:ilvl="2">
      <w:start w:val="1"/>
      <w:numFmt w:val="bullet"/>
      <w:lvlText w:val="–"/>
      <w:lvlJc w:val="left"/>
      <w:pPr>
        <w:ind w:left="680" w:hanging="440"/>
      </w:pPr>
      <w:rPr>
        <w:rFonts w:ascii="Arial" w:hAnsi="Arial" w:hint="default"/>
      </w:rPr>
    </w:lvl>
    <w:lvl w:ilvl="3">
      <w:start w:val="1"/>
      <w:numFmt w:val="bullet"/>
      <w:lvlText w:val="•"/>
      <w:lvlJc w:val="left"/>
      <w:pPr>
        <w:ind w:left="1400" w:hanging="440"/>
      </w:pPr>
      <w:rPr>
        <w:rFonts w:ascii="Arial" w:hAnsi="Arial" w:hint="default"/>
      </w:rPr>
    </w:lvl>
    <w:lvl w:ilvl="4">
      <w:start w:val="1"/>
      <w:numFmt w:val="bullet"/>
      <w:lvlText w:val=""/>
      <w:lvlJc w:val="left"/>
      <w:pPr>
        <w:ind w:left="2120" w:hanging="440"/>
      </w:pPr>
      <w:rPr>
        <w:rFonts w:ascii="Wingdings" w:hAnsi="Wingdings" w:hint="default"/>
      </w:rPr>
    </w:lvl>
    <w:lvl w:ilvl="5">
      <w:start w:val="1"/>
      <w:numFmt w:val="bullet"/>
      <w:lvlText w:val="-"/>
      <w:lvlJc w:val="left"/>
      <w:pPr>
        <w:tabs>
          <w:tab w:val="left" w:pos="2760"/>
        </w:tabs>
        <w:ind w:left="2760" w:hanging="360"/>
      </w:pPr>
      <w:rPr>
        <w:rFonts w:ascii="Times New Roman" w:hAnsi="Times New Roman" w:hint="default"/>
      </w:rPr>
    </w:lvl>
    <w:lvl w:ilvl="6">
      <w:start w:val="1"/>
      <w:numFmt w:val="bullet"/>
      <w:lvlText w:val="-"/>
      <w:lvlJc w:val="left"/>
      <w:pPr>
        <w:tabs>
          <w:tab w:val="left" w:pos="3480"/>
        </w:tabs>
        <w:ind w:left="3480" w:hanging="360"/>
      </w:pPr>
      <w:rPr>
        <w:rFonts w:ascii="Times New Roman" w:hAnsi="Times New Roman" w:hint="default"/>
      </w:rPr>
    </w:lvl>
    <w:lvl w:ilvl="7">
      <w:start w:val="1"/>
      <w:numFmt w:val="bullet"/>
      <w:lvlText w:val="-"/>
      <w:lvlJc w:val="left"/>
      <w:pPr>
        <w:tabs>
          <w:tab w:val="left" w:pos="4200"/>
        </w:tabs>
        <w:ind w:left="4200" w:hanging="360"/>
      </w:pPr>
      <w:rPr>
        <w:rFonts w:ascii="Times New Roman" w:hAnsi="Times New Roman" w:hint="default"/>
      </w:rPr>
    </w:lvl>
    <w:lvl w:ilvl="8">
      <w:start w:val="1"/>
      <w:numFmt w:val="bullet"/>
      <w:lvlText w:val="-"/>
      <w:lvlJc w:val="left"/>
      <w:pPr>
        <w:tabs>
          <w:tab w:val="left" w:pos="4920"/>
        </w:tabs>
        <w:ind w:left="4920" w:hanging="360"/>
      </w:pPr>
      <w:rPr>
        <w:rFonts w:ascii="Times New Roman" w:hAnsi="Times New Roman" w:hint="default"/>
      </w:rPr>
    </w:lvl>
  </w:abstractNum>
  <w:abstractNum w:abstractNumId="34" w15:restartNumberingAfterBreak="0">
    <w:nsid w:val="362B426B"/>
    <w:multiLevelType w:val="hybridMultilevel"/>
    <w:tmpl w:val="7E0AE8E8"/>
    <w:lvl w:ilvl="0" w:tplc="479CA6E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8EF5666"/>
    <w:multiLevelType w:val="hybridMultilevel"/>
    <w:tmpl w:val="A8F67F52"/>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AF3291F"/>
    <w:multiLevelType w:val="hybridMultilevel"/>
    <w:tmpl w:val="66FC3CAC"/>
    <w:lvl w:ilvl="0" w:tplc="479CA6E0">
      <w:start w:val="1"/>
      <w:numFmt w:val="bullet"/>
      <w:lvlText w:val="–"/>
      <w:lvlJc w:val="left"/>
      <w:pPr>
        <w:ind w:left="640" w:hanging="440"/>
      </w:pPr>
      <w:rPr>
        <w:rFonts w:ascii="Arial" w:hAnsi="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3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0" w15:restartNumberingAfterBreak="0">
    <w:nsid w:val="3C7356B0"/>
    <w:multiLevelType w:val="hybridMultilevel"/>
    <w:tmpl w:val="CB0AEB4A"/>
    <w:lvl w:ilvl="0" w:tplc="397220B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2" w15:restartNumberingAfterBreak="0">
    <w:nsid w:val="416616FB"/>
    <w:multiLevelType w:val="hybridMultilevel"/>
    <w:tmpl w:val="89AC0542"/>
    <w:lvl w:ilvl="0" w:tplc="479CA6E0">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3" w15:restartNumberingAfterBreak="0">
    <w:nsid w:val="43513589"/>
    <w:multiLevelType w:val="hybridMultilevel"/>
    <w:tmpl w:val="0AE8E4F2"/>
    <w:lvl w:ilvl="0" w:tplc="479CA6E0">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4" w15:restartNumberingAfterBreak="0">
    <w:nsid w:val="43607CA0"/>
    <w:multiLevelType w:val="hybridMultilevel"/>
    <w:tmpl w:val="CB9C97BA"/>
    <w:lvl w:ilvl="0" w:tplc="A61CF6A2">
      <w:start w:val="1"/>
      <w:numFmt w:val="bullet"/>
      <w:lvlText w:val="-"/>
      <w:lvlJc w:val="left"/>
      <w:pPr>
        <w:ind w:left="860" w:hanging="440"/>
      </w:pPr>
      <w:rPr>
        <w:rFonts w:ascii="宋体" w:eastAsia="宋体" w:hAnsi="宋体" w:cs="Times New Roman" w:hint="eastAsia"/>
        <w:sz w:val="13"/>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5" w15:restartNumberingAfterBreak="0">
    <w:nsid w:val="45656483"/>
    <w:multiLevelType w:val="hybridMultilevel"/>
    <w:tmpl w:val="C916EAAC"/>
    <w:lvl w:ilvl="0" w:tplc="5CD276F4">
      <w:start w:val="1"/>
      <w:numFmt w:val="decimal"/>
      <w:pStyle w:val="observation"/>
      <w:lvlText w:val="Observation %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60A2F6E"/>
    <w:multiLevelType w:val="multilevel"/>
    <w:tmpl w:val="72C8C0E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630671"/>
    <w:multiLevelType w:val="hybridMultilevel"/>
    <w:tmpl w:val="A62A3CEC"/>
    <w:lvl w:ilvl="0" w:tplc="397220B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48AE05B6"/>
    <w:multiLevelType w:val="multilevel"/>
    <w:tmpl w:val="956CED66"/>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49" w15:restartNumberingAfterBreak="0">
    <w:nsid w:val="49700C6B"/>
    <w:multiLevelType w:val="hybridMultilevel"/>
    <w:tmpl w:val="486839F4"/>
    <w:lvl w:ilvl="0" w:tplc="DF2EA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ADA455D"/>
    <w:multiLevelType w:val="hybridMultilevel"/>
    <w:tmpl w:val="771E58D4"/>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4C6343B5"/>
    <w:multiLevelType w:val="hybridMultilevel"/>
    <w:tmpl w:val="2AEE4E04"/>
    <w:lvl w:ilvl="0" w:tplc="E7D689F0">
      <w:numFmt w:val="bullet"/>
      <w:lvlText w:val="-"/>
      <w:lvlJc w:val="left"/>
      <w:pPr>
        <w:ind w:left="440" w:hanging="440"/>
      </w:pPr>
      <w:rPr>
        <w:rFonts w:ascii="Times New Roma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4F1933BD"/>
    <w:multiLevelType w:val="hybridMultilevel"/>
    <w:tmpl w:val="4E9E6F2C"/>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4F9717E9"/>
    <w:multiLevelType w:val="hybridMultilevel"/>
    <w:tmpl w:val="A19A31AE"/>
    <w:lvl w:ilvl="0" w:tplc="FFFFFFFF">
      <w:start w:val="1"/>
      <w:numFmt w:val="bullet"/>
      <w:lvlText w:val="–"/>
      <w:lvlJc w:val="left"/>
      <w:pPr>
        <w:ind w:left="440" w:hanging="440"/>
      </w:pPr>
      <w:rPr>
        <w:rFonts w:ascii="Arial" w:hAnsi="Arial" w:hint="default"/>
      </w:rPr>
    </w:lvl>
    <w:lvl w:ilvl="1" w:tplc="397220B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 w15:restartNumberingAfterBreak="0">
    <w:nsid w:val="4FB2382F"/>
    <w:multiLevelType w:val="hybridMultilevel"/>
    <w:tmpl w:val="25C8D2DE"/>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0B03414"/>
    <w:multiLevelType w:val="multilevel"/>
    <w:tmpl w:val="B2AE5D7C"/>
    <w:lvl w:ilvl="0">
      <w:start w:val="1"/>
      <w:numFmt w:val="bullet"/>
      <w:lvlText w:val="-"/>
      <w:lvlJc w:val="left"/>
      <w:pPr>
        <w:tabs>
          <w:tab w:val="num" w:pos="360"/>
        </w:tabs>
        <w:ind w:left="360" w:hanging="360"/>
      </w:pPr>
      <w:rPr>
        <w:rFonts w:ascii="Times New Roman" w:hAnsi="Times New Roman" w:cs="Times New Roman" w:hint="default"/>
      </w:rPr>
    </w:lvl>
    <w:lvl w:ilvl="1">
      <w:numFmt w:val="bullet"/>
      <w:lvlText w:val="-"/>
      <w:lvlJc w:val="left"/>
      <w:pPr>
        <w:tabs>
          <w:tab w:val="num" w:pos="1080"/>
        </w:tabs>
        <w:ind w:left="1080" w:hanging="360"/>
      </w:pPr>
      <w:rPr>
        <w:rFonts w:ascii="Yu Gothic" w:eastAsia="Yu Gothic" w:hAnsi="Yu Gothic" w:hint="eastAsia"/>
      </w:rPr>
    </w:lvl>
    <w:lvl w:ilvl="2">
      <w:start w:val="1"/>
      <w:numFmt w:val="bullet"/>
      <w:lvlText w:val=""/>
      <w:lvlJc w:val="left"/>
      <w:pPr>
        <w:ind w:left="1880" w:hanging="440"/>
      </w:pPr>
      <w:rPr>
        <w:rFonts w:ascii="Wingdings" w:hAnsi="Wingdings" w:hint="default"/>
      </w:rPr>
    </w:lvl>
    <w:lvl w:ilvl="3">
      <w:start w:val="1"/>
      <w:numFmt w:val="bullet"/>
      <w:lvlText w:val="-"/>
      <w:lvlJc w:val="left"/>
      <w:pPr>
        <w:tabs>
          <w:tab w:val="num" w:pos="2520"/>
        </w:tabs>
        <w:ind w:left="2520" w:hanging="360"/>
      </w:pPr>
      <w:rPr>
        <w:rFonts w:ascii="Times New Roman" w:hAnsi="Times New Roman" w:cs="Times New Roman" w:hint="default"/>
      </w:rPr>
    </w:lvl>
    <w:lvl w:ilvl="4">
      <w:start w:val="1"/>
      <w:numFmt w:val="bullet"/>
      <w:lvlText w:val="-"/>
      <w:lvlJc w:val="left"/>
      <w:pPr>
        <w:tabs>
          <w:tab w:val="num" w:pos="3240"/>
        </w:tabs>
        <w:ind w:left="3240" w:hanging="360"/>
      </w:pPr>
      <w:rPr>
        <w:rFonts w:ascii="Times New Roman" w:hAnsi="Times New Roman" w:cs="Times New Roman" w:hint="default"/>
      </w:rPr>
    </w:lvl>
    <w:lvl w:ilvl="5">
      <w:start w:val="1"/>
      <w:numFmt w:val="bullet"/>
      <w:lvlText w:val="-"/>
      <w:lvlJc w:val="left"/>
      <w:pPr>
        <w:tabs>
          <w:tab w:val="num" w:pos="3960"/>
        </w:tabs>
        <w:ind w:left="3960" w:hanging="360"/>
      </w:pPr>
      <w:rPr>
        <w:rFonts w:ascii="Times New Roman" w:hAnsi="Times New Roman" w:cs="Times New Roman" w:hint="default"/>
      </w:rPr>
    </w:lvl>
    <w:lvl w:ilvl="6">
      <w:start w:val="1"/>
      <w:numFmt w:val="bullet"/>
      <w:lvlText w:val="-"/>
      <w:lvlJc w:val="left"/>
      <w:pPr>
        <w:tabs>
          <w:tab w:val="num" w:pos="4680"/>
        </w:tabs>
        <w:ind w:left="4680" w:hanging="360"/>
      </w:pPr>
      <w:rPr>
        <w:rFonts w:ascii="Times New Roman" w:hAnsi="Times New Roman" w:cs="Times New Roman" w:hint="default"/>
      </w:rPr>
    </w:lvl>
    <w:lvl w:ilvl="7">
      <w:start w:val="1"/>
      <w:numFmt w:val="bullet"/>
      <w:lvlText w:val="-"/>
      <w:lvlJc w:val="left"/>
      <w:pPr>
        <w:tabs>
          <w:tab w:val="num" w:pos="5400"/>
        </w:tabs>
        <w:ind w:left="5400" w:hanging="360"/>
      </w:pPr>
      <w:rPr>
        <w:rFonts w:ascii="Times New Roman" w:hAnsi="Times New Roman" w:cs="Times New Roman" w:hint="default"/>
      </w:rPr>
    </w:lvl>
    <w:lvl w:ilvl="8">
      <w:start w:val="1"/>
      <w:numFmt w:val="bullet"/>
      <w:lvlText w:val="-"/>
      <w:lvlJc w:val="left"/>
      <w:pPr>
        <w:tabs>
          <w:tab w:val="num" w:pos="6120"/>
        </w:tabs>
        <w:ind w:left="6120" w:hanging="360"/>
      </w:pPr>
      <w:rPr>
        <w:rFonts w:ascii="Times New Roman" w:hAnsi="Times New Roman" w:cs="Times New Roman" w:hint="default"/>
      </w:rPr>
    </w:lvl>
  </w:abstractNum>
  <w:abstractNum w:abstractNumId="57" w15:restartNumberingAfterBreak="0">
    <w:nsid w:val="513E78D5"/>
    <w:multiLevelType w:val="hybridMultilevel"/>
    <w:tmpl w:val="BE5C4302"/>
    <w:lvl w:ilvl="0" w:tplc="479CA6E0">
      <w:start w:val="1"/>
      <w:numFmt w:val="bullet"/>
      <w:lvlText w:val="–"/>
      <w:lvlJc w:val="left"/>
      <w:pPr>
        <w:ind w:left="485" w:hanging="440"/>
      </w:pPr>
      <w:rPr>
        <w:rFonts w:ascii="Arial" w:hAnsi="Arial" w:hint="default"/>
      </w:rPr>
    </w:lvl>
    <w:lvl w:ilvl="1" w:tplc="04090003" w:tentative="1">
      <w:start w:val="1"/>
      <w:numFmt w:val="bullet"/>
      <w:lvlText w:val=""/>
      <w:lvlJc w:val="left"/>
      <w:pPr>
        <w:ind w:left="925" w:hanging="440"/>
      </w:pPr>
      <w:rPr>
        <w:rFonts w:ascii="Wingdings" w:hAnsi="Wingdings" w:hint="default"/>
      </w:rPr>
    </w:lvl>
    <w:lvl w:ilvl="2" w:tplc="04090005" w:tentative="1">
      <w:start w:val="1"/>
      <w:numFmt w:val="bullet"/>
      <w:lvlText w:val=""/>
      <w:lvlJc w:val="left"/>
      <w:pPr>
        <w:ind w:left="1365" w:hanging="440"/>
      </w:pPr>
      <w:rPr>
        <w:rFonts w:ascii="Wingdings" w:hAnsi="Wingdings" w:hint="default"/>
      </w:rPr>
    </w:lvl>
    <w:lvl w:ilvl="3" w:tplc="04090001" w:tentative="1">
      <w:start w:val="1"/>
      <w:numFmt w:val="bullet"/>
      <w:lvlText w:val=""/>
      <w:lvlJc w:val="left"/>
      <w:pPr>
        <w:ind w:left="1805" w:hanging="440"/>
      </w:pPr>
      <w:rPr>
        <w:rFonts w:ascii="Wingdings" w:hAnsi="Wingdings" w:hint="default"/>
      </w:rPr>
    </w:lvl>
    <w:lvl w:ilvl="4" w:tplc="04090003" w:tentative="1">
      <w:start w:val="1"/>
      <w:numFmt w:val="bullet"/>
      <w:lvlText w:val=""/>
      <w:lvlJc w:val="left"/>
      <w:pPr>
        <w:ind w:left="2245" w:hanging="440"/>
      </w:pPr>
      <w:rPr>
        <w:rFonts w:ascii="Wingdings" w:hAnsi="Wingdings" w:hint="default"/>
      </w:rPr>
    </w:lvl>
    <w:lvl w:ilvl="5" w:tplc="04090005" w:tentative="1">
      <w:start w:val="1"/>
      <w:numFmt w:val="bullet"/>
      <w:lvlText w:val=""/>
      <w:lvlJc w:val="left"/>
      <w:pPr>
        <w:ind w:left="2685" w:hanging="440"/>
      </w:pPr>
      <w:rPr>
        <w:rFonts w:ascii="Wingdings" w:hAnsi="Wingdings" w:hint="default"/>
      </w:rPr>
    </w:lvl>
    <w:lvl w:ilvl="6" w:tplc="04090001" w:tentative="1">
      <w:start w:val="1"/>
      <w:numFmt w:val="bullet"/>
      <w:lvlText w:val=""/>
      <w:lvlJc w:val="left"/>
      <w:pPr>
        <w:ind w:left="3125" w:hanging="440"/>
      </w:pPr>
      <w:rPr>
        <w:rFonts w:ascii="Wingdings" w:hAnsi="Wingdings" w:hint="default"/>
      </w:rPr>
    </w:lvl>
    <w:lvl w:ilvl="7" w:tplc="04090003" w:tentative="1">
      <w:start w:val="1"/>
      <w:numFmt w:val="bullet"/>
      <w:lvlText w:val=""/>
      <w:lvlJc w:val="left"/>
      <w:pPr>
        <w:ind w:left="3565" w:hanging="440"/>
      </w:pPr>
      <w:rPr>
        <w:rFonts w:ascii="Wingdings" w:hAnsi="Wingdings" w:hint="default"/>
      </w:rPr>
    </w:lvl>
    <w:lvl w:ilvl="8" w:tplc="04090005" w:tentative="1">
      <w:start w:val="1"/>
      <w:numFmt w:val="bullet"/>
      <w:lvlText w:val=""/>
      <w:lvlJc w:val="left"/>
      <w:pPr>
        <w:ind w:left="4005" w:hanging="440"/>
      </w:pPr>
      <w:rPr>
        <w:rFonts w:ascii="Wingdings" w:hAnsi="Wingdings" w:hint="default"/>
      </w:rPr>
    </w:lvl>
  </w:abstractNum>
  <w:abstractNum w:abstractNumId="58" w15:restartNumberingAfterBreak="0">
    <w:nsid w:val="51903C93"/>
    <w:multiLevelType w:val="hybridMultilevel"/>
    <w:tmpl w:val="1BA4DC2E"/>
    <w:lvl w:ilvl="0" w:tplc="FFFFFFFF">
      <w:start w:val="1"/>
      <w:numFmt w:val="bullet"/>
      <w:lvlText w:val=""/>
      <w:lvlJc w:val="left"/>
      <w:pPr>
        <w:ind w:left="420" w:hanging="420"/>
      </w:pPr>
      <w:rPr>
        <w:rFonts w:ascii="Wingdings" w:hAnsi="Wingdings" w:hint="default"/>
        <w:sz w:val="13"/>
      </w:rPr>
    </w:lvl>
    <w:lvl w:ilvl="1" w:tplc="A61CF6A2">
      <w:start w:val="1"/>
      <w:numFmt w:val="bullet"/>
      <w:lvlText w:val="-"/>
      <w:lvlJc w:val="left"/>
      <w:pPr>
        <w:ind w:left="840" w:hanging="420"/>
      </w:pPr>
      <w:rPr>
        <w:rFonts w:ascii="宋体" w:eastAsia="宋体" w:hAnsi="宋体" w:cs="Times New Roman" w:hint="eastAsia"/>
        <w:sz w:val="13"/>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9" w15:restartNumberingAfterBreak="0">
    <w:nsid w:val="52891471"/>
    <w:multiLevelType w:val="hybridMultilevel"/>
    <w:tmpl w:val="0204A8CE"/>
    <w:lvl w:ilvl="0" w:tplc="A61CF6A2">
      <w:start w:val="1"/>
      <w:numFmt w:val="bullet"/>
      <w:lvlText w:val="-"/>
      <w:lvlJc w:val="left"/>
      <w:pPr>
        <w:ind w:left="820" w:hanging="420"/>
      </w:pPr>
      <w:rPr>
        <w:rFonts w:ascii="宋体" w:eastAsia="宋体" w:hAnsi="宋体" w:cs="Times New Roman" w:hint="eastAsia"/>
        <w:sz w:val="13"/>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0"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1" w15:restartNumberingAfterBreak="0">
    <w:nsid w:val="53273492"/>
    <w:multiLevelType w:val="hybridMultilevel"/>
    <w:tmpl w:val="07107016"/>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63" w15:restartNumberingAfterBreak="0">
    <w:nsid w:val="5B8724F2"/>
    <w:multiLevelType w:val="hybridMultilevel"/>
    <w:tmpl w:val="CC60F486"/>
    <w:lvl w:ilvl="0" w:tplc="5686AFCE">
      <w:start w:val="2"/>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4" w15:restartNumberingAfterBreak="0">
    <w:nsid w:val="60421C83"/>
    <w:multiLevelType w:val="hybridMultilevel"/>
    <w:tmpl w:val="6840DAB2"/>
    <w:lvl w:ilvl="0" w:tplc="397220B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617210A3"/>
    <w:multiLevelType w:val="multilevel"/>
    <w:tmpl w:val="7F988102"/>
    <w:lvl w:ilvl="0">
      <w:start w:val="1"/>
      <w:numFmt w:val="bullet"/>
      <w:lvlText w:val="-"/>
      <w:lvlJc w:val="left"/>
      <w:pPr>
        <w:tabs>
          <w:tab w:val="left" w:pos="-840"/>
        </w:tabs>
        <w:ind w:left="-840" w:hanging="360"/>
      </w:pPr>
      <w:rPr>
        <w:rFonts w:ascii="Times New Roman" w:hAnsi="Times New Roman" w:hint="default"/>
      </w:rPr>
    </w:lvl>
    <w:lvl w:ilvl="1">
      <w:numFmt w:val="bullet"/>
      <w:lvlText w:val="-"/>
      <w:lvlJc w:val="left"/>
      <w:pPr>
        <w:tabs>
          <w:tab w:val="left" w:pos="-120"/>
        </w:tabs>
        <w:ind w:left="-120" w:hanging="360"/>
      </w:pPr>
      <w:rPr>
        <w:rFonts w:ascii="Yu Gothic" w:hAnsi="Yu Gothic" w:hint="default"/>
      </w:rPr>
    </w:lvl>
    <w:lvl w:ilvl="2">
      <w:start w:val="1"/>
      <w:numFmt w:val="bullet"/>
      <w:lvlText w:val="–"/>
      <w:lvlJc w:val="left"/>
      <w:pPr>
        <w:ind w:left="680" w:hanging="440"/>
      </w:pPr>
      <w:rPr>
        <w:rFonts w:ascii="Arial" w:hAnsi="Arial" w:hint="default"/>
      </w:rPr>
    </w:lvl>
    <w:lvl w:ilvl="3">
      <w:start w:val="1"/>
      <w:numFmt w:val="bullet"/>
      <w:lvlText w:val="•"/>
      <w:lvlJc w:val="left"/>
      <w:pPr>
        <w:ind w:left="1400" w:hanging="440"/>
      </w:pPr>
      <w:rPr>
        <w:rFonts w:ascii="Arial" w:hAnsi="Arial" w:hint="default"/>
      </w:rPr>
    </w:lvl>
    <w:lvl w:ilvl="4">
      <w:start w:val="1"/>
      <w:numFmt w:val="bullet"/>
      <w:lvlText w:val="-"/>
      <w:lvlJc w:val="left"/>
      <w:pPr>
        <w:tabs>
          <w:tab w:val="left" w:pos="2040"/>
        </w:tabs>
        <w:ind w:left="2040" w:hanging="360"/>
      </w:pPr>
      <w:rPr>
        <w:rFonts w:ascii="Times New Roman" w:hAnsi="Times New Roman" w:hint="default"/>
      </w:rPr>
    </w:lvl>
    <w:lvl w:ilvl="5">
      <w:start w:val="1"/>
      <w:numFmt w:val="bullet"/>
      <w:lvlText w:val="-"/>
      <w:lvlJc w:val="left"/>
      <w:pPr>
        <w:tabs>
          <w:tab w:val="left" w:pos="2760"/>
        </w:tabs>
        <w:ind w:left="2760" w:hanging="360"/>
      </w:pPr>
      <w:rPr>
        <w:rFonts w:ascii="Times New Roman" w:hAnsi="Times New Roman" w:hint="default"/>
      </w:rPr>
    </w:lvl>
    <w:lvl w:ilvl="6">
      <w:start w:val="1"/>
      <w:numFmt w:val="bullet"/>
      <w:lvlText w:val="-"/>
      <w:lvlJc w:val="left"/>
      <w:pPr>
        <w:tabs>
          <w:tab w:val="left" w:pos="3480"/>
        </w:tabs>
        <w:ind w:left="3480" w:hanging="360"/>
      </w:pPr>
      <w:rPr>
        <w:rFonts w:ascii="Times New Roman" w:hAnsi="Times New Roman" w:hint="default"/>
      </w:rPr>
    </w:lvl>
    <w:lvl w:ilvl="7">
      <w:start w:val="1"/>
      <w:numFmt w:val="bullet"/>
      <w:lvlText w:val="-"/>
      <w:lvlJc w:val="left"/>
      <w:pPr>
        <w:tabs>
          <w:tab w:val="left" w:pos="4200"/>
        </w:tabs>
        <w:ind w:left="4200" w:hanging="360"/>
      </w:pPr>
      <w:rPr>
        <w:rFonts w:ascii="Times New Roman" w:hAnsi="Times New Roman" w:hint="default"/>
      </w:rPr>
    </w:lvl>
    <w:lvl w:ilvl="8">
      <w:start w:val="1"/>
      <w:numFmt w:val="bullet"/>
      <w:lvlText w:val="-"/>
      <w:lvlJc w:val="left"/>
      <w:pPr>
        <w:tabs>
          <w:tab w:val="left" w:pos="4920"/>
        </w:tabs>
        <w:ind w:left="4920" w:hanging="360"/>
      </w:pPr>
      <w:rPr>
        <w:rFonts w:ascii="Times New Roman" w:hAnsi="Times New Roman" w:hint="default"/>
      </w:rPr>
    </w:lvl>
  </w:abstractNum>
  <w:abstractNum w:abstractNumId="66"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1B63F90"/>
    <w:multiLevelType w:val="hybridMultilevel"/>
    <w:tmpl w:val="63507A66"/>
    <w:lvl w:ilvl="0" w:tplc="397220BA">
      <w:start w:val="1"/>
      <w:numFmt w:val="bullet"/>
      <w:lvlText w:val="•"/>
      <w:lvlJc w:val="left"/>
      <w:pPr>
        <w:tabs>
          <w:tab w:val="num" w:pos="760"/>
        </w:tabs>
        <w:ind w:left="760" w:hanging="360"/>
      </w:pPr>
      <w:rPr>
        <w:rFonts w:ascii="Arial" w:hAnsi="Arial" w:hint="default"/>
      </w:rPr>
    </w:lvl>
    <w:lvl w:ilvl="1" w:tplc="F5160BD8">
      <w:start w:val="1"/>
      <w:numFmt w:val="bullet"/>
      <w:lvlText w:val="•"/>
      <w:lvlJc w:val="left"/>
      <w:pPr>
        <w:tabs>
          <w:tab w:val="num" w:pos="1480"/>
        </w:tabs>
        <w:ind w:left="1480" w:hanging="360"/>
      </w:pPr>
      <w:rPr>
        <w:rFonts w:ascii="Arial" w:hAnsi="Arial" w:hint="default"/>
      </w:rPr>
    </w:lvl>
    <w:lvl w:ilvl="2" w:tplc="C4186874">
      <w:start w:val="1"/>
      <w:numFmt w:val="bullet"/>
      <w:lvlText w:val="•"/>
      <w:lvlJc w:val="left"/>
      <w:pPr>
        <w:tabs>
          <w:tab w:val="num" w:pos="2200"/>
        </w:tabs>
        <w:ind w:left="2200" w:hanging="360"/>
      </w:pPr>
      <w:rPr>
        <w:rFonts w:ascii="Arial" w:hAnsi="Arial" w:hint="default"/>
      </w:rPr>
    </w:lvl>
    <w:lvl w:ilvl="3" w:tplc="939C52DE">
      <w:start w:val="1"/>
      <w:numFmt w:val="bullet"/>
      <w:lvlText w:val="•"/>
      <w:lvlJc w:val="left"/>
      <w:pPr>
        <w:tabs>
          <w:tab w:val="num" w:pos="2920"/>
        </w:tabs>
        <w:ind w:left="2920" w:hanging="360"/>
      </w:pPr>
      <w:rPr>
        <w:rFonts w:ascii="Arial" w:hAnsi="Arial" w:hint="default"/>
      </w:rPr>
    </w:lvl>
    <w:lvl w:ilvl="4" w:tplc="6D5CE7CA" w:tentative="1">
      <w:start w:val="1"/>
      <w:numFmt w:val="bullet"/>
      <w:lvlText w:val="•"/>
      <w:lvlJc w:val="left"/>
      <w:pPr>
        <w:tabs>
          <w:tab w:val="num" w:pos="3640"/>
        </w:tabs>
        <w:ind w:left="3640" w:hanging="360"/>
      </w:pPr>
      <w:rPr>
        <w:rFonts w:ascii="Arial" w:hAnsi="Arial" w:hint="default"/>
      </w:rPr>
    </w:lvl>
    <w:lvl w:ilvl="5" w:tplc="BB54258A" w:tentative="1">
      <w:start w:val="1"/>
      <w:numFmt w:val="bullet"/>
      <w:lvlText w:val="•"/>
      <w:lvlJc w:val="left"/>
      <w:pPr>
        <w:tabs>
          <w:tab w:val="num" w:pos="4360"/>
        </w:tabs>
        <w:ind w:left="4360" w:hanging="360"/>
      </w:pPr>
      <w:rPr>
        <w:rFonts w:ascii="Arial" w:hAnsi="Arial" w:hint="default"/>
      </w:rPr>
    </w:lvl>
    <w:lvl w:ilvl="6" w:tplc="88BAB04C" w:tentative="1">
      <w:start w:val="1"/>
      <w:numFmt w:val="bullet"/>
      <w:lvlText w:val="•"/>
      <w:lvlJc w:val="left"/>
      <w:pPr>
        <w:tabs>
          <w:tab w:val="num" w:pos="5080"/>
        </w:tabs>
        <w:ind w:left="5080" w:hanging="360"/>
      </w:pPr>
      <w:rPr>
        <w:rFonts w:ascii="Arial" w:hAnsi="Arial" w:hint="default"/>
      </w:rPr>
    </w:lvl>
    <w:lvl w:ilvl="7" w:tplc="EE7E1F54" w:tentative="1">
      <w:start w:val="1"/>
      <w:numFmt w:val="bullet"/>
      <w:lvlText w:val="•"/>
      <w:lvlJc w:val="left"/>
      <w:pPr>
        <w:tabs>
          <w:tab w:val="num" w:pos="5800"/>
        </w:tabs>
        <w:ind w:left="5800" w:hanging="360"/>
      </w:pPr>
      <w:rPr>
        <w:rFonts w:ascii="Arial" w:hAnsi="Arial" w:hint="default"/>
      </w:rPr>
    </w:lvl>
    <w:lvl w:ilvl="8" w:tplc="3FA87BF6" w:tentative="1">
      <w:start w:val="1"/>
      <w:numFmt w:val="bullet"/>
      <w:lvlText w:val="•"/>
      <w:lvlJc w:val="left"/>
      <w:pPr>
        <w:tabs>
          <w:tab w:val="num" w:pos="6520"/>
        </w:tabs>
        <w:ind w:left="6520" w:hanging="360"/>
      </w:pPr>
      <w:rPr>
        <w:rFonts w:ascii="Arial" w:hAnsi="Arial" w:hint="default"/>
      </w:rPr>
    </w:lvl>
  </w:abstractNum>
  <w:abstractNum w:abstractNumId="68" w15:restartNumberingAfterBreak="0">
    <w:nsid w:val="62B87641"/>
    <w:multiLevelType w:val="multilevel"/>
    <w:tmpl w:val="C278121E"/>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3BD20AE"/>
    <w:multiLevelType w:val="hybridMultilevel"/>
    <w:tmpl w:val="F22E9076"/>
    <w:lvl w:ilvl="0" w:tplc="37ECB77E">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0" w15:restartNumberingAfterBreak="0">
    <w:nsid w:val="63E216B6"/>
    <w:multiLevelType w:val="hybridMultilevel"/>
    <w:tmpl w:val="D226879E"/>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1" w15:restartNumberingAfterBreak="0">
    <w:nsid w:val="65FB1FC0"/>
    <w:multiLevelType w:val="hybridMultilevel"/>
    <w:tmpl w:val="8760FF12"/>
    <w:lvl w:ilvl="0" w:tplc="397220BA">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2" w15:restartNumberingAfterBreak="0">
    <w:nsid w:val="66260A65"/>
    <w:multiLevelType w:val="multilevel"/>
    <w:tmpl w:val="E3EECED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7D652FC"/>
    <w:multiLevelType w:val="hybridMultilevel"/>
    <w:tmpl w:val="9B4AD0D6"/>
    <w:lvl w:ilvl="0" w:tplc="479CA6E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6A033754"/>
    <w:multiLevelType w:val="hybridMultilevel"/>
    <w:tmpl w:val="2DC8960E"/>
    <w:lvl w:ilvl="0" w:tplc="FFFFFFFF">
      <w:start w:val="1"/>
      <w:numFmt w:val="bullet"/>
      <w:lvlText w:val="•"/>
      <w:lvlJc w:val="left"/>
      <w:pPr>
        <w:ind w:left="440" w:hanging="440"/>
      </w:pPr>
      <w:rPr>
        <w:rFonts w:ascii="Arial" w:hAnsi="Arial" w:hint="default"/>
      </w:rPr>
    </w:lvl>
    <w:lvl w:ilvl="1" w:tplc="479CA6E0">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5" w15:restartNumberingAfterBreak="0">
    <w:nsid w:val="6A896128"/>
    <w:multiLevelType w:val="multilevel"/>
    <w:tmpl w:val="FF341A6A"/>
    <w:lvl w:ilvl="0">
      <w:start w:val="1"/>
      <w:numFmt w:val="bullet"/>
      <w:lvlText w:val="-"/>
      <w:lvlJc w:val="left"/>
      <w:pPr>
        <w:tabs>
          <w:tab w:val="num" w:pos="720"/>
        </w:tabs>
        <w:ind w:left="720" w:hanging="360"/>
      </w:pPr>
      <w:rPr>
        <w:rFonts w:ascii="Times New Roman" w:hAnsi="Times New Roman" w:cs="Times New Roman" w:hint="default"/>
      </w:rPr>
    </w:lvl>
    <w:lvl w:ilvl="1">
      <w:numFmt w:val="bullet"/>
      <w:lvlText w:val="-"/>
      <w:lvlJc w:val="left"/>
      <w:pPr>
        <w:tabs>
          <w:tab w:val="num" w:pos="1440"/>
        </w:tabs>
        <w:ind w:left="1440" w:hanging="360"/>
      </w:pPr>
      <w:rPr>
        <w:rFonts w:ascii="Yu Gothic" w:eastAsia="Yu Gothic" w:hAnsi="Yu Gothic" w:hint="eastAsia"/>
      </w:rPr>
    </w:lvl>
    <w:lvl w:ilvl="2">
      <w:numFmt w:val="bullet"/>
      <w:lvlText w:val="-"/>
      <w:lvlJc w:val="left"/>
      <w:pPr>
        <w:tabs>
          <w:tab w:val="num" w:pos="2160"/>
        </w:tabs>
        <w:ind w:left="2160" w:hanging="360"/>
      </w:pPr>
      <w:rPr>
        <w:rFonts w:ascii="Yu Gothic" w:eastAsia="Yu Gothic" w:hAnsi="Yu Gothic" w:hint="eastAsia"/>
      </w:rPr>
    </w:lvl>
    <w:lvl w:ilvl="3">
      <w:numFmt w:val="bullet"/>
      <w:lvlText w:val="-"/>
      <w:lvlJc w:val="left"/>
      <w:pPr>
        <w:tabs>
          <w:tab w:val="num" w:pos="2880"/>
        </w:tabs>
        <w:ind w:left="2880" w:hanging="360"/>
      </w:pPr>
      <w:rPr>
        <w:rFonts w:ascii="Yu Gothic" w:eastAsia="Yu Gothic" w:hAnsi="Yu Gothic" w:hint="eastAsia"/>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76" w15:restartNumberingAfterBreak="0">
    <w:nsid w:val="6BF03556"/>
    <w:multiLevelType w:val="multilevel"/>
    <w:tmpl w:val="C5A029DE"/>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6DAB060E"/>
    <w:multiLevelType w:val="hybridMultilevel"/>
    <w:tmpl w:val="DC4CF1B0"/>
    <w:lvl w:ilvl="0" w:tplc="E7D689F0">
      <w:numFmt w:val="bullet"/>
      <w:lvlText w:val="-"/>
      <w:lvlJc w:val="left"/>
      <w:pPr>
        <w:ind w:left="1574" w:hanging="440"/>
      </w:pPr>
      <w:rPr>
        <w:rFonts w:ascii="Times New Roman" w:hAnsi="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78" w15:restartNumberingAfterBreak="0">
    <w:nsid w:val="6DCB6284"/>
    <w:multiLevelType w:val="hybridMultilevel"/>
    <w:tmpl w:val="7ADA86DE"/>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71115AAC"/>
    <w:multiLevelType w:val="multilevel"/>
    <w:tmpl w:val="DAD84AFE"/>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60" w:hanging="440"/>
      </w:pPr>
      <w:rPr>
        <w:rFonts w:ascii="Arial" w:hAnsi="Arial" w:hint="default"/>
      </w:rPr>
    </w:lvl>
    <w:lvl w:ilvl="2">
      <w:start w:val="1"/>
      <w:numFmt w:val="bullet"/>
      <w:lvlText w:val=""/>
      <w:lvlJc w:val="left"/>
      <w:pPr>
        <w:ind w:left="1260" w:hanging="420"/>
      </w:pPr>
      <w:rPr>
        <w:rFonts w:ascii="Wingdings" w:hAnsi="Wingdings" w:hint="default"/>
        <w:strike w:val="0"/>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7423459A"/>
    <w:multiLevelType w:val="hybridMultilevel"/>
    <w:tmpl w:val="DA822952"/>
    <w:lvl w:ilvl="0" w:tplc="E2CC5FE6">
      <w:start w:val="1"/>
      <w:numFmt w:val="bullet"/>
      <w:lvlText w:val="•"/>
      <w:lvlJc w:val="left"/>
      <w:pPr>
        <w:ind w:left="860" w:hanging="440"/>
      </w:pPr>
      <w:rPr>
        <w:rFonts w:ascii="Arial" w:hAnsi="Arial" w:hint="default"/>
      </w:rPr>
    </w:lvl>
    <w:lvl w:ilvl="1" w:tplc="0409000D">
      <w:start w:val="1"/>
      <w:numFmt w:val="bullet"/>
      <w:lvlText w:val=""/>
      <w:lvlJc w:val="left"/>
      <w:pPr>
        <w:ind w:left="1300" w:hanging="440"/>
      </w:pPr>
      <w:rPr>
        <w:rFonts w:ascii="Wingdings" w:hAnsi="Wingdings" w:hint="default"/>
      </w:rPr>
    </w:lvl>
    <w:lvl w:ilvl="2" w:tplc="0409000B">
      <w:start w:val="1"/>
      <w:numFmt w:val="bullet"/>
      <w:lvlText w:val=""/>
      <w:lvlJc w:val="left"/>
      <w:pPr>
        <w:ind w:left="1740" w:hanging="440"/>
      </w:pPr>
      <w:rPr>
        <w:rFonts w:ascii="Wingdings" w:hAnsi="Wingdings" w:hint="default"/>
      </w:rPr>
    </w:lvl>
    <w:lvl w:ilvl="3" w:tplc="479CA6E0">
      <w:start w:val="1"/>
      <w:numFmt w:val="bullet"/>
      <w:lvlText w:val="–"/>
      <w:lvlJc w:val="left"/>
      <w:pPr>
        <w:ind w:left="2180" w:hanging="440"/>
      </w:pPr>
      <w:rPr>
        <w:rFonts w:ascii="Arial" w:hAnsi="Arial" w:hint="default"/>
      </w:rPr>
    </w:lvl>
    <w:lvl w:ilvl="4" w:tplc="B7A48B7C">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84" w15:restartNumberingAfterBreak="0">
    <w:nsid w:val="76F44547"/>
    <w:multiLevelType w:val="hybridMultilevel"/>
    <w:tmpl w:val="E7ECD77C"/>
    <w:lvl w:ilvl="0" w:tplc="37ECB77E">
      <w:start w:val="1"/>
      <w:numFmt w:val="bullet"/>
      <w:lvlText w:val="−"/>
      <w:lvlJc w:val="left"/>
      <w:pPr>
        <w:tabs>
          <w:tab w:val="num" w:pos="360"/>
        </w:tabs>
        <w:ind w:left="360" w:hanging="360"/>
      </w:pPr>
      <w:rPr>
        <w:rFonts w:ascii="Arial" w:hAnsi="Arial" w:hint="default"/>
      </w:rPr>
    </w:lvl>
    <w:lvl w:ilvl="1" w:tplc="EF5AF540" w:tentative="1">
      <w:start w:val="1"/>
      <w:numFmt w:val="bullet"/>
      <w:lvlText w:val="−"/>
      <w:lvlJc w:val="left"/>
      <w:pPr>
        <w:tabs>
          <w:tab w:val="num" w:pos="1080"/>
        </w:tabs>
        <w:ind w:left="1080" w:hanging="360"/>
      </w:pPr>
      <w:rPr>
        <w:rFonts w:ascii="Arial" w:hAnsi="Arial" w:hint="default"/>
      </w:rPr>
    </w:lvl>
    <w:lvl w:ilvl="2" w:tplc="2496E148" w:tentative="1">
      <w:start w:val="1"/>
      <w:numFmt w:val="bullet"/>
      <w:lvlText w:val="−"/>
      <w:lvlJc w:val="left"/>
      <w:pPr>
        <w:tabs>
          <w:tab w:val="num" w:pos="1800"/>
        </w:tabs>
        <w:ind w:left="1800" w:hanging="360"/>
      </w:pPr>
      <w:rPr>
        <w:rFonts w:ascii="Arial" w:hAnsi="Arial" w:hint="default"/>
      </w:rPr>
    </w:lvl>
    <w:lvl w:ilvl="3" w:tplc="3E4081DC" w:tentative="1">
      <w:start w:val="1"/>
      <w:numFmt w:val="bullet"/>
      <w:lvlText w:val="−"/>
      <w:lvlJc w:val="left"/>
      <w:pPr>
        <w:tabs>
          <w:tab w:val="num" w:pos="2520"/>
        </w:tabs>
        <w:ind w:left="2520" w:hanging="360"/>
      </w:pPr>
      <w:rPr>
        <w:rFonts w:ascii="Arial" w:hAnsi="Arial" w:hint="default"/>
      </w:rPr>
    </w:lvl>
    <w:lvl w:ilvl="4" w:tplc="5A443DA2" w:tentative="1">
      <w:start w:val="1"/>
      <w:numFmt w:val="bullet"/>
      <w:lvlText w:val="−"/>
      <w:lvlJc w:val="left"/>
      <w:pPr>
        <w:tabs>
          <w:tab w:val="num" w:pos="3240"/>
        </w:tabs>
        <w:ind w:left="3240" w:hanging="360"/>
      </w:pPr>
      <w:rPr>
        <w:rFonts w:ascii="Arial" w:hAnsi="Arial" w:hint="default"/>
      </w:rPr>
    </w:lvl>
    <w:lvl w:ilvl="5" w:tplc="FD509382" w:tentative="1">
      <w:start w:val="1"/>
      <w:numFmt w:val="bullet"/>
      <w:lvlText w:val="−"/>
      <w:lvlJc w:val="left"/>
      <w:pPr>
        <w:tabs>
          <w:tab w:val="num" w:pos="3960"/>
        </w:tabs>
        <w:ind w:left="3960" w:hanging="360"/>
      </w:pPr>
      <w:rPr>
        <w:rFonts w:ascii="Arial" w:hAnsi="Arial" w:hint="default"/>
      </w:rPr>
    </w:lvl>
    <w:lvl w:ilvl="6" w:tplc="4FD4FF70" w:tentative="1">
      <w:start w:val="1"/>
      <w:numFmt w:val="bullet"/>
      <w:lvlText w:val="−"/>
      <w:lvlJc w:val="left"/>
      <w:pPr>
        <w:tabs>
          <w:tab w:val="num" w:pos="4680"/>
        </w:tabs>
        <w:ind w:left="4680" w:hanging="360"/>
      </w:pPr>
      <w:rPr>
        <w:rFonts w:ascii="Arial" w:hAnsi="Arial" w:hint="default"/>
      </w:rPr>
    </w:lvl>
    <w:lvl w:ilvl="7" w:tplc="2CDA14DC" w:tentative="1">
      <w:start w:val="1"/>
      <w:numFmt w:val="bullet"/>
      <w:lvlText w:val="−"/>
      <w:lvlJc w:val="left"/>
      <w:pPr>
        <w:tabs>
          <w:tab w:val="num" w:pos="5400"/>
        </w:tabs>
        <w:ind w:left="5400" w:hanging="360"/>
      </w:pPr>
      <w:rPr>
        <w:rFonts w:ascii="Arial" w:hAnsi="Arial" w:hint="default"/>
      </w:rPr>
    </w:lvl>
    <w:lvl w:ilvl="8" w:tplc="B6CC5C20"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773B6BAA"/>
    <w:multiLevelType w:val="multilevel"/>
    <w:tmpl w:val="6B9845E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7C87D32"/>
    <w:multiLevelType w:val="hybridMultilevel"/>
    <w:tmpl w:val="929864E0"/>
    <w:lvl w:ilvl="0" w:tplc="E7D689F0">
      <w:numFmt w:val="bullet"/>
      <w:lvlText w:val="-"/>
      <w:lvlJc w:val="left"/>
      <w:pPr>
        <w:ind w:left="440" w:hanging="440"/>
      </w:pPr>
      <w:rPr>
        <w:rFonts w:ascii="Times New Roma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7822719F"/>
    <w:multiLevelType w:val="hybridMultilevel"/>
    <w:tmpl w:val="3EBC3EBA"/>
    <w:lvl w:ilvl="0" w:tplc="B594743A">
      <w:numFmt w:val="bullet"/>
      <w:lvlText w:val="-"/>
      <w:lvlJc w:val="left"/>
      <w:pPr>
        <w:ind w:left="2120" w:hanging="440"/>
      </w:pPr>
      <w:rPr>
        <w:rFonts w:ascii="Times New Roman" w:eastAsia="MS Gothic" w:hAnsi="Times New Roman" w:cs="Times New Roman" w:hint="default"/>
      </w:rPr>
    </w:lvl>
    <w:lvl w:ilvl="1" w:tplc="04090003" w:tentative="1">
      <w:start w:val="1"/>
      <w:numFmt w:val="bullet"/>
      <w:lvlText w:val=""/>
      <w:lvlJc w:val="left"/>
      <w:pPr>
        <w:ind w:left="2560" w:hanging="440"/>
      </w:pPr>
      <w:rPr>
        <w:rFonts w:ascii="Wingdings" w:hAnsi="Wingdings" w:hint="default"/>
      </w:rPr>
    </w:lvl>
    <w:lvl w:ilvl="2" w:tplc="04090005"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3" w:tentative="1">
      <w:start w:val="1"/>
      <w:numFmt w:val="bullet"/>
      <w:lvlText w:val=""/>
      <w:lvlJc w:val="left"/>
      <w:pPr>
        <w:ind w:left="3880" w:hanging="440"/>
      </w:pPr>
      <w:rPr>
        <w:rFonts w:ascii="Wingdings" w:hAnsi="Wingdings" w:hint="default"/>
      </w:rPr>
    </w:lvl>
    <w:lvl w:ilvl="5" w:tplc="04090005"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3" w:tentative="1">
      <w:start w:val="1"/>
      <w:numFmt w:val="bullet"/>
      <w:lvlText w:val=""/>
      <w:lvlJc w:val="left"/>
      <w:pPr>
        <w:ind w:left="5200" w:hanging="440"/>
      </w:pPr>
      <w:rPr>
        <w:rFonts w:ascii="Wingdings" w:hAnsi="Wingdings" w:hint="default"/>
      </w:rPr>
    </w:lvl>
    <w:lvl w:ilvl="8" w:tplc="04090005" w:tentative="1">
      <w:start w:val="1"/>
      <w:numFmt w:val="bullet"/>
      <w:lvlText w:val=""/>
      <w:lvlJc w:val="left"/>
      <w:pPr>
        <w:ind w:left="5640" w:hanging="440"/>
      </w:pPr>
      <w:rPr>
        <w:rFonts w:ascii="Wingdings" w:hAnsi="Wingdings" w:hint="default"/>
      </w:rPr>
    </w:lvl>
  </w:abstractNum>
  <w:abstractNum w:abstractNumId="88" w15:restartNumberingAfterBreak="0">
    <w:nsid w:val="79841A2E"/>
    <w:multiLevelType w:val="hybridMultilevel"/>
    <w:tmpl w:val="328C9E04"/>
    <w:lvl w:ilvl="0" w:tplc="68528B3E">
      <w:start w:val="1"/>
      <w:numFmt w:val="bullet"/>
      <w:lvlText w:val="•"/>
      <w:lvlJc w:val="left"/>
      <w:pPr>
        <w:tabs>
          <w:tab w:val="num" w:pos="720"/>
        </w:tabs>
        <w:ind w:left="720" w:hanging="360"/>
      </w:pPr>
      <w:rPr>
        <w:rFonts w:ascii="Arial" w:hAnsi="Arial" w:hint="default"/>
      </w:rPr>
    </w:lvl>
    <w:lvl w:ilvl="1" w:tplc="65AAA4E2" w:tentative="1">
      <w:start w:val="1"/>
      <w:numFmt w:val="bullet"/>
      <w:lvlText w:val="•"/>
      <w:lvlJc w:val="left"/>
      <w:pPr>
        <w:tabs>
          <w:tab w:val="num" w:pos="1440"/>
        </w:tabs>
        <w:ind w:left="1440" w:hanging="360"/>
      </w:pPr>
      <w:rPr>
        <w:rFonts w:ascii="Arial" w:hAnsi="Arial" w:hint="default"/>
      </w:rPr>
    </w:lvl>
    <w:lvl w:ilvl="2" w:tplc="105E2804" w:tentative="1">
      <w:start w:val="1"/>
      <w:numFmt w:val="bullet"/>
      <w:lvlText w:val="•"/>
      <w:lvlJc w:val="left"/>
      <w:pPr>
        <w:tabs>
          <w:tab w:val="num" w:pos="2160"/>
        </w:tabs>
        <w:ind w:left="2160" w:hanging="360"/>
      </w:pPr>
      <w:rPr>
        <w:rFonts w:ascii="Arial" w:hAnsi="Arial" w:hint="default"/>
      </w:rPr>
    </w:lvl>
    <w:lvl w:ilvl="3" w:tplc="9CCAA0CC" w:tentative="1">
      <w:start w:val="1"/>
      <w:numFmt w:val="bullet"/>
      <w:lvlText w:val="•"/>
      <w:lvlJc w:val="left"/>
      <w:pPr>
        <w:tabs>
          <w:tab w:val="num" w:pos="2880"/>
        </w:tabs>
        <w:ind w:left="2880" w:hanging="360"/>
      </w:pPr>
      <w:rPr>
        <w:rFonts w:ascii="Arial" w:hAnsi="Arial" w:hint="default"/>
      </w:rPr>
    </w:lvl>
    <w:lvl w:ilvl="4" w:tplc="3D9E5DEA" w:tentative="1">
      <w:start w:val="1"/>
      <w:numFmt w:val="bullet"/>
      <w:lvlText w:val="•"/>
      <w:lvlJc w:val="left"/>
      <w:pPr>
        <w:tabs>
          <w:tab w:val="num" w:pos="3600"/>
        </w:tabs>
        <w:ind w:left="3600" w:hanging="360"/>
      </w:pPr>
      <w:rPr>
        <w:rFonts w:ascii="Arial" w:hAnsi="Arial" w:hint="default"/>
      </w:rPr>
    </w:lvl>
    <w:lvl w:ilvl="5" w:tplc="5908F78E" w:tentative="1">
      <w:start w:val="1"/>
      <w:numFmt w:val="bullet"/>
      <w:lvlText w:val="•"/>
      <w:lvlJc w:val="left"/>
      <w:pPr>
        <w:tabs>
          <w:tab w:val="num" w:pos="4320"/>
        </w:tabs>
        <w:ind w:left="4320" w:hanging="360"/>
      </w:pPr>
      <w:rPr>
        <w:rFonts w:ascii="Arial" w:hAnsi="Arial" w:hint="default"/>
      </w:rPr>
    </w:lvl>
    <w:lvl w:ilvl="6" w:tplc="A2668D30" w:tentative="1">
      <w:start w:val="1"/>
      <w:numFmt w:val="bullet"/>
      <w:lvlText w:val="•"/>
      <w:lvlJc w:val="left"/>
      <w:pPr>
        <w:tabs>
          <w:tab w:val="num" w:pos="5040"/>
        </w:tabs>
        <w:ind w:left="5040" w:hanging="360"/>
      </w:pPr>
      <w:rPr>
        <w:rFonts w:ascii="Arial" w:hAnsi="Arial" w:hint="default"/>
      </w:rPr>
    </w:lvl>
    <w:lvl w:ilvl="7" w:tplc="007004AE" w:tentative="1">
      <w:start w:val="1"/>
      <w:numFmt w:val="bullet"/>
      <w:lvlText w:val="•"/>
      <w:lvlJc w:val="left"/>
      <w:pPr>
        <w:tabs>
          <w:tab w:val="num" w:pos="5760"/>
        </w:tabs>
        <w:ind w:left="5760" w:hanging="360"/>
      </w:pPr>
      <w:rPr>
        <w:rFonts w:ascii="Arial" w:hAnsi="Arial" w:hint="default"/>
      </w:rPr>
    </w:lvl>
    <w:lvl w:ilvl="8" w:tplc="D1787F46"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28919544">
    <w:abstractNumId w:val="62"/>
  </w:num>
  <w:num w:numId="2" w16cid:durableId="653265923">
    <w:abstractNumId w:val="82"/>
  </w:num>
  <w:num w:numId="3" w16cid:durableId="362902134">
    <w:abstractNumId w:val="41"/>
  </w:num>
  <w:num w:numId="4" w16cid:durableId="281884508">
    <w:abstractNumId w:val="60"/>
  </w:num>
  <w:num w:numId="5" w16cid:durableId="778262234">
    <w:abstractNumId w:val="39"/>
  </w:num>
  <w:num w:numId="6" w16cid:durableId="921642261">
    <w:abstractNumId w:val="37"/>
  </w:num>
  <w:num w:numId="7" w16cid:durableId="145440325">
    <w:abstractNumId w:val="50"/>
  </w:num>
  <w:num w:numId="8" w16cid:durableId="1578899300">
    <w:abstractNumId w:val="35"/>
  </w:num>
  <w:num w:numId="9" w16cid:durableId="915672873">
    <w:abstractNumId w:val="17"/>
  </w:num>
  <w:num w:numId="10" w16cid:durableId="1024137111">
    <w:abstractNumId w:val="22"/>
  </w:num>
  <w:num w:numId="11" w16cid:durableId="892958428">
    <w:abstractNumId w:val="45"/>
  </w:num>
  <w:num w:numId="12" w16cid:durableId="186451334">
    <w:abstractNumId w:val="1"/>
  </w:num>
  <w:num w:numId="13" w16cid:durableId="1393966456">
    <w:abstractNumId w:val="66"/>
  </w:num>
  <w:num w:numId="14" w16cid:durableId="1814788658">
    <w:abstractNumId w:val="11"/>
  </w:num>
  <w:num w:numId="15" w16cid:durableId="2019577397">
    <w:abstractNumId w:val="80"/>
  </w:num>
  <w:num w:numId="16" w16cid:durableId="446583655">
    <w:abstractNumId w:val="26"/>
  </w:num>
  <w:num w:numId="17" w16cid:durableId="1516966532">
    <w:abstractNumId w:val="70"/>
  </w:num>
  <w:num w:numId="18" w16cid:durableId="844786823">
    <w:abstractNumId w:val="67"/>
  </w:num>
  <w:num w:numId="19" w16cid:durableId="1387220240">
    <w:abstractNumId w:val="84"/>
  </w:num>
  <w:num w:numId="20" w16cid:durableId="1130440016">
    <w:abstractNumId w:val="59"/>
  </w:num>
  <w:num w:numId="21" w16cid:durableId="1064335531">
    <w:abstractNumId w:val="81"/>
  </w:num>
  <w:num w:numId="22" w16cid:durableId="535312780">
    <w:abstractNumId w:val="20"/>
  </w:num>
  <w:num w:numId="23" w16cid:durableId="269245709">
    <w:abstractNumId w:val="58"/>
  </w:num>
  <w:num w:numId="24" w16cid:durableId="767240331">
    <w:abstractNumId w:val="77"/>
  </w:num>
  <w:num w:numId="25" w16cid:durableId="707025590">
    <w:abstractNumId w:val="52"/>
  </w:num>
  <w:num w:numId="26" w16cid:durableId="308749206">
    <w:abstractNumId w:val="15"/>
  </w:num>
  <w:num w:numId="27" w16cid:durableId="1363170770">
    <w:abstractNumId w:val="86"/>
  </w:num>
  <w:num w:numId="28" w16cid:durableId="1651326485">
    <w:abstractNumId w:val="19"/>
  </w:num>
  <w:num w:numId="29" w16cid:durableId="1521045790">
    <w:abstractNumId w:val="18"/>
  </w:num>
  <w:num w:numId="30" w16cid:durableId="823863166">
    <w:abstractNumId w:val="32"/>
  </w:num>
  <w:num w:numId="31" w16cid:durableId="1483816135">
    <w:abstractNumId w:val="44"/>
  </w:num>
  <w:num w:numId="32" w16cid:durableId="244264370">
    <w:abstractNumId w:val="45"/>
  </w:num>
  <w:num w:numId="33" w16cid:durableId="363948115">
    <w:abstractNumId w:val="56"/>
  </w:num>
  <w:num w:numId="34" w16cid:durableId="758215149">
    <w:abstractNumId w:val="68"/>
  </w:num>
  <w:num w:numId="35" w16cid:durableId="185368222">
    <w:abstractNumId w:val="76"/>
  </w:num>
  <w:num w:numId="36" w16cid:durableId="888032473">
    <w:abstractNumId w:val="5"/>
  </w:num>
  <w:num w:numId="37" w16cid:durableId="1468162908">
    <w:abstractNumId w:val="0"/>
  </w:num>
  <w:num w:numId="38" w16cid:durableId="372076354">
    <w:abstractNumId w:val="75"/>
  </w:num>
  <w:num w:numId="39" w16cid:durableId="849179701">
    <w:abstractNumId w:val="25"/>
  </w:num>
  <w:num w:numId="40" w16cid:durableId="736128570">
    <w:abstractNumId w:val="30"/>
  </w:num>
  <w:num w:numId="41" w16cid:durableId="123475322">
    <w:abstractNumId w:val="40"/>
  </w:num>
  <w:num w:numId="42" w16cid:durableId="1891844495">
    <w:abstractNumId w:val="71"/>
  </w:num>
  <w:num w:numId="43" w16cid:durableId="1662154548">
    <w:abstractNumId w:val="9"/>
  </w:num>
  <w:num w:numId="44" w16cid:durableId="770659070">
    <w:abstractNumId w:val="6"/>
  </w:num>
  <w:num w:numId="45" w16cid:durableId="2045979113">
    <w:abstractNumId w:val="47"/>
  </w:num>
  <w:num w:numId="46" w16cid:durableId="303893553">
    <w:abstractNumId w:val="29"/>
  </w:num>
  <w:num w:numId="47" w16cid:durableId="1699770870">
    <w:abstractNumId w:val="27"/>
  </w:num>
  <w:num w:numId="48" w16cid:durableId="2098283732">
    <w:abstractNumId w:val="69"/>
  </w:num>
  <w:num w:numId="49" w16cid:durableId="326396527">
    <w:abstractNumId w:val="63"/>
  </w:num>
  <w:num w:numId="50" w16cid:durableId="237445641">
    <w:abstractNumId w:val="31"/>
  </w:num>
  <w:num w:numId="51" w16cid:durableId="1413774567">
    <w:abstractNumId w:val="72"/>
  </w:num>
  <w:num w:numId="52" w16cid:durableId="774449240">
    <w:abstractNumId w:val="85"/>
  </w:num>
  <w:num w:numId="53" w16cid:durableId="757823773">
    <w:abstractNumId w:val="46"/>
  </w:num>
  <w:num w:numId="54" w16cid:durableId="1230577391">
    <w:abstractNumId w:val="45"/>
    <w:lvlOverride w:ilvl="0">
      <w:startOverride w:val="1"/>
    </w:lvlOverride>
  </w:num>
  <w:num w:numId="55" w16cid:durableId="1566451890">
    <w:abstractNumId w:val="17"/>
    <w:lvlOverride w:ilvl="0">
      <w:startOverride w:val="1"/>
    </w:lvlOverride>
  </w:num>
  <w:num w:numId="56" w16cid:durableId="1198928740">
    <w:abstractNumId w:val="14"/>
  </w:num>
  <w:num w:numId="57" w16cid:durableId="1568103119">
    <w:abstractNumId w:val="16"/>
  </w:num>
  <w:num w:numId="58" w16cid:durableId="336420554">
    <w:abstractNumId w:val="89"/>
  </w:num>
  <w:num w:numId="59" w16cid:durableId="1238397903">
    <w:abstractNumId w:val="78"/>
  </w:num>
  <w:num w:numId="60" w16cid:durableId="1375499913">
    <w:abstractNumId w:val="36"/>
  </w:num>
  <w:num w:numId="61" w16cid:durableId="1132793818">
    <w:abstractNumId w:val="61"/>
  </w:num>
  <w:num w:numId="62" w16cid:durableId="812865344">
    <w:abstractNumId w:val="43"/>
  </w:num>
  <w:num w:numId="63" w16cid:durableId="1890913977">
    <w:abstractNumId w:val="51"/>
  </w:num>
  <w:num w:numId="64" w16cid:durableId="1604528485">
    <w:abstractNumId w:val="28"/>
  </w:num>
  <w:num w:numId="65" w16cid:durableId="1418281254">
    <w:abstractNumId w:val="65"/>
  </w:num>
  <w:num w:numId="66" w16cid:durableId="1943763382">
    <w:abstractNumId w:val="38"/>
  </w:num>
  <w:num w:numId="67" w16cid:durableId="763763872">
    <w:abstractNumId w:val="64"/>
  </w:num>
  <w:num w:numId="68" w16cid:durableId="1407068576">
    <w:abstractNumId w:val="74"/>
  </w:num>
  <w:num w:numId="69" w16cid:durableId="1038437594">
    <w:abstractNumId w:val="88"/>
  </w:num>
  <w:num w:numId="70" w16cid:durableId="1004280669">
    <w:abstractNumId w:val="10"/>
  </w:num>
  <w:num w:numId="71" w16cid:durableId="738332677">
    <w:abstractNumId w:val="17"/>
  </w:num>
  <w:num w:numId="72" w16cid:durableId="379210116">
    <w:abstractNumId w:val="33"/>
  </w:num>
  <w:num w:numId="73" w16cid:durableId="540636336">
    <w:abstractNumId w:val="8"/>
  </w:num>
  <w:num w:numId="74" w16cid:durableId="179705303">
    <w:abstractNumId w:val="87"/>
  </w:num>
  <w:num w:numId="75" w16cid:durableId="1410424244">
    <w:abstractNumId w:val="13"/>
  </w:num>
  <w:num w:numId="76" w16cid:durableId="1410884234">
    <w:abstractNumId w:val="83"/>
  </w:num>
  <w:num w:numId="77" w16cid:durableId="478766208">
    <w:abstractNumId w:val="17"/>
  </w:num>
  <w:num w:numId="78" w16cid:durableId="1800342795">
    <w:abstractNumId w:val="17"/>
  </w:num>
  <w:num w:numId="79" w16cid:durableId="227957482">
    <w:abstractNumId w:val="17"/>
  </w:num>
  <w:num w:numId="80" w16cid:durableId="603541936">
    <w:abstractNumId w:val="55"/>
  </w:num>
  <w:num w:numId="81" w16cid:durableId="991518196">
    <w:abstractNumId w:val="34"/>
  </w:num>
  <w:num w:numId="82" w16cid:durableId="118570889">
    <w:abstractNumId w:val="54"/>
  </w:num>
  <w:num w:numId="83" w16cid:durableId="1941404525">
    <w:abstractNumId w:val="73"/>
  </w:num>
  <w:num w:numId="84" w16cid:durableId="1003507300">
    <w:abstractNumId w:val="57"/>
  </w:num>
  <w:num w:numId="85" w16cid:durableId="430660677">
    <w:abstractNumId w:val="4"/>
  </w:num>
  <w:num w:numId="86" w16cid:durableId="580722379">
    <w:abstractNumId w:val="79"/>
  </w:num>
  <w:num w:numId="87" w16cid:durableId="897132381">
    <w:abstractNumId w:val="3"/>
  </w:num>
  <w:num w:numId="88" w16cid:durableId="246043532">
    <w:abstractNumId w:val="42"/>
  </w:num>
  <w:num w:numId="89" w16cid:durableId="310720308">
    <w:abstractNumId w:val="17"/>
  </w:num>
  <w:num w:numId="90" w16cid:durableId="1586913424">
    <w:abstractNumId w:val="17"/>
  </w:num>
  <w:num w:numId="91" w16cid:durableId="1903716169">
    <w:abstractNumId w:val="17"/>
  </w:num>
  <w:num w:numId="92" w16cid:durableId="1164903909">
    <w:abstractNumId w:val="7"/>
  </w:num>
  <w:num w:numId="93" w16cid:durableId="269747603">
    <w:abstractNumId w:val="17"/>
  </w:num>
  <w:num w:numId="94" w16cid:durableId="1163735384">
    <w:abstractNumId w:val="17"/>
    <w:lvlOverride w:ilvl="0">
      <w:startOverride w:val="1"/>
    </w:lvlOverride>
  </w:num>
  <w:num w:numId="95" w16cid:durableId="1791587185">
    <w:abstractNumId w:val="17"/>
  </w:num>
  <w:num w:numId="96" w16cid:durableId="76681371">
    <w:abstractNumId w:val="17"/>
  </w:num>
  <w:num w:numId="97" w16cid:durableId="808132876">
    <w:abstractNumId w:val="17"/>
  </w:num>
  <w:num w:numId="98" w16cid:durableId="1974096456">
    <w:abstractNumId w:val="17"/>
  </w:num>
  <w:num w:numId="99" w16cid:durableId="1886719938">
    <w:abstractNumId w:val="17"/>
  </w:num>
  <w:num w:numId="100" w16cid:durableId="1051684721">
    <w:abstractNumId w:val="17"/>
  </w:num>
  <w:num w:numId="101" w16cid:durableId="1105271086">
    <w:abstractNumId w:val="17"/>
  </w:num>
  <w:num w:numId="102" w16cid:durableId="980496290">
    <w:abstractNumId w:val="17"/>
  </w:num>
  <w:num w:numId="103" w16cid:durableId="1953442146">
    <w:abstractNumId w:val="17"/>
  </w:num>
  <w:num w:numId="104" w16cid:durableId="1327825724">
    <w:abstractNumId w:val="17"/>
  </w:num>
  <w:num w:numId="105" w16cid:durableId="1367104465">
    <w:abstractNumId w:val="17"/>
  </w:num>
  <w:num w:numId="106" w16cid:durableId="2091998407">
    <w:abstractNumId w:val="17"/>
  </w:num>
  <w:num w:numId="107" w16cid:durableId="1403018086">
    <w:abstractNumId w:val="48"/>
  </w:num>
  <w:num w:numId="108" w16cid:durableId="1885755499">
    <w:abstractNumId w:val="24"/>
  </w:num>
  <w:num w:numId="109" w16cid:durableId="1366059694">
    <w:abstractNumId w:val="21"/>
  </w:num>
  <w:num w:numId="110" w16cid:durableId="359597715">
    <w:abstractNumId w:val="12"/>
  </w:num>
  <w:num w:numId="111" w16cid:durableId="935939282">
    <w:abstractNumId w:val="2"/>
  </w:num>
  <w:num w:numId="112" w16cid:durableId="358119250">
    <w:abstractNumId w:val="23"/>
  </w:num>
  <w:num w:numId="113" w16cid:durableId="27217305">
    <w:abstractNumId w:val="53"/>
  </w:num>
  <w:num w:numId="114" w16cid:durableId="789132713">
    <w:abstractNumId w:val="49"/>
  </w:num>
  <w:num w:numId="115" w16cid:durableId="1450975789">
    <w:abstractNumId w:val="17"/>
    <w:lvlOverride w:ilvl="0">
      <w:startOverride w:val="1"/>
    </w:lvlOverride>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CwsDQwNTUzNDEwMTRW0lEKTi0uzszPAykwMa0FAJ6VDzktAAAA"/>
  </w:docVars>
  <w:rsids>
    <w:rsidRoot w:val="00B87FBC"/>
    <w:rsid w:val="0000069E"/>
    <w:rsid w:val="00000826"/>
    <w:rsid w:val="00000BA9"/>
    <w:rsid w:val="00000CFE"/>
    <w:rsid w:val="000012F9"/>
    <w:rsid w:val="00002134"/>
    <w:rsid w:val="0000242B"/>
    <w:rsid w:val="000025D5"/>
    <w:rsid w:val="0000314A"/>
    <w:rsid w:val="00003886"/>
    <w:rsid w:val="00003F83"/>
    <w:rsid w:val="0000410D"/>
    <w:rsid w:val="0000460A"/>
    <w:rsid w:val="000046F7"/>
    <w:rsid w:val="00004F59"/>
    <w:rsid w:val="00005012"/>
    <w:rsid w:val="0000539E"/>
    <w:rsid w:val="000054C0"/>
    <w:rsid w:val="00005845"/>
    <w:rsid w:val="00005C84"/>
    <w:rsid w:val="00005DD2"/>
    <w:rsid w:val="000060C1"/>
    <w:rsid w:val="000063A7"/>
    <w:rsid w:val="000063B8"/>
    <w:rsid w:val="000065F8"/>
    <w:rsid w:val="0000694F"/>
    <w:rsid w:val="00006F05"/>
    <w:rsid w:val="00007060"/>
    <w:rsid w:val="00007FDD"/>
    <w:rsid w:val="000100F4"/>
    <w:rsid w:val="000100F8"/>
    <w:rsid w:val="00010151"/>
    <w:rsid w:val="0001068D"/>
    <w:rsid w:val="000106E0"/>
    <w:rsid w:val="00010791"/>
    <w:rsid w:val="00010CE3"/>
    <w:rsid w:val="00010D87"/>
    <w:rsid w:val="00011387"/>
    <w:rsid w:val="000113E7"/>
    <w:rsid w:val="000114C4"/>
    <w:rsid w:val="000115AD"/>
    <w:rsid w:val="000116A5"/>
    <w:rsid w:val="0001180C"/>
    <w:rsid w:val="00011C8C"/>
    <w:rsid w:val="00011F30"/>
    <w:rsid w:val="00011FFB"/>
    <w:rsid w:val="00012414"/>
    <w:rsid w:val="000124C4"/>
    <w:rsid w:val="000126F3"/>
    <w:rsid w:val="00012D36"/>
    <w:rsid w:val="000137AA"/>
    <w:rsid w:val="0001397F"/>
    <w:rsid w:val="00013ED8"/>
    <w:rsid w:val="00014CBA"/>
    <w:rsid w:val="00014D04"/>
    <w:rsid w:val="00015654"/>
    <w:rsid w:val="000158CD"/>
    <w:rsid w:val="00015A87"/>
    <w:rsid w:val="00015CF4"/>
    <w:rsid w:val="00016174"/>
    <w:rsid w:val="00016208"/>
    <w:rsid w:val="00016905"/>
    <w:rsid w:val="00016AA9"/>
    <w:rsid w:val="00016AC6"/>
    <w:rsid w:val="00016F05"/>
    <w:rsid w:val="0001706A"/>
    <w:rsid w:val="00017326"/>
    <w:rsid w:val="000174AD"/>
    <w:rsid w:val="000178FE"/>
    <w:rsid w:val="00017BA4"/>
    <w:rsid w:val="00017F49"/>
    <w:rsid w:val="000208A6"/>
    <w:rsid w:val="00020A0A"/>
    <w:rsid w:val="00020A1C"/>
    <w:rsid w:val="000213CF"/>
    <w:rsid w:val="0002195F"/>
    <w:rsid w:val="00021B1B"/>
    <w:rsid w:val="00021C03"/>
    <w:rsid w:val="00022A7D"/>
    <w:rsid w:val="000241CB"/>
    <w:rsid w:val="00024293"/>
    <w:rsid w:val="00024544"/>
    <w:rsid w:val="00024BC2"/>
    <w:rsid w:val="00024E88"/>
    <w:rsid w:val="000250AB"/>
    <w:rsid w:val="0002552A"/>
    <w:rsid w:val="00025694"/>
    <w:rsid w:val="0002571A"/>
    <w:rsid w:val="00025A64"/>
    <w:rsid w:val="000260C1"/>
    <w:rsid w:val="00026560"/>
    <w:rsid w:val="0002671B"/>
    <w:rsid w:val="00026F14"/>
    <w:rsid w:val="0002754F"/>
    <w:rsid w:val="00027AD1"/>
    <w:rsid w:val="00030815"/>
    <w:rsid w:val="00030BD6"/>
    <w:rsid w:val="00030DFC"/>
    <w:rsid w:val="00030EE3"/>
    <w:rsid w:val="00031855"/>
    <w:rsid w:val="00031C72"/>
    <w:rsid w:val="00032104"/>
    <w:rsid w:val="000324B9"/>
    <w:rsid w:val="000325F0"/>
    <w:rsid w:val="000325F7"/>
    <w:rsid w:val="000331AF"/>
    <w:rsid w:val="00033319"/>
    <w:rsid w:val="000336AB"/>
    <w:rsid w:val="000338A4"/>
    <w:rsid w:val="00033C1F"/>
    <w:rsid w:val="00033D65"/>
    <w:rsid w:val="00033F30"/>
    <w:rsid w:val="00034864"/>
    <w:rsid w:val="00034984"/>
    <w:rsid w:val="00035C55"/>
    <w:rsid w:val="00035D53"/>
    <w:rsid w:val="00035E82"/>
    <w:rsid w:val="000362AB"/>
    <w:rsid w:val="000363AE"/>
    <w:rsid w:val="000363FD"/>
    <w:rsid w:val="00036CBB"/>
    <w:rsid w:val="0003772C"/>
    <w:rsid w:val="000377D4"/>
    <w:rsid w:val="000379F3"/>
    <w:rsid w:val="00037A41"/>
    <w:rsid w:val="00037AE0"/>
    <w:rsid w:val="00037D6A"/>
    <w:rsid w:val="00037DBD"/>
    <w:rsid w:val="00037E0C"/>
    <w:rsid w:val="00037E65"/>
    <w:rsid w:val="00037F1D"/>
    <w:rsid w:val="0004000C"/>
    <w:rsid w:val="000400A8"/>
    <w:rsid w:val="00040771"/>
    <w:rsid w:val="00040A9F"/>
    <w:rsid w:val="000412E1"/>
    <w:rsid w:val="000412FF"/>
    <w:rsid w:val="000415EB"/>
    <w:rsid w:val="00041B48"/>
    <w:rsid w:val="00041C1F"/>
    <w:rsid w:val="00041E6C"/>
    <w:rsid w:val="00041E91"/>
    <w:rsid w:val="000421F2"/>
    <w:rsid w:val="00042718"/>
    <w:rsid w:val="00042725"/>
    <w:rsid w:val="00042955"/>
    <w:rsid w:val="00042AB0"/>
    <w:rsid w:val="00042E02"/>
    <w:rsid w:val="00043047"/>
    <w:rsid w:val="000432F6"/>
    <w:rsid w:val="000435E9"/>
    <w:rsid w:val="00043767"/>
    <w:rsid w:val="000437C3"/>
    <w:rsid w:val="000439E7"/>
    <w:rsid w:val="00043F7C"/>
    <w:rsid w:val="00044275"/>
    <w:rsid w:val="00044623"/>
    <w:rsid w:val="000446BA"/>
    <w:rsid w:val="00044B79"/>
    <w:rsid w:val="00044DAA"/>
    <w:rsid w:val="00045071"/>
    <w:rsid w:val="00045176"/>
    <w:rsid w:val="0004534B"/>
    <w:rsid w:val="000458FF"/>
    <w:rsid w:val="00045E41"/>
    <w:rsid w:val="00046195"/>
    <w:rsid w:val="00046517"/>
    <w:rsid w:val="00046C1C"/>
    <w:rsid w:val="000471CE"/>
    <w:rsid w:val="00047398"/>
    <w:rsid w:val="000473DB"/>
    <w:rsid w:val="00047423"/>
    <w:rsid w:val="00047ADF"/>
    <w:rsid w:val="00047D75"/>
    <w:rsid w:val="00050619"/>
    <w:rsid w:val="00050715"/>
    <w:rsid w:val="000511D9"/>
    <w:rsid w:val="00051453"/>
    <w:rsid w:val="000517C0"/>
    <w:rsid w:val="00051C37"/>
    <w:rsid w:val="000520C7"/>
    <w:rsid w:val="0005214F"/>
    <w:rsid w:val="00052293"/>
    <w:rsid w:val="000528E0"/>
    <w:rsid w:val="00052966"/>
    <w:rsid w:val="00053004"/>
    <w:rsid w:val="0005326E"/>
    <w:rsid w:val="00053727"/>
    <w:rsid w:val="000537F7"/>
    <w:rsid w:val="00053D7E"/>
    <w:rsid w:val="00053D97"/>
    <w:rsid w:val="000540C0"/>
    <w:rsid w:val="00054698"/>
    <w:rsid w:val="0005477E"/>
    <w:rsid w:val="000547FD"/>
    <w:rsid w:val="00054A3F"/>
    <w:rsid w:val="0005565A"/>
    <w:rsid w:val="000557DC"/>
    <w:rsid w:val="000559D2"/>
    <w:rsid w:val="00055E49"/>
    <w:rsid w:val="00056B0F"/>
    <w:rsid w:val="00056F6F"/>
    <w:rsid w:val="0005702C"/>
    <w:rsid w:val="000573D0"/>
    <w:rsid w:val="00057693"/>
    <w:rsid w:val="00057BFD"/>
    <w:rsid w:val="00057D33"/>
    <w:rsid w:val="000602AC"/>
    <w:rsid w:val="00060564"/>
    <w:rsid w:val="0006066A"/>
    <w:rsid w:val="00060CE4"/>
    <w:rsid w:val="00060FA8"/>
    <w:rsid w:val="000613E6"/>
    <w:rsid w:val="0006182F"/>
    <w:rsid w:val="00061A3E"/>
    <w:rsid w:val="000621D2"/>
    <w:rsid w:val="00062BA8"/>
    <w:rsid w:val="00063381"/>
    <w:rsid w:val="00063781"/>
    <w:rsid w:val="00063A49"/>
    <w:rsid w:val="0006400B"/>
    <w:rsid w:val="0006415F"/>
    <w:rsid w:val="000641A0"/>
    <w:rsid w:val="000643C3"/>
    <w:rsid w:val="000643CC"/>
    <w:rsid w:val="000647E2"/>
    <w:rsid w:val="00065210"/>
    <w:rsid w:val="000658F2"/>
    <w:rsid w:val="0006633A"/>
    <w:rsid w:val="0006651A"/>
    <w:rsid w:val="00066691"/>
    <w:rsid w:val="000669D8"/>
    <w:rsid w:val="00066A5E"/>
    <w:rsid w:val="00066AC2"/>
    <w:rsid w:val="00066EFF"/>
    <w:rsid w:val="00067249"/>
    <w:rsid w:val="0006724B"/>
    <w:rsid w:val="000672D0"/>
    <w:rsid w:val="0006746A"/>
    <w:rsid w:val="000675DF"/>
    <w:rsid w:val="0006761F"/>
    <w:rsid w:val="00067C3D"/>
    <w:rsid w:val="00067C74"/>
    <w:rsid w:val="00067D9C"/>
    <w:rsid w:val="00070060"/>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0D1"/>
    <w:rsid w:val="0007411D"/>
    <w:rsid w:val="00074227"/>
    <w:rsid w:val="000749EF"/>
    <w:rsid w:val="00074CCA"/>
    <w:rsid w:val="00074E57"/>
    <w:rsid w:val="00074F0C"/>
    <w:rsid w:val="00075833"/>
    <w:rsid w:val="00075FDA"/>
    <w:rsid w:val="00076083"/>
    <w:rsid w:val="00076103"/>
    <w:rsid w:val="00076160"/>
    <w:rsid w:val="00076367"/>
    <w:rsid w:val="000763C6"/>
    <w:rsid w:val="00076441"/>
    <w:rsid w:val="0007680E"/>
    <w:rsid w:val="00076A2B"/>
    <w:rsid w:val="00076A3F"/>
    <w:rsid w:val="00076CFA"/>
    <w:rsid w:val="00076E3A"/>
    <w:rsid w:val="00077354"/>
    <w:rsid w:val="00077513"/>
    <w:rsid w:val="00077878"/>
    <w:rsid w:val="00077C76"/>
    <w:rsid w:val="00077DB2"/>
    <w:rsid w:val="000804E1"/>
    <w:rsid w:val="00080A45"/>
    <w:rsid w:val="000810A7"/>
    <w:rsid w:val="00081472"/>
    <w:rsid w:val="000816D8"/>
    <w:rsid w:val="000817D8"/>
    <w:rsid w:val="000818F4"/>
    <w:rsid w:val="00081A9C"/>
    <w:rsid w:val="00081B28"/>
    <w:rsid w:val="0008210E"/>
    <w:rsid w:val="00082927"/>
    <w:rsid w:val="00082AB1"/>
    <w:rsid w:val="0008308B"/>
    <w:rsid w:val="000831D2"/>
    <w:rsid w:val="00083543"/>
    <w:rsid w:val="000837C8"/>
    <w:rsid w:val="000838E0"/>
    <w:rsid w:val="00083BE9"/>
    <w:rsid w:val="00083C3C"/>
    <w:rsid w:val="0008406F"/>
    <w:rsid w:val="000841C4"/>
    <w:rsid w:val="000842E7"/>
    <w:rsid w:val="0008489E"/>
    <w:rsid w:val="000848D1"/>
    <w:rsid w:val="000849C5"/>
    <w:rsid w:val="00084FDF"/>
    <w:rsid w:val="0008518C"/>
    <w:rsid w:val="000851FF"/>
    <w:rsid w:val="0008536E"/>
    <w:rsid w:val="00085374"/>
    <w:rsid w:val="0008554E"/>
    <w:rsid w:val="00085662"/>
    <w:rsid w:val="00085970"/>
    <w:rsid w:val="00086187"/>
    <w:rsid w:val="0008625E"/>
    <w:rsid w:val="0008626B"/>
    <w:rsid w:val="000871C0"/>
    <w:rsid w:val="00087C31"/>
    <w:rsid w:val="00087CF0"/>
    <w:rsid w:val="00090B09"/>
    <w:rsid w:val="00090E2E"/>
    <w:rsid w:val="00090FD2"/>
    <w:rsid w:val="00091079"/>
    <w:rsid w:val="00091626"/>
    <w:rsid w:val="000917E0"/>
    <w:rsid w:val="00091C53"/>
    <w:rsid w:val="00091C8C"/>
    <w:rsid w:val="000921EC"/>
    <w:rsid w:val="0009234A"/>
    <w:rsid w:val="000924F8"/>
    <w:rsid w:val="000927D0"/>
    <w:rsid w:val="00092D32"/>
    <w:rsid w:val="00092E4E"/>
    <w:rsid w:val="000931F0"/>
    <w:rsid w:val="0009327A"/>
    <w:rsid w:val="00093374"/>
    <w:rsid w:val="0009396C"/>
    <w:rsid w:val="00093BA4"/>
    <w:rsid w:val="000944C8"/>
    <w:rsid w:val="00094600"/>
    <w:rsid w:val="000946F4"/>
    <w:rsid w:val="00094B3C"/>
    <w:rsid w:val="000951E0"/>
    <w:rsid w:val="000957B1"/>
    <w:rsid w:val="00095889"/>
    <w:rsid w:val="00095F77"/>
    <w:rsid w:val="000965C9"/>
    <w:rsid w:val="00096648"/>
    <w:rsid w:val="000966B5"/>
    <w:rsid w:val="00096D26"/>
    <w:rsid w:val="00096E01"/>
    <w:rsid w:val="00096F93"/>
    <w:rsid w:val="000974DB"/>
    <w:rsid w:val="0009777D"/>
    <w:rsid w:val="00097789"/>
    <w:rsid w:val="00097909"/>
    <w:rsid w:val="00097E27"/>
    <w:rsid w:val="000A05A4"/>
    <w:rsid w:val="000A07A7"/>
    <w:rsid w:val="000A080A"/>
    <w:rsid w:val="000A09D3"/>
    <w:rsid w:val="000A0CD6"/>
    <w:rsid w:val="000A0ECB"/>
    <w:rsid w:val="000A0FA0"/>
    <w:rsid w:val="000A14CD"/>
    <w:rsid w:val="000A1A4E"/>
    <w:rsid w:val="000A1B0A"/>
    <w:rsid w:val="000A1BC9"/>
    <w:rsid w:val="000A1D0B"/>
    <w:rsid w:val="000A2042"/>
    <w:rsid w:val="000A2328"/>
    <w:rsid w:val="000A2339"/>
    <w:rsid w:val="000A2350"/>
    <w:rsid w:val="000A2B56"/>
    <w:rsid w:val="000A2D2E"/>
    <w:rsid w:val="000A2DF4"/>
    <w:rsid w:val="000A3167"/>
    <w:rsid w:val="000A321C"/>
    <w:rsid w:val="000A33A0"/>
    <w:rsid w:val="000A344F"/>
    <w:rsid w:val="000A3AFC"/>
    <w:rsid w:val="000A3FE9"/>
    <w:rsid w:val="000A405C"/>
    <w:rsid w:val="000A46EF"/>
    <w:rsid w:val="000A4A17"/>
    <w:rsid w:val="000A4AE5"/>
    <w:rsid w:val="000A4D08"/>
    <w:rsid w:val="000A51B5"/>
    <w:rsid w:val="000A535E"/>
    <w:rsid w:val="000A53D8"/>
    <w:rsid w:val="000A547E"/>
    <w:rsid w:val="000A5784"/>
    <w:rsid w:val="000A5AD8"/>
    <w:rsid w:val="000A5C10"/>
    <w:rsid w:val="000A5C78"/>
    <w:rsid w:val="000A5DCA"/>
    <w:rsid w:val="000A5E0C"/>
    <w:rsid w:val="000A625C"/>
    <w:rsid w:val="000A6280"/>
    <w:rsid w:val="000A6BF8"/>
    <w:rsid w:val="000A6C80"/>
    <w:rsid w:val="000A6E40"/>
    <w:rsid w:val="000A767D"/>
    <w:rsid w:val="000A7EEC"/>
    <w:rsid w:val="000B012E"/>
    <w:rsid w:val="000B0644"/>
    <w:rsid w:val="000B06E4"/>
    <w:rsid w:val="000B0969"/>
    <w:rsid w:val="000B0FC0"/>
    <w:rsid w:val="000B11F2"/>
    <w:rsid w:val="000B17B6"/>
    <w:rsid w:val="000B17FB"/>
    <w:rsid w:val="000B1C22"/>
    <w:rsid w:val="000B1C29"/>
    <w:rsid w:val="000B1EF8"/>
    <w:rsid w:val="000B2AD1"/>
    <w:rsid w:val="000B2AE1"/>
    <w:rsid w:val="000B2D16"/>
    <w:rsid w:val="000B2F47"/>
    <w:rsid w:val="000B2FE8"/>
    <w:rsid w:val="000B3142"/>
    <w:rsid w:val="000B3165"/>
    <w:rsid w:val="000B3216"/>
    <w:rsid w:val="000B324B"/>
    <w:rsid w:val="000B32AE"/>
    <w:rsid w:val="000B3390"/>
    <w:rsid w:val="000B33C6"/>
    <w:rsid w:val="000B36B1"/>
    <w:rsid w:val="000B36EE"/>
    <w:rsid w:val="000B3B90"/>
    <w:rsid w:val="000B3BD9"/>
    <w:rsid w:val="000B3D2F"/>
    <w:rsid w:val="000B3EC3"/>
    <w:rsid w:val="000B3F5F"/>
    <w:rsid w:val="000B40D1"/>
    <w:rsid w:val="000B4CB4"/>
    <w:rsid w:val="000B555C"/>
    <w:rsid w:val="000B560D"/>
    <w:rsid w:val="000B5A94"/>
    <w:rsid w:val="000B5F99"/>
    <w:rsid w:val="000B6824"/>
    <w:rsid w:val="000B6BB0"/>
    <w:rsid w:val="000B6BBD"/>
    <w:rsid w:val="000C0097"/>
    <w:rsid w:val="000C0172"/>
    <w:rsid w:val="000C034A"/>
    <w:rsid w:val="000C059A"/>
    <w:rsid w:val="000C0645"/>
    <w:rsid w:val="000C06A6"/>
    <w:rsid w:val="000C0875"/>
    <w:rsid w:val="000C0DE3"/>
    <w:rsid w:val="000C0E0F"/>
    <w:rsid w:val="000C1001"/>
    <w:rsid w:val="000C1B5F"/>
    <w:rsid w:val="000C2208"/>
    <w:rsid w:val="000C2704"/>
    <w:rsid w:val="000C3149"/>
    <w:rsid w:val="000C31B8"/>
    <w:rsid w:val="000C39B4"/>
    <w:rsid w:val="000C39EC"/>
    <w:rsid w:val="000C3E89"/>
    <w:rsid w:val="000C3FC8"/>
    <w:rsid w:val="000C4389"/>
    <w:rsid w:val="000C48FF"/>
    <w:rsid w:val="000C4D73"/>
    <w:rsid w:val="000C4EDE"/>
    <w:rsid w:val="000C515A"/>
    <w:rsid w:val="000C5A1A"/>
    <w:rsid w:val="000C5B12"/>
    <w:rsid w:val="000C628A"/>
    <w:rsid w:val="000C6486"/>
    <w:rsid w:val="000C69BD"/>
    <w:rsid w:val="000C69BE"/>
    <w:rsid w:val="000C7BBB"/>
    <w:rsid w:val="000C7D21"/>
    <w:rsid w:val="000C7FF5"/>
    <w:rsid w:val="000D0121"/>
    <w:rsid w:val="000D0678"/>
    <w:rsid w:val="000D08E1"/>
    <w:rsid w:val="000D0ABD"/>
    <w:rsid w:val="000D0B07"/>
    <w:rsid w:val="000D13EC"/>
    <w:rsid w:val="000D1557"/>
    <w:rsid w:val="000D1D35"/>
    <w:rsid w:val="000D1E97"/>
    <w:rsid w:val="000D1ED1"/>
    <w:rsid w:val="000D236A"/>
    <w:rsid w:val="000D2554"/>
    <w:rsid w:val="000D284E"/>
    <w:rsid w:val="000D2D8F"/>
    <w:rsid w:val="000D30E4"/>
    <w:rsid w:val="000D3112"/>
    <w:rsid w:val="000D3349"/>
    <w:rsid w:val="000D360C"/>
    <w:rsid w:val="000D37F3"/>
    <w:rsid w:val="000D3A53"/>
    <w:rsid w:val="000D3C46"/>
    <w:rsid w:val="000D3C4D"/>
    <w:rsid w:val="000D40A6"/>
    <w:rsid w:val="000D41B2"/>
    <w:rsid w:val="000D47AC"/>
    <w:rsid w:val="000D4C42"/>
    <w:rsid w:val="000D52C6"/>
    <w:rsid w:val="000D5391"/>
    <w:rsid w:val="000D5894"/>
    <w:rsid w:val="000D5FEF"/>
    <w:rsid w:val="000D6504"/>
    <w:rsid w:val="000D6515"/>
    <w:rsid w:val="000D665E"/>
    <w:rsid w:val="000D6AF2"/>
    <w:rsid w:val="000D6BCA"/>
    <w:rsid w:val="000D6E29"/>
    <w:rsid w:val="000D71B3"/>
    <w:rsid w:val="000E068D"/>
    <w:rsid w:val="000E078F"/>
    <w:rsid w:val="000E0BCA"/>
    <w:rsid w:val="000E0F87"/>
    <w:rsid w:val="000E1909"/>
    <w:rsid w:val="000E25C7"/>
    <w:rsid w:val="000E2E94"/>
    <w:rsid w:val="000E3C6B"/>
    <w:rsid w:val="000E4606"/>
    <w:rsid w:val="000E4629"/>
    <w:rsid w:val="000E49FA"/>
    <w:rsid w:val="000E4F2F"/>
    <w:rsid w:val="000E5021"/>
    <w:rsid w:val="000E5455"/>
    <w:rsid w:val="000E5A12"/>
    <w:rsid w:val="000E5D94"/>
    <w:rsid w:val="000E5F18"/>
    <w:rsid w:val="000E5FB3"/>
    <w:rsid w:val="000E66F1"/>
    <w:rsid w:val="000E6F0F"/>
    <w:rsid w:val="000E70C6"/>
    <w:rsid w:val="000E7159"/>
    <w:rsid w:val="000E79CD"/>
    <w:rsid w:val="000E7C82"/>
    <w:rsid w:val="000E7D93"/>
    <w:rsid w:val="000E7E98"/>
    <w:rsid w:val="000E7F62"/>
    <w:rsid w:val="000F00ED"/>
    <w:rsid w:val="000F0755"/>
    <w:rsid w:val="000F1063"/>
    <w:rsid w:val="000F11F0"/>
    <w:rsid w:val="000F16DB"/>
    <w:rsid w:val="000F1BDF"/>
    <w:rsid w:val="000F1F75"/>
    <w:rsid w:val="000F2178"/>
    <w:rsid w:val="000F24E0"/>
    <w:rsid w:val="000F26CF"/>
    <w:rsid w:val="000F306D"/>
    <w:rsid w:val="000F30E0"/>
    <w:rsid w:val="000F332B"/>
    <w:rsid w:val="000F340A"/>
    <w:rsid w:val="000F34E6"/>
    <w:rsid w:val="000F38D0"/>
    <w:rsid w:val="000F3D89"/>
    <w:rsid w:val="000F3F5E"/>
    <w:rsid w:val="000F4093"/>
    <w:rsid w:val="000F444E"/>
    <w:rsid w:val="000F44BC"/>
    <w:rsid w:val="000F468E"/>
    <w:rsid w:val="000F4A48"/>
    <w:rsid w:val="000F4F90"/>
    <w:rsid w:val="000F57D5"/>
    <w:rsid w:val="000F5F6F"/>
    <w:rsid w:val="000F60FF"/>
    <w:rsid w:val="000F62FB"/>
    <w:rsid w:val="000F64C8"/>
    <w:rsid w:val="000F67EA"/>
    <w:rsid w:val="000F6E9B"/>
    <w:rsid w:val="000F71D0"/>
    <w:rsid w:val="000F73E0"/>
    <w:rsid w:val="000F75EA"/>
    <w:rsid w:val="000F761D"/>
    <w:rsid w:val="000F77A5"/>
    <w:rsid w:val="000F77AA"/>
    <w:rsid w:val="000F7D04"/>
    <w:rsid w:val="001005AB"/>
    <w:rsid w:val="001009E1"/>
    <w:rsid w:val="00100BCF"/>
    <w:rsid w:val="00100CEC"/>
    <w:rsid w:val="001013FA"/>
    <w:rsid w:val="001017CA"/>
    <w:rsid w:val="00101C38"/>
    <w:rsid w:val="001020FE"/>
    <w:rsid w:val="001027E3"/>
    <w:rsid w:val="0010301F"/>
    <w:rsid w:val="001032FB"/>
    <w:rsid w:val="0010360F"/>
    <w:rsid w:val="00103937"/>
    <w:rsid w:val="0010493D"/>
    <w:rsid w:val="00104B01"/>
    <w:rsid w:val="00104B69"/>
    <w:rsid w:val="00104DA0"/>
    <w:rsid w:val="00105160"/>
    <w:rsid w:val="001053C1"/>
    <w:rsid w:val="00105570"/>
    <w:rsid w:val="001056CB"/>
    <w:rsid w:val="00105812"/>
    <w:rsid w:val="001062EC"/>
    <w:rsid w:val="001063C3"/>
    <w:rsid w:val="00106541"/>
    <w:rsid w:val="001067A4"/>
    <w:rsid w:val="001067FC"/>
    <w:rsid w:val="00106BC9"/>
    <w:rsid w:val="00106CD9"/>
    <w:rsid w:val="00107304"/>
    <w:rsid w:val="0010792B"/>
    <w:rsid w:val="00107B59"/>
    <w:rsid w:val="00107CC7"/>
    <w:rsid w:val="00107DE9"/>
    <w:rsid w:val="001109E6"/>
    <w:rsid w:val="001113AF"/>
    <w:rsid w:val="00111719"/>
    <w:rsid w:val="0011196E"/>
    <w:rsid w:val="00111C5C"/>
    <w:rsid w:val="00111EF1"/>
    <w:rsid w:val="001120FC"/>
    <w:rsid w:val="001128A8"/>
    <w:rsid w:val="001129EF"/>
    <w:rsid w:val="00112ACD"/>
    <w:rsid w:val="00112F21"/>
    <w:rsid w:val="0011300A"/>
    <w:rsid w:val="0011322D"/>
    <w:rsid w:val="00113299"/>
    <w:rsid w:val="00113355"/>
    <w:rsid w:val="0011342B"/>
    <w:rsid w:val="001135BA"/>
    <w:rsid w:val="001142DD"/>
    <w:rsid w:val="00114369"/>
    <w:rsid w:val="0011483F"/>
    <w:rsid w:val="00114849"/>
    <w:rsid w:val="00114BD9"/>
    <w:rsid w:val="00114DFE"/>
    <w:rsid w:val="00114F04"/>
    <w:rsid w:val="00114F20"/>
    <w:rsid w:val="001151F9"/>
    <w:rsid w:val="001157BA"/>
    <w:rsid w:val="00115911"/>
    <w:rsid w:val="001166B0"/>
    <w:rsid w:val="0011727D"/>
    <w:rsid w:val="00117296"/>
    <w:rsid w:val="0011734D"/>
    <w:rsid w:val="00117423"/>
    <w:rsid w:val="00117454"/>
    <w:rsid w:val="001174AC"/>
    <w:rsid w:val="0011759E"/>
    <w:rsid w:val="00117E79"/>
    <w:rsid w:val="00120087"/>
    <w:rsid w:val="00120A72"/>
    <w:rsid w:val="00120FBB"/>
    <w:rsid w:val="00121582"/>
    <w:rsid w:val="001215B7"/>
    <w:rsid w:val="001216B6"/>
    <w:rsid w:val="00121F99"/>
    <w:rsid w:val="001220C6"/>
    <w:rsid w:val="00122469"/>
    <w:rsid w:val="0012285A"/>
    <w:rsid w:val="001228D2"/>
    <w:rsid w:val="001228DD"/>
    <w:rsid w:val="00123327"/>
    <w:rsid w:val="001233A1"/>
    <w:rsid w:val="001234B3"/>
    <w:rsid w:val="00123A77"/>
    <w:rsid w:val="00123B30"/>
    <w:rsid w:val="00123B33"/>
    <w:rsid w:val="00123E23"/>
    <w:rsid w:val="00123E88"/>
    <w:rsid w:val="00123F65"/>
    <w:rsid w:val="00123FB4"/>
    <w:rsid w:val="0012412F"/>
    <w:rsid w:val="00124BE6"/>
    <w:rsid w:val="00125C01"/>
    <w:rsid w:val="00125CA4"/>
    <w:rsid w:val="00125D22"/>
    <w:rsid w:val="00125ED7"/>
    <w:rsid w:val="00125F5D"/>
    <w:rsid w:val="00126884"/>
    <w:rsid w:val="00126A1D"/>
    <w:rsid w:val="00127206"/>
    <w:rsid w:val="001279D0"/>
    <w:rsid w:val="00127D7B"/>
    <w:rsid w:val="00127EA2"/>
    <w:rsid w:val="00130156"/>
    <w:rsid w:val="001301E7"/>
    <w:rsid w:val="00130753"/>
    <w:rsid w:val="00130B3A"/>
    <w:rsid w:val="00130B83"/>
    <w:rsid w:val="00130EAE"/>
    <w:rsid w:val="00131109"/>
    <w:rsid w:val="00131A35"/>
    <w:rsid w:val="00131E96"/>
    <w:rsid w:val="00131FE4"/>
    <w:rsid w:val="001321D3"/>
    <w:rsid w:val="001326B7"/>
    <w:rsid w:val="00132726"/>
    <w:rsid w:val="00132BAC"/>
    <w:rsid w:val="00132CFC"/>
    <w:rsid w:val="00132DC4"/>
    <w:rsid w:val="00132F1A"/>
    <w:rsid w:val="0013361D"/>
    <w:rsid w:val="00133B82"/>
    <w:rsid w:val="001345FD"/>
    <w:rsid w:val="00134727"/>
    <w:rsid w:val="00134974"/>
    <w:rsid w:val="00134B9D"/>
    <w:rsid w:val="0013524B"/>
    <w:rsid w:val="001357B5"/>
    <w:rsid w:val="001357BB"/>
    <w:rsid w:val="0013594B"/>
    <w:rsid w:val="00135972"/>
    <w:rsid w:val="00135A19"/>
    <w:rsid w:val="001360FF"/>
    <w:rsid w:val="00136179"/>
    <w:rsid w:val="0013618B"/>
    <w:rsid w:val="00136576"/>
    <w:rsid w:val="0013659E"/>
    <w:rsid w:val="001365C9"/>
    <w:rsid w:val="0013688A"/>
    <w:rsid w:val="00136A80"/>
    <w:rsid w:val="00136C03"/>
    <w:rsid w:val="00136EA1"/>
    <w:rsid w:val="001374D7"/>
    <w:rsid w:val="00137BDB"/>
    <w:rsid w:val="00137CB2"/>
    <w:rsid w:val="00137CD3"/>
    <w:rsid w:val="0014030E"/>
    <w:rsid w:val="001405C9"/>
    <w:rsid w:val="00140A67"/>
    <w:rsid w:val="00140B4E"/>
    <w:rsid w:val="001410A9"/>
    <w:rsid w:val="00141757"/>
    <w:rsid w:val="00141AC2"/>
    <w:rsid w:val="00141B8E"/>
    <w:rsid w:val="00141C2C"/>
    <w:rsid w:val="001420CC"/>
    <w:rsid w:val="001421B1"/>
    <w:rsid w:val="001421D0"/>
    <w:rsid w:val="0014227B"/>
    <w:rsid w:val="001426D9"/>
    <w:rsid w:val="0014297E"/>
    <w:rsid w:val="0014312C"/>
    <w:rsid w:val="0014391B"/>
    <w:rsid w:val="00143A7A"/>
    <w:rsid w:val="00143BD9"/>
    <w:rsid w:val="0014405C"/>
    <w:rsid w:val="001441C2"/>
    <w:rsid w:val="001443F0"/>
    <w:rsid w:val="0014440C"/>
    <w:rsid w:val="00144523"/>
    <w:rsid w:val="00144C8F"/>
    <w:rsid w:val="00144D06"/>
    <w:rsid w:val="00144D6A"/>
    <w:rsid w:val="00144E8B"/>
    <w:rsid w:val="0014506E"/>
    <w:rsid w:val="00145418"/>
    <w:rsid w:val="00145AFF"/>
    <w:rsid w:val="00145B29"/>
    <w:rsid w:val="00145B6F"/>
    <w:rsid w:val="00145D21"/>
    <w:rsid w:val="00146069"/>
    <w:rsid w:val="001460F6"/>
    <w:rsid w:val="00146445"/>
    <w:rsid w:val="001465B0"/>
    <w:rsid w:val="00146669"/>
    <w:rsid w:val="00146C92"/>
    <w:rsid w:val="00146D60"/>
    <w:rsid w:val="0014784D"/>
    <w:rsid w:val="001479DF"/>
    <w:rsid w:val="00147A3C"/>
    <w:rsid w:val="00147DCE"/>
    <w:rsid w:val="00147F44"/>
    <w:rsid w:val="001500EE"/>
    <w:rsid w:val="001505F6"/>
    <w:rsid w:val="0015097A"/>
    <w:rsid w:val="00150D84"/>
    <w:rsid w:val="001511AD"/>
    <w:rsid w:val="0015172E"/>
    <w:rsid w:val="001519D7"/>
    <w:rsid w:val="00151B50"/>
    <w:rsid w:val="00151BB2"/>
    <w:rsid w:val="0015263F"/>
    <w:rsid w:val="001528B7"/>
    <w:rsid w:val="00152FD4"/>
    <w:rsid w:val="00153000"/>
    <w:rsid w:val="0015312D"/>
    <w:rsid w:val="001532B4"/>
    <w:rsid w:val="00153307"/>
    <w:rsid w:val="00153B22"/>
    <w:rsid w:val="00153BA9"/>
    <w:rsid w:val="00153DFF"/>
    <w:rsid w:val="00153F98"/>
    <w:rsid w:val="0015441E"/>
    <w:rsid w:val="00154789"/>
    <w:rsid w:val="00154CD2"/>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0E0"/>
    <w:rsid w:val="001607B3"/>
    <w:rsid w:val="00160942"/>
    <w:rsid w:val="00160C79"/>
    <w:rsid w:val="00160DE5"/>
    <w:rsid w:val="00161189"/>
    <w:rsid w:val="001612E6"/>
    <w:rsid w:val="001615A6"/>
    <w:rsid w:val="00161908"/>
    <w:rsid w:val="00161DC1"/>
    <w:rsid w:val="00161E41"/>
    <w:rsid w:val="00162757"/>
    <w:rsid w:val="00162C31"/>
    <w:rsid w:val="00162C8B"/>
    <w:rsid w:val="00163019"/>
    <w:rsid w:val="001631C7"/>
    <w:rsid w:val="0016331D"/>
    <w:rsid w:val="00163436"/>
    <w:rsid w:val="0016391D"/>
    <w:rsid w:val="0016396E"/>
    <w:rsid w:val="00163CE3"/>
    <w:rsid w:val="00164712"/>
    <w:rsid w:val="0016473C"/>
    <w:rsid w:val="001649C3"/>
    <w:rsid w:val="00164C72"/>
    <w:rsid w:val="00164D4A"/>
    <w:rsid w:val="001655A1"/>
    <w:rsid w:val="0016584C"/>
    <w:rsid w:val="00165F6C"/>
    <w:rsid w:val="00166941"/>
    <w:rsid w:val="00166AE0"/>
    <w:rsid w:val="00166BE4"/>
    <w:rsid w:val="00167384"/>
    <w:rsid w:val="00167535"/>
    <w:rsid w:val="0016758C"/>
    <w:rsid w:val="001675B3"/>
    <w:rsid w:val="00167623"/>
    <w:rsid w:val="001678FF"/>
    <w:rsid w:val="00167B82"/>
    <w:rsid w:val="00167C0C"/>
    <w:rsid w:val="00167DF9"/>
    <w:rsid w:val="00167E3C"/>
    <w:rsid w:val="001701D7"/>
    <w:rsid w:val="001702B2"/>
    <w:rsid w:val="001707AA"/>
    <w:rsid w:val="00170B62"/>
    <w:rsid w:val="00170B65"/>
    <w:rsid w:val="00170ED8"/>
    <w:rsid w:val="00171558"/>
    <w:rsid w:val="00171FA9"/>
    <w:rsid w:val="00172A6A"/>
    <w:rsid w:val="00172B10"/>
    <w:rsid w:val="00172CF3"/>
    <w:rsid w:val="00172D64"/>
    <w:rsid w:val="00172D8C"/>
    <w:rsid w:val="00172E1E"/>
    <w:rsid w:val="00172FFC"/>
    <w:rsid w:val="001731F4"/>
    <w:rsid w:val="001735A7"/>
    <w:rsid w:val="001736CB"/>
    <w:rsid w:val="001739BD"/>
    <w:rsid w:val="00173B2F"/>
    <w:rsid w:val="00173FAF"/>
    <w:rsid w:val="001743B2"/>
    <w:rsid w:val="00174896"/>
    <w:rsid w:val="00174941"/>
    <w:rsid w:val="00175121"/>
    <w:rsid w:val="00175564"/>
    <w:rsid w:val="00175769"/>
    <w:rsid w:val="00175852"/>
    <w:rsid w:val="001759F9"/>
    <w:rsid w:val="00176276"/>
    <w:rsid w:val="0017669A"/>
    <w:rsid w:val="001767CD"/>
    <w:rsid w:val="001768C1"/>
    <w:rsid w:val="00176D09"/>
    <w:rsid w:val="00176D18"/>
    <w:rsid w:val="00177528"/>
    <w:rsid w:val="00177CD9"/>
    <w:rsid w:val="00180604"/>
    <w:rsid w:val="001808F4"/>
    <w:rsid w:val="0018097B"/>
    <w:rsid w:val="00180CB0"/>
    <w:rsid w:val="0018142A"/>
    <w:rsid w:val="0018142C"/>
    <w:rsid w:val="00181711"/>
    <w:rsid w:val="00182162"/>
    <w:rsid w:val="0018233C"/>
    <w:rsid w:val="00182767"/>
    <w:rsid w:val="001829FA"/>
    <w:rsid w:val="00182A57"/>
    <w:rsid w:val="00182A5E"/>
    <w:rsid w:val="001830A4"/>
    <w:rsid w:val="001832F9"/>
    <w:rsid w:val="00183510"/>
    <w:rsid w:val="0018370D"/>
    <w:rsid w:val="00183C8D"/>
    <w:rsid w:val="00183D90"/>
    <w:rsid w:val="00184249"/>
    <w:rsid w:val="00184286"/>
    <w:rsid w:val="001847F6"/>
    <w:rsid w:val="00184E43"/>
    <w:rsid w:val="0018573F"/>
    <w:rsid w:val="0018594D"/>
    <w:rsid w:val="00185B5F"/>
    <w:rsid w:val="00185E36"/>
    <w:rsid w:val="00186BC0"/>
    <w:rsid w:val="00186DD8"/>
    <w:rsid w:val="00186DEA"/>
    <w:rsid w:val="00186F27"/>
    <w:rsid w:val="0018786A"/>
    <w:rsid w:val="00187F78"/>
    <w:rsid w:val="00187FAC"/>
    <w:rsid w:val="001907C4"/>
    <w:rsid w:val="00190E3B"/>
    <w:rsid w:val="00190EF2"/>
    <w:rsid w:val="00191C06"/>
    <w:rsid w:val="0019214A"/>
    <w:rsid w:val="0019244D"/>
    <w:rsid w:val="001927F4"/>
    <w:rsid w:val="001928FA"/>
    <w:rsid w:val="001929DB"/>
    <w:rsid w:val="00192FDD"/>
    <w:rsid w:val="001932DB"/>
    <w:rsid w:val="001932E5"/>
    <w:rsid w:val="0019334F"/>
    <w:rsid w:val="001938A7"/>
    <w:rsid w:val="00193B6E"/>
    <w:rsid w:val="00193BF7"/>
    <w:rsid w:val="00193FB1"/>
    <w:rsid w:val="0019423B"/>
    <w:rsid w:val="001944A6"/>
    <w:rsid w:val="001947BF"/>
    <w:rsid w:val="00194C1C"/>
    <w:rsid w:val="00194CF1"/>
    <w:rsid w:val="00194E5A"/>
    <w:rsid w:val="00195417"/>
    <w:rsid w:val="0019635A"/>
    <w:rsid w:val="00196863"/>
    <w:rsid w:val="001969A5"/>
    <w:rsid w:val="00196DC5"/>
    <w:rsid w:val="00196EB9"/>
    <w:rsid w:val="00196F6F"/>
    <w:rsid w:val="001970DE"/>
    <w:rsid w:val="00197B2C"/>
    <w:rsid w:val="001A0275"/>
    <w:rsid w:val="001A0308"/>
    <w:rsid w:val="001A03EC"/>
    <w:rsid w:val="001A0F3B"/>
    <w:rsid w:val="001A0F7B"/>
    <w:rsid w:val="001A1084"/>
    <w:rsid w:val="001A1142"/>
    <w:rsid w:val="001A1567"/>
    <w:rsid w:val="001A1638"/>
    <w:rsid w:val="001A181F"/>
    <w:rsid w:val="001A1B84"/>
    <w:rsid w:val="001A1CCE"/>
    <w:rsid w:val="001A2279"/>
    <w:rsid w:val="001A236D"/>
    <w:rsid w:val="001A2564"/>
    <w:rsid w:val="001A266F"/>
    <w:rsid w:val="001A29E7"/>
    <w:rsid w:val="001A2C5C"/>
    <w:rsid w:val="001A2F21"/>
    <w:rsid w:val="001A325F"/>
    <w:rsid w:val="001A3353"/>
    <w:rsid w:val="001A3435"/>
    <w:rsid w:val="001A362D"/>
    <w:rsid w:val="001A3821"/>
    <w:rsid w:val="001A3A0C"/>
    <w:rsid w:val="001A3F69"/>
    <w:rsid w:val="001A42CD"/>
    <w:rsid w:val="001A4992"/>
    <w:rsid w:val="001A51EB"/>
    <w:rsid w:val="001A551B"/>
    <w:rsid w:val="001A5F47"/>
    <w:rsid w:val="001A644B"/>
    <w:rsid w:val="001A727B"/>
    <w:rsid w:val="001A7814"/>
    <w:rsid w:val="001A7D4D"/>
    <w:rsid w:val="001A7D4F"/>
    <w:rsid w:val="001B0140"/>
    <w:rsid w:val="001B037F"/>
    <w:rsid w:val="001B03B7"/>
    <w:rsid w:val="001B041E"/>
    <w:rsid w:val="001B04ED"/>
    <w:rsid w:val="001B09AD"/>
    <w:rsid w:val="001B0B19"/>
    <w:rsid w:val="001B0B88"/>
    <w:rsid w:val="001B0C92"/>
    <w:rsid w:val="001B0D16"/>
    <w:rsid w:val="001B0FC6"/>
    <w:rsid w:val="001B1A87"/>
    <w:rsid w:val="001B1D92"/>
    <w:rsid w:val="001B1F6E"/>
    <w:rsid w:val="001B223C"/>
    <w:rsid w:val="001B22F3"/>
    <w:rsid w:val="001B23D7"/>
    <w:rsid w:val="001B2958"/>
    <w:rsid w:val="001B298A"/>
    <w:rsid w:val="001B2C34"/>
    <w:rsid w:val="001B30ED"/>
    <w:rsid w:val="001B3934"/>
    <w:rsid w:val="001B3B5D"/>
    <w:rsid w:val="001B3C54"/>
    <w:rsid w:val="001B4479"/>
    <w:rsid w:val="001B4AAA"/>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65B"/>
    <w:rsid w:val="001B7906"/>
    <w:rsid w:val="001B7E41"/>
    <w:rsid w:val="001B7F44"/>
    <w:rsid w:val="001C014C"/>
    <w:rsid w:val="001C01A0"/>
    <w:rsid w:val="001C01B7"/>
    <w:rsid w:val="001C0296"/>
    <w:rsid w:val="001C0698"/>
    <w:rsid w:val="001C0B54"/>
    <w:rsid w:val="001C0BC4"/>
    <w:rsid w:val="001C0DDC"/>
    <w:rsid w:val="001C0F5C"/>
    <w:rsid w:val="001C198F"/>
    <w:rsid w:val="001C1A97"/>
    <w:rsid w:val="001C1B76"/>
    <w:rsid w:val="001C1CB5"/>
    <w:rsid w:val="001C1EC0"/>
    <w:rsid w:val="001C21BC"/>
    <w:rsid w:val="001C235F"/>
    <w:rsid w:val="001C2408"/>
    <w:rsid w:val="001C2696"/>
    <w:rsid w:val="001C2710"/>
    <w:rsid w:val="001C3009"/>
    <w:rsid w:val="001C338D"/>
    <w:rsid w:val="001C39B4"/>
    <w:rsid w:val="001C3A93"/>
    <w:rsid w:val="001C3D68"/>
    <w:rsid w:val="001C405E"/>
    <w:rsid w:val="001C41EF"/>
    <w:rsid w:val="001C4443"/>
    <w:rsid w:val="001C4D1F"/>
    <w:rsid w:val="001C4D23"/>
    <w:rsid w:val="001C4E7D"/>
    <w:rsid w:val="001C4F0D"/>
    <w:rsid w:val="001C5600"/>
    <w:rsid w:val="001C56C5"/>
    <w:rsid w:val="001C5AE9"/>
    <w:rsid w:val="001C5D2D"/>
    <w:rsid w:val="001C626F"/>
    <w:rsid w:val="001C62F8"/>
    <w:rsid w:val="001C67B5"/>
    <w:rsid w:val="001C6C21"/>
    <w:rsid w:val="001C6EC4"/>
    <w:rsid w:val="001C7002"/>
    <w:rsid w:val="001C7268"/>
    <w:rsid w:val="001C7641"/>
    <w:rsid w:val="001C78FC"/>
    <w:rsid w:val="001C7A1E"/>
    <w:rsid w:val="001D01C9"/>
    <w:rsid w:val="001D0228"/>
    <w:rsid w:val="001D03F1"/>
    <w:rsid w:val="001D058C"/>
    <w:rsid w:val="001D096F"/>
    <w:rsid w:val="001D0DD1"/>
    <w:rsid w:val="001D0E4C"/>
    <w:rsid w:val="001D1339"/>
    <w:rsid w:val="001D155F"/>
    <w:rsid w:val="001D1660"/>
    <w:rsid w:val="001D18A2"/>
    <w:rsid w:val="001D1B57"/>
    <w:rsid w:val="001D1EDD"/>
    <w:rsid w:val="001D201F"/>
    <w:rsid w:val="001D243B"/>
    <w:rsid w:val="001D2606"/>
    <w:rsid w:val="001D2CE6"/>
    <w:rsid w:val="001D2DA4"/>
    <w:rsid w:val="001D32BC"/>
    <w:rsid w:val="001D3507"/>
    <w:rsid w:val="001D363E"/>
    <w:rsid w:val="001D3CC4"/>
    <w:rsid w:val="001D45BF"/>
    <w:rsid w:val="001D4AE3"/>
    <w:rsid w:val="001D4EA9"/>
    <w:rsid w:val="001D5C94"/>
    <w:rsid w:val="001D5F2C"/>
    <w:rsid w:val="001D6C50"/>
    <w:rsid w:val="001D6C5E"/>
    <w:rsid w:val="001D6E2D"/>
    <w:rsid w:val="001D74FE"/>
    <w:rsid w:val="001D750C"/>
    <w:rsid w:val="001D75C7"/>
    <w:rsid w:val="001D76CC"/>
    <w:rsid w:val="001D7FE9"/>
    <w:rsid w:val="001E0290"/>
    <w:rsid w:val="001E04C9"/>
    <w:rsid w:val="001E0569"/>
    <w:rsid w:val="001E085D"/>
    <w:rsid w:val="001E0E8C"/>
    <w:rsid w:val="001E0EC9"/>
    <w:rsid w:val="001E1051"/>
    <w:rsid w:val="001E12DA"/>
    <w:rsid w:val="001E1F07"/>
    <w:rsid w:val="001E20F1"/>
    <w:rsid w:val="001E217F"/>
    <w:rsid w:val="001E27FE"/>
    <w:rsid w:val="001E2B65"/>
    <w:rsid w:val="001E2F8C"/>
    <w:rsid w:val="001E3526"/>
    <w:rsid w:val="001E3ADE"/>
    <w:rsid w:val="001E3C84"/>
    <w:rsid w:val="001E3F3B"/>
    <w:rsid w:val="001E4190"/>
    <w:rsid w:val="001E43E1"/>
    <w:rsid w:val="001E44AD"/>
    <w:rsid w:val="001E44F5"/>
    <w:rsid w:val="001E4547"/>
    <w:rsid w:val="001E4EB7"/>
    <w:rsid w:val="001E5445"/>
    <w:rsid w:val="001E575C"/>
    <w:rsid w:val="001E58A1"/>
    <w:rsid w:val="001E594C"/>
    <w:rsid w:val="001E59F8"/>
    <w:rsid w:val="001E5C5B"/>
    <w:rsid w:val="001E5DE6"/>
    <w:rsid w:val="001E62BF"/>
    <w:rsid w:val="001E63C4"/>
    <w:rsid w:val="001E7352"/>
    <w:rsid w:val="001E78C0"/>
    <w:rsid w:val="001E796A"/>
    <w:rsid w:val="001E7E2B"/>
    <w:rsid w:val="001F00A4"/>
    <w:rsid w:val="001F01BF"/>
    <w:rsid w:val="001F02FA"/>
    <w:rsid w:val="001F06AE"/>
    <w:rsid w:val="001F0913"/>
    <w:rsid w:val="001F09F0"/>
    <w:rsid w:val="001F0AAC"/>
    <w:rsid w:val="001F0D62"/>
    <w:rsid w:val="001F0FE2"/>
    <w:rsid w:val="001F12E4"/>
    <w:rsid w:val="001F14C1"/>
    <w:rsid w:val="001F16CB"/>
    <w:rsid w:val="001F1704"/>
    <w:rsid w:val="001F1CA5"/>
    <w:rsid w:val="001F1CAC"/>
    <w:rsid w:val="001F1F19"/>
    <w:rsid w:val="001F1F7A"/>
    <w:rsid w:val="001F222D"/>
    <w:rsid w:val="001F2571"/>
    <w:rsid w:val="001F2999"/>
    <w:rsid w:val="001F2AA3"/>
    <w:rsid w:val="001F3798"/>
    <w:rsid w:val="001F3C10"/>
    <w:rsid w:val="001F3FCA"/>
    <w:rsid w:val="001F3FED"/>
    <w:rsid w:val="001F43E5"/>
    <w:rsid w:val="001F47EF"/>
    <w:rsid w:val="001F4893"/>
    <w:rsid w:val="001F4D40"/>
    <w:rsid w:val="001F4E8C"/>
    <w:rsid w:val="001F52ED"/>
    <w:rsid w:val="001F57F9"/>
    <w:rsid w:val="001F5F96"/>
    <w:rsid w:val="001F6239"/>
    <w:rsid w:val="001F6CC7"/>
    <w:rsid w:val="001F6DC8"/>
    <w:rsid w:val="001F728B"/>
    <w:rsid w:val="001F7B9F"/>
    <w:rsid w:val="001F7C6D"/>
    <w:rsid w:val="001F7ECE"/>
    <w:rsid w:val="0020011D"/>
    <w:rsid w:val="00200638"/>
    <w:rsid w:val="002007F1"/>
    <w:rsid w:val="00200887"/>
    <w:rsid w:val="00201693"/>
    <w:rsid w:val="00201D35"/>
    <w:rsid w:val="0020208C"/>
    <w:rsid w:val="0020210B"/>
    <w:rsid w:val="002024FF"/>
    <w:rsid w:val="0020261D"/>
    <w:rsid w:val="00202B59"/>
    <w:rsid w:val="00202D6B"/>
    <w:rsid w:val="00203036"/>
    <w:rsid w:val="0020379F"/>
    <w:rsid w:val="00203BDA"/>
    <w:rsid w:val="00203C89"/>
    <w:rsid w:val="002043AC"/>
    <w:rsid w:val="0020540C"/>
    <w:rsid w:val="002054C7"/>
    <w:rsid w:val="002058BA"/>
    <w:rsid w:val="00205CC9"/>
    <w:rsid w:val="00206559"/>
    <w:rsid w:val="0020655B"/>
    <w:rsid w:val="0020677C"/>
    <w:rsid w:val="0020699C"/>
    <w:rsid w:val="00206CB7"/>
    <w:rsid w:val="00207136"/>
    <w:rsid w:val="0020747A"/>
    <w:rsid w:val="00207641"/>
    <w:rsid w:val="0020769D"/>
    <w:rsid w:val="002076D6"/>
    <w:rsid w:val="002077D6"/>
    <w:rsid w:val="00207C49"/>
    <w:rsid w:val="00207E7C"/>
    <w:rsid w:val="00210136"/>
    <w:rsid w:val="002108AC"/>
    <w:rsid w:val="00210CD7"/>
    <w:rsid w:val="002112DA"/>
    <w:rsid w:val="0021138B"/>
    <w:rsid w:val="00211BE0"/>
    <w:rsid w:val="00211E58"/>
    <w:rsid w:val="0021211A"/>
    <w:rsid w:val="002122FE"/>
    <w:rsid w:val="00212651"/>
    <w:rsid w:val="0021268F"/>
    <w:rsid w:val="0021294F"/>
    <w:rsid w:val="0021297D"/>
    <w:rsid w:val="00212A92"/>
    <w:rsid w:val="00212B22"/>
    <w:rsid w:val="00212C2B"/>
    <w:rsid w:val="00212C47"/>
    <w:rsid w:val="0021380D"/>
    <w:rsid w:val="002138FA"/>
    <w:rsid w:val="00213B08"/>
    <w:rsid w:val="00213B48"/>
    <w:rsid w:val="00213C81"/>
    <w:rsid w:val="00213D47"/>
    <w:rsid w:val="00213E13"/>
    <w:rsid w:val="00213EE4"/>
    <w:rsid w:val="002140A6"/>
    <w:rsid w:val="002146A8"/>
    <w:rsid w:val="00214C34"/>
    <w:rsid w:val="00214EE3"/>
    <w:rsid w:val="00215022"/>
    <w:rsid w:val="002150C2"/>
    <w:rsid w:val="002151C8"/>
    <w:rsid w:val="002154B3"/>
    <w:rsid w:val="002155FF"/>
    <w:rsid w:val="002157BD"/>
    <w:rsid w:val="00215939"/>
    <w:rsid w:val="0021605B"/>
    <w:rsid w:val="00216096"/>
    <w:rsid w:val="00216214"/>
    <w:rsid w:val="0021641A"/>
    <w:rsid w:val="0021696C"/>
    <w:rsid w:val="002173EF"/>
    <w:rsid w:val="00217492"/>
    <w:rsid w:val="002176C6"/>
    <w:rsid w:val="002179B9"/>
    <w:rsid w:val="002179E1"/>
    <w:rsid w:val="00217AE5"/>
    <w:rsid w:val="00217E58"/>
    <w:rsid w:val="002207CB"/>
    <w:rsid w:val="0022090E"/>
    <w:rsid w:val="0022095E"/>
    <w:rsid w:val="00220BE4"/>
    <w:rsid w:val="00220DAD"/>
    <w:rsid w:val="002210AD"/>
    <w:rsid w:val="002213C3"/>
    <w:rsid w:val="002214C5"/>
    <w:rsid w:val="0022161C"/>
    <w:rsid w:val="0022168D"/>
    <w:rsid w:val="002216C2"/>
    <w:rsid w:val="002219B5"/>
    <w:rsid w:val="00221A31"/>
    <w:rsid w:val="00221D1E"/>
    <w:rsid w:val="00221DDC"/>
    <w:rsid w:val="00221F3B"/>
    <w:rsid w:val="0022204A"/>
    <w:rsid w:val="00222AEC"/>
    <w:rsid w:val="00222B25"/>
    <w:rsid w:val="00222B38"/>
    <w:rsid w:val="00222F65"/>
    <w:rsid w:val="002230CF"/>
    <w:rsid w:val="002238CC"/>
    <w:rsid w:val="00224248"/>
    <w:rsid w:val="00225551"/>
    <w:rsid w:val="00225BE0"/>
    <w:rsid w:val="002263E3"/>
    <w:rsid w:val="00226865"/>
    <w:rsid w:val="00226BB0"/>
    <w:rsid w:val="0022746C"/>
    <w:rsid w:val="00227688"/>
    <w:rsid w:val="00227777"/>
    <w:rsid w:val="002302DB"/>
    <w:rsid w:val="00230DA2"/>
    <w:rsid w:val="00230EF1"/>
    <w:rsid w:val="002311C3"/>
    <w:rsid w:val="00231324"/>
    <w:rsid w:val="00231366"/>
    <w:rsid w:val="00231725"/>
    <w:rsid w:val="00231935"/>
    <w:rsid w:val="00231CC1"/>
    <w:rsid w:val="00231E3A"/>
    <w:rsid w:val="00231EF5"/>
    <w:rsid w:val="0023222B"/>
    <w:rsid w:val="002323EB"/>
    <w:rsid w:val="0023247D"/>
    <w:rsid w:val="002324E4"/>
    <w:rsid w:val="00232958"/>
    <w:rsid w:val="00232BAA"/>
    <w:rsid w:val="00232D09"/>
    <w:rsid w:val="00233396"/>
    <w:rsid w:val="00233818"/>
    <w:rsid w:val="002342DD"/>
    <w:rsid w:val="002344A0"/>
    <w:rsid w:val="00234B22"/>
    <w:rsid w:val="00234F28"/>
    <w:rsid w:val="002352F4"/>
    <w:rsid w:val="00235544"/>
    <w:rsid w:val="00235763"/>
    <w:rsid w:val="00235A38"/>
    <w:rsid w:val="00235DF4"/>
    <w:rsid w:val="002361CA"/>
    <w:rsid w:val="0023667C"/>
    <w:rsid w:val="00236AA7"/>
    <w:rsid w:val="00236B8F"/>
    <w:rsid w:val="00236BB4"/>
    <w:rsid w:val="00236DD3"/>
    <w:rsid w:val="00237489"/>
    <w:rsid w:val="00237C3B"/>
    <w:rsid w:val="00237D55"/>
    <w:rsid w:val="00237E2E"/>
    <w:rsid w:val="002400F5"/>
    <w:rsid w:val="00240150"/>
    <w:rsid w:val="0024086C"/>
    <w:rsid w:val="00240E43"/>
    <w:rsid w:val="00240E56"/>
    <w:rsid w:val="00240FBA"/>
    <w:rsid w:val="002412BF"/>
    <w:rsid w:val="0024148B"/>
    <w:rsid w:val="002418D9"/>
    <w:rsid w:val="00241C61"/>
    <w:rsid w:val="00241EA1"/>
    <w:rsid w:val="0024201D"/>
    <w:rsid w:val="002421B4"/>
    <w:rsid w:val="00242328"/>
    <w:rsid w:val="00243B27"/>
    <w:rsid w:val="00243C71"/>
    <w:rsid w:val="00243F28"/>
    <w:rsid w:val="00244347"/>
    <w:rsid w:val="00244A81"/>
    <w:rsid w:val="00244DD6"/>
    <w:rsid w:val="00245113"/>
    <w:rsid w:val="0024530E"/>
    <w:rsid w:val="002457C9"/>
    <w:rsid w:val="0024587B"/>
    <w:rsid w:val="00245914"/>
    <w:rsid w:val="00245B09"/>
    <w:rsid w:val="00245D93"/>
    <w:rsid w:val="00245F1A"/>
    <w:rsid w:val="00246453"/>
    <w:rsid w:val="002466AD"/>
    <w:rsid w:val="00246A67"/>
    <w:rsid w:val="00247678"/>
    <w:rsid w:val="002478D2"/>
    <w:rsid w:val="00247A08"/>
    <w:rsid w:val="002503F2"/>
    <w:rsid w:val="002506CB"/>
    <w:rsid w:val="00250A1E"/>
    <w:rsid w:val="00250E7A"/>
    <w:rsid w:val="0025101B"/>
    <w:rsid w:val="0025126E"/>
    <w:rsid w:val="0025177C"/>
    <w:rsid w:val="00251790"/>
    <w:rsid w:val="00251EA9"/>
    <w:rsid w:val="002521C5"/>
    <w:rsid w:val="002522BE"/>
    <w:rsid w:val="0025230A"/>
    <w:rsid w:val="00252753"/>
    <w:rsid w:val="0025337F"/>
    <w:rsid w:val="0025347F"/>
    <w:rsid w:val="002534E6"/>
    <w:rsid w:val="0025351C"/>
    <w:rsid w:val="0025360F"/>
    <w:rsid w:val="002538BD"/>
    <w:rsid w:val="002538D9"/>
    <w:rsid w:val="00253CCC"/>
    <w:rsid w:val="00254473"/>
    <w:rsid w:val="00254959"/>
    <w:rsid w:val="00254961"/>
    <w:rsid w:val="00254A98"/>
    <w:rsid w:val="00254C8E"/>
    <w:rsid w:val="002552C6"/>
    <w:rsid w:val="00255D3F"/>
    <w:rsid w:val="00256478"/>
    <w:rsid w:val="00256B58"/>
    <w:rsid w:val="00256D88"/>
    <w:rsid w:val="002572EA"/>
    <w:rsid w:val="002573BB"/>
    <w:rsid w:val="0025746C"/>
    <w:rsid w:val="00257670"/>
    <w:rsid w:val="0025798D"/>
    <w:rsid w:val="002579C8"/>
    <w:rsid w:val="00257BA5"/>
    <w:rsid w:val="00257C26"/>
    <w:rsid w:val="002609BD"/>
    <w:rsid w:val="00260DC3"/>
    <w:rsid w:val="00260DF4"/>
    <w:rsid w:val="0026130C"/>
    <w:rsid w:val="002617DF"/>
    <w:rsid w:val="002617E4"/>
    <w:rsid w:val="00262026"/>
    <w:rsid w:val="00262256"/>
    <w:rsid w:val="002625DD"/>
    <w:rsid w:val="00262D3B"/>
    <w:rsid w:val="00262E2D"/>
    <w:rsid w:val="00262E59"/>
    <w:rsid w:val="00263019"/>
    <w:rsid w:val="002631A0"/>
    <w:rsid w:val="00263241"/>
    <w:rsid w:val="002632D6"/>
    <w:rsid w:val="002633A6"/>
    <w:rsid w:val="00263B0B"/>
    <w:rsid w:val="00263CEB"/>
    <w:rsid w:val="00263D67"/>
    <w:rsid w:val="002646A3"/>
    <w:rsid w:val="002648B0"/>
    <w:rsid w:val="00264E20"/>
    <w:rsid w:val="00264F6D"/>
    <w:rsid w:val="002652B0"/>
    <w:rsid w:val="00265D85"/>
    <w:rsid w:val="00265D91"/>
    <w:rsid w:val="00265EBE"/>
    <w:rsid w:val="0026623C"/>
    <w:rsid w:val="00266275"/>
    <w:rsid w:val="0026661C"/>
    <w:rsid w:val="00266E6B"/>
    <w:rsid w:val="00266EDF"/>
    <w:rsid w:val="002671BE"/>
    <w:rsid w:val="00267592"/>
    <w:rsid w:val="00267BFC"/>
    <w:rsid w:val="00267C7E"/>
    <w:rsid w:val="00267DBA"/>
    <w:rsid w:val="002701A0"/>
    <w:rsid w:val="0027047D"/>
    <w:rsid w:val="00270DFD"/>
    <w:rsid w:val="00271179"/>
    <w:rsid w:val="0027121D"/>
    <w:rsid w:val="002717A3"/>
    <w:rsid w:val="00272414"/>
    <w:rsid w:val="002728E1"/>
    <w:rsid w:val="00273916"/>
    <w:rsid w:val="00273AA1"/>
    <w:rsid w:val="00273C79"/>
    <w:rsid w:val="00273CCD"/>
    <w:rsid w:val="00273DD6"/>
    <w:rsid w:val="00273EB1"/>
    <w:rsid w:val="00274054"/>
    <w:rsid w:val="00274641"/>
    <w:rsid w:val="00274805"/>
    <w:rsid w:val="0027485F"/>
    <w:rsid w:val="0027491E"/>
    <w:rsid w:val="00274BDE"/>
    <w:rsid w:val="00274D91"/>
    <w:rsid w:val="00274FDD"/>
    <w:rsid w:val="00275037"/>
    <w:rsid w:val="00275303"/>
    <w:rsid w:val="0027542B"/>
    <w:rsid w:val="0027559F"/>
    <w:rsid w:val="00275952"/>
    <w:rsid w:val="002761E3"/>
    <w:rsid w:val="0027628C"/>
    <w:rsid w:val="002763EA"/>
    <w:rsid w:val="002764A4"/>
    <w:rsid w:val="0027662B"/>
    <w:rsid w:val="002766C7"/>
    <w:rsid w:val="002802E9"/>
    <w:rsid w:val="002802F5"/>
    <w:rsid w:val="00280380"/>
    <w:rsid w:val="002804FB"/>
    <w:rsid w:val="00280862"/>
    <w:rsid w:val="0028097E"/>
    <w:rsid w:val="00280C3C"/>
    <w:rsid w:val="00281228"/>
    <w:rsid w:val="002812C0"/>
    <w:rsid w:val="00281F30"/>
    <w:rsid w:val="00281FAD"/>
    <w:rsid w:val="00282534"/>
    <w:rsid w:val="00282907"/>
    <w:rsid w:val="00282CFE"/>
    <w:rsid w:val="0028341F"/>
    <w:rsid w:val="00283A89"/>
    <w:rsid w:val="00283D10"/>
    <w:rsid w:val="00283E58"/>
    <w:rsid w:val="00284367"/>
    <w:rsid w:val="00284534"/>
    <w:rsid w:val="00284D1E"/>
    <w:rsid w:val="00285282"/>
    <w:rsid w:val="00285284"/>
    <w:rsid w:val="00285B7D"/>
    <w:rsid w:val="00285ED7"/>
    <w:rsid w:val="00285F43"/>
    <w:rsid w:val="0028674E"/>
    <w:rsid w:val="00286779"/>
    <w:rsid w:val="00286A22"/>
    <w:rsid w:val="00286E45"/>
    <w:rsid w:val="00286F4F"/>
    <w:rsid w:val="002871E0"/>
    <w:rsid w:val="00287506"/>
    <w:rsid w:val="00287D2A"/>
    <w:rsid w:val="00287D9B"/>
    <w:rsid w:val="00287DED"/>
    <w:rsid w:val="00287FFA"/>
    <w:rsid w:val="0029053A"/>
    <w:rsid w:val="00290AA9"/>
    <w:rsid w:val="00290D5F"/>
    <w:rsid w:val="00290F0E"/>
    <w:rsid w:val="00290FFD"/>
    <w:rsid w:val="00291054"/>
    <w:rsid w:val="002911A8"/>
    <w:rsid w:val="002912F0"/>
    <w:rsid w:val="002914F5"/>
    <w:rsid w:val="00291567"/>
    <w:rsid w:val="002917C8"/>
    <w:rsid w:val="00291A54"/>
    <w:rsid w:val="00291B96"/>
    <w:rsid w:val="00291BBE"/>
    <w:rsid w:val="0029239F"/>
    <w:rsid w:val="00292409"/>
    <w:rsid w:val="002929C2"/>
    <w:rsid w:val="00292C9D"/>
    <w:rsid w:val="00292F50"/>
    <w:rsid w:val="00293328"/>
    <w:rsid w:val="002939DB"/>
    <w:rsid w:val="00293C61"/>
    <w:rsid w:val="00293CA3"/>
    <w:rsid w:val="00293CE3"/>
    <w:rsid w:val="00293F4E"/>
    <w:rsid w:val="0029429A"/>
    <w:rsid w:val="002954A1"/>
    <w:rsid w:val="00295560"/>
    <w:rsid w:val="002955EE"/>
    <w:rsid w:val="00295A03"/>
    <w:rsid w:val="00295DE0"/>
    <w:rsid w:val="00295ED8"/>
    <w:rsid w:val="00296077"/>
    <w:rsid w:val="00296858"/>
    <w:rsid w:val="00296A50"/>
    <w:rsid w:val="00296C0B"/>
    <w:rsid w:val="00296E36"/>
    <w:rsid w:val="00296F8D"/>
    <w:rsid w:val="00297314"/>
    <w:rsid w:val="002974BF"/>
    <w:rsid w:val="002974FC"/>
    <w:rsid w:val="00297743"/>
    <w:rsid w:val="00297D26"/>
    <w:rsid w:val="002A04D2"/>
    <w:rsid w:val="002A0E29"/>
    <w:rsid w:val="002A1BAA"/>
    <w:rsid w:val="002A1CAD"/>
    <w:rsid w:val="002A1E53"/>
    <w:rsid w:val="002A22A1"/>
    <w:rsid w:val="002A23B1"/>
    <w:rsid w:val="002A2461"/>
    <w:rsid w:val="002A3ABA"/>
    <w:rsid w:val="002A3C82"/>
    <w:rsid w:val="002A3FAE"/>
    <w:rsid w:val="002A44E2"/>
    <w:rsid w:val="002A45D8"/>
    <w:rsid w:val="002A4B57"/>
    <w:rsid w:val="002A4BAA"/>
    <w:rsid w:val="002A5019"/>
    <w:rsid w:val="002A52BF"/>
    <w:rsid w:val="002A5812"/>
    <w:rsid w:val="002A5BD5"/>
    <w:rsid w:val="002A6891"/>
    <w:rsid w:val="002A6BE4"/>
    <w:rsid w:val="002A6D2B"/>
    <w:rsid w:val="002A6FB3"/>
    <w:rsid w:val="002A754C"/>
    <w:rsid w:val="002A76CA"/>
    <w:rsid w:val="002A79B0"/>
    <w:rsid w:val="002B01C7"/>
    <w:rsid w:val="002B0238"/>
    <w:rsid w:val="002B03DA"/>
    <w:rsid w:val="002B0787"/>
    <w:rsid w:val="002B07FC"/>
    <w:rsid w:val="002B10F5"/>
    <w:rsid w:val="002B1B76"/>
    <w:rsid w:val="002B22D7"/>
    <w:rsid w:val="002B2F28"/>
    <w:rsid w:val="002B3110"/>
    <w:rsid w:val="002B3182"/>
    <w:rsid w:val="002B370D"/>
    <w:rsid w:val="002B3BC2"/>
    <w:rsid w:val="002B42B6"/>
    <w:rsid w:val="002B4587"/>
    <w:rsid w:val="002B4D65"/>
    <w:rsid w:val="002B4E14"/>
    <w:rsid w:val="002B54A1"/>
    <w:rsid w:val="002B569C"/>
    <w:rsid w:val="002B5BD6"/>
    <w:rsid w:val="002B5E2B"/>
    <w:rsid w:val="002B68D8"/>
    <w:rsid w:val="002B6B19"/>
    <w:rsid w:val="002B7006"/>
    <w:rsid w:val="002B72A6"/>
    <w:rsid w:val="002B72C2"/>
    <w:rsid w:val="002B74BE"/>
    <w:rsid w:val="002B7ABA"/>
    <w:rsid w:val="002B7D11"/>
    <w:rsid w:val="002B7F7C"/>
    <w:rsid w:val="002B7FA3"/>
    <w:rsid w:val="002C018C"/>
    <w:rsid w:val="002C0372"/>
    <w:rsid w:val="002C04E2"/>
    <w:rsid w:val="002C061B"/>
    <w:rsid w:val="002C0662"/>
    <w:rsid w:val="002C079B"/>
    <w:rsid w:val="002C0800"/>
    <w:rsid w:val="002C09D3"/>
    <w:rsid w:val="002C0AF7"/>
    <w:rsid w:val="002C0FBD"/>
    <w:rsid w:val="002C1254"/>
    <w:rsid w:val="002C1378"/>
    <w:rsid w:val="002C1434"/>
    <w:rsid w:val="002C1A17"/>
    <w:rsid w:val="002C1FF8"/>
    <w:rsid w:val="002C22B6"/>
    <w:rsid w:val="002C247F"/>
    <w:rsid w:val="002C2645"/>
    <w:rsid w:val="002C286E"/>
    <w:rsid w:val="002C2B91"/>
    <w:rsid w:val="002C2D40"/>
    <w:rsid w:val="002C2E82"/>
    <w:rsid w:val="002C3590"/>
    <w:rsid w:val="002C362D"/>
    <w:rsid w:val="002C392F"/>
    <w:rsid w:val="002C3953"/>
    <w:rsid w:val="002C3AF2"/>
    <w:rsid w:val="002C3C4A"/>
    <w:rsid w:val="002C3DC8"/>
    <w:rsid w:val="002C4078"/>
    <w:rsid w:val="002C4414"/>
    <w:rsid w:val="002C4DD6"/>
    <w:rsid w:val="002C509A"/>
    <w:rsid w:val="002C5BBA"/>
    <w:rsid w:val="002C5D62"/>
    <w:rsid w:val="002C6034"/>
    <w:rsid w:val="002C6318"/>
    <w:rsid w:val="002C6379"/>
    <w:rsid w:val="002C6675"/>
    <w:rsid w:val="002C671F"/>
    <w:rsid w:val="002C69D9"/>
    <w:rsid w:val="002C7090"/>
    <w:rsid w:val="002C7649"/>
    <w:rsid w:val="002C774A"/>
    <w:rsid w:val="002C7AAB"/>
    <w:rsid w:val="002C7CE2"/>
    <w:rsid w:val="002D06D6"/>
    <w:rsid w:val="002D078F"/>
    <w:rsid w:val="002D09A5"/>
    <w:rsid w:val="002D0F57"/>
    <w:rsid w:val="002D1070"/>
    <w:rsid w:val="002D15A9"/>
    <w:rsid w:val="002D1668"/>
    <w:rsid w:val="002D16FF"/>
    <w:rsid w:val="002D17AB"/>
    <w:rsid w:val="002D1D6E"/>
    <w:rsid w:val="002D1FA1"/>
    <w:rsid w:val="002D2279"/>
    <w:rsid w:val="002D2519"/>
    <w:rsid w:val="002D255C"/>
    <w:rsid w:val="002D2BF8"/>
    <w:rsid w:val="002D2EE5"/>
    <w:rsid w:val="002D2F94"/>
    <w:rsid w:val="002D3041"/>
    <w:rsid w:val="002D30DD"/>
    <w:rsid w:val="002D3399"/>
    <w:rsid w:val="002D3727"/>
    <w:rsid w:val="002D3E13"/>
    <w:rsid w:val="002D42C3"/>
    <w:rsid w:val="002D43A5"/>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38"/>
    <w:rsid w:val="002D727A"/>
    <w:rsid w:val="002D72CC"/>
    <w:rsid w:val="002D74CF"/>
    <w:rsid w:val="002E02E8"/>
    <w:rsid w:val="002E0347"/>
    <w:rsid w:val="002E093C"/>
    <w:rsid w:val="002E16C0"/>
    <w:rsid w:val="002E1B11"/>
    <w:rsid w:val="002E210F"/>
    <w:rsid w:val="002E235D"/>
    <w:rsid w:val="002E2C4F"/>
    <w:rsid w:val="002E311B"/>
    <w:rsid w:val="002E37A9"/>
    <w:rsid w:val="002E37FA"/>
    <w:rsid w:val="002E3A27"/>
    <w:rsid w:val="002E3B5F"/>
    <w:rsid w:val="002E3EBE"/>
    <w:rsid w:val="002E42FD"/>
    <w:rsid w:val="002E4D1F"/>
    <w:rsid w:val="002E508A"/>
    <w:rsid w:val="002E56EC"/>
    <w:rsid w:val="002E5771"/>
    <w:rsid w:val="002E5874"/>
    <w:rsid w:val="002E5A80"/>
    <w:rsid w:val="002E5B8B"/>
    <w:rsid w:val="002E5DDA"/>
    <w:rsid w:val="002E5DE9"/>
    <w:rsid w:val="002E6F39"/>
    <w:rsid w:val="002E7578"/>
    <w:rsid w:val="002E76E2"/>
    <w:rsid w:val="002E76E7"/>
    <w:rsid w:val="002E78FC"/>
    <w:rsid w:val="002E79C0"/>
    <w:rsid w:val="002E7BFF"/>
    <w:rsid w:val="002E7D5F"/>
    <w:rsid w:val="002F052A"/>
    <w:rsid w:val="002F0C1F"/>
    <w:rsid w:val="002F0D03"/>
    <w:rsid w:val="002F0E11"/>
    <w:rsid w:val="002F1255"/>
    <w:rsid w:val="002F137A"/>
    <w:rsid w:val="002F170A"/>
    <w:rsid w:val="002F1CC2"/>
    <w:rsid w:val="002F1DC3"/>
    <w:rsid w:val="002F214C"/>
    <w:rsid w:val="002F22CC"/>
    <w:rsid w:val="002F2782"/>
    <w:rsid w:val="002F2787"/>
    <w:rsid w:val="002F2C30"/>
    <w:rsid w:val="002F2D1C"/>
    <w:rsid w:val="002F3228"/>
    <w:rsid w:val="002F3961"/>
    <w:rsid w:val="002F4476"/>
    <w:rsid w:val="002F4525"/>
    <w:rsid w:val="002F48D6"/>
    <w:rsid w:val="002F4942"/>
    <w:rsid w:val="002F4C5D"/>
    <w:rsid w:val="002F4CC1"/>
    <w:rsid w:val="002F4CCB"/>
    <w:rsid w:val="002F5129"/>
    <w:rsid w:val="002F5E47"/>
    <w:rsid w:val="002F5FED"/>
    <w:rsid w:val="002F6171"/>
    <w:rsid w:val="002F6278"/>
    <w:rsid w:val="002F6737"/>
    <w:rsid w:val="002F73AF"/>
    <w:rsid w:val="002F7746"/>
    <w:rsid w:val="002F776A"/>
    <w:rsid w:val="002F7BE9"/>
    <w:rsid w:val="00300156"/>
    <w:rsid w:val="0030043B"/>
    <w:rsid w:val="00300765"/>
    <w:rsid w:val="00300C5D"/>
    <w:rsid w:val="0030106E"/>
    <w:rsid w:val="00301223"/>
    <w:rsid w:val="00301957"/>
    <w:rsid w:val="00302017"/>
    <w:rsid w:val="00302345"/>
    <w:rsid w:val="00302675"/>
    <w:rsid w:val="00302D66"/>
    <w:rsid w:val="0030334C"/>
    <w:rsid w:val="00303392"/>
    <w:rsid w:val="003036EA"/>
    <w:rsid w:val="003039E6"/>
    <w:rsid w:val="00303C80"/>
    <w:rsid w:val="0030481A"/>
    <w:rsid w:val="003049D6"/>
    <w:rsid w:val="003049E1"/>
    <w:rsid w:val="00304D2C"/>
    <w:rsid w:val="00304E2C"/>
    <w:rsid w:val="0030542F"/>
    <w:rsid w:val="0030555E"/>
    <w:rsid w:val="00305899"/>
    <w:rsid w:val="0030593D"/>
    <w:rsid w:val="00305A1A"/>
    <w:rsid w:val="003060B9"/>
    <w:rsid w:val="00306252"/>
    <w:rsid w:val="00306521"/>
    <w:rsid w:val="0030680B"/>
    <w:rsid w:val="00306BAC"/>
    <w:rsid w:val="0030715D"/>
    <w:rsid w:val="003076DA"/>
    <w:rsid w:val="00307C54"/>
    <w:rsid w:val="00307C82"/>
    <w:rsid w:val="00310151"/>
    <w:rsid w:val="0031039C"/>
    <w:rsid w:val="00310B79"/>
    <w:rsid w:val="00310DCE"/>
    <w:rsid w:val="00310E58"/>
    <w:rsid w:val="003113B7"/>
    <w:rsid w:val="003113D3"/>
    <w:rsid w:val="0031142E"/>
    <w:rsid w:val="00311614"/>
    <w:rsid w:val="00311BD8"/>
    <w:rsid w:val="00311D0C"/>
    <w:rsid w:val="00312001"/>
    <w:rsid w:val="0031203F"/>
    <w:rsid w:val="003123AA"/>
    <w:rsid w:val="0031256E"/>
    <w:rsid w:val="003132D7"/>
    <w:rsid w:val="00313649"/>
    <w:rsid w:val="003136E4"/>
    <w:rsid w:val="00314056"/>
    <w:rsid w:val="003145CD"/>
    <w:rsid w:val="00314632"/>
    <w:rsid w:val="00314644"/>
    <w:rsid w:val="00314D4D"/>
    <w:rsid w:val="00314F85"/>
    <w:rsid w:val="00315119"/>
    <w:rsid w:val="003154CD"/>
    <w:rsid w:val="00315D43"/>
    <w:rsid w:val="00315E73"/>
    <w:rsid w:val="00316464"/>
    <w:rsid w:val="00316C69"/>
    <w:rsid w:val="003175CB"/>
    <w:rsid w:val="003178FD"/>
    <w:rsid w:val="00317AF2"/>
    <w:rsid w:val="00317BD7"/>
    <w:rsid w:val="00317DEF"/>
    <w:rsid w:val="00317F6E"/>
    <w:rsid w:val="00320551"/>
    <w:rsid w:val="0032067E"/>
    <w:rsid w:val="0032084E"/>
    <w:rsid w:val="00320AEF"/>
    <w:rsid w:val="00320AF3"/>
    <w:rsid w:val="00320CAE"/>
    <w:rsid w:val="00320E2B"/>
    <w:rsid w:val="003212D2"/>
    <w:rsid w:val="003212F5"/>
    <w:rsid w:val="003219A5"/>
    <w:rsid w:val="00321CC1"/>
    <w:rsid w:val="00321D1B"/>
    <w:rsid w:val="003220D6"/>
    <w:rsid w:val="003222E4"/>
    <w:rsid w:val="00322A67"/>
    <w:rsid w:val="00322BF3"/>
    <w:rsid w:val="00322D06"/>
    <w:rsid w:val="00323092"/>
    <w:rsid w:val="00323152"/>
    <w:rsid w:val="00323922"/>
    <w:rsid w:val="003239A5"/>
    <w:rsid w:val="00323D47"/>
    <w:rsid w:val="00323F11"/>
    <w:rsid w:val="0032441E"/>
    <w:rsid w:val="00324CBC"/>
    <w:rsid w:val="003250A8"/>
    <w:rsid w:val="003257CB"/>
    <w:rsid w:val="00325E81"/>
    <w:rsid w:val="0032602D"/>
    <w:rsid w:val="003261E7"/>
    <w:rsid w:val="003262E2"/>
    <w:rsid w:val="003265E8"/>
    <w:rsid w:val="003266C9"/>
    <w:rsid w:val="00326D1B"/>
    <w:rsid w:val="00327025"/>
    <w:rsid w:val="00327122"/>
    <w:rsid w:val="00327290"/>
    <w:rsid w:val="0032781A"/>
    <w:rsid w:val="003278F0"/>
    <w:rsid w:val="00327F5E"/>
    <w:rsid w:val="003302F1"/>
    <w:rsid w:val="0033077D"/>
    <w:rsid w:val="00330F36"/>
    <w:rsid w:val="003315AE"/>
    <w:rsid w:val="003316B7"/>
    <w:rsid w:val="00331999"/>
    <w:rsid w:val="003324D7"/>
    <w:rsid w:val="00332C58"/>
    <w:rsid w:val="00332DB3"/>
    <w:rsid w:val="00332E1D"/>
    <w:rsid w:val="003331A8"/>
    <w:rsid w:val="0033325C"/>
    <w:rsid w:val="00333502"/>
    <w:rsid w:val="0033364B"/>
    <w:rsid w:val="00333823"/>
    <w:rsid w:val="003339EC"/>
    <w:rsid w:val="00333CF2"/>
    <w:rsid w:val="00333FCF"/>
    <w:rsid w:val="00334844"/>
    <w:rsid w:val="00334C07"/>
    <w:rsid w:val="003350D4"/>
    <w:rsid w:val="003359D0"/>
    <w:rsid w:val="00335D9C"/>
    <w:rsid w:val="00335FD9"/>
    <w:rsid w:val="003364B0"/>
    <w:rsid w:val="00336A20"/>
    <w:rsid w:val="00337044"/>
    <w:rsid w:val="0033752C"/>
    <w:rsid w:val="003376FD"/>
    <w:rsid w:val="0033790D"/>
    <w:rsid w:val="00337F9C"/>
    <w:rsid w:val="00340146"/>
    <w:rsid w:val="0034028C"/>
    <w:rsid w:val="003404E8"/>
    <w:rsid w:val="00341731"/>
    <w:rsid w:val="003417BB"/>
    <w:rsid w:val="00341C40"/>
    <w:rsid w:val="0034291E"/>
    <w:rsid w:val="00342C19"/>
    <w:rsid w:val="00343224"/>
    <w:rsid w:val="00343CCE"/>
    <w:rsid w:val="00343F46"/>
    <w:rsid w:val="0034455F"/>
    <w:rsid w:val="0034467F"/>
    <w:rsid w:val="00344855"/>
    <w:rsid w:val="00344DB8"/>
    <w:rsid w:val="00344DE1"/>
    <w:rsid w:val="00344E46"/>
    <w:rsid w:val="00344ECB"/>
    <w:rsid w:val="0034521D"/>
    <w:rsid w:val="00345288"/>
    <w:rsid w:val="003453CD"/>
    <w:rsid w:val="00345987"/>
    <w:rsid w:val="00345B00"/>
    <w:rsid w:val="00345EBD"/>
    <w:rsid w:val="0034602B"/>
    <w:rsid w:val="003461B2"/>
    <w:rsid w:val="00346933"/>
    <w:rsid w:val="00346C9B"/>
    <w:rsid w:val="00346CFA"/>
    <w:rsid w:val="00346FCB"/>
    <w:rsid w:val="0034702A"/>
    <w:rsid w:val="00347253"/>
    <w:rsid w:val="00347B40"/>
    <w:rsid w:val="00347B6D"/>
    <w:rsid w:val="00350BB9"/>
    <w:rsid w:val="00350C3D"/>
    <w:rsid w:val="0035104A"/>
    <w:rsid w:val="00351265"/>
    <w:rsid w:val="0035183E"/>
    <w:rsid w:val="00351B3E"/>
    <w:rsid w:val="00351BC6"/>
    <w:rsid w:val="00351CF0"/>
    <w:rsid w:val="003520BA"/>
    <w:rsid w:val="00352B87"/>
    <w:rsid w:val="00352C3E"/>
    <w:rsid w:val="00353007"/>
    <w:rsid w:val="00353048"/>
    <w:rsid w:val="0035343E"/>
    <w:rsid w:val="0035372B"/>
    <w:rsid w:val="003538E6"/>
    <w:rsid w:val="00353921"/>
    <w:rsid w:val="0035435C"/>
    <w:rsid w:val="003543CC"/>
    <w:rsid w:val="00354550"/>
    <w:rsid w:val="00354C81"/>
    <w:rsid w:val="0035505D"/>
    <w:rsid w:val="00355836"/>
    <w:rsid w:val="00355BC7"/>
    <w:rsid w:val="00355EDA"/>
    <w:rsid w:val="0035603E"/>
    <w:rsid w:val="00356C87"/>
    <w:rsid w:val="00356E8A"/>
    <w:rsid w:val="00357352"/>
    <w:rsid w:val="00357479"/>
    <w:rsid w:val="00357CD0"/>
    <w:rsid w:val="003600E6"/>
    <w:rsid w:val="003604BD"/>
    <w:rsid w:val="00360583"/>
    <w:rsid w:val="003605AC"/>
    <w:rsid w:val="00360649"/>
    <w:rsid w:val="00360E25"/>
    <w:rsid w:val="00360F55"/>
    <w:rsid w:val="003611D5"/>
    <w:rsid w:val="0036154D"/>
    <w:rsid w:val="003617CD"/>
    <w:rsid w:val="00361918"/>
    <w:rsid w:val="00361A29"/>
    <w:rsid w:val="00361C59"/>
    <w:rsid w:val="00361CB8"/>
    <w:rsid w:val="00361E49"/>
    <w:rsid w:val="00361E8B"/>
    <w:rsid w:val="00361F71"/>
    <w:rsid w:val="00361F7A"/>
    <w:rsid w:val="003626FA"/>
    <w:rsid w:val="0036283C"/>
    <w:rsid w:val="00363552"/>
    <w:rsid w:val="00363A13"/>
    <w:rsid w:val="00363D6C"/>
    <w:rsid w:val="003641C6"/>
    <w:rsid w:val="003647DD"/>
    <w:rsid w:val="00365139"/>
    <w:rsid w:val="003651A0"/>
    <w:rsid w:val="00365689"/>
    <w:rsid w:val="0036569E"/>
    <w:rsid w:val="00365D57"/>
    <w:rsid w:val="00366435"/>
    <w:rsid w:val="00366A58"/>
    <w:rsid w:val="0036738D"/>
    <w:rsid w:val="003676FB"/>
    <w:rsid w:val="00367BF2"/>
    <w:rsid w:val="00367E11"/>
    <w:rsid w:val="00367FB8"/>
    <w:rsid w:val="00370D82"/>
    <w:rsid w:val="003711AF"/>
    <w:rsid w:val="003713A2"/>
    <w:rsid w:val="00371656"/>
    <w:rsid w:val="00371666"/>
    <w:rsid w:val="003716DB"/>
    <w:rsid w:val="003719AD"/>
    <w:rsid w:val="003719D6"/>
    <w:rsid w:val="00371CF2"/>
    <w:rsid w:val="003727C0"/>
    <w:rsid w:val="003727D1"/>
    <w:rsid w:val="003727F5"/>
    <w:rsid w:val="00372BF3"/>
    <w:rsid w:val="00372D72"/>
    <w:rsid w:val="003731FE"/>
    <w:rsid w:val="003732A2"/>
    <w:rsid w:val="003735F6"/>
    <w:rsid w:val="0037397C"/>
    <w:rsid w:val="00373CED"/>
    <w:rsid w:val="00373D58"/>
    <w:rsid w:val="00373EFB"/>
    <w:rsid w:val="00374478"/>
    <w:rsid w:val="003750A0"/>
    <w:rsid w:val="003751B0"/>
    <w:rsid w:val="00375292"/>
    <w:rsid w:val="0037540A"/>
    <w:rsid w:val="00375ABD"/>
    <w:rsid w:val="003766FD"/>
    <w:rsid w:val="00376F95"/>
    <w:rsid w:val="0037711F"/>
    <w:rsid w:val="003771A5"/>
    <w:rsid w:val="00377325"/>
    <w:rsid w:val="00377417"/>
    <w:rsid w:val="0037741D"/>
    <w:rsid w:val="00377724"/>
    <w:rsid w:val="00377A27"/>
    <w:rsid w:val="00377AC1"/>
    <w:rsid w:val="00377CDF"/>
    <w:rsid w:val="00377E92"/>
    <w:rsid w:val="003817C3"/>
    <w:rsid w:val="00381CCA"/>
    <w:rsid w:val="00382437"/>
    <w:rsid w:val="00382699"/>
    <w:rsid w:val="0038292E"/>
    <w:rsid w:val="00382C54"/>
    <w:rsid w:val="00382F03"/>
    <w:rsid w:val="0038335C"/>
    <w:rsid w:val="003835FA"/>
    <w:rsid w:val="00383DC5"/>
    <w:rsid w:val="00384268"/>
    <w:rsid w:val="003843F4"/>
    <w:rsid w:val="00384CFE"/>
    <w:rsid w:val="00384ED2"/>
    <w:rsid w:val="00385516"/>
    <w:rsid w:val="003858AD"/>
    <w:rsid w:val="0038672E"/>
    <w:rsid w:val="0038687D"/>
    <w:rsid w:val="00386944"/>
    <w:rsid w:val="00386C50"/>
    <w:rsid w:val="00386D1C"/>
    <w:rsid w:val="00386DF8"/>
    <w:rsid w:val="00386E0C"/>
    <w:rsid w:val="003870EF"/>
    <w:rsid w:val="003874FC"/>
    <w:rsid w:val="0038772F"/>
    <w:rsid w:val="00387757"/>
    <w:rsid w:val="003877CD"/>
    <w:rsid w:val="00387E05"/>
    <w:rsid w:val="00387EC7"/>
    <w:rsid w:val="00387FBA"/>
    <w:rsid w:val="003900A6"/>
    <w:rsid w:val="003903BF"/>
    <w:rsid w:val="00390C9F"/>
    <w:rsid w:val="00390D20"/>
    <w:rsid w:val="003918F5"/>
    <w:rsid w:val="003919B8"/>
    <w:rsid w:val="00391D58"/>
    <w:rsid w:val="00392313"/>
    <w:rsid w:val="0039316C"/>
    <w:rsid w:val="00393348"/>
    <w:rsid w:val="003937D2"/>
    <w:rsid w:val="00393815"/>
    <w:rsid w:val="003938F6"/>
    <w:rsid w:val="00393E11"/>
    <w:rsid w:val="003940C5"/>
    <w:rsid w:val="00394D0C"/>
    <w:rsid w:val="00394E6C"/>
    <w:rsid w:val="0039511F"/>
    <w:rsid w:val="0039529D"/>
    <w:rsid w:val="00395308"/>
    <w:rsid w:val="00395898"/>
    <w:rsid w:val="003959CC"/>
    <w:rsid w:val="00395D00"/>
    <w:rsid w:val="00395EE4"/>
    <w:rsid w:val="003968D2"/>
    <w:rsid w:val="003968FC"/>
    <w:rsid w:val="00396C26"/>
    <w:rsid w:val="00397098"/>
    <w:rsid w:val="0039790C"/>
    <w:rsid w:val="00397A79"/>
    <w:rsid w:val="00397C67"/>
    <w:rsid w:val="00397ECA"/>
    <w:rsid w:val="003A064F"/>
    <w:rsid w:val="003A07BC"/>
    <w:rsid w:val="003A0B7F"/>
    <w:rsid w:val="003A0EBB"/>
    <w:rsid w:val="003A1B3F"/>
    <w:rsid w:val="003A1BD2"/>
    <w:rsid w:val="003A1DA5"/>
    <w:rsid w:val="003A2B9E"/>
    <w:rsid w:val="003A2CC1"/>
    <w:rsid w:val="003A372C"/>
    <w:rsid w:val="003A375E"/>
    <w:rsid w:val="003A399C"/>
    <w:rsid w:val="003A402D"/>
    <w:rsid w:val="003A40C2"/>
    <w:rsid w:val="003A419A"/>
    <w:rsid w:val="003A436B"/>
    <w:rsid w:val="003A489C"/>
    <w:rsid w:val="003A48A9"/>
    <w:rsid w:val="003A4C0B"/>
    <w:rsid w:val="003A4F65"/>
    <w:rsid w:val="003A5013"/>
    <w:rsid w:val="003A5188"/>
    <w:rsid w:val="003A52C7"/>
    <w:rsid w:val="003A5312"/>
    <w:rsid w:val="003A571D"/>
    <w:rsid w:val="003A5AF4"/>
    <w:rsid w:val="003A603C"/>
    <w:rsid w:val="003A64D1"/>
    <w:rsid w:val="003A6E97"/>
    <w:rsid w:val="003A6FB8"/>
    <w:rsid w:val="003A6FE8"/>
    <w:rsid w:val="003A7426"/>
    <w:rsid w:val="003A75D8"/>
    <w:rsid w:val="003A767C"/>
    <w:rsid w:val="003A77EC"/>
    <w:rsid w:val="003A787B"/>
    <w:rsid w:val="003A7A33"/>
    <w:rsid w:val="003A7AD4"/>
    <w:rsid w:val="003A7EBD"/>
    <w:rsid w:val="003B04F1"/>
    <w:rsid w:val="003B0604"/>
    <w:rsid w:val="003B0679"/>
    <w:rsid w:val="003B0AA5"/>
    <w:rsid w:val="003B10B8"/>
    <w:rsid w:val="003B16EF"/>
    <w:rsid w:val="003B1813"/>
    <w:rsid w:val="003B1B84"/>
    <w:rsid w:val="003B1D53"/>
    <w:rsid w:val="003B2A5E"/>
    <w:rsid w:val="003B2BE6"/>
    <w:rsid w:val="003B2CC2"/>
    <w:rsid w:val="003B2EEB"/>
    <w:rsid w:val="003B2F65"/>
    <w:rsid w:val="003B35E6"/>
    <w:rsid w:val="003B361E"/>
    <w:rsid w:val="003B3977"/>
    <w:rsid w:val="003B3CE5"/>
    <w:rsid w:val="003B3DEA"/>
    <w:rsid w:val="003B3EC4"/>
    <w:rsid w:val="003B4058"/>
    <w:rsid w:val="003B4706"/>
    <w:rsid w:val="003B48CB"/>
    <w:rsid w:val="003B50F7"/>
    <w:rsid w:val="003B5945"/>
    <w:rsid w:val="003B5A4E"/>
    <w:rsid w:val="003B6223"/>
    <w:rsid w:val="003B62CD"/>
    <w:rsid w:val="003B6572"/>
    <w:rsid w:val="003B6CAC"/>
    <w:rsid w:val="003B6CEE"/>
    <w:rsid w:val="003B6D43"/>
    <w:rsid w:val="003B6D8C"/>
    <w:rsid w:val="003B6E69"/>
    <w:rsid w:val="003B706F"/>
    <w:rsid w:val="003B735D"/>
    <w:rsid w:val="003B74B1"/>
    <w:rsid w:val="003B76AB"/>
    <w:rsid w:val="003B7970"/>
    <w:rsid w:val="003B7E81"/>
    <w:rsid w:val="003C0242"/>
    <w:rsid w:val="003C031E"/>
    <w:rsid w:val="003C0C68"/>
    <w:rsid w:val="003C0EFA"/>
    <w:rsid w:val="003C0FE1"/>
    <w:rsid w:val="003C1085"/>
    <w:rsid w:val="003C14B1"/>
    <w:rsid w:val="003C2E67"/>
    <w:rsid w:val="003C3236"/>
    <w:rsid w:val="003C3267"/>
    <w:rsid w:val="003C38B5"/>
    <w:rsid w:val="003C39CD"/>
    <w:rsid w:val="003C3D71"/>
    <w:rsid w:val="003C3E28"/>
    <w:rsid w:val="003C3ECB"/>
    <w:rsid w:val="003C3F11"/>
    <w:rsid w:val="003C4058"/>
    <w:rsid w:val="003C478D"/>
    <w:rsid w:val="003C5004"/>
    <w:rsid w:val="003C5322"/>
    <w:rsid w:val="003C5336"/>
    <w:rsid w:val="003C5344"/>
    <w:rsid w:val="003C570C"/>
    <w:rsid w:val="003C59EC"/>
    <w:rsid w:val="003C5BEA"/>
    <w:rsid w:val="003C6257"/>
    <w:rsid w:val="003C671F"/>
    <w:rsid w:val="003C6907"/>
    <w:rsid w:val="003C6C68"/>
    <w:rsid w:val="003C71FE"/>
    <w:rsid w:val="003C7764"/>
    <w:rsid w:val="003C7794"/>
    <w:rsid w:val="003C7ED7"/>
    <w:rsid w:val="003D0A0C"/>
    <w:rsid w:val="003D19EF"/>
    <w:rsid w:val="003D2438"/>
    <w:rsid w:val="003D24CC"/>
    <w:rsid w:val="003D25F9"/>
    <w:rsid w:val="003D262F"/>
    <w:rsid w:val="003D2926"/>
    <w:rsid w:val="003D2B01"/>
    <w:rsid w:val="003D3665"/>
    <w:rsid w:val="003D3672"/>
    <w:rsid w:val="003D36FE"/>
    <w:rsid w:val="003D38F7"/>
    <w:rsid w:val="003D3B4F"/>
    <w:rsid w:val="003D3BBE"/>
    <w:rsid w:val="003D40AE"/>
    <w:rsid w:val="003D4221"/>
    <w:rsid w:val="003D449E"/>
    <w:rsid w:val="003D45F8"/>
    <w:rsid w:val="003D485D"/>
    <w:rsid w:val="003D4C51"/>
    <w:rsid w:val="003D4E63"/>
    <w:rsid w:val="003D5423"/>
    <w:rsid w:val="003D5735"/>
    <w:rsid w:val="003D5B2D"/>
    <w:rsid w:val="003D6067"/>
    <w:rsid w:val="003D68BB"/>
    <w:rsid w:val="003D6E9F"/>
    <w:rsid w:val="003D7269"/>
    <w:rsid w:val="003D7328"/>
    <w:rsid w:val="003D7658"/>
    <w:rsid w:val="003D7850"/>
    <w:rsid w:val="003D7D48"/>
    <w:rsid w:val="003E0316"/>
    <w:rsid w:val="003E1274"/>
    <w:rsid w:val="003E138E"/>
    <w:rsid w:val="003E1398"/>
    <w:rsid w:val="003E16A6"/>
    <w:rsid w:val="003E16E0"/>
    <w:rsid w:val="003E1C53"/>
    <w:rsid w:val="003E20C7"/>
    <w:rsid w:val="003E20E4"/>
    <w:rsid w:val="003E2551"/>
    <w:rsid w:val="003E25D4"/>
    <w:rsid w:val="003E334A"/>
    <w:rsid w:val="003E3B92"/>
    <w:rsid w:val="003E41E1"/>
    <w:rsid w:val="003E466A"/>
    <w:rsid w:val="003E4D60"/>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B85"/>
    <w:rsid w:val="003F0C7C"/>
    <w:rsid w:val="003F0C85"/>
    <w:rsid w:val="003F0E19"/>
    <w:rsid w:val="003F11D3"/>
    <w:rsid w:val="003F1327"/>
    <w:rsid w:val="003F1B04"/>
    <w:rsid w:val="003F1DB6"/>
    <w:rsid w:val="003F23E8"/>
    <w:rsid w:val="003F26A7"/>
    <w:rsid w:val="003F29E3"/>
    <w:rsid w:val="003F2BAF"/>
    <w:rsid w:val="003F2E13"/>
    <w:rsid w:val="003F3219"/>
    <w:rsid w:val="003F331C"/>
    <w:rsid w:val="003F33E9"/>
    <w:rsid w:val="003F34A7"/>
    <w:rsid w:val="003F3801"/>
    <w:rsid w:val="003F3CD7"/>
    <w:rsid w:val="003F3F98"/>
    <w:rsid w:val="003F43E2"/>
    <w:rsid w:val="003F4A71"/>
    <w:rsid w:val="003F4BF9"/>
    <w:rsid w:val="003F51CA"/>
    <w:rsid w:val="003F5318"/>
    <w:rsid w:val="003F5371"/>
    <w:rsid w:val="003F55F1"/>
    <w:rsid w:val="003F56D4"/>
    <w:rsid w:val="003F5A2F"/>
    <w:rsid w:val="003F5B55"/>
    <w:rsid w:val="003F5B94"/>
    <w:rsid w:val="003F63FC"/>
    <w:rsid w:val="003F6648"/>
    <w:rsid w:val="003F6750"/>
    <w:rsid w:val="003F6809"/>
    <w:rsid w:val="003F6C92"/>
    <w:rsid w:val="003F6ED2"/>
    <w:rsid w:val="003F7307"/>
    <w:rsid w:val="003F76BC"/>
    <w:rsid w:val="003F76DC"/>
    <w:rsid w:val="003F7C3A"/>
    <w:rsid w:val="00400744"/>
    <w:rsid w:val="00400A1D"/>
    <w:rsid w:val="00400C31"/>
    <w:rsid w:val="00401756"/>
    <w:rsid w:val="00401C32"/>
    <w:rsid w:val="00403540"/>
    <w:rsid w:val="0040362C"/>
    <w:rsid w:val="00403E6E"/>
    <w:rsid w:val="00404D63"/>
    <w:rsid w:val="004055EF"/>
    <w:rsid w:val="00405E3B"/>
    <w:rsid w:val="00405E94"/>
    <w:rsid w:val="00405FC6"/>
    <w:rsid w:val="004061E9"/>
    <w:rsid w:val="004068FD"/>
    <w:rsid w:val="00406A66"/>
    <w:rsid w:val="00406C3A"/>
    <w:rsid w:val="00406C82"/>
    <w:rsid w:val="00406D9E"/>
    <w:rsid w:val="0040734D"/>
    <w:rsid w:val="004074AB"/>
    <w:rsid w:val="004076D1"/>
    <w:rsid w:val="00407B38"/>
    <w:rsid w:val="0041010F"/>
    <w:rsid w:val="00410DDC"/>
    <w:rsid w:val="00411087"/>
    <w:rsid w:val="004110C1"/>
    <w:rsid w:val="0041126A"/>
    <w:rsid w:val="00412725"/>
    <w:rsid w:val="004127E8"/>
    <w:rsid w:val="004128B8"/>
    <w:rsid w:val="00412A5D"/>
    <w:rsid w:val="00412FDE"/>
    <w:rsid w:val="00413096"/>
    <w:rsid w:val="0041344F"/>
    <w:rsid w:val="00413DAD"/>
    <w:rsid w:val="00413E9E"/>
    <w:rsid w:val="004143FC"/>
    <w:rsid w:val="004145C5"/>
    <w:rsid w:val="00414788"/>
    <w:rsid w:val="00414A8B"/>
    <w:rsid w:val="00414BA2"/>
    <w:rsid w:val="00414CFC"/>
    <w:rsid w:val="00414D76"/>
    <w:rsid w:val="00414E85"/>
    <w:rsid w:val="004152FC"/>
    <w:rsid w:val="004154C1"/>
    <w:rsid w:val="00415DAE"/>
    <w:rsid w:val="004161C9"/>
    <w:rsid w:val="00416625"/>
    <w:rsid w:val="00416BCC"/>
    <w:rsid w:val="00416EA4"/>
    <w:rsid w:val="004174E5"/>
    <w:rsid w:val="00417541"/>
    <w:rsid w:val="00417AD0"/>
    <w:rsid w:val="00417ED9"/>
    <w:rsid w:val="00417FBC"/>
    <w:rsid w:val="0042006C"/>
    <w:rsid w:val="0042035D"/>
    <w:rsid w:val="0042055A"/>
    <w:rsid w:val="004209B9"/>
    <w:rsid w:val="004209DE"/>
    <w:rsid w:val="00421071"/>
    <w:rsid w:val="004211D9"/>
    <w:rsid w:val="00421351"/>
    <w:rsid w:val="004213CE"/>
    <w:rsid w:val="004213DA"/>
    <w:rsid w:val="004213DF"/>
    <w:rsid w:val="00421F83"/>
    <w:rsid w:val="004223DF"/>
    <w:rsid w:val="00422A68"/>
    <w:rsid w:val="00423437"/>
    <w:rsid w:val="0042375E"/>
    <w:rsid w:val="00423C37"/>
    <w:rsid w:val="00423D1D"/>
    <w:rsid w:val="004242F7"/>
    <w:rsid w:val="0042475E"/>
    <w:rsid w:val="00424AB6"/>
    <w:rsid w:val="004256ED"/>
    <w:rsid w:val="0042597B"/>
    <w:rsid w:val="00425BCC"/>
    <w:rsid w:val="00425BDB"/>
    <w:rsid w:val="00425D67"/>
    <w:rsid w:val="00425DD1"/>
    <w:rsid w:val="00425E4D"/>
    <w:rsid w:val="00426BEB"/>
    <w:rsid w:val="00426D46"/>
    <w:rsid w:val="00426D6C"/>
    <w:rsid w:val="00427052"/>
    <w:rsid w:val="004270D3"/>
    <w:rsid w:val="004271F6"/>
    <w:rsid w:val="0042727D"/>
    <w:rsid w:val="004273C7"/>
    <w:rsid w:val="0042745D"/>
    <w:rsid w:val="004275E3"/>
    <w:rsid w:val="00427AEF"/>
    <w:rsid w:val="00427F70"/>
    <w:rsid w:val="00427F81"/>
    <w:rsid w:val="004300E5"/>
    <w:rsid w:val="0043031F"/>
    <w:rsid w:val="00430329"/>
    <w:rsid w:val="0043091F"/>
    <w:rsid w:val="00430AA9"/>
    <w:rsid w:val="00430C29"/>
    <w:rsid w:val="00430C98"/>
    <w:rsid w:val="00430DE8"/>
    <w:rsid w:val="004313E7"/>
    <w:rsid w:val="00431CAB"/>
    <w:rsid w:val="00431D36"/>
    <w:rsid w:val="00431DBA"/>
    <w:rsid w:val="00432AE5"/>
    <w:rsid w:val="00432B0C"/>
    <w:rsid w:val="00432ED1"/>
    <w:rsid w:val="00432F3A"/>
    <w:rsid w:val="00432FD0"/>
    <w:rsid w:val="00433186"/>
    <w:rsid w:val="004339DA"/>
    <w:rsid w:val="00433AAD"/>
    <w:rsid w:val="00433D1F"/>
    <w:rsid w:val="00433D61"/>
    <w:rsid w:val="00433E00"/>
    <w:rsid w:val="00433EA4"/>
    <w:rsid w:val="00434192"/>
    <w:rsid w:val="004347C7"/>
    <w:rsid w:val="004348BC"/>
    <w:rsid w:val="004348BF"/>
    <w:rsid w:val="00434DD2"/>
    <w:rsid w:val="004350E5"/>
    <w:rsid w:val="00435604"/>
    <w:rsid w:val="00435851"/>
    <w:rsid w:val="00435BF4"/>
    <w:rsid w:val="00435FBE"/>
    <w:rsid w:val="00436D8A"/>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3A28"/>
    <w:rsid w:val="00444035"/>
    <w:rsid w:val="0044435E"/>
    <w:rsid w:val="004443B5"/>
    <w:rsid w:val="00444467"/>
    <w:rsid w:val="00444530"/>
    <w:rsid w:val="00444904"/>
    <w:rsid w:val="00444A4F"/>
    <w:rsid w:val="00444D20"/>
    <w:rsid w:val="00444D3E"/>
    <w:rsid w:val="00444F2C"/>
    <w:rsid w:val="0044501F"/>
    <w:rsid w:val="00445B35"/>
    <w:rsid w:val="0044612C"/>
    <w:rsid w:val="004463B0"/>
    <w:rsid w:val="004467E3"/>
    <w:rsid w:val="00446870"/>
    <w:rsid w:val="00446BAC"/>
    <w:rsid w:val="00446DFA"/>
    <w:rsid w:val="00446EAC"/>
    <w:rsid w:val="0044701A"/>
    <w:rsid w:val="004472F1"/>
    <w:rsid w:val="004472FD"/>
    <w:rsid w:val="00447D64"/>
    <w:rsid w:val="00450175"/>
    <w:rsid w:val="004501DC"/>
    <w:rsid w:val="0045021E"/>
    <w:rsid w:val="004507BE"/>
    <w:rsid w:val="004517C8"/>
    <w:rsid w:val="00452261"/>
    <w:rsid w:val="004522B2"/>
    <w:rsid w:val="004522B5"/>
    <w:rsid w:val="0045235D"/>
    <w:rsid w:val="004523F8"/>
    <w:rsid w:val="00452567"/>
    <w:rsid w:val="00452B20"/>
    <w:rsid w:val="0045331B"/>
    <w:rsid w:val="0045364D"/>
    <w:rsid w:val="00453853"/>
    <w:rsid w:val="0045390E"/>
    <w:rsid w:val="00453A22"/>
    <w:rsid w:val="00453C54"/>
    <w:rsid w:val="0045473C"/>
    <w:rsid w:val="0045474F"/>
    <w:rsid w:val="004547B0"/>
    <w:rsid w:val="00454937"/>
    <w:rsid w:val="00454949"/>
    <w:rsid w:val="00454A6C"/>
    <w:rsid w:val="00454B85"/>
    <w:rsid w:val="00454E62"/>
    <w:rsid w:val="0045530A"/>
    <w:rsid w:val="0045545C"/>
    <w:rsid w:val="00455531"/>
    <w:rsid w:val="004555F1"/>
    <w:rsid w:val="00455793"/>
    <w:rsid w:val="004558B4"/>
    <w:rsid w:val="00455CDC"/>
    <w:rsid w:val="00455E86"/>
    <w:rsid w:val="00456168"/>
    <w:rsid w:val="00456D39"/>
    <w:rsid w:val="00456D6A"/>
    <w:rsid w:val="00456E53"/>
    <w:rsid w:val="00456F61"/>
    <w:rsid w:val="00457080"/>
    <w:rsid w:val="0045708E"/>
    <w:rsid w:val="004570C4"/>
    <w:rsid w:val="004572B4"/>
    <w:rsid w:val="00457602"/>
    <w:rsid w:val="00457A4F"/>
    <w:rsid w:val="00457BE7"/>
    <w:rsid w:val="00457C8B"/>
    <w:rsid w:val="004602B6"/>
    <w:rsid w:val="0046087C"/>
    <w:rsid w:val="004608D3"/>
    <w:rsid w:val="004609FD"/>
    <w:rsid w:val="00460F6A"/>
    <w:rsid w:val="004610F7"/>
    <w:rsid w:val="00461668"/>
    <w:rsid w:val="00461E0B"/>
    <w:rsid w:val="00462207"/>
    <w:rsid w:val="004627F9"/>
    <w:rsid w:val="004628E0"/>
    <w:rsid w:val="004630AB"/>
    <w:rsid w:val="004638F8"/>
    <w:rsid w:val="004639CF"/>
    <w:rsid w:val="00463A16"/>
    <w:rsid w:val="00463AF1"/>
    <w:rsid w:val="00463B67"/>
    <w:rsid w:val="00464523"/>
    <w:rsid w:val="004646C3"/>
    <w:rsid w:val="00464A2D"/>
    <w:rsid w:val="00464A61"/>
    <w:rsid w:val="00464C7A"/>
    <w:rsid w:val="00464E39"/>
    <w:rsid w:val="004655E9"/>
    <w:rsid w:val="004657B5"/>
    <w:rsid w:val="00465CA3"/>
    <w:rsid w:val="00465E8A"/>
    <w:rsid w:val="0046640E"/>
    <w:rsid w:val="00466693"/>
    <w:rsid w:val="004666E7"/>
    <w:rsid w:val="004667AE"/>
    <w:rsid w:val="00466C97"/>
    <w:rsid w:val="00467438"/>
    <w:rsid w:val="004701D3"/>
    <w:rsid w:val="00470577"/>
    <w:rsid w:val="00470954"/>
    <w:rsid w:val="004709B2"/>
    <w:rsid w:val="004709B8"/>
    <w:rsid w:val="00470F69"/>
    <w:rsid w:val="00471059"/>
    <w:rsid w:val="00471A1B"/>
    <w:rsid w:val="00471A74"/>
    <w:rsid w:val="00471D06"/>
    <w:rsid w:val="0047237D"/>
    <w:rsid w:val="004724C4"/>
    <w:rsid w:val="0047272A"/>
    <w:rsid w:val="00472D2C"/>
    <w:rsid w:val="00473B1A"/>
    <w:rsid w:val="00474346"/>
    <w:rsid w:val="00474956"/>
    <w:rsid w:val="00474CDD"/>
    <w:rsid w:val="00474D4C"/>
    <w:rsid w:val="00474D87"/>
    <w:rsid w:val="00475349"/>
    <w:rsid w:val="00475857"/>
    <w:rsid w:val="00475B58"/>
    <w:rsid w:val="00475B73"/>
    <w:rsid w:val="00475E79"/>
    <w:rsid w:val="00475F1D"/>
    <w:rsid w:val="00476423"/>
    <w:rsid w:val="004765DF"/>
    <w:rsid w:val="004766C4"/>
    <w:rsid w:val="00476D38"/>
    <w:rsid w:val="004771D3"/>
    <w:rsid w:val="00477413"/>
    <w:rsid w:val="00477683"/>
    <w:rsid w:val="004776D9"/>
    <w:rsid w:val="004779CD"/>
    <w:rsid w:val="00477C2D"/>
    <w:rsid w:val="00477F4D"/>
    <w:rsid w:val="0048053B"/>
    <w:rsid w:val="0048065A"/>
    <w:rsid w:val="004807AE"/>
    <w:rsid w:val="00480B55"/>
    <w:rsid w:val="00480BFA"/>
    <w:rsid w:val="00480C41"/>
    <w:rsid w:val="00480DD5"/>
    <w:rsid w:val="0048152B"/>
    <w:rsid w:val="00481873"/>
    <w:rsid w:val="00481E42"/>
    <w:rsid w:val="00481FB9"/>
    <w:rsid w:val="004825B0"/>
    <w:rsid w:val="00482773"/>
    <w:rsid w:val="00482918"/>
    <w:rsid w:val="00482AA0"/>
    <w:rsid w:val="00482D0D"/>
    <w:rsid w:val="00483752"/>
    <w:rsid w:val="004837A8"/>
    <w:rsid w:val="004838D3"/>
    <w:rsid w:val="00483CBD"/>
    <w:rsid w:val="00483F41"/>
    <w:rsid w:val="00484197"/>
    <w:rsid w:val="00484F97"/>
    <w:rsid w:val="00485DD0"/>
    <w:rsid w:val="00485F31"/>
    <w:rsid w:val="004861EA"/>
    <w:rsid w:val="00486328"/>
    <w:rsid w:val="004866B4"/>
    <w:rsid w:val="00486923"/>
    <w:rsid w:val="004869B7"/>
    <w:rsid w:val="00486D6C"/>
    <w:rsid w:val="00486DF8"/>
    <w:rsid w:val="004877A6"/>
    <w:rsid w:val="00487C92"/>
    <w:rsid w:val="004900BE"/>
    <w:rsid w:val="00490991"/>
    <w:rsid w:val="00490C33"/>
    <w:rsid w:val="00490E27"/>
    <w:rsid w:val="00491267"/>
    <w:rsid w:val="004912B7"/>
    <w:rsid w:val="004913E5"/>
    <w:rsid w:val="004915D5"/>
    <w:rsid w:val="00491ADE"/>
    <w:rsid w:val="00491AF0"/>
    <w:rsid w:val="00491D73"/>
    <w:rsid w:val="00492446"/>
    <w:rsid w:val="00492649"/>
    <w:rsid w:val="004927F0"/>
    <w:rsid w:val="00492A8E"/>
    <w:rsid w:val="00492E2C"/>
    <w:rsid w:val="0049307B"/>
    <w:rsid w:val="00493133"/>
    <w:rsid w:val="0049350A"/>
    <w:rsid w:val="00493624"/>
    <w:rsid w:val="004937DC"/>
    <w:rsid w:val="0049435B"/>
    <w:rsid w:val="00494422"/>
    <w:rsid w:val="004945E1"/>
    <w:rsid w:val="0049485B"/>
    <w:rsid w:val="004949BB"/>
    <w:rsid w:val="00494BFE"/>
    <w:rsid w:val="00494F8B"/>
    <w:rsid w:val="00495205"/>
    <w:rsid w:val="004952B2"/>
    <w:rsid w:val="004953C2"/>
    <w:rsid w:val="00495976"/>
    <w:rsid w:val="00495B41"/>
    <w:rsid w:val="00495D17"/>
    <w:rsid w:val="00496313"/>
    <w:rsid w:val="004964E3"/>
    <w:rsid w:val="004969CE"/>
    <w:rsid w:val="00496B04"/>
    <w:rsid w:val="00496C7C"/>
    <w:rsid w:val="00496D75"/>
    <w:rsid w:val="00496E53"/>
    <w:rsid w:val="00496FAE"/>
    <w:rsid w:val="0049759D"/>
    <w:rsid w:val="004976AE"/>
    <w:rsid w:val="0049776D"/>
    <w:rsid w:val="004977C6"/>
    <w:rsid w:val="00497854"/>
    <w:rsid w:val="004A0233"/>
    <w:rsid w:val="004A0CA0"/>
    <w:rsid w:val="004A10FE"/>
    <w:rsid w:val="004A150D"/>
    <w:rsid w:val="004A1629"/>
    <w:rsid w:val="004A1799"/>
    <w:rsid w:val="004A17F3"/>
    <w:rsid w:val="004A259A"/>
    <w:rsid w:val="004A2673"/>
    <w:rsid w:val="004A2CA4"/>
    <w:rsid w:val="004A2FB5"/>
    <w:rsid w:val="004A3181"/>
    <w:rsid w:val="004A326C"/>
    <w:rsid w:val="004A337B"/>
    <w:rsid w:val="004A3809"/>
    <w:rsid w:val="004A3E5D"/>
    <w:rsid w:val="004A3F5F"/>
    <w:rsid w:val="004A3FF5"/>
    <w:rsid w:val="004A4201"/>
    <w:rsid w:val="004A424A"/>
    <w:rsid w:val="004A45B3"/>
    <w:rsid w:val="004A49D0"/>
    <w:rsid w:val="004A4E75"/>
    <w:rsid w:val="004A4F25"/>
    <w:rsid w:val="004A5340"/>
    <w:rsid w:val="004A5363"/>
    <w:rsid w:val="004A56ED"/>
    <w:rsid w:val="004A5714"/>
    <w:rsid w:val="004A591D"/>
    <w:rsid w:val="004A606C"/>
    <w:rsid w:val="004A6DC4"/>
    <w:rsid w:val="004A736A"/>
    <w:rsid w:val="004B03B6"/>
    <w:rsid w:val="004B13FE"/>
    <w:rsid w:val="004B1B97"/>
    <w:rsid w:val="004B1FE6"/>
    <w:rsid w:val="004B20DD"/>
    <w:rsid w:val="004B2397"/>
    <w:rsid w:val="004B23E0"/>
    <w:rsid w:val="004B2409"/>
    <w:rsid w:val="004B251B"/>
    <w:rsid w:val="004B2580"/>
    <w:rsid w:val="004B296B"/>
    <w:rsid w:val="004B2A91"/>
    <w:rsid w:val="004B2C0B"/>
    <w:rsid w:val="004B3124"/>
    <w:rsid w:val="004B31D0"/>
    <w:rsid w:val="004B3A49"/>
    <w:rsid w:val="004B4069"/>
    <w:rsid w:val="004B4230"/>
    <w:rsid w:val="004B4C55"/>
    <w:rsid w:val="004B4D09"/>
    <w:rsid w:val="004B53E6"/>
    <w:rsid w:val="004B5593"/>
    <w:rsid w:val="004B5AE0"/>
    <w:rsid w:val="004B5C4E"/>
    <w:rsid w:val="004B5D95"/>
    <w:rsid w:val="004B5DC6"/>
    <w:rsid w:val="004B65DA"/>
    <w:rsid w:val="004B6786"/>
    <w:rsid w:val="004B68D8"/>
    <w:rsid w:val="004B6B82"/>
    <w:rsid w:val="004B72E5"/>
    <w:rsid w:val="004B7399"/>
    <w:rsid w:val="004B75A3"/>
    <w:rsid w:val="004B76C2"/>
    <w:rsid w:val="004B7AC0"/>
    <w:rsid w:val="004B7CBD"/>
    <w:rsid w:val="004C002F"/>
    <w:rsid w:val="004C015A"/>
    <w:rsid w:val="004C036D"/>
    <w:rsid w:val="004C066C"/>
    <w:rsid w:val="004C098B"/>
    <w:rsid w:val="004C0A9B"/>
    <w:rsid w:val="004C1A60"/>
    <w:rsid w:val="004C1F91"/>
    <w:rsid w:val="004C21C4"/>
    <w:rsid w:val="004C2AE8"/>
    <w:rsid w:val="004C2D30"/>
    <w:rsid w:val="004C2EA2"/>
    <w:rsid w:val="004C3004"/>
    <w:rsid w:val="004C306C"/>
    <w:rsid w:val="004C31F3"/>
    <w:rsid w:val="004C32EB"/>
    <w:rsid w:val="004C3C89"/>
    <w:rsid w:val="004C3E5F"/>
    <w:rsid w:val="004C3EFA"/>
    <w:rsid w:val="004C40CC"/>
    <w:rsid w:val="004C4168"/>
    <w:rsid w:val="004C4286"/>
    <w:rsid w:val="004C438D"/>
    <w:rsid w:val="004C4549"/>
    <w:rsid w:val="004C473E"/>
    <w:rsid w:val="004C4907"/>
    <w:rsid w:val="004C4EA2"/>
    <w:rsid w:val="004C5163"/>
    <w:rsid w:val="004C54C0"/>
    <w:rsid w:val="004C54D3"/>
    <w:rsid w:val="004C55A1"/>
    <w:rsid w:val="004C5BCD"/>
    <w:rsid w:val="004C6243"/>
    <w:rsid w:val="004C654C"/>
    <w:rsid w:val="004C69F7"/>
    <w:rsid w:val="004C6D16"/>
    <w:rsid w:val="004C6E98"/>
    <w:rsid w:val="004C6F71"/>
    <w:rsid w:val="004C75DA"/>
    <w:rsid w:val="004C78BF"/>
    <w:rsid w:val="004C7A45"/>
    <w:rsid w:val="004C7BBA"/>
    <w:rsid w:val="004D013C"/>
    <w:rsid w:val="004D02BC"/>
    <w:rsid w:val="004D0C46"/>
    <w:rsid w:val="004D1032"/>
    <w:rsid w:val="004D10F7"/>
    <w:rsid w:val="004D11F1"/>
    <w:rsid w:val="004D1467"/>
    <w:rsid w:val="004D18C8"/>
    <w:rsid w:val="004D1A15"/>
    <w:rsid w:val="004D1AD3"/>
    <w:rsid w:val="004D1D7A"/>
    <w:rsid w:val="004D1DB0"/>
    <w:rsid w:val="004D1F2A"/>
    <w:rsid w:val="004D217D"/>
    <w:rsid w:val="004D23F8"/>
    <w:rsid w:val="004D282B"/>
    <w:rsid w:val="004D2ECC"/>
    <w:rsid w:val="004D34E3"/>
    <w:rsid w:val="004D4077"/>
    <w:rsid w:val="004D4207"/>
    <w:rsid w:val="004D45D3"/>
    <w:rsid w:val="004D4B1A"/>
    <w:rsid w:val="004D51FE"/>
    <w:rsid w:val="004D581D"/>
    <w:rsid w:val="004D6300"/>
    <w:rsid w:val="004D6787"/>
    <w:rsid w:val="004D6D69"/>
    <w:rsid w:val="004D7229"/>
    <w:rsid w:val="004D73D2"/>
    <w:rsid w:val="004D7551"/>
    <w:rsid w:val="004D76B4"/>
    <w:rsid w:val="004D77CF"/>
    <w:rsid w:val="004E0261"/>
    <w:rsid w:val="004E03E1"/>
    <w:rsid w:val="004E070F"/>
    <w:rsid w:val="004E0A43"/>
    <w:rsid w:val="004E0B51"/>
    <w:rsid w:val="004E0F3D"/>
    <w:rsid w:val="004E0FBE"/>
    <w:rsid w:val="004E0FF1"/>
    <w:rsid w:val="004E13A2"/>
    <w:rsid w:val="004E17CC"/>
    <w:rsid w:val="004E192C"/>
    <w:rsid w:val="004E2010"/>
    <w:rsid w:val="004E2306"/>
    <w:rsid w:val="004E2BDF"/>
    <w:rsid w:val="004E3753"/>
    <w:rsid w:val="004E3C92"/>
    <w:rsid w:val="004E3DDD"/>
    <w:rsid w:val="004E40AF"/>
    <w:rsid w:val="004E4320"/>
    <w:rsid w:val="004E451E"/>
    <w:rsid w:val="004E4845"/>
    <w:rsid w:val="004E4B29"/>
    <w:rsid w:val="004E4EB8"/>
    <w:rsid w:val="004E507D"/>
    <w:rsid w:val="004E5851"/>
    <w:rsid w:val="004E5CCB"/>
    <w:rsid w:val="004E6072"/>
    <w:rsid w:val="004E6648"/>
    <w:rsid w:val="004E6836"/>
    <w:rsid w:val="004E6C49"/>
    <w:rsid w:val="004E7364"/>
    <w:rsid w:val="004E7752"/>
    <w:rsid w:val="004E7A5B"/>
    <w:rsid w:val="004E7B7C"/>
    <w:rsid w:val="004E7C6A"/>
    <w:rsid w:val="004E7CB4"/>
    <w:rsid w:val="004E7CFE"/>
    <w:rsid w:val="004F0889"/>
    <w:rsid w:val="004F0B10"/>
    <w:rsid w:val="004F0C66"/>
    <w:rsid w:val="004F1063"/>
    <w:rsid w:val="004F111B"/>
    <w:rsid w:val="004F1131"/>
    <w:rsid w:val="004F1797"/>
    <w:rsid w:val="004F1A55"/>
    <w:rsid w:val="004F1BD0"/>
    <w:rsid w:val="004F1CB4"/>
    <w:rsid w:val="004F1FE0"/>
    <w:rsid w:val="004F25F4"/>
    <w:rsid w:val="004F29F2"/>
    <w:rsid w:val="004F2EF2"/>
    <w:rsid w:val="004F3085"/>
    <w:rsid w:val="004F3248"/>
    <w:rsid w:val="004F32CE"/>
    <w:rsid w:val="004F3338"/>
    <w:rsid w:val="004F3626"/>
    <w:rsid w:val="004F45ED"/>
    <w:rsid w:val="004F48E8"/>
    <w:rsid w:val="004F592B"/>
    <w:rsid w:val="004F5A02"/>
    <w:rsid w:val="004F5F62"/>
    <w:rsid w:val="004F6759"/>
    <w:rsid w:val="004F70F0"/>
    <w:rsid w:val="004F72A3"/>
    <w:rsid w:val="004F7427"/>
    <w:rsid w:val="004F748E"/>
    <w:rsid w:val="004F753A"/>
    <w:rsid w:val="004F7635"/>
    <w:rsid w:val="004F7919"/>
    <w:rsid w:val="004F7E8E"/>
    <w:rsid w:val="0050169A"/>
    <w:rsid w:val="00501E9B"/>
    <w:rsid w:val="0050203D"/>
    <w:rsid w:val="005023BB"/>
    <w:rsid w:val="00502B94"/>
    <w:rsid w:val="00502F24"/>
    <w:rsid w:val="005030D4"/>
    <w:rsid w:val="005036A2"/>
    <w:rsid w:val="005038CE"/>
    <w:rsid w:val="00503A05"/>
    <w:rsid w:val="00503AE2"/>
    <w:rsid w:val="00503D93"/>
    <w:rsid w:val="00504E49"/>
    <w:rsid w:val="00505005"/>
    <w:rsid w:val="00505155"/>
    <w:rsid w:val="00505BB2"/>
    <w:rsid w:val="005067E9"/>
    <w:rsid w:val="005069BB"/>
    <w:rsid w:val="00506C7E"/>
    <w:rsid w:val="00506F90"/>
    <w:rsid w:val="0050713F"/>
    <w:rsid w:val="00507252"/>
    <w:rsid w:val="005074C0"/>
    <w:rsid w:val="00507560"/>
    <w:rsid w:val="005076E8"/>
    <w:rsid w:val="005079D8"/>
    <w:rsid w:val="00507D34"/>
    <w:rsid w:val="0051003E"/>
    <w:rsid w:val="005101F5"/>
    <w:rsid w:val="00511013"/>
    <w:rsid w:val="00511187"/>
    <w:rsid w:val="0051128D"/>
    <w:rsid w:val="00511386"/>
    <w:rsid w:val="00511417"/>
    <w:rsid w:val="00511462"/>
    <w:rsid w:val="00511483"/>
    <w:rsid w:val="005115D3"/>
    <w:rsid w:val="00511FD7"/>
    <w:rsid w:val="00512580"/>
    <w:rsid w:val="005126E3"/>
    <w:rsid w:val="00512995"/>
    <w:rsid w:val="00512C7F"/>
    <w:rsid w:val="00512E1C"/>
    <w:rsid w:val="005135F6"/>
    <w:rsid w:val="0051398C"/>
    <w:rsid w:val="00513C97"/>
    <w:rsid w:val="00514035"/>
    <w:rsid w:val="005142C4"/>
    <w:rsid w:val="005146E2"/>
    <w:rsid w:val="00514AA4"/>
    <w:rsid w:val="00514E03"/>
    <w:rsid w:val="005151A4"/>
    <w:rsid w:val="005155B7"/>
    <w:rsid w:val="00515A5C"/>
    <w:rsid w:val="00515AE4"/>
    <w:rsid w:val="00515CA4"/>
    <w:rsid w:val="00515F4F"/>
    <w:rsid w:val="005160CF"/>
    <w:rsid w:val="0051625B"/>
    <w:rsid w:val="00516395"/>
    <w:rsid w:val="0051645C"/>
    <w:rsid w:val="00516625"/>
    <w:rsid w:val="00517503"/>
    <w:rsid w:val="00517D6C"/>
    <w:rsid w:val="00517DB8"/>
    <w:rsid w:val="00517FD2"/>
    <w:rsid w:val="00520063"/>
    <w:rsid w:val="00520069"/>
    <w:rsid w:val="00520A75"/>
    <w:rsid w:val="00520ABF"/>
    <w:rsid w:val="00520B5F"/>
    <w:rsid w:val="00521341"/>
    <w:rsid w:val="00521650"/>
    <w:rsid w:val="0052175E"/>
    <w:rsid w:val="005218CE"/>
    <w:rsid w:val="00521D93"/>
    <w:rsid w:val="00522017"/>
    <w:rsid w:val="005220D2"/>
    <w:rsid w:val="00522396"/>
    <w:rsid w:val="00522400"/>
    <w:rsid w:val="0052244B"/>
    <w:rsid w:val="0052247B"/>
    <w:rsid w:val="00522BC1"/>
    <w:rsid w:val="0052304D"/>
    <w:rsid w:val="00523251"/>
    <w:rsid w:val="00523511"/>
    <w:rsid w:val="00523757"/>
    <w:rsid w:val="005239C2"/>
    <w:rsid w:val="00523E1B"/>
    <w:rsid w:val="00523F7A"/>
    <w:rsid w:val="00524247"/>
    <w:rsid w:val="00524359"/>
    <w:rsid w:val="005245BE"/>
    <w:rsid w:val="00524CBD"/>
    <w:rsid w:val="00524D6F"/>
    <w:rsid w:val="005253BA"/>
    <w:rsid w:val="005255CB"/>
    <w:rsid w:val="00525C40"/>
    <w:rsid w:val="00525CCE"/>
    <w:rsid w:val="00525DB8"/>
    <w:rsid w:val="0052608E"/>
    <w:rsid w:val="00526220"/>
    <w:rsid w:val="005264DA"/>
    <w:rsid w:val="00526A86"/>
    <w:rsid w:val="00526B0A"/>
    <w:rsid w:val="00526CAD"/>
    <w:rsid w:val="00526DD2"/>
    <w:rsid w:val="00526F0E"/>
    <w:rsid w:val="005270AA"/>
    <w:rsid w:val="0052721C"/>
    <w:rsid w:val="0052734B"/>
    <w:rsid w:val="0052758B"/>
    <w:rsid w:val="00527B95"/>
    <w:rsid w:val="00527CF2"/>
    <w:rsid w:val="00527F4E"/>
    <w:rsid w:val="0053013B"/>
    <w:rsid w:val="005308F8"/>
    <w:rsid w:val="00530B12"/>
    <w:rsid w:val="00530EFD"/>
    <w:rsid w:val="005310DF"/>
    <w:rsid w:val="00531245"/>
    <w:rsid w:val="00531496"/>
    <w:rsid w:val="005315BE"/>
    <w:rsid w:val="005317D0"/>
    <w:rsid w:val="00531A76"/>
    <w:rsid w:val="00531A85"/>
    <w:rsid w:val="0053237C"/>
    <w:rsid w:val="00532921"/>
    <w:rsid w:val="00532A0F"/>
    <w:rsid w:val="00532EB8"/>
    <w:rsid w:val="005330B9"/>
    <w:rsid w:val="00533354"/>
    <w:rsid w:val="005337A7"/>
    <w:rsid w:val="00533C6B"/>
    <w:rsid w:val="00533E71"/>
    <w:rsid w:val="00533FBD"/>
    <w:rsid w:val="00534237"/>
    <w:rsid w:val="005342F5"/>
    <w:rsid w:val="0053446A"/>
    <w:rsid w:val="00534632"/>
    <w:rsid w:val="00534FFA"/>
    <w:rsid w:val="0053546D"/>
    <w:rsid w:val="005354A9"/>
    <w:rsid w:val="005357C6"/>
    <w:rsid w:val="00535AC2"/>
    <w:rsid w:val="00536047"/>
    <w:rsid w:val="00536B5C"/>
    <w:rsid w:val="00536D5A"/>
    <w:rsid w:val="00536F33"/>
    <w:rsid w:val="00537131"/>
    <w:rsid w:val="005371F4"/>
    <w:rsid w:val="00537A86"/>
    <w:rsid w:val="00537D44"/>
    <w:rsid w:val="005400F4"/>
    <w:rsid w:val="005402E2"/>
    <w:rsid w:val="0054083E"/>
    <w:rsid w:val="00540C91"/>
    <w:rsid w:val="00540EDF"/>
    <w:rsid w:val="00540FF9"/>
    <w:rsid w:val="0054108D"/>
    <w:rsid w:val="00541419"/>
    <w:rsid w:val="00542117"/>
    <w:rsid w:val="005423AE"/>
    <w:rsid w:val="00542408"/>
    <w:rsid w:val="0054269B"/>
    <w:rsid w:val="0054288C"/>
    <w:rsid w:val="00542986"/>
    <w:rsid w:val="00542B8D"/>
    <w:rsid w:val="00542C1D"/>
    <w:rsid w:val="00542DDE"/>
    <w:rsid w:val="00543212"/>
    <w:rsid w:val="0054367B"/>
    <w:rsid w:val="00543809"/>
    <w:rsid w:val="00543C53"/>
    <w:rsid w:val="00543D28"/>
    <w:rsid w:val="00544B84"/>
    <w:rsid w:val="00544E07"/>
    <w:rsid w:val="00544E14"/>
    <w:rsid w:val="00544F2D"/>
    <w:rsid w:val="005450AA"/>
    <w:rsid w:val="00545115"/>
    <w:rsid w:val="005452F5"/>
    <w:rsid w:val="00545EC5"/>
    <w:rsid w:val="0054670D"/>
    <w:rsid w:val="005471BF"/>
    <w:rsid w:val="00547410"/>
    <w:rsid w:val="0054757E"/>
    <w:rsid w:val="00547AB8"/>
    <w:rsid w:val="0055057F"/>
    <w:rsid w:val="00550604"/>
    <w:rsid w:val="00550B51"/>
    <w:rsid w:val="00550DDE"/>
    <w:rsid w:val="00550E03"/>
    <w:rsid w:val="00551190"/>
    <w:rsid w:val="0055133C"/>
    <w:rsid w:val="005517AC"/>
    <w:rsid w:val="00551B76"/>
    <w:rsid w:val="00551D67"/>
    <w:rsid w:val="00551EFC"/>
    <w:rsid w:val="00552475"/>
    <w:rsid w:val="005525BD"/>
    <w:rsid w:val="0055263E"/>
    <w:rsid w:val="00552959"/>
    <w:rsid w:val="00552D8C"/>
    <w:rsid w:val="00552ED1"/>
    <w:rsid w:val="00552FA4"/>
    <w:rsid w:val="00553B8A"/>
    <w:rsid w:val="00554299"/>
    <w:rsid w:val="00554588"/>
    <w:rsid w:val="0055477E"/>
    <w:rsid w:val="00554C08"/>
    <w:rsid w:val="00554E04"/>
    <w:rsid w:val="00554E32"/>
    <w:rsid w:val="00555520"/>
    <w:rsid w:val="0055594B"/>
    <w:rsid w:val="00555A18"/>
    <w:rsid w:val="00555AAD"/>
    <w:rsid w:val="00555CA9"/>
    <w:rsid w:val="00555DF8"/>
    <w:rsid w:val="00555EDF"/>
    <w:rsid w:val="005561AE"/>
    <w:rsid w:val="005561B1"/>
    <w:rsid w:val="005569B9"/>
    <w:rsid w:val="00556E77"/>
    <w:rsid w:val="00556FD9"/>
    <w:rsid w:val="005572B3"/>
    <w:rsid w:val="005578B5"/>
    <w:rsid w:val="00557929"/>
    <w:rsid w:val="00557B1A"/>
    <w:rsid w:val="00557F17"/>
    <w:rsid w:val="00560099"/>
    <w:rsid w:val="00560352"/>
    <w:rsid w:val="0056088B"/>
    <w:rsid w:val="0056110C"/>
    <w:rsid w:val="005611BD"/>
    <w:rsid w:val="0056138E"/>
    <w:rsid w:val="0056141C"/>
    <w:rsid w:val="00561C0B"/>
    <w:rsid w:val="00562157"/>
    <w:rsid w:val="00562405"/>
    <w:rsid w:val="0056251F"/>
    <w:rsid w:val="0056254F"/>
    <w:rsid w:val="00562AE2"/>
    <w:rsid w:val="00562C30"/>
    <w:rsid w:val="00563A0E"/>
    <w:rsid w:val="00563B6A"/>
    <w:rsid w:val="00563DE6"/>
    <w:rsid w:val="0056487E"/>
    <w:rsid w:val="00564A33"/>
    <w:rsid w:val="00565134"/>
    <w:rsid w:val="0056580C"/>
    <w:rsid w:val="00566422"/>
    <w:rsid w:val="00566D6D"/>
    <w:rsid w:val="00567365"/>
    <w:rsid w:val="00567980"/>
    <w:rsid w:val="00567B60"/>
    <w:rsid w:val="00567BA3"/>
    <w:rsid w:val="00567C5B"/>
    <w:rsid w:val="005704F4"/>
    <w:rsid w:val="005708CE"/>
    <w:rsid w:val="00570B78"/>
    <w:rsid w:val="00570E47"/>
    <w:rsid w:val="00570F99"/>
    <w:rsid w:val="005712F8"/>
    <w:rsid w:val="005715A0"/>
    <w:rsid w:val="0057161A"/>
    <w:rsid w:val="00571930"/>
    <w:rsid w:val="005719E1"/>
    <w:rsid w:val="005719FD"/>
    <w:rsid w:val="00571ABA"/>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54E"/>
    <w:rsid w:val="0057765B"/>
    <w:rsid w:val="00577DD0"/>
    <w:rsid w:val="005800F8"/>
    <w:rsid w:val="005801AA"/>
    <w:rsid w:val="0058026D"/>
    <w:rsid w:val="00580A07"/>
    <w:rsid w:val="0058107E"/>
    <w:rsid w:val="0058156A"/>
    <w:rsid w:val="00581674"/>
    <w:rsid w:val="00581789"/>
    <w:rsid w:val="00581869"/>
    <w:rsid w:val="00581892"/>
    <w:rsid w:val="00581BD2"/>
    <w:rsid w:val="00581E0B"/>
    <w:rsid w:val="00582002"/>
    <w:rsid w:val="00582159"/>
    <w:rsid w:val="00582ADE"/>
    <w:rsid w:val="00583279"/>
    <w:rsid w:val="00583689"/>
    <w:rsid w:val="00583C58"/>
    <w:rsid w:val="00583F38"/>
    <w:rsid w:val="00584050"/>
    <w:rsid w:val="005843D8"/>
    <w:rsid w:val="00584CF3"/>
    <w:rsid w:val="0058501F"/>
    <w:rsid w:val="00585525"/>
    <w:rsid w:val="00585538"/>
    <w:rsid w:val="0058570E"/>
    <w:rsid w:val="0058572E"/>
    <w:rsid w:val="00585AB9"/>
    <w:rsid w:val="005860CF"/>
    <w:rsid w:val="005861E2"/>
    <w:rsid w:val="0058678C"/>
    <w:rsid w:val="00586D72"/>
    <w:rsid w:val="005870E5"/>
    <w:rsid w:val="00590370"/>
    <w:rsid w:val="00590CA8"/>
    <w:rsid w:val="00590E36"/>
    <w:rsid w:val="00590F2D"/>
    <w:rsid w:val="00590F71"/>
    <w:rsid w:val="00591758"/>
    <w:rsid w:val="00591C95"/>
    <w:rsid w:val="00591E35"/>
    <w:rsid w:val="00592518"/>
    <w:rsid w:val="00592632"/>
    <w:rsid w:val="00592A3C"/>
    <w:rsid w:val="005933B5"/>
    <w:rsid w:val="00593540"/>
    <w:rsid w:val="0059358D"/>
    <w:rsid w:val="005936C4"/>
    <w:rsid w:val="00593A6A"/>
    <w:rsid w:val="00593DCE"/>
    <w:rsid w:val="00594149"/>
    <w:rsid w:val="0059477B"/>
    <w:rsid w:val="005948FA"/>
    <w:rsid w:val="00594A39"/>
    <w:rsid w:val="00594F76"/>
    <w:rsid w:val="00595BCD"/>
    <w:rsid w:val="00595F55"/>
    <w:rsid w:val="0059604B"/>
    <w:rsid w:val="00596DF4"/>
    <w:rsid w:val="00597095"/>
    <w:rsid w:val="005974EF"/>
    <w:rsid w:val="00597C10"/>
    <w:rsid w:val="00597ED0"/>
    <w:rsid w:val="00597FBC"/>
    <w:rsid w:val="005A004D"/>
    <w:rsid w:val="005A0825"/>
    <w:rsid w:val="005A119B"/>
    <w:rsid w:val="005A11AC"/>
    <w:rsid w:val="005A12E0"/>
    <w:rsid w:val="005A15BE"/>
    <w:rsid w:val="005A17B8"/>
    <w:rsid w:val="005A1C35"/>
    <w:rsid w:val="005A2001"/>
    <w:rsid w:val="005A239F"/>
    <w:rsid w:val="005A27F0"/>
    <w:rsid w:val="005A2C5F"/>
    <w:rsid w:val="005A2F1F"/>
    <w:rsid w:val="005A34F5"/>
    <w:rsid w:val="005A3C75"/>
    <w:rsid w:val="005A4040"/>
    <w:rsid w:val="005A4223"/>
    <w:rsid w:val="005A452B"/>
    <w:rsid w:val="005A4811"/>
    <w:rsid w:val="005A4B07"/>
    <w:rsid w:val="005A4D7C"/>
    <w:rsid w:val="005A5CFE"/>
    <w:rsid w:val="005A606D"/>
    <w:rsid w:val="005A62BC"/>
    <w:rsid w:val="005A6510"/>
    <w:rsid w:val="005A6F0C"/>
    <w:rsid w:val="005A719F"/>
    <w:rsid w:val="005A7322"/>
    <w:rsid w:val="005A77B0"/>
    <w:rsid w:val="005A7F14"/>
    <w:rsid w:val="005B0443"/>
    <w:rsid w:val="005B0534"/>
    <w:rsid w:val="005B0739"/>
    <w:rsid w:val="005B0828"/>
    <w:rsid w:val="005B0D32"/>
    <w:rsid w:val="005B18D8"/>
    <w:rsid w:val="005B1AA8"/>
    <w:rsid w:val="005B1E1C"/>
    <w:rsid w:val="005B1F6B"/>
    <w:rsid w:val="005B21C3"/>
    <w:rsid w:val="005B25C5"/>
    <w:rsid w:val="005B26A1"/>
    <w:rsid w:val="005B27C2"/>
    <w:rsid w:val="005B2853"/>
    <w:rsid w:val="005B28D8"/>
    <w:rsid w:val="005B2A0E"/>
    <w:rsid w:val="005B2AC9"/>
    <w:rsid w:val="005B2D20"/>
    <w:rsid w:val="005B2F4A"/>
    <w:rsid w:val="005B32B6"/>
    <w:rsid w:val="005B3599"/>
    <w:rsid w:val="005B3B14"/>
    <w:rsid w:val="005B3D0D"/>
    <w:rsid w:val="005B3DC5"/>
    <w:rsid w:val="005B3E37"/>
    <w:rsid w:val="005B3E7D"/>
    <w:rsid w:val="005B41AD"/>
    <w:rsid w:val="005B42B9"/>
    <w:rsid w:val="005B474E"/>
    <w:rsid w:val="005B49D4"/>
    <w:rsid w:val="005B4AB0"/>
    <w:rsid w:val="005B4D3F"/>
    <w:rsid w:val="005B4DD6"/>
    <w:rsid w:val="005B4F43"/>
    <w:rsid w:val="005B5201"/>
    <w:rsid w:val="005B58FA"/>
    <w:rsid w:val="005B5E46"/>
    <w:rsid w:val="005B5FFD"/>
    <w:rsid w:val="005B6313"/>
    <w:rsid w:val="005B64CC"/>
    <w:rsid w:val="005B66AB"/>
    <w:rsid w:val="005B6BC6"/>
    <w:rsid w:val="005B6C5A"/>
    <w:rsid w:val="005B77F0"/>
    <w:rsid w:val="005B787B"/>
    <w:rsid w:val="005B79AB"/>
    <w:rsid w:val="005C03A9"/>
    <w:rsid w:val="005C099C"/>
    <w:rsid w:val="005C0DA7"/>
    <w:rsid w:val="005C10C3"/>
    <w:rsid w:val="005C14E3"/>
    <w:rsid w:val="005C176B"/>
    <w:rsid w:val="005C1F21"/>
    <w:rsid w:val="005C30A5"/>
    <w:rsid w:val="005C3B25"/>
    <w:rsid w:val="005C3B2D"/>
    <w:rsid w:val="005C41EA"/>
    <w:rsid w:val="005C44C7"/>
    <w:rsid w:val="005C5053"/>
    <w:rsid w:val="005C5858"/>
    <w:rsid w:val="005C5ACE"/>
    <w:rsid w:val="005C63F1"/>
    <w:rsid w:val="005C68E9"/>
    <w:rsid w:val="005C6BF8"/>
    <w:rsid w:val="005C6C10"/>
    <w:rsid w:val="005C6F4B"/>
    <w:rsid w:val="005C7002"/>
    <w:rsid w:val="005C76D4"/>
    <w:rsid w:val="005C7706"/>
    <w:rsid w:val="005C775F"/>
    <w:rsid w:val="005C7950"/>
    <w:rsid w:val="005C7953"/>
    <w:rsid w:val="005C7BCD"/>
    <w:rsid w:val="005D025D"/>
    <w:rsid w:val="005D0A36"/>
    <w:rsid w:val="005D0AF6"/>
    <w:rsid w:val="005D0D1A"/>
    <w:rsid w:val="005D0F2E"/>
    <w:rsid w:val="005D13A0"/>
    <w:rsid w:val="005D1D35"/>
    <w:rsid w:val="005D26B8"/>
    <w:rsid w:val="005D2E7F"/>
    <w:rsid w:val="005D3067"/>
    <w:rsid w:val="005D319B"/>
    <w:rsid w:val="005D3331"/>
    <w:rsid w:val="005D3585"/>
    <w:rsid w:val="005D4322"/>
    <w:rsid w:val="005D4773"/>
    <w:rsid w:val="005D4BE7"/>
    <w:rsid w:val="005D50F4"/>
    <w:rsid w:val="005D53FE"/>
    <w:rsid w:val="005D588C"/>
    <w:rsid w:val="005D5BDB"/>
    <w:rsid w:val="005D5CF8"/>
    <w:rsid w:val="005D61CF"/>
    <w:rsid w:val="005D64D0"/>
    <w:rsid w:val="005D65C0"/>
    <w:rsid w:val="005D6647"/>
    <w:rsid w:val="005D670F"/>
    <w:rsid w:val="005D6A67"/>
    <w:rsid w:val="005D6C41"/>
    <w:rsid w:val="005D6D0D"/>
    <w:rsid w:val="005D6D1B"/>
    <w:rsid w:val="005D6DBE"/>
    <w:rsid w:val="005D6EBF"/>
    <w:rsid w:val="005D772C"/>
    <w:rsid w:val="005D785E"/>
    <w:rsid w:val="005D7B0E"/>
    <w:rsid w:val="005D7F89"/>
    <w:rsid w:val="005E022D"/>
    <w:rsid w:val="005E03B6"/>
    <w:rsid w:val="005E0719"/>
    <w:rsid w:val="005E0AB3"/>
    <w:rsid w:val="005E0E54"/>
    <w:rsid w:val="005E1333"/>
    <w:rsid w:val="005E146D"/>
    <w:rsid w:val="005E17E8"/>
    <w:rsid w:val="005E1BF6"/>
    <w:rsid w:val="005E1D55"/>
    <w:rsid w:val="005E2F66"/>
    <w:rsid w:val="005E2FB4"/>
    <w:rsid w:val="005E39C3"/>
    <w:rsid w:val="005E454B"/>
    <w:rsid w:val="005E4BF3"/>
    <w:rsid w:val="005E5171"/>
    <w:rsid w:val="005E555E"/>
    <w:rsid w:val="005E5568"/>
    <w:rsid w:val="005E57A7"/>
    <w:rsid w:val="005E62DB"/>
    <w:rsid w:val="005E63C9"/>
    <w:rsid w:val="005E6942"/>
    <w:rsid w:val="005E6E34"/>
    <w:rsid w:val="005E7267"/>
    <w:rsid w:val="005E72C3"/>
    <w:rsid w:val="005E7759"/>
    <w:rsid w:val="005E78BC"/>
    <w:rsid w:val="005E7D52"/>
    <w:rsid w:val="005E7E1D"/>
    <w:rsid w:val="005F0181"/>
    <w:rsid w:val="005F044F"/>
    <w:rsid w:val="005F0905"/>
    <w:rsid w:val="005F0C54"/>
    <w:rsid w:val="005F0F5F"/>
    <w:rsid w:val="005F1645"/>
    <w:rsid w:val="005F1699"/>
    <w:rsid w:val="005F1E38"/>
    <w:rsid w:val="005F244B"/>
    <w:rsid w:val="005F29F4"/>
    <w:rsid w:val="005F2D82"/>
    <w:rsid w:val="005F2F80"/>
    <w:rsid w:val="005F3224"/>
    <w:rsid w:val="005F39CB"/>
    <w:rsid w:val="005F3C6E"/>
    <w:rsid w:val="005F3D4B"/>
    <w:rsid w:val="005F4541"/>
    <w:rsid w:val="005F4664"/>
    <w:rsid w:val="005F4CDA"/>
    <w:rsid w:val="005F5147"/>
    <w:rsid w:val="005F53C3"/>
    <w:rsid w:val="005F55FC"/>
    <w:rsid w:val="005F5EFB"/>
    <w:rsid w:val="005F60E5"/>
    <w:rsid w:val="005F6664"/>
    <w:rsid w:val="005F66E7"/>
    <w:rsid w:val="005F6DCB"/>
    <w:rsid w:val="005F6E48"/>
    <w:rsid w:val="005F6EA9"/>
    <w:rsid w:val="005F744A"/>
    <w:rsid w:val="005F756D"/>
    <w:rsid w:val="005F7DCF"/>
    <w:rsid w:val="00600338"/>
    <w:rsid w:val="006004C8"/>
    <w:rsid w:val="006006BC"/>
    <w:rsid w:val="0060085C"/>
    <w:rsid w:val="00600E6D"/>
    <w:rsid w:val="00600EE8"/>
    <w:rsid w:val="00600EF0"/>
    <w:rsid w:val="00600EFB"/>
    <w:rsid w:val="0060145B"/>
    <w:rsid w:val="006017D6"/>
    <w:rsid w:val="0060261A"/>
    <w:rsid w:val="0060294B"/>
    <w:rsid w:val="006032E4"/>
    <w:rsid w:val="00603932"/>
    <w:rsid w:val="00603BC9"/>
    <w:rsid w:val="00604030"/>
    <w:rsid w:val="00604377"/>
    <w:rsid w:val="006044A9"/>
    <w:rsid w:val="006044DC"/>
    <w:rsid w:val="00604B8F"/>
    <w:rsid w:val="00604BE2"/>
    <w:rsid w:val="006054AD"/>
    <w:rsid w:val="00605AB0"/>
    <w:rsid w:val="0060625C"/>
    <w:rsid w:val="006064E4"/>
    <w:rsid w:val="006066BB"/>
    <w:rsid w:val="006068F3"/>
    <w:rsid w:val="00606B38"/>
    <w:rsid w:val="00606EA2"/>
    <w:rsid w:val="006070F7"/>
    <w:rsid w:val="006075E7"/>
    <w:rsid w:val="0060785A"/>
    <w:rsid w:val="00607DE5"/>
    <w:rsid w:val="00610C1F"/>
    <w:rsid w:val="006112D0"/>
    <w:rsid w:val="00611EC8"/>
    <w:rsid w:val="0061202A"/>
    <w:rsid w:val="006122D7"/>
    <w:rsid w:val="006123CD"/>
    <w:rsid w:val="00612DFF"/>
    <w:rsid w:val="00612E37"/>
    <w:rsid w:val="00612F2A"/>
    <w:rsid w:val="0061335D"/>
    <w:rsid w:val="006135BF"/>
    <w:rsid w:val="0061361C"/>
    <w:rsid w:val="0061384C"/>
    <w:rsid w:val="0061395C"/>
    <w:rsid w:val="00614076"/>
    <w:rsid w:val="006141A6"/>
    <w:rsid w:val="006143E8"/>
    <w:rsid w:val="00614D4E"/>
    <w:rsid w:val="00615010"/>
    <w:rsid w:val="00615310"/>
    <w:rsid w:val="006157AC"/>
    <w:rsid w:val="006158A2"/>
    <w:rsid w:val="00615CF4"/>
    <w:rsid w:val="00616C29"/>
    <w:rsid w:val="00616F57"/>
    <w:rsid w:val="006174BA"/>
    <w:rsid w:val="006174BB"/>
    <w:rsid w:val="00617857"/>
    <w:rsid w:val="006179A5"/>
    <w:rsid w:val="00617C97"/>
    <w:rsid w:val="00617EE0"/>
    <w:rsid w:val="00620005"/>
    <w:rsid w:val="006201F3"/>
    <w:rsid w:val="00620A2B"/>
    <w:rsid w:val="00620B76"/>
    <w:rsid w:val="00620EA7"/>
    <w:rsid w:val="00622230"/>
    <w:rsid w:val="006224BC"/>
    <w:rsid w:val="006234BC"/>
    <w:rsid w:val="0062365E"/>
    <w:rsid w:val="00623670"/>
    <w:rsid w:val="006238AF"/>
    <w:rsid w:val="00623AE6"/>
    <w:rsid w:val="00623B1C"/>
    <w:rsid w:val="00623CCB"/>
    <w:rsid w:val="00623E91"/>
    <w:rsid w:val="006249B5"/>
    <w:rsid w:val="00624D92"/>
    <w:rsid w:val="00624E2A"/>
    <w:rsid w:val="0062522C"/>
    <w:rsid w:val="0062523B"/>
    <w:rsid w:val="006256B8"/>
    <w:rsid w:val="00625996"/>
    <w:rsid w:val="00625D2E"/>
    <w:rsid w:val="00625DD6"/>
    <w:rsid w:val="00625ECE"/>
    <w:rsid w:val="006260A2"/>
    <w:rsid w:val="006260D0"/>
    <w:rsid w:val="00626712"/>
    <w:rsid w:val="00626BC5"/>
    <w:rsid w:val="00626E43"/>
    <w:rsid w:val="00630372"/>
    <w:rsid w:val="0063094A"/>
    <w:rsid w:val="00630D32"/>
    <w:rsid w:val="0063104F"/>
    <w:rsid w:val="00631C56"/>
    <w:rsid w:val="00631DD1"/>
    <w:rsid w:val="00631E70"/>
    <w:rsid w:val="006325CD"/>
    <w:rsid w:val="00632D00"/>
    <w:rsid w:val="00633361"/>
    <w:rsid w:val="006334F8"/>
    <w:rsid w:val="006337AA"/>
    <w:rsid w:val="00633A50"/>
    <w:rsid w:val="00633B0E"/>
    <w:rsid w:val="00633C1C"/>
    <w:rsid w:val="00633D69"/>
    <w:rsid w:val="00633E0C"/>
    <w:rsid w:val="00633FE5"/>
    <w:rsid w:val="0063436C"/>
    <w:rsid w:val="006343BB"/>
    <w:rsid w:val="00634685"/>
    <w:rsid w:val="006346BD"/>
    <w:rsid w:val="0063479F"/>
    <w:rsid w:val="00634D0D"/>
    <w:rsid w:val="006352F1"/>
    <w:rsid w:val="00635602"/>
    <w:rsid w:val="00635BA7"/>
    <w:rsid w:val="00635EE1"/>
    <w:rsid w:val="006362B3"/>
    <w:rsid w:val="00636495"/>
    <w:rsid w:val="006368F9"/>
    <w:rsid w:val="00636CC7"/>
    <w:rsid w:val="006372D8"/>
    <w:rsid w:val="006374BD"/>
    <w:rsid w:val="006378FF"/>
    <w:rsid w:val="00637F9A"/>
    <w:rsid w:val="00637FB8"/>
    <w:rsid w:val="00640177"/>
    <w:rsid w:val="006406AA"/>
    <w:rsid w:val="00640ABB"/>
    <w:rsid w:val="00640CE4"/>
    <w:rsid w:val="00640CE9"/>
    <w:rsid w:val="0064168D"/>
    <w:rsid w:val="006417D2"/>
    <w:rsid w:val="00641CA2"/>
    <w:rsid w:val="00642285"/>
    <w:rsid w:val="006424EE"/>
    <w:rsid w:val="0064252D"/>
    <w:rsid w:val="006428B1"/>
    <w:rsid w:val="00643045"/>
    <w:rsid w:val="0064325C"/>
    <w:rsid w:val="0064372F"/>
    <w:rsid w:val="0064379D"/>
    <w:rsid w:val="00643826"/>
    <w:rsid w:val="00643A26"/>
    <w:rsid w:val="00643A31"/>
    <w:rsid w:val="00643B10"/>
    <w:rsid w:val="00643DA0"/>
    <w:rsid w:val="00643DBE"/>
    <w:rsid w:val="006441DD"/>
    <w:rsid w:val="00644BFA"/>
    <w:rsid w:val="00644FD3"/>
    <w:rsid w:val="0064518D"/>
    <w:rsid w:val="0064541F"/>
    <w:rsid w:val="006455B2"/>
    <w:rsid w:val="006456C0"/>
    <w:rsid w:val="00645DF8"/>
    <w:rsid w:val="00647274"/>
    <w:rsid w:val="00647B31"/>
    <w:rsid w:val="00647C79"/>
    <w:rsid w:val="00647FD2"/>
    <w:rsid w:val="00650280"/>
    <w:rsid w:val="0065044F"/>
    <w:rsid w:val="00650752"/>
    <w:rsid w:val="00650A2C"/>
    <w:rsid w:val="0065146B"/>
    <w:rsid w:val="00651696"/>
    <w:rsid w:val="0065172D"/>
    <w:rsid w:val="00651B5E"/>
    <w:rsid w:val="00651C67"/>
    <w:rsid w:val="006524B0"/>
    <w:rsid w:val="006527E8"/>
    <w:rsid w:val="00652B97"/>
    <w:rsid w:val="006533DC"/>
    <w:rsid w:val="006533F9"/>
    <w:rsid w:val="00653561"/>
    <w:rsid w:val="00653578"/>
    <w:rsid w:val="006538DD"/>
    <w:rsid w:val="006539E6"/>
    <w:rsid w:val="00653C5B"/>
    <w:rsid w:val="00653DB6"/>
    <w:rsid w:val="00654111"/>
    <w:rsid w:val="00654562"/>
    <w:rsid w:val="0065498F"/>
    <w:rsid w:val="00654D45"/>
    <w:rsid w:val="0065508A"/>
    <w:rsid w:val="00655E71"/>
    <w:rsid w:val="00655F41"/>
    <w:rsid w:val="00655F89"/>
    <w:rsid w:val="006569D4"/>
    <w:rsid w:val="006573F8"/>
    <w:rsid w:val="006574FF"/>
    <w:rsid w:val="00657691"/>
    <w:rsid w:val="00657A15"/>
    <w:rsid w:val="00657ADC"/>
    <w:rsid w:val="006609EC"/>
    <w:rsid w:val="00660A2A"/>
    <w:rsid w:val="00660B02"/>
    <w:rsid w:val="00660B13"/>
    <w:rsid w:val="00660B3B"/>
    <w:rsid w:val="00660BC0"/>
    <w:rsid w:val="006611C8"/>
    <w:rsid w:val="006615C0"/>
    <w:rsid w:val="006619BF"/>
    <w:rsid w:val="00661C04"/>
    <w:rsid w:val="00661CBB"/>
    <w:rsid w:val="00661ED1"/>
    <w:rsid w:val="006624A8"/>
    <w:rsid w:val="00662576"/>
    <w:rsid w:val="0066273B"/>
    <w:rsid w:val="00662F35"/>
    <w:rsid w:val="006635E6"/>
    <w:rsid w:val="00663BE1"/>
    <w:rsid w:val="00663C11"/>
    <w:rsid w:val="00663CA8"/>
    <w:rsid w:val="0066458A"/>
    <w:rsid w:val="006651EE"/>
    <w:rsid w:val="006655C9"/>
    <w:rsid w:val="006658ED"/>
    <w:rsid w:val="00665957"/>
    <w:rsid w:val="00665E14"/>
    <w:rsid w:val="006668C2"/>
    <w:rsid w:val="00666946"/>
    <w:rsid w:val="006669D2"/>
    <w:rsid w:val="006669E0"/>
    <w:rsid w:val="00666DCF"/>
    <w:rsid w:val="00667061"/>
    <w:rsid w:val="00667E5A"/>
    <w:rsid w:val="00670428"/>
    <w:rsid w:val="006705DE"/>
    <w:rsid w:val="00670841"/>
    <w:rsid w:val="006708E4"/>
    <w:rsid w:val="006709B2"/>
    <w:rsid w:val="00670AD5"/>
    <w:rsid w:val="00670D18"/>
    <w:rsid w:val="00671167"/>
    <w:rsid w:val="006715E2"/>
    <w:rsid w:val="00671A01"/>
    <w:rsid w:val="00671E25"/>
    <w:rsid w:val="00672002"/>
    <w:rsid w:val="00672322"/>
    <w:rsid w:val="00672569"/>
    <w:rsid w:val="006734B8"/>
    <w:rsid w:val="00673501"/>
    <w:rsid w:val="00673DB7"/>
    <w:rsid w:val="00674026"/>
    <w:rsid w:val="006746BA"/>
    <w:rsid w:val="00675144"/>
    <w:rsid w:val="006752E7"/>
    <w:rsid w:val="0067536A"/>
    <w:rsid w:val="00675ED9"/>
    <w:rsid w:val="0067660C"/>
    <w:rsid w:val="00676749"/>
    <w:rsid w:val="00676A9A"/>
    <w:rsid w:val="0067724B"/>
    <w:rsid w:val="006772DA"/>
    <w:rsid w:val="00677380"/>
    <w:rsid w:val="00677B0F"/>
    <w:rsid w:val="00680367"/>
    <w:rsid w:val="006806CF"/>
    <w:rsid w:val="00680DFF"/>
    <w:rsid w:val="00680FB2"/>
    <w:rsid w:val="006811A0"/>
    <w:rsid w:val="006811BB"/>
    <w:rsid w:val="006813BD"/>
    <w:rsid w:val="00681465"/>
    <w:rsid w:val="00681A51"/>
    <w:rsid w:val="00681C75"/>
    <w:rsid w:val="00681DE5"/>
    <w:rsid w:val="00681FF2"/>
    <w:rsid w:val="0068253D"/>
    <w:rsid w:val="00682E0F"/>
    <w:rsid w:val="00682F70"/>
    <w:rsid w:val="00683082"/>
    <w:rsid w:val="00683092"/>
    <w:rsid w:val="0068312C"/>
    <w:rsid w:val="006831FC"/>
    <w:rsid w:val="00683272"/>
    <w:rsid w:val="0068333D"/>
    <w:rsid w:val="00683449"/>
    <w:rsid w:val="0068347F"/>
    <w:rsid w:val="006834B8"/>
    <w:rsid w:val="00683A41"/>
    <w:rsid w:val="00683E67"/>
    <w:rsid w:val="006843CB"/>
    <w:rsid w:val="00684BA2"/>
    <w:rsid w:val="00684C9F"/>
    <w:rsid w:val="00684F60"/>
    <w:rsid w:val="00685246"/>
    <w:rsid w:val="006859A0"/>
    <w:rsid w:val="0068686B"/>
    <w:rsid w:val="006873B6"/>
    <w:rsid w:val="0068766C"/>
    <w:rsid w:val="0069050E"/>
    <w:rsid w:val="00690FEB"/>
    <w:rsid w:val="0069117F"/>
    <w:rsid w:val="00691688"/>
    <w:rsid w:val="006916D0"/>
    <w:rsid w:val="00691E52"/>
    <w:rsid w:val="00692086"/>
    <w:rsid w:val="006920E6"/>
    <w:rsid w:val="00692557"/>
    <w:rsid w:val="006926B1"/>
    <w:rsid w:val="00692723"/>
    <w:rsid w:val="00692B83"/>
    <w:rsid w:val="00693134"/>
    <w:rsid w:val="0069341E"/>
    <w:rsid w:val="00693ED3"/>
    <w:rsid w:val="00694787"/>
    <w:rsid w:val="00694CB2"/>
    <w:rsid w:val="00694D84"/>
    <w:rsid w:val="00694F03"/>
    <w:rsid w:val="00694F8C"/>
    <w:rsid w:val="0069501D"/>
    <w:rsid w:val="006955EA"/>
    <w:rsid w:val="006960F5"/>
    <w:rsid w:val="0069641C"/>
    <w:rsid w:val="00696A75"/>
    <w:rsid w:val="00696C45"/>
    <w:rsid w:val="00696E31"/>
    <w:rsid w:val="0069700E"/>
    <w:rsid w:val="0069712C"/>
    <w:rsid w:val="006971C8"/>
    <w:rsid w:val="00697704"/>
    <w:rsid w:val="00697980"/>
    <w:rsid w:val="00697A12"/>
    <w:rsid w:val="00697B6E"/>
    <w:rsid w:val="00697DA7"/>
    <w:rsid w:val="00697E9B"/>
    <w:rsid w:val="006A0424"/>
    <w:rsid w:val="006A049C"/>
    <w:rsid w:val="006A0558"/>
    <w:rsid w:val="006A0606"/>
    <w:rsid w:val="006A0845"/>
    <w:rsid w:val="006A0A96"/>
    <w:rsid w:val="006A0F05"/>
    <w:rsid w:val="006A0F83"/>
    <w:rsid w:val="006A1116"/>
    <w:rsid w:val="006A19ED"/>
    <w:rsid w:val="006A1E3B"/>
    <w:rsid w:val="006A2CA1"/>
    <w:rsid w:val="006A2FDF"/>
    <w:rsid w:val="006A3206"/>
    <w:rsid w:val="006A3375"/>
    <w:rsid w:val="006A36C8"/>
    <w:rsid w:val="006A3964"/>
    <w:rsid w:val="006A428A"/>
    <w:rsid w:val="006A444D"/>
    <w:rsid w:val="006A44A4"/>
    <w:rsid w:val="006A47AA"/>
    <w:rsid w:val="006A4A44"/>
    <w:rsid w:val="006A4B54"/>
    <w:rsid w:val="006A5775"/>
    <w:rsid w:val="006A58A6"/>
    <w:rsid w:val="006A597F"/>
    <w:rsid w:val="006A6236"/>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8E4"/>
    <w:rsid w:val="006B0B90"/>
    <w:rsid w:val="006B0C14"/>
    <w:rsid w:val="006B0DDF"/>
    <w:rsid w:val="006B1695"/>
    <w:rsid w:val="006B1CB5"/>
    <w:rsid w:val="006B20B0"/>
    <w:rsid w:val="006B2115"/>
    <w:rsid w:val="006B26EA"/>
    <w:rsid w:val="006B28B1"/>
    <w:rsid w:val="006B29C6"/>
    <w:rsid w:val="006B2B1E"/>
    <w:rsid w:val="006B2B65"/>
    <w:rsid w:val="006B2BD9"/>
    <w:rsid w:val="006B2C00"/>
    <w:rsid w:val="006B2C36"/>
    <w:rsid w:val="006B2CE1"/>
    <w:rsid w:val="006B2D8C"/>
    <w:rsid w:val="006B2F30"/>
    <w:rsid w:val="006B3234"/>
    <w:rsid w:val="006B35C8"/>
    <w:rsid w:val="006B3DA8"/>
    <w:rsid w:val="006B3E3B"/>
    <w:rsid w:val="006B407C"/>
    <w:rsid w:val="006B40AA"/>
    <w:rsid w:val="006B417E"/>
    <w:rsid w:val="006B4820"/>
    <w:rsid w:val="006B4849"/>
    <w:rsid w:val="006B4A0C"/>
    <w:rsid w:val="006B4A53"/>
    <w:rsid w:val="006B4C73"/>
    <w:rsid w:val="006B4E8C"/>
    <w:rsid w:val="006B4EAB"/>
    <w:rsid w:val="006B50B2"/>
    <w:rsid w:val="006B51ED"/>
    <w:rsid w:val="006B528E"/>
    <w:rsid w:val="006B5532"/>
    <w:rsid w:val="006B5F12"/>
    <w:rsid w:val="006B61C7"/>
    <w:rsid w:val="006B6451"/>
    <w:rsid w:val="006B6589"/>
    <w:rsid w:val="006B69E9"/>
    <w:rsid w:val="006B6C86"/>
    <w:rsid w:val="006B7033"/>
    <w:rsid w:val="006B7225"/>
    <w:rsid w:val="006C00B3"/>
    <w:rsid w:val="006C0A56"/>
    <w:rsid w:val="006C0AF9"/>
    <w:rsid w:val="006C0B75"/>
    <w:rsid w:val="006C0DB0"/>
    <w:rsid w:val="006C0E04"/>
    <w:rsid w:val="006C0F64"/>
    <w:rsid w:val="006C142E"/>
    <w:rsid w:val="006C1F22"/>
    <w:rsid w:val="006C2530"/>
    <w:rsid w:val="006C2639"/>
    <w:rsid w:val="006C29CE"/>
    <w:rsid w:val="006C2D16"/>
    <w:rsid w:val="006C2E19"/>
    <w:rsid w:val="006C2E32"/>
    <w:rsid w:val="006C2F66"/>
    <w:rsid w:val="006C3100"/>
    <w:rsid w:val="006C33DB"/>
    <w:rsid w:val="006C3673"/>
    <w:rsid w:val="006C387D"/>
    <w:rsid w:val="006C3D77"/>
    <w:rsid w:val="006C400E"/>
    <w:rsid w:val="006C48D1"/>
    <w:rsid w:val="006C4DEA"/>
    <w:rsid w:val="006C53D0"/>
    <w:rsid w:val="006C6038"/>
    <w:rsid w:val="006C61FD"/>
    <w:rsid w:val="006C65E2"/>
    <w:rsid w:val="006C6ECF"/>
    <w:rsid w:val="006C703C"/>
    <w:rsid w:val="006C7D11"/>
    <w:rsid w:val="006C7E2A"/>
    <w:rsid w:val="006C7EB8"/>
    <w:rsid w:val="006C7F83"/>
    <w:rsid w:val="006D14D0"/>
    <w:rsid w:val="006D1C39"/>
    <w:rsid w:val="006D1E35"/>
    <w:rsid w:val="006D2197"/>
    <w:rsid w:val="006D2321"/>
    <w:rsid w:val="006D2491"/>
    <w:rsid w:val="006D2777"/>
    <w:rsid w:val="006D2B86"/>
    <w:rsid w:val="006D3125"/>
    <w:rsid w:val="006D331D"/>
    <w:rsid w:val="006D335B"/>
    <w:rsid w:val="006D342D"/>
    <w:rsid w:val="006D3A18"/>
    <w:rsid w:val="006D3F39"/>
    <w:rsid w:val="006D42CD"/>
    <w:rsid w:val="006D43AD"/>
    <w:rsid w:val="006D452D"/>
    <w:rsid w:val="006D4781"/>
    <w:rsid w:val="006D4940"/>
    <w:rsid w:val="006D510F"/>
    <w:rsid w:val="006D5175"/>
    <w:rsid w:val="006D5711"/>
    <w:rsid w:val="006D5AE1"/>
    <w:rsid w:val="006D5D2A"/>
    <w:rsid w:val="006D6184"/>
    <w:rsid w:val="006D629E"/>
    <w:rsid w:val="006D6782"/>
    <w:rsid w:val="006D69C5"/>
    <w:rsid w:val="006D7963"/>
    <w:rsid w:val="006D79DA"/>
    <w:rsid w:val="006D7DEE"/>
    <w:rsid w:val="006D7E08"/>
    <w:rsid w:val="006E0767"/>
    <w:rsid w:val="006E08D9"/>
    <w:rsid w:val="006E0951"/>
    <w:rsid w:val="006E0FDA"/>
    <w:rsid w:val="006E151D"/>
    <w:rsid w:val="006E1664"/>
    <w:rsid w:val="006E19CD"/>
    <w:rsid w:val="006E26FA"/>
    <w:rsid w:val="006E2A18"/>
    <w:rsid w:val="006E2E4C"/>
    <w:rsid w:val="006E30D6"/>
    <w:rsid w:val="006E3222"/>
    <w:rsid w:val="006E328A"/>
    <w:rsid w:val="006E3530"/>
    <w:rsid w:val="006E3DEF"/>
    <w:rsid w:val="006E4014"/>
    <w:rsid w:val="006E411F"/>
    <w:rsid w:val="006E4CD8"/>
    <w:rsid w:val="006E4CF7"/>
    <w:rsid w:val="006E4EDB"/>
    <w:rsid w:val="006E546B"/>
    <w:rsid w:val="006E56A3"/>
    <w:rsid w:val="006E58AB"/>
    <w:rsid w:val="006E592E"/>
    <w:rsid w:val="006E59AF"/>
    <w:rsid w:val="006E6655"/>
    <w:rsid w:val="006E66FB"/>
    <w:rsid w:val="006E692F"/>
    <w:rsid w:val="006E6C22"/>
    <w:rsid w:val="006E6CDE"/>
    <w:rsid w:val="006E72A9"/>
    <w:rsid w:val="006E7FE2"/>
    <w:rsid w:val="006F0287"/>
    <w:rsid w:val="006F03BC"/>
    <w:rsid w:val="006F11AA"/>
    <w:rsid w:val="006F18E7"/>
    <w:rsid w:val="006F1CD6"/>
    <w:rsid w:val="006F1DB9"/>
    <w:rsid w:val="006F1DFC"/>
    <w:rsid w:val="006F1E59"/>
    <w:rsid w:val="006F2648"/>
    <w:rsid w:val="006F26DD"/>
    <w:rsid w:val="006F2C60"/>
    <w:rsid w:val="006F2DB9"/>
    <w:rsid w:val="006F2DC6"/>
    <w:rsid w:val="006F3216"/>
    <w:rsid w:val="006F3443"/>
    <w:rsid w:val="006F3544"/>
    <w:rsid w:val="006F3E94"/>
    <w:rsid w:val="006F40FB"/>
    <w:rsid w:val="006F42A6"/>
    <w:rsid w:val="006F486C"/>
    <w:rsid w:val="006F48C4"/>
    <w:rsid w:val="006F49CF"/>
    <w:rsid w:val="006F4FB7"/>
    <w:rsid w:val="006F54ED"/>
    <w:rsid w:val="006F5807"/>
    <w:rsid w:val="006F5E0B"/>
    <w:rsid w:val="006F683D"/>
    <w:rsid w:val="006F6875"/>
    <w:rsid w:val="006F69B5"/>
    <w:rsid w:val="006F7098"/>
    <w:rsid w:val="006F70A0"/>
    <w:rsid w:val="006F70B7"/>
    <w:rsid w:val="006F7212"/>
    <w:rsid w:val="006F7382"/>
    <w:rsid w:val="006F79BF"/>
    <w:rsid w:val="00700162"/>
    <w:rsid w:val="00700248"/>
    <w:rsid w:val="007009D9"/>
    <w:rsid w:val="007010F1"/>
    <w:rsid w:val="00701174"/>
    <w:rsid w:val="00701A1E"/>
    <w:rsid w:val="007022B6"/>
    <w:rsid w:val="007024A6"/>
    <w:rsid w:val="007024B0"/>
    <w:rsid w:val="0070255B"/>
    <w:rsid w:val="00702697"/>
    <w:rsid w:val="00702823"/>
    <w:rsid w:val="00702BBF"/>
    <w:rsid w:val="00702C34"/>
    <w:rsid w:val="00702EF2"/>
    <w:rsid w:val="00702F01"/>
    <w:rsid w:val="007032E1"/>
    <w:rsid w:val="007034F8"/>
    <w:rsid w:val="00703E0E"/>
    <w:rsid w:val="0070418B"/>
    <w:rsid w:val="0070418F"/>
    <w:rsid w:val="00704FAF"/>
    <w:rsid w:val="00705211"/>
    <w:rsid w:val="00705669"/>
    <w:rsid w:val="00705B1C"/>
    <w:rsid w:val="00705C86"/>
    <w:rsid w:val="007060DC"/>
    <w:rsid w:val="00706AA0"/>
    <w:rsid w:val="00706BAA"/>
    <w:rsid w:val="00706DA5"/>
    <w:rsid w:val="007072F8"/>
    <w:rsid w:val="00707C77"/>
    <w:rsid w:val="00707D74"/>
    <w:rsid w:val="0071023B"/>
    <w:rsid w:val="00710316"/>
    <w:rsid w:val="00710512"/>
    <w:rsid w:val="00710B16"/>
    <w:rsid w:val="00711060"/>
    <w:rsid w:val="007118B9"/>
    <w:rsid w:val="00711995"/>
    <w:rsid w:val="007120BF"/>
    <w:rsid w:val="007128C0"/>
    <w:rsid w:val="007129F6"/>
    <w:rsid w:val="00712B0C"/>
    <w:rsid w:val="00712B23"/>
    <w:rsid w:val="00712B2D"/>
    <w:rsid w:val="0071316C"/>
    <w:rsid w:val="00713426"/>
    <w:rsid w:val="00713868"/>
    <w:rsid w:val="00713D36"/>
    <w:rsid w:val="007148DC"/>
    <w:rsid w:val="00714A9D"/>
    <w:rsid w:val="00714DD0"/>
    <w:rsid w:val="00714F08"/>
    <w:rsid w:val="00715965"/>
    <w:rsid w:val="007159A6"/>
    <w:rsid w:val="00715B82"/>
    <w:rsid w:val="00715CCC"/>
    <w:rsid w:val="00715D3B"/>
    <w:rsid w:val="0071621E"/>
    <w:rsid w:val="00716450"/>
    <w:rsid w:val="00716CFD"/>
    <w:rsid w:val="00716EB2"/>
    <w:rsid w:val="00717094"/>
    <w:rsid w:val="0071761A"/>
    <w:rsid w:val="00717988"/>
    <w:rsid w:val="007203BF"/>
    <w:rsid w:val="007204FE"/>
    <w:rsid w:val="00721024"/>
    <w:rsid w:val="007210D6"/>
    <w:rsid w:val="0072111B"/>
    <w:rsid w:val="0072150D"/>
    <w:rsid w:val="00722A4D"/>
    <w:rsid w:val="00722C37"/>
    <w:rsid w:val="00722F04"/>
    <w:rsid w:val="007232EE"/>
    <w:rsid w:val="007234E4"/>
    <w:rsid w:val="00723DAE"/>
    <w:rsid w:val="00723E3D"/>
    <w:rsid w:val="0072438F"/>
    <w:rsid w:val="007246E9"/>
    <w:rsid w:val="00724A52"/>
    <w:rsid w:val="00724B38"/>
    <w:rsid w:val="00724CBA"/>
    <w:rsid w:val="00725667"/>
    <w:rsid w:val="00725F82"/>
    <w:rsid w:val="00725F92"/>
    <w:rsid w:val="00726066"/>
    <w:rsid w:val="00726275"/>
    <w:rsid w:val="007262EE"/>
    <w:rsid w:val="00726807"/>
    <w:rsid w:val="00726F05"/>
    <w:rsid w:val="007271E1"/>
    <w:rsid w:val="00727DEF"/>
    <w:rsid w:val="00730000"/>
    <w:rsid w:val="007302DA"/>
    <w:rsid w:val="00730468"/>
    <w:rsid w:val="00730491"/>
    <w:rsid w:val="007305F5"/>
    <w:rsid w:val="00730A00"/>
    <w:rsid w:val="00730CDA"/>
    <w:rsid w:val="00730F53"/>
    <w:rsid w:val="00731447"/>
    <w:rsid w:val="0073144B"/>
    <w:rsid w:val="00731536"/>
    <w:rsid w:val="00731AF9"/>
    <w:rsid w:val="00731DA9"/>
    <w:rsid w:val="00731EA6"/>
    <w:rsid w:val="00731FA7"/>
    <w:rsid w:val="00732010"/>
    <w:rsid w:val="00732211"/>
    <w:rsid w:val="00732566"/>
    <w:rsid w:val="00732A5A"/>
    <w:rsid w:val="007339AE"/>
    <w:rsid w:val="00733B12"/>
    <w:rsid w:val="007342C4"/>
    <w:rsid w:val="007343A6"/>
    <w:rsid w:val="007345FB"/>
    <w:rsid w:val="00734B44"/>
    <w:rsid w:val="00734B6D"/>
    <w:rsid w:val="00734DD2"/>
    <w:rsid w:val="00735171"/>
    <w:rsid w:val="00735191"/>
    <w:rsid w:val="00735233"/>
    <w:rsid w:val="00735A01"/>
    <w:rsid w:val="00735C85"/>
    <w:rsid w:val="00736193"/>
    <w:rsid w:val="00736241"/>
    <w:rsid w:val="0073626D"/>
    <w:rsid w:val="00736443"/>
    <w:rsid w:val="00736445"/>
    <w:rsid w:val="00736884"/>
    <w:rsid w:val="00736A61"/>
    <w:rsid w:val="00736A84"/>
    <w:rsid w:val="00736B84"/>
    <w:rsid w:val="00736FD8"/>
    <w:rsid w:val="00737012"/>
    <w:rsid w:val="007373F0"/>
    <w:rsid w:val="0073773A"/>
    <w:rsid w:val="007379F3"/>
    <w:rsid w:val="00737CB1"/>
    <w:rsid w:val="0074014F"/>
    <w:rsid w:val="0074067C"/>
    <w:rsid w:val="007407AF"/>
    <w:rsid w:val="00740D27"/>
    <w:rsid w:val="007417DB"/>
    <w:rsid w:val="0074192E"/>
    <w:rsid w:val="007419AF"/>
    <w:rsid w:val="00741F43"/>
    <w:rsid w:val="00742095"/>
    <w:rsid w:val="007421C9"/>
    <w:rsid w:val="0074229F"/>
    <w:rsid w:val="00742457"/>
    <w:rsid w:val="00742462"/>
    <w:rsid w:val="00742B3F"/>
    <w:rsid w:val="00742FC5"/>
    <w:rsid w:val="00743377"/>
    <w:rsid w:val="00744372"/>
    <w:rsid w:val="00744800"/>
    <w:rsid w:val="00744B33"/>
    <w:rsid w:val="007452F4"/>
    <w:rsid w:val="00745560"/>
    <w:rsid w:val="00745983"/>
    <w:rsid w:val="00745C55"/>
    <w:rsid w:val="00745D99"/>
    <w:rsid w:val="00746054"/>
    <w:rsid w:val="00746757"/>
    <w:rsid w:val="00746B1D"/>
    <w:rsid w:val="00746C0B"/>
    <w:rsid w:val="00746E25"/>
    <w:rsid w:val="007470BB"/>
    <w:rsid w:val="007472DD"/>
    <w:rsid w:val="00747423"/>
    <w:rsid w:val="00747588"/>
    <w:rsid w:val="00747816"/>
    <w:rsid w:val="00747B3E"/>
    <w:rsid w:val="00750177"/>
    <w:rsid w:val="0075019F"/>
    <w:rsid w:val="007506AB"/>
    <w:rsid w:val="0075074E"/>
    <w:rsid w:val="007509B5"/>
    <w:rsid w:val="00750D81"/>
    <w:rsid w:val="00751037"/>
    <w:rsid w:val="00751B5D"/>
    <w:rsid w:val="00752108"/>
    <w:rsid w:val="007521BD"/>
    <w:rsid w:val="007521DA"/>
    <w:rsid w:val="00752583"/>
    <w:rsid w:val="007525CF"/>
    <w:rsid w:val="007526A1"/>
    <w:rsid w:val="00752AE2"/>
    <w:rsid w:val="00752F2B"/>
    <w:rsid w:val="00752F65"/>
    <w:rsid w:val="00752F8F"/>
    <w:rsid w:val="00753380"/>
    <w:rsid w:val="0075349E"/>
    <w:rsid w:val="007536AE"/>
    <w:rsid w:val="007536C1"/>
    <w:rsid w:val="00753875"/>
    <w:rsid w:val="0075388E"/>
    <w:rsid w:val="00753971"/>
    <w:rsid w:val="00753C02"/>
    <w:rsid w:val="00753E22"/>
    <w:rsid w:val="00754588"/>
    <w:rsid w:val="00754C50"/>
    <w:rsid w:val="0075512B"/>
    <w:rsid w:val="00755229"/>
    <w:rsid w:val="0075536E"/>
    <w:rsid w:val="00755381"/>
    <w:rsid w:val="00755755"/>
    <w:rsid w:val="007557C1"/>
    <w:rsid w:val="00755832"/>
    <w:rsid w:val="00755896"/>
    <w:rsid w:val="00755A95"/>
    <w:rsid w:val="00755B50"/>
    <w:rsid w:val="00755D9F"/>
    <w:rsid w:val="00755F88"/>
    <w:rsid w:val="00756513"/>
    <w:rsid w:val="00756D2B"/>
    <w:rsid w:val="00756DCA"/>
    <w:rsid w:val="00756EFE"/>
    <w:rsid w:val="00757063"/>
    <w:rsid w:val="0076012A"/>
    <w:rsid w:val="0076017C"/>
    <w:rsid w:val="007608D7"/>
    <w:rsid w:val="0076178B"/>
    <w:rsid w:val="00761C27"/>
    <w:rsid w:val="00761D0E"/>
    <w:rsid w:val="00761EE6"/>
    <w:rsid w:val="00762040"/>
    <w:rsid w:val="00762957"/>
    <w:rsid w:val="00762C82"/>
    <w:rsid w:val="00762DB4"/>
    <w:rsid w:val="0076312F"/>
    <w:rsid w:val="007631A4"/>
    <w:rsid w:val="007632EA"/>
    <w:rsid w:val="007634F9"/>
    <w:rsid w:val="007636E6"/>
    <w:rsid w:val="00763710"/>
    <w:rsid w:val="007638DA"/>
    <w:rsid w:val="00763BF3"/>
    <w:rsid w:val="00763CED"/>
    <w:rsid w:val="00763FC4"/>
    <w:rsid w:val="00764014"/>
    <w:rsid w:val="00764285"/>
    <w:rsid w:val="00764479"/>
    <w:rsid w:val="007645BB"/>
    <w:rsid w:val="007645E7"/>
    <w:rsid w:val="007646A3"/>
    <w:rsid w:val="00764831"/>
    <w:rsid w:val="00764B89"/>
    <w:rsid w:val="00764D8A"/>
    <w:rsid w:val="00764EBD"/>
    <w:rsid w:val="00765853"/>
    <w:rsid w:val="00765CDD"/>
    <w:rsid w:val="00765FC8"/>
    <w:rsid w:val="0076608C"/>
    <w:rsid w:val="00766357"/>
    <w:rsid w:val="0076641E"/>
    <w:rsid w:val="00766452"/>
    <w:rsid w:val="007669F8"/>
    <w:rsid w:val="00766BE5"/>
    <w:rsid w:val="00766F81"/>
    <w:rsid w:val="007677D8"/>
    <w:rsid w:val="00767A59"/>
    <w:rsid w:val="007700D9"/>
    <w:rsid w:val="007702BB"/>
    <w:rsid w:val="007703CC"/>
    <w:rsid w:val="00770886"/>
    <w:rsid w:val="00770A12"/>
    <w:rsid w:val="00770B1A"/>
    <w:rsid w:val="00770CEA"/>
    <w:rsid w:val="00770D50"/>
    <w:rsid w:val="0077107F"/>
    <w:rsid w:val="0077130D"/>
    <w:rsid w:val="00771507"/>
    <w:rsid w:val="00771987"/>
    <w:rsid w:val="00771AEF"/>
    <w:rsid w:val="00771BFC"/>
    <w:rsid w:val="00771F1C"/>
    <w:rsid w:val="0077241C"/>
    <w:rsid w:val="007727B5"/>
    <w:rsid w:val="00772BB0"/>
    <w:rsid w:val="00772C65"/>
    <w:rsid w:val="00773499"/>
    <w:rsid w:val="007734CD"/>
    <w:rsid w:val="00773773"/>
    <w:rsid w:val="00773C74"/>
    <w:rsid w:val="0077443B"/>
    <w:rsid w:val="00774593"/>
    <w:rsid w:val="00774882"/>
    <w:rsid w:val="00774E07"/>
    <w:rsid w:val="00775395"/>
    <w:rsid w:val="0077541F"/>
    <w:rsid w:val="0077589B"/>
    <w:rsid w:val="007759A4"/>
    <w:rsid w:val="00775BFF"/>
    <w:rsid w:val="00775DDB"/>
    <w:rsid w:val="00776269"/>
    <w:rsid w:val="0077665C"/>
    <w:rsid w:val="00776CF8"/>
    <w:rsid w:val="00776D50"/>
    <w:rsid w:val="0077783D"/>
    <w:rsid w:val="00777C3C"/>
    <w:rsid w:val="00777E67"/>
    <w:rsid w:val="00780010"/>
    <w:rsid w:val="0078039D"/>
    <w:rsid w:val="00780697"/>
    <w:rsid w:val="00780DC4"/>
    <w:rsid w:val="00780E00"/>
    <w:rsid w:val="0078109D"/>
    <w:rsid w:val="007818F8"/>
    <w:rsid w:val="00781BE1"/>
    <w:rsid w:val="007825AF"/>
    <w:rsid w:val="00782850"/>
    <w:rsid w:val="007828DD"/>
    <w:rsid w:val="00782940"/>
    <w:rsid w:val="00782C82"/>
    <w:rsid w:val="00782D28"/>
    <w:rsid w:val="00782E4E"/>
    <w:rsid w:val="00782E5E"/>
    <w:rsid w:val="00782FC0"/>
    <w:rsid w:val="00783086"/>
    <w:rsid w:val="0078368A"/>
    <w:rsid w:val="00783AC2"/>
    <w:rsid w:val="00783B3D"/>
    <w:rsid w:val="00783D2E"/>
    <w:rsid w:val="007841BE"/>
    <w:rsid w:val="00784463"/>
    <w:rsid w:val="00784790"/>
    <w:rsid w:val="00784B69"/>
    <w:rsid w:val="00785023"/>
    <w:rsid w:val="007855AD"/>
    <w:rsid w:val="00785866"/>
    <w:rsid w:val="0078589C"/>
    <w:rsid w:val="007858A1"/>
    <w:rsid w:val="0078609E"/>
    <w:rsid w:val="007860F3"/>
    <w:rsid w:val="00786364"/>
    <w:rsid w:val="00786F3A"/>
    <w:rsid w:val="00787226"/>
    <w:rsid w:val="007878D3"/>
    <w:rsid w:val="00787BC8"/>
    <w:rsid w:val="0079036A"/>
    <w:rsid w:val="0079038F"/>
    <w:rsid w:val="00790A12"/>
    <w:rsid w:val="00790AFD"/>
    <w:rsid w:val="00790B19"/>
    <w:rsid w:val="00790BE7"/>
    <w:rsid w:val="00790E8A"/>
    <w:rsid w:val="00790F90"/>
    <w:rsid w:val="00791787"/>
    <w:rsid w:val="00791E88"/>
    <w:rsid w:val="00792092"/>
    <w:rsid w:val="00792EC9"/>
    <w:rsid w:val="00793029"/>
    <w:rsid w:val="00793108"/>
    <w:rsid w:val="007939DA"/>
    <w:rsid w:val="0079416C"/>
    <w:rsid w:val="007942DD"/>
    <w:rsid w:val="00794598"/>
    <w:rsid w:val="00794C81"/>
    <w:rsid w:val="00794D6E"/>
    <w:rsid w:val="00794F3F"/>
    <w:rsid w:val="007956D0"/>
    <w:rsid w:val="0079606B"/>
    <w:rsid w:val="007961D8"/>
    <w:rsid w:val="007961DD"/>
    <w:rsid w:val="007966C7"/>
    <w:rsid w:val="0079672B"/>
    <w:rsid w:val="00796F2E"/>
    <w:rsid w:val="00797220"/>
    <w:rsid w:val="0079746C"/>
    <w:rsid w:val="00797502"/>
    <w:rsid w:val="00797722"/>
    <w:rsid w:val="00797F5D"/>
    <w:rsid w:val="007A00D4"/>
    <w:rsid w:val="007A0B87"/>
    <w:rsid w:val="007A12AD"/>
    <w:rsid w:val="007A12FE"/>
    <w:rsid w:val="007A1EFD"/>
    <w:rsid w:val="007A214E"/>
    <w:rsid w:val="007A2912"/>
    <w:rsid w:val="007A2F9F"/>
    <w:rsid w:val="007A3E45"/>
    <w:rsid w:val="007A3F49"/>
    <w:rsid w:val="007A43CE"/>
    <w:rsid w:val="007A4558"/>
    <w:rsid w:val="007A4593"/>
    <w:rsid w:val="007A45EA"/>
    <w:rsid w:val="007A4B6D"/>
    <w:rsid w:val="007A4CA0"/>
    <w:rsid w:val="007A4EDA"/>
    <w:rsid w:val="007A4FE9"/>
    <w:rsid w:val="007A4FF6"/>
    <w:rsid w:val="007A5341"/>
    <w:rsid w:val="007A57ED"/>
    <w:rsid w:val="007A58E5"/>
    <w:rsid w:val="007A5C2E"/>
    <w:rsid w:val="007A5C72"/>
    <w:rsid w:val="007A5CDB"/>
    <w:rsid w:val="007A5E6E"/>
    <w:rsid w:val="007A61B5"/>
    <w:rsid w:val="007A61C4"/>
    <w:rsid w:val="007A6848"/>
    <w:rsid w:val="007A6B75"/>
    <w:rsid w:val="007A74DE"/>
    <w:rsid w:val="007A7A28"/>
    <w:rsid w:val="007A7E87"/>
    <w:rsid w:val="007A7EFF"/>
    <w:rsid w:val="007B050B"/>
    <w:rsid w:val="007B10EE"/>
    <w:rsid w:val="007B11DA"/>
    <w:rsid w:val="007B14C2"/>
    <w:rsid w:val="007B173E"/>
    <w:rsid w:val="007B1C8B"/>
    <w:rsid w:val="007B1C98"/>
    <w:rsid w:val="007B26D7"/>
    <w:rsid w:val="007B2880"/>
    <w:rsid w:val="007B2A39"/>
    <w:rsid w:val="007B2E4C"/>
    <w:rsid w:val="007B38FD"/>
    <w:rsid w:val="007B3E80"/>
    <w:rsid w:val="007B4239"/>
    <w:rsid w:val="007B485A"/>
    <w:rsid w:val="007B4E01"/>
    <w:rsid w:val="007B5294"/>
    <w:rsid w:val="007B5407"/>
    <w:rsid w:val="007B589D"/>
    <w:rsid w:val="007B5CDE"/>
    <w:rsid w:val="007B5EE5"/>
    <w:rsid w:val="007B5F3A"/>
    <w:rsid w:val="007B5F4A"/>
    <w:rsid w:val="007B6108"/>
    <w:rsid w:val="007B6146"/>
    <w:rsid w:val="007B6606"/>
    <w:rsid w:val="007B687D"/>
    <w:rsid w:val="007B6BAB"/>
    <w:rsid w:val="007B6C07"/>
    <w:rsid w:val="007B7413"/>
    <w:rsid w:val="007B744E"/>
    <w:rsid w:val="007B75A2"/>
    <w:rsid w:val="007B780D"/>
    <w:rsid w:val="007B7C30"/>
    <w:rsid w:val="007B7CCC"/>
    <w:rsid w:val="007B7FFD"/>
    <w:rsid w:val="007C0033"/>
    <w:rsid w:val="007C0B17"/>
    <w:rsid w:val="007C0ECD"/>
    <w:rsid w:val="007C13FC"/>
    <w:rsid w:val="007C1F52"/>
    <w:rsid w:val="007C207E"/>
    <w:rsid w:val="007C23AC"/>
    <w:rsid w:val="007C2418"/>
    <w:rsid w:val="007C2860"/>
    <w:rsid w:val="007C2BC3"/>
    <w:rsid w:val="007C2E62"/>
    <w:rsid w:val="007C3671"/>
    <w:rsid w:val="007C3937"/>
    <w:rsid w:val="007C3A34"/>
    <w:rsid w:val="007C3AC4"/>
    <w:rsid w:val="007C3FCB"/>
    <w:rsid w:val="007C49F6"/>
    <w:rsid w:val="007C4B6B"/>
    <w:rsid w:val="007C4E75"/>
    <w:rsid w:val="007C4F45"/>
    <w:rsid w:val="007C4FC6"/>
    <w:rsid w:val="007C5D8F"/>
    <w:rsid w:val="007C5E4A"/>
    <w:rsid w:val="007C6111"/>
    <w:rsid w:val="007C6284"/>
    <w:rsid w:val="007C646B"/>
    <w:rsid w:val="007C6608"/>
    <w:rsid w:val="007C6762"/>
    <w:rsid w:val="007C67F9"/>
    <w:rsid w:val="007C6B1A"/>
    <w:rsid w:val="007C785C"/>
    <w:rsid w:val="007C78AD"/>
    <w:rsid w:val="007C7DAE"/>
    <w:rsid w:val="007D01D7"/>
    <w:rsid w:val="007D096D"/>
    <w:rsid w:val="007D0B67"/>
    <w:rsid w:val="007D0D79"/>
    <w:rsid w:val="007D136E"/>
    <w:rsid w:val="007D1462"/>
    <w:rsid w:val="007D19BA"/>
    <w:rsid w:val="007D1C1E"/>
    <w:rsid w:val="007D22EC"/>
    <w:rsid w:val="007D25B7"/>
    <w:rsid w:val="007D2B83"/>
    <w:rsid w:val="007D2C72"/>
    <w:rsid w:val="007D364F"/>
    <w:rsid w:val="007D3749"/>
    <w:rsid w:val="007D3A46"/>
    <w:rsid w:val="007D3B9A"/>
    <w:rsid w:val="007D43A0"/>
    <w:rsid w:val="007D4739"/>
    <w:rsid w:val="007D48D6"/>
    <w:rsid w:val="007D49DA"/>
    <w:rsid w:val="007D4BA0"/>
    <w:rsid w:val="007D4D57"/>
    <w:rsid w:val="007D4EB4"/>
    <w:rsid w:val="007D501C"/>
    <w:rsid w:val="007D5194"/>
    <w:rsid w:val="007D63C3"/>
    <w:rsid w:val="007D640D"/>
    <w:rsid w:val="007D66F3"/>
    <w:rsid w:val="007D69A5"/>
    <w:rsid w:val="007D712C"/>
    <w:rsid w:val="007D7A7B"/>
    <w:rsid w:val="007E011E"/>
    <w:rsid w:val="007E0290"/>
    <w:rsid w:val="007E0EEC"/>
    <w:rsid w:val="007E15B8"/>
    <w:rsid w:val="007E16C8"/>
    <w:rsid w:val="007E18AB"/>
    <w:rsid w:val="007E19E3"/>
    <w:rsid w:val="007E1A5B"/>
    <w:rsid w:val="007E22BF"/>
    <w:rsid w:val="007E24C9"/>
    <w:rsid w:val="007E289E"/>
    <w:rsid w:val="007E2AC1"/>
    <w:rsid w:val="007E2D26"/>
    <w:rsid w:val="007E3553"/>
    <w:rsid w:val="007E37C8"/>
    <w:rsid w:val="007E3A95"/>
    <w:rsid w:val="007E3BCD"/>
    <w:rsid w:val="007E3FB4"/>
    <w:rsid w:val="007E4071"/>
    <w:rsid w:val="007E44BD"/>
    <w:rsid w:val="007E4656"/>
    <w:rsid w:val="007E47C8"/>
    <w:rsid w:val="007E4A7D"/>
    <w:rsid w:val="007E4C21"/>
    <w:rsid w:val="007E4C6B"/>
    <w:rsid w:val="007E4D65"/>
    <w:rsid w:val="007E5295"/>
    <w:rsid w:val="007E5B7A"/>
    <w:rsid w:val="007E6247"/>
    <w:rsid w:val="007E62BE"/>
    <w:rsid w:val="007E62E2"/>
    <w:rsid w:val="007E71AC"/>
    <w:rsid w:val="007E72AA"/>
    <w:rsid w:val="007E746D"/>
    <w:rsid w:val="007E7525"/>
    <w:rsid w:val="007E75B1"/>
    <w:rsid w:val="007E7727"/>
    <w:rsid w:val="007E77B1"/>
    <w:rsid w:val="007E7959"/>
    <w:rsid w:val="007E79A0"/>
    <w:rsid w:val="007F002F"/>
    <w:rsid w:val="007F008F"/>
    <w:rsid w:val="007F0256"/>
    <w:rsid w:val="007F0604"/>
    <w:rsid w:val="007F0D2C"/>
    <w:rsid w:val="007F0DC3"/>
    <w:rsid w:val="007F15A7"/>
    <w:rsid w:val="007F1947"/>
    <w:rsid w:val="007F1F4E"/>
    <w:rsid w:val="007F23E1"/>
    <w:rsid w:val="007F2780"/>
    <w:rsid w:val="007F304B"/>
    <w:rsid w:val="007F3744"/>
    <w:rsid w:val="007F3800"/>
    <w:rsid w:val="007F3994"/>
    <w:rsid w:val="007F39CE"/>
    <w:rsid w:val="007F3ACC"/>
    <w:rsid w:val="007F3DC9"/>
    <w:rsid w:val="007F45B1"/>
    <w:rsid w:val="007F4699"/>
    <w:rsid w:val="007F4B39"/>
    <w:rsid w:val="007F56EC"/>
    <w:rsid w:val="007F5999"/>
    <w:rsid w:val="007F5A8A"/>
    <w:rsid w:val="007F5A92"/>
    <w:rsid w:val="007F5CE5"/>
    <w:rsid w:val="007F5E32"/>
    <w:rsid w:val="007F62E0"/>
    <w:rsid w:val="007F6705"/>
    <w:rsid w:val="007F6D53"/>
    <w:rsid w:val="007F6E98"/>
    <w:rsid w:val="007F6F14"/>
    <w:rsid w:val="007F70AB"/>
    <w:rsid w:val="007F70DA"/>
    <w:rsid w:val="007F7149"/>
    <w:rsid w:val="007F7296"/>
    <w:rsid w:val="007F7436"/>
    <w:rsid w:val="007F744C"/>
    <w:rsid w:val="007F74EF"/>
    <w:rsid w:val="007F7AE2"/>
    <w:rsid w:val="007F7C1E"/>
    <w:rsid w:val="007F7F1A"/>
    <w:rsid w:val="007F7FC6"/>
    <w:rsid w:val="0080075D"/>
    <w:rsid w:val="00800D8A"/>
    <w:rsid w:val="00800E73"/>
    <w:rsid w:val="00800FFA"/>
    <w:rsid w:val="00801364"/>
    <w:rsid w:val="0080147F"/>
    <w:rsid w:val="00801582"/>
    <w:rsid w:val="00801939"/>
    <w:rsid w:val="0080243C"/>
    <w:rsid w:val="008024B9"/>
    <w:rsid w:val="008028DD"/>
    <w:rsid w:val="00803CF1"/>
    <w:rsid w:val="00804011"/>
    <w:rsid w:val="0080432C"/>
    <w:rsid w:val="00804440"/>
    <w:rsid w:val="0080517D"/>
    <w:rsid w:val="008051D0"/>
    <w:rsid w:val="00805E6F"/>
    <w:rsid w:val="00805EB6"/>
    <w:rsid w:val="008062B3"/>
    <w:rsid w:val="00806636"/>
    <w:rsid w:val="00806641"/>
    <w:rsid w:val="0080680B"/>
    <w:rsid w:val="00806FAB"/>
    <w:rsid w:val="00807393"/>
    <w:rsid w:val="008073D5"/>
    <w:rsid w:val="008079EC"/>
    <w:rsid w:val="00807B24"/>
    <w:rsid w:val="00807B5B"/>
    <w:rsid w:val="00807B71"/>
    <w:rsid w:val="00807BFC"/>
    <w:rsid w:val="008102DD"/>
    <w:rsid w:val="0081101D"/>
    <w:rsid w:val="0081104D"/>
    <w:rsid w:val="008110E5"/>
    <w:rsid w:val="0081113E"/>
    <w:rsid w:val="008115F7"/>
    <w:rsid w:val="00811690"/>
    <w:rsid w:val="00811752"/>
    <w:rsid w:val="008117D5"/>
    <w:rsid w:val="00811BF2"/>
    <w:rsid w:val="00812459"/>
    <w:rsid w:val="00812640"/>
    <w:rsid w:val="008126ED"/>
    <w:rsid w:val="00812DA2"/>
    <w:rsid w:val="00813254"/>
    <w:rsid w:val="0081335D"/>
    <w:rsid w:val="008137B9"/>
    <w:rsid w:val="0081390D"/>
    <w:rsid w:val="00813A7D"/>
    <w:rsid w:val="00813CF3"/>
    <w:rsid w:val="00813D49"/>
    <w:rsid w:val="00813DB3"/>
    <w:rsid w:val="00813ED0"/>
    <w:rsid w:val="008143CB"/>
    <w:rsid w:val="0081450E"/>
    <w:rsid w:val="00814696"/>
    <w:rsid w:val="0081485B"/>
    <w:rsid w:val="008149BE"/>
    <w:rsid w:val="00814BB9"/>
    <w:rsid w:val="00814DF0"/>
    <w:rsid w:val="008153AE"/>
    <w:rsid w:val="008156D1"/>
    <w:rsid w:val="00815726"/>
    <w:rsid w:val="0081581E"/>
    <w:rsid w:val="00816092"/>
    <w:rsid w:val="0081631C"/>
    <w:rsid w:val="00816898"/>
    <w:rsid w:val="008168F0"/>
    <w:rsid w:val="00816ADB"/>
    <w:rsid w:val="00816F69"/>
    <w:rsid w:val="008173CC"/>
    <w:rsid w:val="0082018E"/>
    <w:rsid w:val="0082058B"/>
    <w:rsid w:val="00820879"/>
    <w:rsid w:val="00820D2B"/>
    <w:rsid w:val="008211FA"/>
    <w:rsid w:val="0082146C"/>
    <w:rsid w:val="00821554"/>
    <w:rsid w:val="00821622"/>
    <w:rsid w:val="008217E8"/>
    <w:rsid w:val="008217FD"/>
    <w:rsid w:val="00821B30"/>
    <w:rsid w:val="0082203E"/>
    <w:rsid w:val="0082230A"/>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6F75"/>
    <w:rsid w:val="00827242"/>
    <w:rsid w:val="008274CD"/>
    <w:rsid w:val="00827941"/>
    <w:rsid w:val="00827DF7"/>
    <w:rsid w:val="008306D9"/>
    <w:rsid w:val="0083072B"/>
    <w:rsid w:val="00830B42"/>
    <w:rsid w:val="00830CE7"/>
    <w:rsid w:val="00830D9C"/>
    <w:rsid w:val="00831AC7"/>
    <w:rsid w:val="00831C33"/>
    <w:rsid w:val="00831C7B"/>
    <w:rsid w:val="00831CCB"/>
    <w:rsid w:val="00831CF6"/>
    <w:rsid w:val="0083260C"/>
    <w:rsid w:val="008330ED"/>
    <w:rsid w:val="00833705"/>
    <w:rsid w:val="008341D8"/>
    <w:rsid w:val="00834525"/>
    <w:rsid w:val="00834534"/>
    <w:rsid w:val="00834883"/>
    <w:rsid w:val="00834A62"/>
    <w:rsid w:val="00835016"/>
    <w:rsid w:val="008350BF"/>
    <w:rsid w:val="00835754"/>
    <w:rsid w:val="008358E0"/>
    <w:rsid w:val="00836757"/>
    <w:rsid w:val="00836CF6"/>
    <w:rsid w:val="00836E23"/>
    <w:rsid w:val="00836F61"/>
    <w:rsid w:val="0083734A"/>
    <w:rsid w:val="00840019"/>
    <w:rsid w:val="008402E4"/>
    <w:rsid w:val="00840618"/>
    <w:rsid w:val="0084067F"/>
    <w:rsid w:val="00840ACA"/>
    <w:rsid w:val="00840C52"/>
    <w:rsid w:val="00840D6F"/>
    <w:rsid w:val="008414B7"/>
    <w:rsid w:val="00841567"/>
    <w:rsid w:val="00841626"/>
    <w:rsid w:val="008416C7"/>
    <w:rsid w:val="0084184C"/>
    <w:rsid w:val="00841AC8"/>
    <w:rsid w:val="00841C09"/>
    <w:rsid w:val="00841E16"/>
    <w:rsid w:val="008423F5"/>
    <w:rsid w:val="00842C5F"/>
    <w:rsid w:val="00842FDC"/>
    <w:rsid w:val="0084315C"/>
    <w:rsid w:val="008431D7"/>
    <w:rsid w:val="0084352A"/>
    <w:rsid w:val="0084357F"/>
    <w:rsid w:val="008435B0"/>
    <w:rsid w:val="008436A1"/>
    <w:rsid w:val="008438FF"/>
    <w:rsid w:val="0084408F"/>
    <w:rsid w:val="00844251"/>
    <w:rsid w:val="00844578"/>
    <w:rsid w:val="008449B0"/>
    <w:rsid w:val="00844BB1"/>
    <w:rsid w:val="00844F20"/>
    <w:rsid w:val="0084511E"/>
    <w:rsid w:val="0084512C"/>
    <w:rsid w:val="0084529D"/>
    <w:rsid w:val="008453CC"/>
    <w:rsid w:val="00845820"/>
    <w:rsid w:val="00845BD8"/>
    <w:rsid w:val="00845BDF"/>
    <w:rsid w:val="00845E6D"/>
    <w:rsid w:val="00845EB6"/>
    <w:rsid w:val="00846256"/>
    <w:rsid w:val="008465B9"/>
    <w:rsid w:val="0084749E"/>
    <w:rsid w:val="008474D9"/>
    <w:rsid w:val="008476F8"/>
    <w:rsid w:val="00847913"/>
    <w:rsid w:val="00847F25"/>
    <w:rsid w:val="008502DA"/>
    <w:rsid w:val="008502EF"/>
    <w:rsid w:val="00850334"/>
    <w:rsid w:val="00850998"/>
    <w:rsid w:val="00850F67"/>
    <w:rsid w:val="00851185"/>
    <w:rsid w:val="0085131B"/>
    <w:rsid w:val="00851BDC"/>
    <w:rsid w:val="0085201A"/>
    <w:rsid w:val="008530D7"/>
    <w:rsid w:val="00853224"/>
    <w:rsid w:val="00853341"/>
    <w:rsid w:val="008534F2"/>
    <w:rsid w:val="0085392E"/>
    <w:rsid w:val="00853B79"/>
    <w:rsid w:val="00853BF7"/>
    <w:rsid w:val="008540B2"/>
    <w:rsid w:val="008544A0"/>
    <w:rsid w:val="008548B8"/>
    <w:rsid w:val="00854A52"/>
    <w:rsid w:val="00855118"/>
    <w:rsid w:val="008558CC"/>
    <w:rsid w:val="00855AF6"/>
    <w:rsid w:val="008563D7"/>
    <w:rsid w:val="008569BD"/>
    <w:rsid w:val="00856C3D"/>
    <w:rsid w:val="00856CCB"/>
    <w:rsid w:val="00856D9A"/>
    <w:rsid w:val="008573A2"/>
    <w:rsid w:val="008574C5"/>
    <w:rsid w:val="00857D01"/>
    <w:rsid w:val="00857D10"/>
    <w:rsid w:val="008609B3"/>
    <w:rsid w:val="00860BA0"/>
    <w:rsid w:val="0086117F"/>
    <w:rsid w:val="008611CD"/>
    <w:rsid w:val="0086199A"/>
    <w:rsid w:val="00862155"/>
    <w:rsid w:val="008627E1"/>
    <w:rsid w:val="00862F19"/>
    <w:rsid w:val="00863044"/>
    <w:rsid w:val="0086310B"/>
    <w:rsid w:val="0086323F"/>
    <w:rsid w:val="00863550"/>
    <w:rsid w:val="00864002"/>
    <w:rsid w:val="00864641"/>
    <w:rsid w:val="0086479A"/>
    <w:rsid w:val="008647F3"/>
    <w:rsid w:val="00864A74"/>
    <w:rsid w:val="00865282"/>
    <w:rsid w:val="008654C3"/>
    <w:rsid w:val="00865AA0"/>
    <w:rsid w:val="00865B0E"/>
    <w:rsid w:val="00865B8B"/>
    <w:rsid w:val="00865ED3"/>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0E5B"/>
    <w:rsid w:val="00871267"/>
    <w:rsid w:val="008714BE"/>
    <w:rsid w:val="00871540"/>
    <w:rsid w:val="008715A7"/>
    <w:rsid w:val="00871867"/>
    <w:rsid w:val="00871A7A"/>
    <w:rsid w:val="00872B4D"/>
    <w:rsid w:val="00872D1A"/>
    <w:rsid w:val="00872E80"/>
    <w:rsid w:val="00873B5F"/>
    <w:rsid w:val="00873CAB"/>
    <w:rsid w:val="00873CB1"/>
    <w:rsid w:val="008743DE"/>
    <w:rsid w:val="008746DE"/>
    <w:rsid w:val="008749FA"/>
    <w:rsid w:val="00875141"/>
    <w:rsid w:val="008751E6"/>
    <w:rsid w:val="00875D58"/>
    <w:rsid w:val="00875FCA"/>
    <w:rsid w:val="0087618A"/>
    <w:rsid w:val="0087628E"/>
    <w:rsid w:val="008764DB"/>
    <w:rsid w:val="00876599"/>
    <w:rsid w:val="00876BAC"/>
    <w:rsid w:val="00876C6B"/>
    <w:rsid w:val="00876D36"/>
    <w:rsid w:val="00877329"/>
    <w:rsid w:val="00877B58"/>
    <w:rsid w:val="00877F12"/>
    <w:rsid w:val="00880438"/>
    <w:rsid w:val="00881001"/>
    <w:rsid w:val="0088102D"/>
    <w:rsid w:val="008812BB"/>
    <w:rsid w:val="00881433"/>
    <w:rsid w:val="00881637"/>
    <w:rsid w:val="00881707"/>
    <w:rsid w:val="00881C09"/>
    <w:rsid w:val="00881E4E"/>
    <w:rsid w:val="00882249"/>
    <w:rsid w:val="008826F4"/>
    <w:rsid w:val="00882A24"/>
    <w:rsid w:val="00882CFB"/>
    <w:rsid w:val="0088301F"/>
    <w:rsid w:val="008830E1"/>
    <w:rsid w:val="00883487"/>
    <w:rsid w:val="0088355F"/>
    <w:rsid w:val="00883669"/>
    <w:rsid w:val="00883980"/>
    <w:rsid w:val="00883A06"/>
    <w:rsid w:val="00883B5C"/>
    <w:rsid w:val="00883CF0"/>
    <w:rsid w:val="00883EFC"/>
    <w:rsid w:val="008844D7"/>
    <w:rsid w:val="00884A54"/>
    <w:rsid w:val="00884B75"/>
    <w:rsid w:val="00884D25"/>
    <w:rsid w:val="00885074"/>
    <w:rsid w:val="008850F6"/>
    <w:rsid w:val="008855A8"/>
    <w:rsid w:val="008859C6"/>
    <w:rsid w:val="008859EB"/>
    <w:rsid w:val="00885BB6"/>
    <w:rsid w:val="00885CD1"/>
    <w:rsid w:val="008861F5"/>
    <w:rsid w:val="00886AE4"/>
    <w:rsid w:val="00886C1E"/>
    <w:rsid w:val="00886DD8"/>
    <w:rsid w:val="00887200"/>
    <w:rsid w:val="0088728A"/>
    <w:rsid w:val="00887541"/>
    <w:rsid w:val="008900EB"/>
    <w:rsid w:val="008900F7"/>
    <w:rsid w:val="00890253"/>
    <w:rsid w:val="00890304"/>
    <w:rsid w:val="008907B9"/>
    <w:rsid w:val="0089081F"/>
    <w:rsid w:val="008909D6"/>
    <w:rsid w:val="00890AB0"/>
    <w:rsid w:val="00890CB5"/>
    <w:rsid w:val="0089106B"/>
    <w:rsid w:val="00891487"/>
    <w:rsid w:val="008917DB"/>
    <w:rsid w:val="00891B06"/>
    <w:rsid w:val="00891F54"/>
    <w:rsid w:val="008922C6"/>
    <w:rsid w:val="00892776"/>
    <w:rsid w:val="008927D9"/>
    <w:rsid w:val="008928C4"/>
    <w:rsid w:val="008928CD"/>
    <w:rsid w:val="00892C3E"/>
    <w:rsid w:val="00892F75"/>
    <w:rsid w:val="0089355D"/>
    <w:rsid w:val="008939DA"/>
    <w:rsid w:val="00893B28"/>
    <w:rsid w:val="00893C21"/>
    <w:rsid w:val="00893E9F"/>
    <w:rsid w:val="00893FEE"/>
    <w:rsid w:val="00894548"/>
    <w:rsid w:val="00894876"/>
    <w:rsid w:val="0089534A"/>
    <w:rsid w:val="00895389"/>
    <w:rsid w:val="00895CD6"/>
    <w:rsid w:val="00896415"/>
    <w:rsid w:val="00896D9D"/>
    <w:rsid w:val="00896F84"/>
    <w:rsid w:val="00897033"/>
    <w:rsid w:val="008974C9"/>
    <w:rsid w:val="00897754"/>
    <w:rsid w:val="0089794D"/>
    <w:rsid w:val="008979A8"/>
    <w:rsid w:val="00897D1E"/>
    <w:rsid w:val="008A0044"/>
    <w:rsid w:val="008A0071"/>
    <w:rsid w:val="008A02AD"/>
    <w:rsid w:val="008A0314"/>
    <w:rsid w:val="008A0775"/>
    <w:rsid w:val="008A0B1E"/>
    <w:rsid w:val="008A133E"/>
    <w:rsid w:val="008A28DF"/>
    <w:rsid w:val="008A2C2B"/>
    <w:rsid w:val="008A2FBA"/>
    <w:rsid w:val="008A3134"/>
    <w:rsid w:val="008A3292"/>
    <w:rsid w:val="008A343A"/>
    <w:rsid w:val="008A3493"/>
    <w:rsid w:val="008A3614"/>
    <w:rsid w:val="008A3632"/>
    <w:rsid w:val="008A3847"/>
    <w:rsid w:val="008A4040"/>
    <w:rsid w:val="008A494F"/>
    <w:rsid w:val="008A49D2"/>
    <w:rsid w:val="008A4B2C"/>
    <w:rsid w:val="008A4D18"/>
    <w:rsid w:val="008A5102"/>
    <w:rsid w:val="008A54C4"/>
    <w:rsid w:val="008A6219"/>
    <w:rsid w:val="008A622F"/>
    <w:rsid w:val="008A6369"/>
    <w:rsid w:val="008A6731"/>
    <w:rsid w:val="008A676E"/>
    <w:rsid w:val="008A694C"/>
    <w:rsid w:val="008A6A4C"/>
    <w:rsid w:val="008A6B71"/>
    <w:rsid w:val="008A7739"/>
    <w:rsid w:val="008A797F"/>
    <w:rsid w:val="008A7DBB"/>
    <w:rsid w:val="008A7F6F"/>
    <w:rsid w:val="008B0296"/>
    <w:rsid w:val="008B047F"/>
    <w:rsid w:val="008B071C"/>
    <w:rsid w:val="008B09EE"/>
    <w:rsid w:val="008B1043"/>
    <w:rsid w:val="008B12BF"/>
    <w:rsid w:val="008B18CE"/>
    <w:rsid w:val="008B1B90"/>
    <w:rsid w:val="008B20B2"/>
    <w:rsid w:val="008B20EF"/>
    <w:rsid w:val="008B2509"/>
    <w:rsid w:val="008B269F"/>
    <w:rsid w:val="008B350A"/>
    <w:rsid w:val="008B397D"/>
    <w:rsid w:val="008B3B1C"/>
    <w:rsid w:val="008B3BEB"/>
    <w:rsid w:val="008B4764"/>
    <w:rsid w:val="008B5109"/>
    <w:rsid w:val="008B51DF"/>
    <w:rsid w:val="008B53AB"/>
    <w:rsid w:val="008B55DE"/>
    <w:rsid w:val="008B5A7E"/>
    <w:rsid w:val="008B5BC4"/>
    <w:rsid w:val="008B5CB5"/>
    <w:rsid w:val="008B62F4"/>
    <w:rsid w:val="008B64CE"/>
    <w:rsid w:val="008B66E8"/>
    <w:rsid w:val="008B6B69"/>
    <w:rsid w:val="008B6CF0"/>
    <w:rsid w:val="008B70FE"/>
    <w:rsid w:val="008B7142"/>
    <w:rsid w:val="008B7656"/>
    <w:rsid w:val="008B780E"/>
    <w:rsid w:val="008B79E5"/>
    <w:rsid w:val="008B7EF8"/>
    <w:rsid w:val="008C0040"/>
    <w:rsid w:val="008C028A"/>
    <w:rsid w:val="008C05F3"/>
    <w:rsid w:val="008C0E9E"/>
    <w:rsid w:val="008C0F92"/>
    <w:rsid w:val="008C1080"/>
    <w:rsid w:val="008C12C2"/>
    <w:rsid w:val="008C131A"/>
    <w:rsid w:val="008C14EF"/>
    <w:rsid w:val="008C16C3"/>
    <w:rsid w:val="008C186F"/>
    <w:rsid w:val="008C18AA"/>
    <w:rsid w:val="008C1BA3"/>
    <w:rsid w:val="008C24CD"/>
    <w:rsid w:val="008C25CC"/>
    <w:rsid w:val="008C28C7"/>
    <w:rsid w:val="008C2CBA"/>
    <w:rsid w:val="008C2D29"/>
    <w:rsid w:val="008C2D5F"/>
    <w:rsid w:val="008C3279"/>
    <w:rsid w:val="008C350B"/>
    <w:rsid w:val="008C3FF6"/>
    <w:rsid w:val="008C44FF"/>
    <w:rsid w:val="008C4839"/>
    <w:rsid w:val="008C4969"/>
    <w:rsid w:val="008C573F"/>
    <w:rsid w:val="008C57B6"/>
    <w:rsid w:val="008C5868"/>
    <w:rsid w:val="008C5BA7"/>
    <w:rsid w:val="008C5BFC"/>
    <w:rsid w:val="008C5C01"/>
    <w:rsid w:val="008C5E09"/>
    <w:rsid w:val="008C6058"/>
    <w:rsid w:val="008C612B"/>
    <w:rsid w:val="008C6796"/>
    <w:rsid w:val="008C6909"/>
    <w:rsid w:val="008C6B69"/>
    <w:rsid w:val="008C70AD"/>
    <w:rsid w:val="008C7405"/>
    <w:rsid w:val="008C7501"/>
    <w:rsid w:val="008C7630"/>
    <w:rsid w:val="008C78DF"/>
    <w:rsid w:val="008C7D55"/>
    <w:rsid w:val="008C7F10"/>
    <w:rsid w:val="008C7F4D"/>
    <w:rsid w:val="008D0688"/>
    <w:rsid w:val="008D0F96"/>
    <w:rsid w:val="008D1423"/>
    <w:rsid w:val="008D1464"/>
    <w:rsid w:val="008D1A2D"/>
    <w:rsid w:val="008D1CA0"/>
    <w:rsid w:val="008D213D"/>
    <w:rsid w:val="008D21A9"/>
    <w:rsid w:val="008D2463"/>
    <w:rsid w:val="008D276E"/>
    <w:rsid w:val="008D3057"/>
    <w:rsid w:val="008D35CD"/>
    <w:rsid w:val="008D44F7"/>
    <w:rsid w:val="008D4C63"/>
    <w:rsid w:val="008D4C85"/>
    <w:rsid w:val="008D4E04"/>
    <w:rsid w:val="008D50BB"/>
    <w:rsid w:val="008D5541"/>
    <w:rsid w:val="008D5C81"/>
    <w:rsid w:val="008D5EBF"/>
    <w:rsid w:val="008D628B"/>
    <w:rsid w:val="008D7641"/>
    <w:rsid w:val="008D774E"/>
    <w:rsid w:val="008E01AC"/>
    <w:rsid w:val="008E03A4"/>
    <w:rsid w:val="008E0421"/>
    <w:rsid w:val="008E074A"/>
    <w:rsid w:val="008E10FD"/>
    <w:rsid w:val="008E1112"/>
    <w:rsid w:val="008E1122"/>
    <w:rsid w:val="008E11B9"/>
    <w:rsid w:val="008E14A8"/>
    <w:rsid w:val="008E1538"/>
    <w:rsid w:val="008E17DC"/>
    <w:rsid w:val="008E1821"/>
    <w:rsid w:val="008E274C"/>
    <w:rsid w:val="008E2CD8"/>
    <w:rsid w:val="008E3039"/>
    <w:rsid w:val="008E3217"/>
    <w:rsid w:val="008E336D"/>
    <w:rsid w:val="008E34C3"/>
    <w:rsid w:val="008E3773"/>
    <w:rsid w:val="008E3AB9"/>
    <w:rsid w:val="008E3F0E"/>
    <w:rsid w:val="008E42F8"/>
    <w:rsid w:val="008E45B9"/>
    <w:rsid w:val="008E45E9"/>
    <w:rsid w:val="008E54C8"/>
    <w:rsid w:val="008E54D5"/>
    <w:rsid w:val="008E562D"/>
    <w:rsid w:val="008E5771"/>
    <w:rsid w:val="008E5B93"/>
    <w:rsid w:val="008E5C1A"/>
    <w:rsid w:val="008E622C"/>
    <w:rsid w:val="008E6A1E"/>
    <w:rsid w:val="008E6BAB"/>
    <w:rsid w:val="008E6CB7"/>
    <w:rsid w:val="008E793F"/>
    <w:rsid w:val="008E7DFA"/>
    <w:rsid w:val="008E7EFA"/>
    <w:rsid w:val="008F0D4D"/>
    <w:rsid w:val="008F0E84"/>
    <w:rsid w:val="008F11C6"/>
    <w:rsid w:val="008F17D7"/>
    <w:rsid w:val="008F1A87"/>
    <w:rsid w:val="008F2545"/>
    <w:rsid w:val="008F2770"/>
    <w:rsid w:val="008F293D"/>
    <w:rsid w:val="008F2A83"/>
    <w:rsid w:val="008F2E85"/>
    <w:rsid w:val="008F3218"/>
    <w:rsid w:val="008F397D"/>
    <w:rsid w:val="008F3E06"/>
    <w:rsid w:val="008F41D2"/>
    <w:rsid w:val="008F4541"/>
    <w:rsid w:val="008F477F"/>
    <w:rsid w:val="008F4B60"/>
    <w:rsid w:val="008F4C54"/>
    <w:rsid w:val="008F4E3F"/>
    <w:rsid w:val="008F5453"/>
    <w:rsid w:val="008F55B4"/>
    <w:rsid w:val="008F5605"/>
    <w:rsid w:val="008F563E"/>
    <w:rsid w:val="008F591D"/>
    <w:rsid w:val="008F5938"/>
    <w:rsid w:val="008F5B2A"/>
    <w:rsid w:val="008F5ED5"/>
    <w:rsid w:val="008F61FF"/>
    <w:rsid w:val="008F62E8"/>
    <w:rsid w:val="008F6490"/>
    <w:rsid w:val="008F694A"/>
    <w:rsid w:val="008F6A19"/>
    <w:rsid w:val="008F6B17"/>
    <w:rsid w:val="008F6F73"/>
    <w:rsid w:val="008F77CF"/>
    <w:rsid w:val="008F7900"/>
    <w:rsid w:val="008F7A85"/>
    <w:rsid w:val="008F7CB2"/>
    <w:rsid w:val="0090065D"/>
    <w:rsid w:val="009009C0"/>
    <w:rsid w:val="0090111F"/>
    <w:rsid w:val="0090159B"/>
    <w:rsid w:val="009017F5"/>
    <w:rsid w:val="00901AA7"/>
    <w:rsid w:val="00902230"/>
    <w:rsid w:val="009025E9"/>
    <w:rsid w:val="00902E9C"/>
    <w:rsid w:val="00903A02"/>
    <w:rsid w:val="00903A52"/>
    <w:rsid w:val="00903E9A"/>
    <w:rsid w:val="009040E6"/>
    <w:rsid w:val="009044C2"/>
    <w:rsid w:val="0090482B"/>
    <w:rsid w:val="00904D2F"/>
    <w:rsid w:val="00905060"/>
    <w:rsid w:val="0090561D"/>
    <w:rsid w:val="009059FF"/>
    <w:rsid w:val="00905A2C"/>
    <w:rsid w:val="009060E6"/>
    <w:rsid w:val="0090617B"/>
    <w:rsid w:val="009061EE"/>
    <w:rsid w:val="009062D6"/>
    <w:rsid w:val="009069F7"/>
    <w:rsid w:val="00906A4F"/>
    <w:rsid w:val="00906A62"/>
    <w:rsid w:val="00906C20"/>
    <w:rsid w:val="00906E3C"/>
    <w:rsid w:val="009071FC"/>
    <w:rsid w:val="00907475"/>
    <w:rsid w:val="00907520"/>
    <w:rsid w:val="00907D5B"/>
    <w:rsid w:val="00907ECC"/>
    <w:rsid w:val="00910580"/>
    <w:rsid w:val="00910611"/>
    <w:rsid w:val="00910D61"/>
    <w:rsid w:val="00910EF9"/>
    <w:rsid w:val="00911711"/>
    <w:rsid w:val="009118F9"/>
    <w:rsid w:val="00911BF0"/>
    <w:rsid w:val="00912897"/>
    <w:rsid w:val="0091292C"/>
    <w:rsid w:val="00912D26"/>
    <w:rsid w:val="009137FC"/>
    <w:rsid w:val="0091386A"/>
    <w:rsid w:val="00913977"/>
    <w:rsid w:val="00913BF9"/>
    <w:rsid w:val="00913F3F"/>
    <w:rsid w:val="00913FA0"/>
    <w:rsid w:val="00914203"/>
    <w:rsid w:val="00914BF1"/>
    <w:rsid w:val="00915E32"/>
    <w:rsid w:val="00915FD8"/>
    <w:rsid w:val="009163F2"/>
    <w:rsid w:val="00916A6B"/>
    <w:rsid w:val="00916C84"/>
    <w:rsid w:val="0091715D"/>
    <w:rsid w:val="009173E0"/>
    <w:rsid w:val="00917406"/>
    <w:rsid w:val="0091760A"/>
    <w:rsid w:val="0091787D"/>
    <w:rsid w:val="00917AD6"/>
    <w:rsid w:val="00917D3D"/>
    <w:rsid w:val="00917F6F"/>
    <w:rsid w:val="009204A0"/>
    <w:rsid w:val="009204CF"/>
    <w:rsid w:val="00920531"/>
    <w:rsid w:val="009206CB"/>
    <w:rsid w:val="009208F2"/>
    <w:rsid w:val="00920BE1"/>
    <w:rsid w:val="00920CE8"/>
    <w:rsid w:val="00920FDA"/>
    <w:rsid w:val="00921A71"/>
    <w:rsid w:val="00921A92"/>
    <w:rsid w:val="00921BE7"/>
    <w:rsid w:val="00921F56"/>
    <w:rsid w:val="009226B8"/>
    <w:rsid w:val="009228DD"/>
    <w:rsid w:val="00922F09"/>
    <w:rsid w:val="009231C2"/>
    <w:rsid w:val="00923245"/>
    <w:rsid w:val="0092458D"/>
    <w:rsid w:val="00924A8A"/>
    <w:rsid w:val="0092560D"/>
    <w:rsid w:val="00925757"/>
    <w:rsid w:val="0092584C"/>
    <w:rsid w:val="00925867"/>
    <w:rsid w:val="00925BF6"/>
    <w:rsid w:val="00925C80"/>
    <w:rsid w:val="00925DD5"/>
    <w:rsid w:val="00925F5A"/>
    <w:rsid w:val="00925FBD"/>
    <w:rsid w:val="0092649C"/>
    <w:rsid w:val="009268A8"/>
    <w:rsid w:val="00926992"/>
    <w:rsid w:val="0092752C"/>
    <w:rsid w:val="00927C73"/>
    <w:rsid w:val="00927DDF"/>
    <w:rsid w:val="00927E27"/>
    <w:rsid w:val="00927F34"/>
    <w:rsid w:val="00930216"/>
    <w:rsid w:val="009307D9"/>
    <w:rsid w:val="00930A51"/>
    <w:rsid w:val="00930D5D"/>
    <w:rsid w:val="00930EA7"/>
    <w:rsid w:val="00930F3B"/>
    <w:rsid w:val="009312FE"/>
    <w:rsid w:val="00931A96"/>
    <w:rsid w:val="00931A98"/>
    <w:rsid w:val="009321E6"/>
    <w:rsid w:val="0093234D"/>
    <w:rsid w:val="00932653"/>
    <w:rsid w:val="009330B9"/>
    <w:rsid w:val="0093336C"/>
    <w:rsid w:val="009335CA"/>
    <w:rsid w:val="00933951"/>
    <w:rsid w:val="00933CAD"/>
    <w:rsid w:val="00933D4C"/>
    <w:rsid w:val="00934469"/>
    <w:rsid w:val="00934643"/>
    <w:rsid w:val="00934780"/>
    <w:rsid w:val="009348A1"/>
    <w:rsid w:val="00934ED1"/>
    <w:rsid w:val="00935493"/>
    <w:rsid w:val="009356A2"/>
    <w:rsid w:val="00935D20"/>
    <w:rsid w:val="00936291"/>
    <w:rsid w:val="00936703"/>
    <w:rsid w:val="00936D4E"/>
    <w:rsid w:val="00936ED8"/>
    <w:rsid w:val="00936EF4"/>
    <w:rsid w:val="009370E1"/>
    <w:rsid w:val="009370FC"/>
    <w:rsid w:val="00937695"/>
    <w:rsid w:val="00937961"/>
    <w:rsid w:val="00937B32"/>
    <w:rsid w:val="00937C62"/>
    <w:rsid w:val="00937E6D"/>
    <w:rsid w:val="00940372"/>
    <w:rsid w:val="00940600"/>
    <w:rsid w:val="00940BD8"/>
    <w:rsid w:val="00940DB8"/>
    <w:rsid w:val="00940E40"/>
    <w:rsid w:val="00941155"/>
    <w:rsid w:val="0094151C"/>
    <w:rsid w:val="009415D0"/>
    <w:rsid w:val="00941815"/>
    <w:rsid w:val="00941B5C"/>
    <w:rsid w:val="00941BD9"/>
    <w:rsid w:val="00941C32"/>
    <w:rsid w:val="00941D87"/>
    <w:rsid w:val="00942067"/>
    <w:rsid w:val="009423D8"/>
    <w:rsid w:val="00942407"/>
    <w:rsid w:val="009425F9"/>
    <w:rsid w:val="00942FC0"/>
    <w:rsid w:val="009435B6"/>
    <w:rsid w:val="0094373F"/>
    <w:rsid w:val="00944657"/>
    <w:rsid w:val="0094481F"/>
    <w:rsid w:val="00944BCB"/>
    <w:rsid w:val="00944F41"/>
    <w:rsid w:val="0094537F"/>
    <w:rsid w:val="009453B7"/>
    <w:rsid w:val="00945823"/>
    <w:rsid w:val="00945833"/>
    <w:rsid w:val="00945890"/>
    <w:rsid w:val="00945D36"/>
    <w:rsid w:val="00945FC0"/>
    <w:rsid w:val="009463E2"/>
    <w:rsid w:val="009464C8"/>
    <w:rsid w:val="009465CB"/>
    <w:rsid w:val="00946641"/>
    <w:rsid w:val="00946B9E"/>
    <w:rsid w:val="00947469"/>
    <w:rsid w:val="009475BF"/>
    <w:rsid w:val="009509FD"/>
    <w:rsid w:val="00950B2C"/>
    <w:rsid w:val="00950B7A"/>
    <w:rsid w:val="00950CE7"/>
    <w:rsid w:val="00951A04"/>
    <w:rsid w:val="00951AE4"/>
    <w:rsid w:val="00952672"/>
    <w:rsid w:val="00952885"/>
    <w:rsid w:val="00953349"/>
    <w:rsid w:val="00954318"/>
    <w:rsid w:val="0095484A"/>
    <w:rsid w:val="00954A06"/>
    <w:rsid w:val="00954B9B"/>
    <w:rsid w:val="00955481"/>
    <w:rsid w:val="00955679"/>
    <w:rsid w:val="00955916"/>
    <w:rsid w:val="009559EE"/>
    <w:rsid w:val="00955C5A"/>
    <w:rsid w:val="00955CDB"/>
    <w:rsid w:val="009567F9"/>
    <w:rsid w:val="00956846"/>
    <w:rsid w:val="00956C78"/>
    <w:rsid w:val="00956CDF"/>
    <w:rsid w:val="00956D70"/>
    <w:rsid w:val="009572D6"/>
    <w:rsid w:val="00957BD6"/>
    <w:rsid w:val="00957E95"/>
    <w:rsid w:val="00960533"/>
    <w:rsid w:val="00960746"/>
    <w:rsid w:val="00960888"/>
    <w:rsid w:val="00960E77"/>
    <w:rsid w:val="00961311"/>
    <w:rsid w:val="00961651"/>
    <w:rsid w:val="00961B6C"/>
    <w:rsid w:val="0096213D"/>
    <w:rsid w:val="009626A9"/>
    <w:rsid w:val="00962A3E"/>
    <w:rsid w:val="00962A99"/>
    <w:rsid w:val="00963142"/>
    <w:rsid w:val="0096321E"/>
    <w:rsid w:val="00963273"/>
    <w:rsid w:val="009633AF"/>
    <w:rsid w:val="0096341A"/>
    <w:rsid w:val="00963453"/>
    <w:rsid w:val="009638E8"/>
    <w:rsid w:val="00963900"/>
    <w:rsid w:val="00963ADF"/>
    <w:rsid w:val="00963B51"/>
    <w:rsid w:val="00963D22"/>
    <w:rsid w:val="009640E4"/>
    <w:rsid w:val="00964425"/>
    <w:rsid w:val="00964D19"/>
    <w:rsid w:val="00964D2B"/>
    <w:rsid w:val="009659B5"/>
    <w:rsid w:val="00965AF1"/>
    <w:rsid w:val="00965B91"/>
    <w:rsid w:val="00965E56"/>
    <w:rsid w:val="00965F20"/>
    <w:rsid w:val="00966232"/>
    <w:rsid w:val="009664C7"/>
    <w:rsid w:val="009665E0"/>
    <w:rsid w:val="009667B6"/>
    <w:rsid w:val="00967978"/>
    <w:rsid w:val="00967D02"/>
    <w:rsid w:val="00967E1B"/>
    <w:rsid w:val="0097016F"/>
    <w:rsid w:val="0097047F"/>
    <w:rsid w:val="00970970"/>
    <w:rsid w:val="00970BD6"/>
    <w:rsid w:val="00970ECC"/>
    <w:rsid w:val="00970F83"/>
    <w:rsid w:val="0097163E"/>
    <w:rsid w:val="0097193F"/>
    <w:rsid w:val="00971D34"/>
    <w:rsid w:val="00971DB8"/>
    <w:rsid w:val="009725D7"/>
    <w:rsid w:val="00973131"/>
    <w:rsid w:val="009732AB"/>
    <w:rsid w:val="00973801"/>
    <w:rsid w:val="009738B9"/>
    <w:rsid w:val="0097396E"/>
    <w:rsid w:val="00974113"/>
    <w:rsid w:val="009742F5"/>
    <w:rsid w:val="00974621"/>
    <w:rsid w:val="009747CE"/>
    <w:rsid w:val="00974904"/>
    <w:rsid w:val="00974B3A"/>
    <w:rsid w:val="009759F0"/>
    <w:rsid w:val="00975A2B"/>
    <w:rsid w:val="00975B8E"/>
    <w:rsid w:val="00976298"/>
    <w:rsid w:val="00976299"/>
    <w:rsid w:val="009763CD"/>
    <w:rsid w:val="0097666D"/>
    <w:rsid w:val="00976AD4"/>
    <w:rsid w:val="00977AFA"/>
    <w:rsid w:val="00977D86"/>
    <w:rsid w:val="00980384"/>
    <w:rsid w:val="00980D58"/>
    <w:rsid w:val="00980FD5"/>
    <w:rsid w:val="00981240"/>
    <w:rsid w:val="009814BA"/>
    <w:rsid w:val="0098183B"/>
    <w:rsid w:val="00981B3B"/>
    <w:rsid w:val="00981D62"/>
    <w:rsid w:val="00981DF3"/>
    <w:rsid w:val="00982786"/>
    <w:rsid w:val="00982AAE"/>
    <w:rsid w:val="00982BE2"/>
    <w:rsid w:val="00982C3A"/>
    <w:rsid w:val="0098302F"/>
    <w:rsid w:val="009832C1"/>
    <w:rsid w:val="0098348D"/>
    <w:rsid w:val="00983A4F"/>
    <w:rsid w:val="009841B6"/>
    <w:rsid w:val="009844CF"/>
    <w:rsid w:val="009844D5"/>
    <w:rsid w:val="009845A3"/>
    <w:rsid w:val="009846E5"/>
    <w:rsid w:val="00984C26"/>
    <w:rsid w:val="00984CF4"/>
    <w:rsid w:val="00984E8D"/>
    <w:rsid w:val="0098525B"/>
    <w:rsid w:val="0098525F"/>
    <w:rsid w:val="00985717"/>
    <w:rsid w:val="00985770"/>
    <w:rsid w:val="009857D5"/>
    <w:rsid w:val="00985894"/>
    <w:rsid w:val="00985D75"/>
    <w:rsid w:val="00985E11"/>
    <w:rsid w:val="00986AB1"/>
    <w:rsid w:val="00986BDD"/>
    <w:rsid w:val="00986C55"/>
    <w:rsid w:val="00986D96"/>
    <w:rsid w:val="00987570"/>
    <w:rsid w:val="00987ADB"/>
    <w:rsid w:val="009900C7"/>
    <w:rsid w:val="009903AF"/>
    <w:rsid w:val="0099046B"/>
    <w:rsid w:val="00990649"/>
    <w:rsid w:val="00991116"/>
    <w:rsid w:val="00991198"/>
    <w:rsid w:val="00991235"/>
    <w:rsid w:val="00991667"/>
    <w:rsid w:val="00992524"/>
    <w:rsid w:val="0099275B"/>
    <w:rsid w:val="00992AEB"/>
    <w:rsid w:val="00992B64"/>
    <w:rsid w:val="00992ECB"/>
    <w:rsid w:val="0099305B"/>
    <w:rsid w:val="00993870"/>
    <w:rsid w:val="009939D8"/>
    <w:rsid w:val="00993E62"/>
    <w:rsid w:val="00994206"/>
    <w:rsid w:val="00994642"/>
    <w:rsid w:val="00994811"/>
    <w:rsid w:val="00994A3F"/>
    <w:rsid w:val="00995856"/>
    <w:rsid w:val="00995E28"/>
    <w:rsid w:val="00996491"/>
    <w:rsid w:val="009966DC"/>
    <w:rsid w:val="00996EC9"/>
    <w:rsid w:val="00997536"/>
    <w:rsid w:val="00997957"/>
    <w:rsid w:val="00997B3C"/>
    <w:rsid w:val="00997C6B"/>
    <w:rsid w:val="009A0411"/>
    <w:rsid w:val="009A0427"/>
    <w:rsid w:val="009A0550"/>
    <w:rsid w:val="009A067B"/>
    <w:rsid w:val="009A0733"/>
    <w:rsid w:val="009A0D01"/>
    <w:rsid w:val="009A0D17"/>
    <w:rsid w:val="009A167C"/>
    <w:rsid w:val="009A1F15"/>
    <w:rsid w:val="009A21D3"/>
    <w:rsid w:val="009A2D35"/>
    <w:rsid w:val="009A2D64"/>
    <w:rsid w:val="009A30FD"/>
    <w:rsid w:val="009A336C"/>
    <w:rsid w:val="009A38D8"/>
    <w:rsid w:val="009A39E3"/>
    <w:rsid w:val="009A3AB2"/>
    <w:rsid w:val="009A4750"/>
    <w:rsid w:val="009A4884"/>
    <w:rsid w:val="009A4B39"/>
    <w:rsid w:val="009A4B7B"/>
    <w:rsid w:val="009A4F7F"/>
    <w:rsid w:val="009A4F82"/>
    <w:rsid w:val="009A4FB1"/>
    <w:rsid w:val="009A519B"/>
    <w:rsid w:val="009A53A9"/>
    <w:rsid w:val="009A5411"/>
    <w:rsid w:val="009A57A9"/>
    <w:rsid w:val="009A5F34"/>
    <w:rsid w:val="009A6087"/>
    <w:rsid w:val="009A6625"/>
    <w:rsid w:val="009A69D0"/>
    <w:rsid w:val="009A6BC1"/>
    <w:rsid w:val="009A6CD0"/>
    <w:rsid w:val="009A6E18"/>
    <w:rsid w:val="009A78ED"/>
    <w:rsid w:val="009A7B00"/>
    <w:rsid w:val="009B0196"/>
    <w:rsid w:val="009B03AF"/>
    <w:rsid w:val="009B03B7"/>
    <w:rsid w:val="009B0646"/>
    <w:rsid w:val="009B0731"/>
    <w:rsid w:val="009B0996"/>
    <w:rsid w:val="009B0B4D"/>
    <w:rsid w:val="009B0C1C"/>
    <w:rsid w:val="009B14E0"/>
    <w:rsid w:val="009B163B"/>
    <w:rsid w:val="009B1B9F"/>
    <w:rsid w:val="009B1E37"/>
    <w:rsid w:val="009B1F99"/>
    <w:rsid w:val="009B1FAE"/>
    <w:rsid w:val="009B260A"/>
    <w:rsid w:val="009B2870"/>
    <w:rsid w:val="009B2875"/>
    <w:rsid w:val="009B2C46"/>
    <w:rsid w:val="009B30A3"/>
    <w:rsid w:val="009B3697"/>
    <w:rsid w:val="009B3CA9"/>
    <w:rsid w:val="009B3F2F"/>
    <w:rsid w:val="009B41E9"/>
    <w:rsid w:val="009B420C"/>
    <w:rsid w:val="009B4CB4"/>
    <w:rsid w:val="009B51C7"/>
    <w:rsid w:val="009B5328"/>
    <w:rsid w:val="009B5413"/>
    <w:rsid w:val="009B5A77"/>
    <w:rsid w:val="009B6283"/>
    <w:rsid w:val="009B6BC6"/>
    <w:rsid w:val="009B6CD8"/>
    <w:rsid w:val="009B7D75"/>
    <w:rsid w:val="009B7F88"/>
    <w:rsid w:val="009C000B"/>
    <w:rsid w:val="009C0097"/>
    <w:rsid w:val="009C0114"/>
    <w:rsid w:val="009C0C35"/>
    <w:rsid w:val="009C0F2A"/>
    <w:rsid w:val="009C1262"/>
    <w:rsid w:val="009C1B7D"/>
    <w:rsid w:val="009C1D6A"/>
    <w:rsid w:val="009C1EC8"/>
    <w:rsid w:val="009C1F45"/>
    <w:rsid w:val="009C1FA0"/>
    <w:rsid w:val="009C2060"/>
    <w:rsid w:val="009C2DDE"/>
    <w:rsid w:val="009C32C7"/>
    <w:rsid w:val="009C3656"/>
    <w:rsid w:val="009C392E"/>
    <w:rsid w:val="009C3B5D"/>
    <w:rsid w:val="009C3BF1"/>
    <w:rsid w:val="009C4016"/>
    <w:rsid w:val="009C4476"/>
    <w:rsid w:val="009C458C"/>
    <w:rsid w:val="009C458E"/>
    <w:rsid w:val="009C4704"/>
    <w:rsid w:val="009C4A36"/>
    <w:rsid w:val="009C4D99"/>
    <w:rsid w:val="009C519E"/>
    <w:rsid w:val="009C52CB"/>
    <w:rsid w:val="009C5587"/>
    <w:rsid w:val="009C55C4"/>
    <w:rsid w:val="009C5665"/>
    <w:rsid w:val="009C58B4"/>
    <w:rsid w:val="009C58C7"/>
    <w:rsid w:val="009C5935"/>
    <w:rsid w:val="009C5957"/>
    <w:rsid w:val="009C5A97"/>
    <w:rsid w:val="009C5EDC"/>
    <w:rsid w:val="009C5F02"/>
    <w:rsid w:val="009C6665"/>
    <w:rsid w:val="009C6A3A"/>
    <w:rsid w:val="009C7250"/>
    <w:rsid w:val="009C7691"/>
    <w:rsid w:val="009C76FD"/>
    <w:rsid w:val="009C7CE7"/>
    <w:rsid w:val="009C7E58"/>
    <w:rsid w:val="009D01BF"/>
    <w:rsid w:val="009D0741"/>
    <w:rsid w:val="009D0A75"/>
    <w:rsid w:val="009D10C3"/>
    <w:rsid w:val="009D111E"/>
    <w:rsid w:val="009D1270"/>
    <w:rsid w:val="009D1296"/>
    <w:rsid w:val="009D15E7"/>
    <w:rsid w:val="009D1A5D"/>
    <w:rsid w:val="009D1B45"/>
    <w:rsid w:val="009D1E43"/>
    <w:rsid w:val="009D214A"/>
    <w:rsid w:val="009D2277"/>
    <w:rsid w:val="009D2576"/>
    <w:rsid w:val="009D26DF"/>
    <w:rsid w:val="009D2D33"/>
    <w:rsid w:val="009D301C"/>
    <w:rsid w:val="009D31BB"/>
    <w:rsid w:val="009D3654"/>
    <w:rsid w:val="009D3EF2"/>
    <w:rsid w:val="009D4419"/>
    <w:rsid w:val="009D48DA"/>
    <w:rsid w:val="009D4E77"/>
    <w:rsid w:val="009D5090"/>
    <w:rsid w:val="009D51CD"/>
    <w:rsid w:val="009D5453"/>
    <w:rsid w:val="009D5B40"/>
    <w:rsid w:val="009D5B60"/>
    <w:rsid w:val="009D60EF"/>
    <w:rsid w:val="009D61F3"/>
    <w:rsid w:val="009D668B"/>
    <w:rsid w:val="009D66E2"/>
    <w:rsid w:val="009D6CA3"/>
    <w:rsid w:val="009D7578"/>
    <w:rsid w:val="009D75B8"/>
    <w:rsid w:val="009D76B7"/>
    <w:rsid w:val="009D7786"/>
    <w:rsid w:val="009E00FD"/>
    <w:rsid w:val="009E0ABC"/>
    <w:rsid w:val="009E0EED"/>
    <w:rsid w:val="009E1AAA"/>
    <w:rsid w:val="009E1C17"/>
    <w:rsid w:val="009E2108"/>
    <w:rsid w:val="009E222A"/>
    <w:rsid w:val="009E2269"/>
    <w:rsid w:val="009E27A7"/>
    <w:rsid w:val="009E2B01"/>
    <w:rsid w:val="009E2EE8"/>
    <w:rsid w:val="009E2EEB"/>
    <w:rsid w:val="009E3361"/>
    <w:rsid w:val="009E35AF"/>
    <w:rsid w:val="009E35B8"/>
    <w:rsid w:val="009E3771"/>
    <w:rsid w:val="009E3807"/>
    <w:rsid w:val="009E3E09"/>
    <w:rsid w:val="009E3E35"/>
    <w:rsid w:val="009E4035"/>
    <w:rsid w:val="009E403B"/>
    <w:rsid w:val="009E447D"/>
    <w:rsid w:val="009E4B3D"/>
    <w:rsid w:val="009E5064"/>
    <w:rsid w:val="009E523F"/>
    <w:rsid w:val="009E598F"/>
    <w:rsid w:val="009E5B6D"/>
    <w:rsid w:val="009E6541"/>
    <w:rsid w:val="009E66EC"/>
    <w:rsid w:val="009E6951"/>
    <w:rsid w:val="009E6BD8"/>
    <w:rsid w:val="009E6D81"/>
    <w:rsid w:val="009E75C1"/>
    <w:rsid w:val="009E775E"/>
    <w:rsid w:val="009E7890"/>
    <w:rsid w:val="009F0423"/>
    <w:rsid w:val="009F0961"/>
    <w:rsid w:val="009F0E6C"/>
    <w:rsid w:val="009F12E0"/>
    <w:rsid w:val="009F13EE"/>
    <w:rsid w:val="009F15B7"/>
    <w:rsid w:val="009F1A8A"/>
    <w:rsid w:val="009F21DB"/>
    <w:rsid w:val="009F2287"/>
    <w:rsid w:val="009F26B9"/>
    <w:rsid w:val="009F36C9"/>
    <w:rsid w:val="009F3991"/>
    <w:rsid w:val="009F3FBC"/>
    <w:rsid w:val="009F4096"/>
    <w:rsid w:val="009F474D"/>
    <w:rsid w:val="009F4899"/>
    <w:rsid w:val="009F505E"/>
    <w:rsid w:val="009F5A2A"/>
    <w:rsid w:val="009F5EDF"/>
    <w:rsid w:val="009F609A"/>
    <w:rsid w:val="009F66A0"/>
    <w:rsid w:val="009F690C"/>
    <w:rsid w:val="009F6FED"/>
    <w:rsid w:val="009F7204"/>
    <w:rsid w:val="009F721D"/>
    <w:rsid w:val="009F7D8E"/>
    <w:rsid w:val="00A0015E"/>
    <w:rsid w:val="00A009FA"/>
    <w:rsid w:val="00A00CE6"/>
    <w:rsid w:val="00A00E1C"/>
    <w:rsid w:val="00A0148E"/>
    <w:rsid w:val="00A01552"/>
    <w:rsid w:val="00A01658"/>
    <w:rsid w:val="00A0170C"/>
    <w:rsid w:val="00A01862"/>
    <w:rsid w:val="00A01A77"/>
    <w:rsid w:val="00A01B16"/>
    <w:rsid w:val="00A026DC"/>
    <w:rsid w:val="00A02B87"/>
    <w:rsid w:val="00A02BD3"/>
    <w:rsid w:val="00A02BE8"/>
    <w:rsid w:val="00A03A0C"/>
    <w:rsid w:val="00A03F90"/>
    <w:rsid w:val="00A04473"/>
    <w:rsid w:val="00A049C1"/>
    <w:rsid w:val="00A05821"/>
    <w:rsid w:val="00A058C2"/>
    <w:rsid w:val="00A05DFB"/>
    <w:rsid w:val="00A06460"/>
    <w:rsid w:val="00A06ADC"/>
    <w:rsid w:val="00A06DCB"/>
    <w:rsid w:val="00A06E73"/>
    <w:rsid w:val="00A070DA"/>
    <w:rsid w:val="00A0778F"/>
    <w:rsid w:val="00A07C73"/>
    <w:rsid w:val="00A1001A"/>
    <w:rsid w:val="00A10082"/>
    <w:rsid w:val="00A101FF"/>
    <w:rsid w:val="00A10568"/>
    <w:rsid w:val="00A111C1"/>
    <w:rsid w:val="00A1131E"/>
    <w:rsid w:val="00A11C82"/>
    <w:rsid w:val="00A11E96"/>
    <w:rsid w:val="00A11F03"/>
    <w:rsid w:val="00A11F35"/>
    <w:rsid w:val="00A12539"/>
    <w:rsid w:val="00A13101"/>
    <w:rsid w:val="00A1320E"/>
    <w:rsid w:val="00A13352"/>
    <w:rsid w:val="00A137F2"/>
    <w:rsid w:val="00A13E05"/>
    <w:rsid w:val="00A144FC"/>
    <w:rsid w:val="00A14792"/>
    <w:rsid w:val="00A14842"/>
    <w:rsid w:val="00A15910"/>
    <w:rsid w:val="00A164C6"/>
    <w:rsid w:val="00A1677F"/>
    <w:rsid w:val="00A16935"/>
    <w:rsid w:val="00A17453"/>
    <w:rsid w:val="00A178D9"/>
    <w:rsid w:val="00A17A17"/>
    <w:rsid w:val="00A17BC5"/>
    <w:rsid w:val="00A17CA2"/>
    <w:rsid w:val="00A17D8B"/>
    <w:rsid w:val="00A17D93"/>
    <w:rsid w:val="00A20177"/>
    <w:rsid w:val="00A20349"/>
    <w:rsid w:val="00A20791"/>
    <w:rsid w:val="00A20814"/>
    <w:rsid w:val="00A210B6"/>
    <w:rsid w:val="00A2127C"/>
    <w:rsid w:val="00A216FA"/>
    <w:rsid w:val="00A21B5C"/>
    <w:rsid w:val="00A21EF6"/>
    <w:rsid w:val="00A226BC"/>
    <w:rsid w:val="00A22BA5"/>
    <w:rsid w:val="00A22D3A"/>
    <w:rsid w:val="00A231B6"/>
    <w:rsid w:val="00A23221"/>
    <w:rsid w:val="00A2359B"/>
    <w:rsid w:val="00A2389A"/>
    <w:rsid w:val="00A23BAD"/>
    <w:rsid w:val="00A23D48"/>
    <w:rsid w:val="00A23EC6"/>
    <w:rsid w:val="00A2400F"/>
    <w:rsid w:val="00A240EB"/>
    <w:rsid w:val="00A2435B"/>
    <w:rsid w:val="00A251AF"/>
    <w:rsid w:val="00A25567"/>
    <w:rsid w:val="00A25642"/>
    <w:rsid w:val="00A25655"/>
    <w:rsid w:val="00A26006"/>
    <w:rsid w:val="00A2677B"/>
    <w:rsid w:val="00A26789"/>
    <w:rsid w:val="00A27261"/>
    <w:rsid w:val="00A272EF"/>
    <w:rsid w:val="00A2757A"/>
    <w:rsid w:val="00A27858"/>
    <w:rsid w:val="00A27A3B"/>
    <w:rsid w:val="00A27B91"/>
    <w:rsid w:val="00A301A4"/>
    <w:rsid w:val="00A30618"/>
    <w:rsid w:val="00A306E1"/>
    <w:rsid w:val="00A309C8"/>
    <w:rsid w:val="00A30E15"/>
    <w:rsid w:val="00A31376"/>
    <w:rsid w:val="00A31F4B"/>
    <w:rsid w:val="00A323F7"/>
    <w:rsid w:val="00A328CF"/>
    <w:rsid w:val="00A32A6D"/>
    <w:rsid w:val="00A32EFD"/>
    <w:rsid w:val="00A3311F"/>
    <w:rsid w:val="00A339EA"/>
    <w:rsid w:val="00A33A35"/>
    <w:rsid w:val="00A33CF4"/>
    <w:rsid w:val="00A33D88"/>
    <w:rsid w:val="00A34010"/>
    <w:rsid w:val="00A3443A"/>
    <w:rsid w:val="00A3479D"/>
    <w:rsid w:val="00A348BC"/>
    <w:rsid w:val="00A348FF"/>
    <w:rsid w:val="00A34BBD"/>
    <w:rsid w:val="00A34DE7"/>
    <w:rsid w:val="00A34EFF"/>
    <w:rsid w:val="00A352DC"/>
    <w:rsid w:val="00A3540A"/>
    <w:rsid w:val="00A35520"/>
    <w:rsid w:val="00A35660"/>
    <w:rsid w:val="00A35737"/>
    <w:rsid w:val="00A36189"/>
    <w:rsid w:val="00A36631"/>
    <w:rsid w:val="00A36EF2"/>
    <w:rsid w:val="00A374CB"/>
    <w:rsid w:val="00A400EE"/>
    <w:rsid w:val="00A4058D"/>
    <w:rsid w:val="00A406D8"/>
    <w:rsid w:val="00A40C5B"/>
    <w:rsid w:val="00A40F96"/>
    <w:rsid w:val="00A4155F"/>
    <w:rsid w:val="00A4161C"/>
    <w:rsid w:val="00A41EFC"/>
    <w:rsid w:val="00A43212"/>
    <w:rsid w:val="00A432EA"/>
    <w:rsid w:val="00A43558"/>
    <w:rsid w:val="00A43B30"/>
    <w:rsid w:val="00A43E69"/>
    <w:rsid w:val="00A43FA7"/>
    <w:rsid w:val="00A441CC"/>
    <w:rsid w:val="00A44312"/>
    <w:rsid w:val="00A446FE"/>
    <w:rsid w:val="00A44993"/>
    <w:rsid w:val="00A450BB"/>
    <w:rsid w:val="00A451FB"/>
    <w:rsid w:val="00A4532D"/>
    <w:rsid w:val="00A4537B"/>
    <w:rsid w:val="00A45D21"/>
    <w:rsid w:val="00A466FB"/>
    <w:rsid w:val="00A46765"/>
    <w:rsid w:val="00A4680C"/>
    <w:rsid w:val="00A46B38"/>
    <w:rsid w:val="00A4711E"/>
    <w:rsid w:val="00A473D3"/>
    <w:rsid w:val="00A47672"/>
    <w:rsid w:val="00A4777A"/>
    <w:rsid w:val="00A47C4F"/>
    <w:rsid w:val="00A47D07"/>
    <w:rsid w:val="00A47FB4"/>
    <w:rsid w:val="00A5022A"/>
    <w:rsid w:val="00A50E1B"/>
    <w:rsid w:val="00A516BB"/>
    <w:rsid w:val="00A518EA"/>
    <w:rsid w:val="00A51FD1"/>
    <w:rsid w:val="00A52111"/>
    <w:rsid w:val="00A523FD"/>
    <w:rsid w:val="00A524D1"/>
    <w:rsid w:val="00A526ED"/>
    <w:rsid w:val="00A52B17"/>
    <w:rsid w:val="00A53209"/>
    <w:rsid w:val="00A533FC"/>
    <w:rsid w:val="00A53601"/>
    <w:rsid w:val="00A53A90"/>
    <w:rsid w:val="00A53CA1"/>
    <w:rsid w:val="00A540E1"/>
    <w:rsid w:val="00A54108"/>
    <w:rsid w:val="00A549C9"/>
    <w:rsid w:val="00A54A20"/>
    <w:rsid w:val="00A54AA0"/>
    <w:rsid w:val="00A54E7B"/>
    <w:rsid w:val="00A553EB"/>
    <w:rsid w:val="00A5638B"/>
    <w:rsid w:val="00A5656D"/>
    <w:rsid w:val="00A56925"/>
    <w:rsid w:val="00A56C18"/>
    <w:rsid w:val="00A57290"/>
    <w:rsid w:val="00A5784B"/>
    <w:rsid w:val="00A57D4C"/>
    <w:rsid w:val="00A57FF7"/>
    <w:rsid w:val="00A600CC"/>
    <w:rsid w:val="00A6072B"/>
    <w:rsid w:val="00A60957"/>
    <w:rsid w:val="00A60A41"/>
    <w:rsid w:val="00A60AFE"/>
    <w:rsid w:val="00A60B6E"/>
    <w:rsid w:val="00A60DEE"/>
    <w:rsid w:val="00A6116A"/>
    <w:rsid w:val="00A6133D"/>
    <w:rsid w:val="00A61357"/>
    <w:rsid w:val="00A61ADB"/>
    <w:rsid w:val="00A61DF3"/>
    <w:rsid w:val="00A621AC"/>
    <w:rsid w:val="00A625DF"/>
    <w:rsid w:val="00A62741"/>
    <w:rsid w:val="00A62A3E"/>
    <w:rsid w:val="00A62C6C"/>
    <w:rsid w:val="00A62CD4"/>
    <w:rsid w:val="00A631D8"/>
    <w:rsid w:val="00A634B0"/>
    <w:rsid w:val="00A6356C"/>
    <w:rsid w:val="00A6359F"/>
    <w:rsid w:val="00A63E70"/>
    <w:rsid w:val="00A6415A"/>
    <w:rsid w:val="00A644F3"/>
    <w:rsid w:val="00A649E9"/>
    <w:rsid w:val="00A64B26"/>
    <w:rsid w:val="00A64BF7"/>
    <w:rsid w:val="00A65550"/>
    <w:rsid w:val="00A658CE"/>
    <w:rsid w:val="00A65BAF"/>
    <w:rsid w:val="00A65F3B"/>
    <w:rsid w:val="00A6608B"/>
    <w:rsid w:val="00A662E5"/>
    <w:rsid w:val="00A664B7"/>
    <w:rsid w:val="00A671C5"/>
    <w:rsid w:val="00A677C0"/>
    <w:rsid w:val="00A678D5"/>
    <w:rsid w:val="00A67CED"/>
    <w:rsid w:val="00A67DDD"/>
    <w:rsid w:val="00A67F2F"/>
    <w:rsid w:val="00A70127"/>
    <w:rsid w:val="00A701FE"/>
    <w:rsid w:val="00A70548"/>
    <w:rsid w:val="00A70683"/>
    <w:rsid w:val="00A70708"/>
    <w:rsid w:val="00A7096D"/>
    <w:rsid w:val="00A70B40"/>
    <w:rsid w:val="00A71007"/>
    <w:rsid w:val="00A710C3"/>
    <w:rsid w:val="00A71286"/>
    <w:rsid w:val="00A717B0"/>
    <w:rsid w:val="00A718C9"/>
    <w:rsid w:val="00A72E1D"/>
    <w:rsid w:val="00A72FBC"/>
    <w:rsid w:val="00A7315C"/>
    <w:rsid w:val="00A735BD"/>
    <w:rsid w:val="00A73652"/>
    <w:rsid w:val="00A739B3"/>
    <w:rsid w:val="00A73ECA"/>
    <w:rsid w:val="00A74050"/>
    <w:rsid w:val="00A742AB"/>
    <w:rsid w:val="00A74D6D"/>
    <w:rsid w:val="00A74F03"/>
    <w:rsid w:val="00A75431"/>
    <w:rsid w:val="00A7601A"/>
    <w:rsid w:val="00A761C3"/>
    <w:rsid w:val="00A76DA0"/>
    <w:rsid w:val="00A77088"/>
    <w:rsid w:val="00A771B7"/>
    <w:rsid w:val="00A77222"/>
    <w:rsid w:val="00A7765C"/>
    <w:rsid w:val="00A77A49"/>
    <w:rsid w:val="00A77E21"/>
    <w:rsid w:val="00A77E2D"/>
    <w:rsid w:val="00A77F97"/>
    <w:rsid w:val="00A803AF"/>
    <w:rsid w:val="00A8052D"/>
    <w:rsid w:val="00A805AD"/>
    <w:rsid w:val="00A80624"/>
    <w:rsid w:val="00A80872"/>
    <w:rsid w:val="00A80DB4"/>
    <w:rsid w:val="00A80F2B"/>
    <w:rsid w:val="00A8107C"/>
    <w:rsid w:val="00A812A0"/>
    <w:rsid w:val="00A812F5"/>
    <w:rsid w:val="00A816EF"/>
    <w:rsid w:val="00A81A07"/>
    <w:rsid w:val="00A81A84"/>
    <w:rsid w:val="00A81DA6"/>
    <w:rsid w:val="00A8227C"/>
    <w:rsid w:val="00A8277C"/>
    <w:rsid w:val="00A82BDB"/>
    <w:rsid w:val="00A82ECE"/>
    <w:rsid w:val="00A83806"/>
    <w:rsid w:val="00A83831"/>
    <w:rsid w:val="00A83F83"/>
    <w:rsid w:val="00A840AD"/>
    <w:rsid w:val="00A8459F"/>
    <w:rsid w:val="00A84658"/>
    <w:rsid w:val="00A84667"/>
    <w:rsid w:val="00A84742"/>
    <w:rsid w:val="00A84EE5"/>
    <w:rsid w:val="00A8523B"/>
    <w:rsid w:val="00A85B12"/>
    <w:rsid w:val="00A85CE6"/>
    <w:rsid w:val="00A8666B"/>
    <w:rsid w:val="00A8676F"/>
    <w:rsid w:val="00A87798"/>
    <w:rsid w:val="00A877AD"/>
    <w:rsid w:val="00A87B07"/>
    <w:rsid w:val="00A9062C"/>
    <w:rsid w:val="00A90ACA"/>
    <w:rsid w:val="00A90F18"/>
    <w:rsid w:val="00A913C7"/>
    <w:rsid w:val="00A91769"/>
    <w:rsid w:val="00A91941"/>
    <w:rsid w:val="00A91A55"/>
    <w:rsid w:val="00A9217C"/>
    <w:rsid w:val="00A92AB8"/>
    <w:rsid w:val="00A92FA5"/>
    <w:rsid w:val="00A92FE9"/>
    <w:rsid w:val="00A93412"/>
    <w:rsid w:val="00A93446"/>
    <w:rsid w:val="00A942EF"/>
    <w:rsid w:val="00A945B9"/>
    <w:rsid w:val="00A94796"/>
    <w:rsid w:val="00A947F4"/>
    <w:rsid w:val="00A94820"/>
    <w:rsid w:val="00A94F0D"/>
    <w:rsid w:val="00A95113"/>
    <w:rsid w:val="00A952B5"/>
    <w:rsid w:val="00A95A35"/>
    <w:rsid w:val="00A95C89"/>
    <w:rsid w:val="00A960DD"/>
    <w:rsid w:val="00A96190"/>
    <w:rsid w:val="00A96196"/>
    <w:rsid w:val="00A96694"/>
    <w:rsid w:val="00A9676C"/>
    <w:rsid w:val="00A96C86"/>
    <w:rsid w:val="00A9702A"/>
    <w:rsid w:val="00A971B2"/>
    <w:rsid w:val="00A97759"/>
    <w:rsid w:val="00A97A34"/>
    <w:rsid w:val="00A97BE0"/>
    <w:rsid w:val="00AA0098"/>
    <w:rsid w:val="00AA0190"/>
    <w:rsid w:val="00AA02D0"/>
    <w:rsid w:val="00AA0493"/>
    <w:rsid w:val="00AA0E4F"/>
    <w:rsid w:val="00AA19D0"/>
    <w:rsid w:val="00AA20D6"/>
    <w:rsid w:val="00AA238E"/>
    <w:rsid w:val="00AA2747"/>
    <w:rsid w:val="00AA2CF1"/>
    <w:rsid w:val="00AA2E97"/>
    <w:rsid w:val="00AA3114"/>
    <w:rsid w:val="00AA347A"/>
    <w:rsid w:val="00AA35D2"/>
    <w:rsid w:val="00AA38B8"/>
    <w:rsid w:val="00AA3EFA"/>
    <w:rsid w:val="00AA42FB"/>
    <w:rsid w:val="00AA4960"/>
    <w:rsid w:val="00AA4D19"/>
    <w:rsid w:val="00AA4D47"/>
    <w:rsid w:val="00AA4F06"/>
    <w:rsid w:val="00AA4FC9"/>
    <w:rsid w:val="00AA5060"/>
    <w:rsid w:val="00AA51EE"/>
    <w:rsid w:val="00AA54B6"/>
    <w:rsid w:val="00AA59F8"/>
    <w:rsid w:val="00AA6941"/>
    <w:rsid w:val="00AA6C8B"/>
    <w:rsid w:val="00AA74E6"/>
    <w:rsid w:val="00AA752A"/>
    <w:rsid w:val="00AA77D4"/>
    <w:rsid w:val="00AA77FD"/>
    <w:rsid w:val="00AA7835"/>
    <w:rsid w:val="00AA7B67"/>
    <w:rsid w:val="00AA7D8B"/>
    <w:rsid w:val="00AA7EFA"/>
    <w:rsid w:val="00AA7F5E"/>
    <w:rsid w:val="00AB0A72"/>
    <w:rsid w:val="00AB0D44"/>
    <w:rsid w:val="00AB0FCC"/>
    <w:rsid w:val="00AB17C8"/>
    <w:rsid w:val="00AB185C"/>
    <w:rsid w:val="00AB1943"/>
    <w:rsid w:val="00AB2045"/>
    <w:rsid w:val="00AB21A2"/>
    <w:rsid w:val="00AB21FA"/>
    <w:rsid w:val="00AB2229"/>
    <w:rsid w:val="00AB264E"/>
    <w:rsid w:val="00AB2869"/>
    <w:rsid w:val="00AB29A2"/>
    <w:rsid w:val="00AB2F5E"/>
    <w:rsid w:val="00AB30D5"/>
    <w:rsid w:val="00AB357E"/>
    <w:rsid w:val="00AB365E"/>
    <w:rsid w:val="00AB3699"/>
    <w:rsid w:val="00AB4250"/>
    <w:rsid w:val="00AB4339"/>
    <w:rsid w:val="00AB4865"/>
    <w:rsid w:val="00AB4C44"/>
    <w:rsid w:val="00AB4D2A"/>
    <w:rsid w:val="00AB52D7"/>
    <w:rsid w:val="00AB5622"/>
    <w:rsid w:val="00AB5A53"/>
    <w:rsid w:val="00AB5A98"/>
    <w:rsid w:val="00AB653E"/>
    <w:rsid w:val="00AB65F4"/>
    <w:rsid w:val="00AB7C4E"/>
    <w:rsid w:val="00AC0119"/>
    <w:rsid w:val="00AC0750"/>
    <w:rsid w:val="00AC0CFA"/>
    <w:rsid w:val="00AC0D3A"/>
    <w:rsid w:val="00AC0E3E"/>
    <w:rsid w:val="00AC0E9F"/>
    <w:rsid w:val="00AC0F32"/>
    <w:rsid w:val="00AC136D"/>
    <w:rsid w:val="00AC13C0"/>
    <w:rsid w:val="00AC19A5"/>
    <w:rsid w:val="00AC1A4E"/>
    <w:rsid w:val="00AC20AD"/>
    <w:rsid w:val="00AC238C"/>
    <w:rsid w:val="00AC27E6"/>
    <w:rsid w:val="00AC3078"/>
    <w:rsid w:val="00AC3276"/>
    <w:rsid w:val="00AC3772"/>
    <w:rsid w:val="00AC3C6A"/>
    <w:rsid w:val="00AC4178"/>
    <w:rsid w:val="00AC41C1"/>
    <w:rsid w:val="00AC4B14"/>
    <w:rsid w:val="00AC4D20"/>
    <w:rsid w:val="00AC4FC3"/>
    <w:rsid w:val="00AC53C8"/>
    <w:rsid w:val="00AC5535"/>
    <w:rsid w:val="00AC57AA"/>
    <w:rsid w:val="00AC5D41"/>
    <w:rsid w:val="00AC5D47"/>
    <w:rsid w:val="00AC5DE1"/>
    <w:rsid w:val="00AC5EB2"/>
    <w:rsid w:val="00AC6094"/>
    <w:rsid w:val="00AC62E4"/>
    <w:rsid w:val="00AC6D33"/>
    <w:rsid w:val="00AC6F17"/>
    <w:rsid w:val="00AC70B5"/>
    <w:rsid w:val="00AC70C9"/>
    <w:rsid w:val="00AC75E2"/>
    <w:rsid w:val="00AC7B20"/>
    <w:rsid w:val="00AC7D80"/>
    <w:rsid w:val="00AD02BF"/>
    <w:rsid w:val="00AD04E0"/>
    <w:rsid w:val="00AD10AE"/>
    <w:rsid w:val="00AD1109"/>
    <w:rsid w:val="00AD1681"/>
    <w:rsid w:val="00AD20D0"/>
    <w:rsid w:val="00AD21BE"/>
    <w:rsid w:val="00AD220C"/>
    <w:rsid w:val="00AD2B53"/>
    <w:rsid w:val="00AD300B"/>
    <w:rsid w:val="00AD3268"/>
    <w:rsid w:val="00AD3731"/>
    <w:rsid w:val="00AD378F"/>
    <w:rsid w:val="00AD3B41"/>
    <w:rsid w:val="00AD42B4"/>
    <w:rsid w:val="00AD4A37"/>
    <w:rsid w:val="00AD4F10"/>
    <w:rsid w:val="00AD545D"/>
    <w:rsid w:val="00AD557F"/>
    <w:rsid w:val="00AD5795"/>
    <w:rsid w:val="00AD5962"/>
    <w:rsid w:val="00AD5A35"/>
    <w:rsid w:val="00AD5B7E"/>
    <w:rsid w:val="00AD69D2"/>
    <w:rsid w:val="00AD71FA"/>
    <w:rsid w:val="00AD733A"/>
    <w:rsid w:val="00AD741B"/>
    <w:rsid w:val="00AD78C4"/>
    <w:rsid w:val="00AD7A23"/>
    <w:rsid w:val="00AE0042"/>
    <w:rsid w:val="00AE0274"/>
    <w:rsid w:val="00AE060C"/>
    <w:rsid w:val="00AE0BAF"/>
    <w:rsid w:val="00AE13F9"/>
    <w:rsid w:val="00AE1403"/>
    <w:rsid w:val="00AE148B"/>
    <w:rsid w:val="00AE1779"/>
    <w:rsid w:val="00AE18CD"/>
    <w:rsid w:val="00AE21B4"/>
    <w:rsid w:val="00AE246C"/>
    <w:rsid w:val="00AE29DE"/>
    <w:rsid w:val="00AE2AB1"/>
    <w:rsid w:val="00AE2C71"/>
    <w:rsid w:val="00AE2D1D"/>
    <w:rsid w:val="00AE2EF2"/>
    <w:rsid w:val="00AE2F28"/>
    <w:rsid w:val="00AE3AC0"/>
    <w:rsid w:val="00AE3F39"/>
    <w:rsid w:val="00AE4342"/>
    <w:rsid w:val="00AE43F9"/>
    <w:rsid w:val="00AE43FE"/>
    <w:rsid w:val="00AE465E"/>
    <w:rsid w:val="00AE4C6C"/>
    <w:rsid w:val="00AE50A7"/>
    <w:rsid w:val="00AE53E7"/>
    <w:rsid w:val="00AE543D"/>
    <w:rsid w:val="00AE56A1"/>
    <w:rsid w:val="00AE57AD"/>
    <w:rsid w:val="00AE586B"/>
    <w:rsid w:val="00AE5B85"/>
    <w:rsid w:val="00AE5CC7"/>
    <w:rsid w:val="00AE60F0"/>
    <w:rsid w:val="00AE6243"/>
    <w:rsid w:val="00AE6378"/>
    <w:rsid w:val="00AE6994"/>
    <w:rsid w:val="00AE71F3"/>
    <w:rsid w:val="00AE7A45"/>
    <w:rsid w:val="00AE7ACF"/>
    <w:rsid w:val="00AE7BA7"/>
    <w:rsid w:val="00AE7C1C"/>
    <w:rsid w:val="00AE7CCC"/>
    <w:rsid w:val="00AE7DE2"/>
    <w:rsid w:val="00AF02A0"/>
    <w:rsid w:val="00AF042E"/>
    <w:rsid w:val="00AF070F"/>
    <w:rsid w:val="00AF1006"/>
    <w:rsid w:val="00AF11FA"/>
    <w:rsid w:val="00AF15B8"/>
    <w:rsid w:val="00AF16D1"/>
    <w:rsid w:val="00AF19F2"/>
    <w:rsid w:val="00AF1E19"/>
    <w:rsid w:val="00AF2015"/>
    <w:rsid w:val="00AF256A"/>
    <w:rsid w:val="00AF2707"/>
    <w:rsid w:val="00AF286E"/>
    <w:rsid w:val="00AF2BB9"/>
    <w:rsid w:val="00AF33A3"/>
    <w:rsid w:val="00AF33F6"/>
    <w:rsid w:val="00AF361C"/>
    <w:rsid w:val="00AF39F8"/>
    <w:rsid w:val="00AF3BA1"/>
    <w:rsid w:val="00AF405D"/>
    <w:rsid w:val="00AF41E3"/>
    <w:rsid w:val="00AF4241"/>
    <w:rsid w:val="00AF51D3"/>
    <w:rsid w:val="00AF5311"/>
    <w:rsid w:val="00AF5BBD"/>
    <w:rsid w:val="00AF623E"/>
    <w:rsid w:val="00AF62F1"/>
    <w:rsid w:val="00AF643E"/>
    <w:rsid w:val="00AF6491"/>
    <w:rsid w:val="00AF764A"/>
    <w:rsid w:val="00AF7E6B"/>
    <w:rsid w:val="00B006E8"/>
    <w:rsid w:val="00B008E3"/>
    <w:rsid w:val="00B0104D"/>
    <w:rsid w:val="00B010FE"/>
    <w:rsid w:val="00B011A3"/>
    <w:rsid w:val="00B01619"/>
    <w:rsid w:val="00B017B4"/>
    <w:rsid w:val="00B01CDA"/>
    <w:rsid w:val="00B022FC"/>
    <w:rsid w:val="00B02469"/>
    <w:rsid w:val="00B02895"/>
    <w:rsid w:val="00B0289D"/>
    <w:rsid w:val="00B02B6D"/>
    <w:rsid w:val="00B03CB6"/>
    <w:rsid w:val="00B03CD6"/>
    <w:rsid w:val="00B04279"/>
    <w:rsid w:val="00B0451B"/>
    <w:rsid w:val="00B04944"/>
    <w:rsid w:val="00B04A07"/>
    <w:rsid w:val="00B05363"/>
    <w:rsid w:val="00B0537A"/>
    <w:rsid w:val="00B05470"/>
    <w:rsid w:val="00B05687"/>
    <w:rsid w:val="00B05C33"/>
    <w:rsid w:val="00B05EB5"/>
    <w:rsid w:val="00B06330"/>
    <w:rsid w:val="00B06437"/>
    <w:rsid w:val="00B069FC"/>
    <w:rsid w:val="00B06B9C"/>
    <w:rsid w:val="00B06DFC"/>
    <w:rsid w:val="00B07356"/>
    <w:rsid w:val="00B0744B"/>
    <w:rsid w:val="00B101F1"/>
    <w:rsid w:val="00B10F35"/>
    <w:rsid w:val="00B11052"/>
    <w:rsid w:val="00B1132C"/>
    <w:rsid w:val="00B113DD"/>
    <w:rsid w:val="00B11619"/>
    <w:rsid w:val="00B11ABC"/>
    <w:rsid w:val="00B12218"/>
    <w:rsid w:val="00B12315"/>
    <w:rsid w:val="00B1252E"/>
    <w:rsid w:val="00B12B04"/>
    <w:rsid w:val="00B13098"/>
    <w:rsid w:val="00B135F3"/>
    <w:rsid w:val="00B137E1"/>
    <w:rsid w:val="00B13939"/>
    <w:rsid w:val="00B13BD8"/>
    <w:rsid w:val="00B13C55"/>
    <w:rsid w:val="00B14056"/>
    <w:rsid w:val="00B14427"/>
    <w:rsid w:val="00B14A82"/>
    <w:rsid w:val="00B14C1A"/>
    <w:rsid w:val="00B14E14"/>
    <w:rsid w:val="00B15097"/>
    <w:rsid w:val="00B150CA"/>
    <w:rsid w:val="00B1521D"/>
    <w:rsid w:val="00B15271"/>
    <w:rsid w:val="00B15542"/>
    <w:rsid w:val="00B15672"/>
    <w:rsid w:val="00B15DF0"/>
    <w:rsid w:val="00B1611A"/>
    <w:rsid w:val="00B1618D"/>
    <w:rsid w:val="00B161AC"/>
    <w:rsid w:val="00B16681"/>
    <w:rsid w:val="00B1695B"/>
    <w:rsid w:val="00B169A2"/>
    <w:rsid w:val="00B16D85"/>
    <w:rsid w:val="00B176CF"/>
    <w:rsid w:val="00B17D65"/>
    <w:rsid w:val="00B17E7B"/>
    <w:rsid w:val="00B20159"/>
    <w:rsid w:val="00B211F7"/>
    <w:rsid w:val="00B21498"/>
    <w:rsid w:val="00B21594"/>
    <w:rsid w:val="00B219C0"/>
    <w:rsid w:val="00B21AAA"/>
    <w:rsid w:val="00B21C2E"/>
    <w:rsid w:val="00B21C3D"/>
    <w:rsid w:val="00B21D0B"/>
    <w:rsid w:val="00B21F46"/>
    <w:rsid w:val="00B21FD6"/>
    <w:rsid w:val="00B22748"/>
    <w:rsid w:val="00B22E11"/>
    <w:rsid w:val="00B22FDB"/>
    <w:rsid w:val="00B23097"/>
    <w:rsid w:val="00B23632"/>
    <w:rsid w:val="00B23663"/>
    <w:rsid w:val="00B23688"/>
    <w:rsid w:val="00B2391B"/>
    <w:rsid w:val="00B23A16"/>
    <w:rsid w:val="00B23A86"/>
    <w:rsid w:val="00B247AB"/>
    <w:rsid w:val="00B24F10"/>
    <w:rsid w:val="00B2539D"/>
    <w:rsid w:val="00B25559"/>
    <w:rsid w:val="00B25660"/>
    <w:rsid w:val="00B257AC"/>
    <w:rsid w:val="00B258E1"/>
    <w:rsid w:val="00B25AB0"/>
    <w:rsid w:val="00B25B37"/>
    <w:rsid w:val="00B26183"/>
    <w:rsid w:val="00B263FB"/>
    <w:rsid w:val="00B267D9"/>
    <w:rsid w:val="00B26D31"/>
    <w:rsid w:val="00B27546"/>
    <w:rsid w:val="00B27732"/>
    <w:rsid w:val="00B27C76"/>
    <w:rsid w:val="00B27C8A"/>
    <w:rsid w:val="00B27D32"/>
    <w:rsid w:val="00B3005C"/>
    <w:rsid w:val="00B30499"/>
    <w:rsid w:val="00B305B6"/>
    <w:rsid w:val="00B30AC5"/>
    <w:rsid w:val="00B30AF2"/>
    <w:rsid w:val="00B30B75"/>
    <w:rsid w:val="00B30FF1"/>
    <w:rsid w:val="00B310D7"/>
    <w:rsid w:val="00B31320"/>
    <w:rsid w:val="00B3139D"/>
    <w:rsid w:val="00B31C6A"/>
    <w:rsid w:val="00B31D3E"/>
    <w:rsid w:val="00B31DDE"/>
    <w:rsid w:val="00B31E3E"/>
    <w:rsid w:val="00B31FA7"/>
    <w:rsid w:val="00B32900"/>
    <w:rsid w:val="00B33381"/>
    <w:rsid w:val="00B3339E"/>
    <w:rsid w:val="00B333C6"/>
    <w:rsid w:val="00B33E11"/>
    <w:rsid w:val="00B3409D"/>
    <w:rsid w:val="00B3435D"/>
    <w:rsid w:val="00B34B0B"/>
    <w:rsid w:val="00B351A8"/>
    <w:rsid w:val="00B35590"/>
    <w:rsid w:val="00B35852"/>
    <w:rsid w:val="00B35A9B"/>
    <w:rsid w:val="00B3614B"/>
    <w:rsid w:val="00B362D0"/>
    <w:rsid w:val="00B366BB"/>
    <w:rsid w:val="00B366D9"/>
    <w:rsid w:val="00B36887"/>
    <w:rsid w:val="00B36B7E"/>
    <w:rsid w:val="00B36DDB"/>
    <w:rsid w:val="00B3705D"/>
    <w:rsid w:val="00B370F8"/>
    <w:rsid w:val="00B37531"/>
    <w:rsid w:val="00B3772F"/>
    <w:rsid w:val="00B37898"/>
    <w:rsid w:val="00B37B59"/>
    <w:rsid w:val="00B37B7B"/>
    <w:rsid w:val="00B4035F"/>
    <w:rsid w:val="00B407D3"/>
    <w:rsid w:val="00B40A02"/>
    <w:rsid w:val="00B40F77"/>
    <w:rsid w:val="00B4131F"/>
    <w:rsid w:val="00B419FF"/>
    <w:rsid w:val="00B41C04"/>
    <w:rsid w:val="00B41C7D"/>
    <w:rsid w:val="00B41FA0"/>
    <w:rsid w:val="00B4207D"/>
    <w:rsid w:val="00B42644"/>
    <w:rsid w:val="00B42ABC"/>
    <w:rsid w:val="00B42D8F"/>
    <w:rsid w:val="00B43158"/>
    <w:rsid w:val="00B43318"/>
    <w:rsid w:val="00B43396"/>
    <w:rsid w:val="00B433BF"/>
    <w:rsid w:val="00B43C99"/>
    <w:rsid w:val="00B44090"/>
    <w:rsid w:val="00B44314"/>
    <w:rsid w:val="00B446C4"/>
    <w:rsid w:val="00B44869"/>
    <w:rsid w:val="00B44896"/>
    <w:rsid w:val="00B449B7"/>
    <w:rsid w:val="00B45108"/>
    <w:rsid w:val="00B458B2"/>
    <w:rsid w:val="00B46279"/>
    <w:rsid w:val="00B46634"/>
    <w:rsid w:val="00B46955"/>
    <w:rsid w:val="00B472F5"/>
    <w:rsid w:val="00B475CF"/>
    <w:rsid w:val="00B476D1"/>
    <w:rsid w:val="00B4778C"/>
    <w:rsid w:val="00B47903"/>
    <w:rsid w:val="00B47967"/>
    <w:rsid w:val="00B479E9"/>
    <w:rsid w:val="00B47A81"/>
    <w:rsid w:val="00B47E92"/>
    <w:rsid w:val="00B50198"/>
    <w:rsid w:val="00B50506"/>
    <w:rsid w:val="00B507ED"/>
    <w:rsid w:val="00B51186"/>
    <w:rsid w:val="00B514F2"/>
    <w:rsid w:val="00B5150D"/>
    <w:rsid w:val="00B5171E"/>
    <w:rsid w:val="00B51C31"/>
    <w:rsid w:val="00B522E8"/>
    <w:rsid w:val="00B52420"/>
    <w:rsid w:val="00B5245C"/>
    <w:rsid w:val="00B52A01"/>
    <w:rsid w:val="00B52A97"/>
    <w:rsid w:val="00B52CFB"/>
    <w:rsid w:val="00B5306F"/>
    <w:rsid w:val="00B5311D"/>
    <w:rsid w:val="00B533D7"/>
    <w:rsid w:val="00B5346C"/>
    <w:rsid w:val="00B53515"/>
    <w:rsid w:val="00B539D3"/>
    <w:rsid w:val="00B53B29"/>
    <w:rsid w:val="00B53B95"/>
    <w:rsid w:val="00B53C35"/>
    <w:rsid w:val="00B53D45"/>
    <w:rsid w:val="00B5401C"/>
    <w:rsid w:val="00B548BE"/>
    <w:rsid w:val="00B54D5D"/>
    <w:rsid w:val="00B54FF8"/>
    <w:rsid w:val="00B5582C"/>
    <w:rsid w:val="00B55A25"/>
    <w:rsid w:val="00B55A43"/>
    <w:rsid w:val="00B55E70"/>
    <w:rsid w:val="00B55EFD"/>
    <w:rsid w:val="00B563A7"/>
    <w:rsid w:val="00B565D6"/>
    <w:rsid w:val="00B57477"/>
    <w:rsid w:val="00B574C7"/>
    <w:rsid w:val="00B57DCA"/>
    <w:rsid w:val="00B57FCC"/>
    <w:rsid w:val="00B6066E"/>
    <w:rsid w:val="00B61864"/>
    <w:rsid w:val="00B61B84"/>
    <w:rsid w:val="00B61DE8"/>
    <w:rsid w:val="00B621FE"/>
    <w:rsid w:val="00B624E5"/>
    <w:rsid w:val="00B62808"/>
    <w:rsid w:val="00B62984"/>
    <w:rsid w:val="00B63299"/>
    <w:rsid w:val="00B632AA"/>
    <w:rsid w:val="00B636AE"/>
    <w:rsid w:val="00B63789"/>
    <w:rsid w:val="00B639B9"/>
    <w:rsid w:val="00B63AE0"/>
    <w:rsid w:val="00B63BBD"/>
    <w:rsid w:val="00B63DB5"/>
    <w:rsid w:val="00B64067"/>
    <w:rsid w:val="00B6415C"/>
    <w:rsid w:val="00B641F9"/>
    <w:rsid w:val="00B6451E"/>
    <w:rsid w:val="00B64A62"/>
    <w:rsid w:val="00B657E6"/>
    <w:rsid w:val="00B65939"/>
    <w:rsid w:val="00B65C44"/>
    <w:rsid w:val="00B65E98"/>
    <w:rsid w:val="00B667E9"/>
    <w:rsid w:val="00B66C42"/>
    <w:rsid w:val="00B6701E"/>
    <w:rsid w:val="00B67293"/>
    <w:rsid w:val="00B67429"/>
    <w:rsid w:val="00B6751C"/>
    <w:rsid w:val="00B67CD3"/>
    <w:rsid w:val="00B700D1"/>
    <w:rsid w:val="00B70197"/>
    <w:rsid w:val="00B70347"/>
    <w:rsid w:val="00B703BF"/>
    <w:rsid w:val="00B705A0"/>
    <w:rsid w:val="00B705DD"/>
    <w:rsid w:val="00B70610"/>
    <w:rsid w:val="00B70C23"/>
    <w:rsid w:val="00B70E24"/>
    <w:rsid w:val="00B719B9"/>
    <w:rsid w:val="00B71B94"/>
    <w:rsid w:val="00B71D92"/>
    <w:rsid w:val="00B71D9E"/>
    <w:rsid w:val="00B71F19"/>
    <w:rsid w:val="00B7215E"/>
    <w:rsid w:val="00B72202"/>
    <w:rsid w:val="00B722CD"/>
    <w:rsid w:val="00B728E5"/>
    <w:rsid w:val="00B731F0"/>
    <w:rsid w:val="00B732FC"/>
    <w:rsid w:val="00B733E1"/>
    <w:rsid w:val="00B73546"/>
    <w:rsid w:val="00B73629"/>
    <w:rsid w:val="00B736B5"/>
    <w:rsid w:val="00B73B71"/>
    <w:rsid w:val="00B73F18"/>
    <w:rsid w:val="00B746D0"/>
    <w:rsid w:val="00B74BEE"/>
    <w:rsid w:val="00B74CA6"/>
    <w:rsid w:val="00B74E17"/>
    <w:rsid w:val="00B74FCF"/>
    <w:rsid w:val="00B751A5"/>
    <w:rsid w:val="00B75419"/>
    <w:rsid w:val="00B755E5"/>
    <w:rsid w:val="00B7595E"/>
    <w:rsid w:val="00B75A21"/>
    <w:rsid w:val="00B75A46"/>
    <w:rsid w:val="00B75E5B"/>
    <w:rsid w:val="00B7611E"/>
    <w:rsid w:val="00B76550"/>
    <w:rsid w:val="00B76933"/>
    <w:rsid w:val="00B76977"/>
    <w:rsid w:val="00B76D18"/>
    <w:rsid w:val="00B7718E"/>
    <w:rsid w:val="00B772DD"/>
    <w:rsid w:val="00B80AAC"/>
    <w:rsid w:val="00B80C6D"/>
    <w:rsid w:val="00B80D99"/>
    <w:rsid w:val="00B815C2"/>
    <w:rsid w:val="00B817A2"/>
    <w:rsid w:val="00B817E7"/>
    <w:rsid w:val="00B818C1"/>
    <w:rsid w:val="00B819E1"/>
    <w:rsid w:val="00B81B31"/>
    <w:rsid w:val="00B81BE0"/>
    <w:rsid w:val="00B81F1C"/>
    <w:rsid w:val="00B81FB0"/>
    <w:rsid w:val="00B82D77"/>
    <w:rsid w:val="00B8365A"/>
    <w:rsid w:val="00B8369D"/>
    <w:rsid w:val="00B83A85"/>
    <w:rsid w:val="00B84010"/>
    <w:rsid w:val="00B840D4"/>
    <w:rsid w:val="00B843B5"/>
    <w:rsid w:val="00B8481F"/>
    <w:rsid w:val="00B84A0E"/>
    <w:rsid w:val="00B84D0D"/>
    <w:rsid w:val="00B84F24"/>
    <w:rsid w:val="00B85466"/>
    <w:rsid w:val="00B85744"/>
    <w:rsid w:val="00B857F1"/>
    <w:rsid w:val="00B8582F"/>
    <w:rsid w:val="00B85838"/>
    <w:rsid w:val="00B858CB"/>
    <w:rsid w:val="00B8621C"/>
    <w:rsid w:val="00B864F3"/>
    <w:rsid w:val="00B86806"/>
    <w:rsid w:val="00B868B2"/>
    <w:rsid w:val="00B8722D"/>
    <w:rsid w:val="00B87285"/>
    <w:rsid w:val="00B872ED"/>
    <w:rsid w:val="00B8741D"/>
    <w:rsid w:val="00B8766D"/>
    <w:rsid w:val="00B8794B"/>
    <w:rsid w:val="00B87A37"/>
    <w:rsid w:val="00B87ABC"/>
    <w:rsid w:val="00B87FBC"/>
    <w:rsid w:val="00B87FDC"/>
    <w:rsid w:val="00B90A0F"/>
    <w:rsid w:val="00B911E7"/>
    <w:rsid w:val="00B91308"/>
    <w:rsid w:val="00B91BA0"/>
    <w:rsid w:val="00B92BB8"/>
    <w:rsid w:val="00B92F24"/>
    <w:rsid w:val="00B93401"/>
    <w:rsid w:val="00B934AC"/>
    <w:rsid w:val="00B93653"/>
    <w:rsid w:val="00B93C3D"/>
    <w:rsid w:val="00B950A4"/>
    <w:rsid w:val="00B9511E"/>
    <w:rsid w:val="00B95198"/>
    <w:rsid w:val="00B95247"/>
    <w:rsid w:val="00B95D17"/>
    <w:rsid w:val="00B95EF4"/>
    <w:rsid w:val="00B95FA7"/>
    <w:rsid w:val="00B961C9"/>
    <w:rsid w:val="00B9648B"/>
    <w:rsid w:val="00B964A1"/>
    <w:rsid w:val="00B96935"/>
    <w:rsid w:val="00B96AC8"/>
    <w:rsid w:val="00B96AF1"/>
    <w:rsid w:val="00B96CC7"/>
    <w:rsid w:val="00B97164"/>
    <w:rsid w:val="00B97FB7"/>
    <w:rsid w:val="00BA0E35"/>
    <w:rsid w:val="00BA10EB"/>
    <w:rsid w:val="00BA1178"/>
    <w:rsid w:val="00BA1326"/>
    <w:rsid w:val="00BA15C4"/>
    <w:rsid w:val="00BA16E0"/>
    <w:rsid w:val="00BA1C30"/>
    <w:rsid w:val="00BA2620"/>
    <w:rsid w:val="00BA278B"/>
    <w:rsid w:val="00BA297B"/>
    <w:rsid w:val="00BA2DF6"/>
    <w:rsid w:val="00BA3738"/>
    <w:rsid w:val="00BA3A00"/>
    <w:rsid w:val="00BA3F40"/>
    <w:rsid w:val="00BA4239"/>
    <w:rsid w:val="00BA50B6"/>
    <w:rsid w:val="00BA5112"/>
    <w:rsid w:val="00BA52AF"/>
    <w:rsid w:val="00BA5BA1"/>
    <w:rsid w:val="00BA5CED"/>
    <w:rsid w:val="00BA5D40"/>
    <w:rsid w:val="00BA66E8"/>
    <w:rsid w:val="00BA6BA6"/>
    <w:rsid w:val="00BA74C0"/>
    <w:rsid w:val="00BA74E8"/>
    <w:rsid w:val="00BA7B2F"/>
    <w:rsid w:val="00BA7FC8"/>
    <w:rsid w:val="00BB0269"/>
    <w:rsid w:val="00BB05EB"/>
    <w:rsid w:val="00BB0615"/>
    <w:rsid w:val="00BB0836"/>
    <w:rsid w:val="00BB0BFC"/>
    <w:rsid w:val="00BB0F55"/>
    <w:rsid w:val="00BB1994"/>
    <w:rsid w:val="00BB1DDD"/>
    <w:rsid w:val="00BB2016"/>
    <w:rsid w:val="00BB20E4"/>
    <w:rsid w:val="00BB2ED8"/>
    <w:rsid w:val="00BB301D"/>
    <w:rsid w:val="00BB3500"/>
    <w:rsid w:val="00BB365D"/>
    <w:rsid w:val="00BB368B"/>
    <w:rsid w:val="00BB39EE"/>
    <w:rsid w:val="00BB3B54"/>
    <w:rsid w:val="00BB3D7A"/>
    <w:rsid w:val="00BB46ED"/>
    <w:rsid w:val="00BB474A"/>
    <w:rsid w:val="00BB4873"/>
    <w:rsid w:val="00BB48FF"/>
    <w:rsid w:val="00BB4964"/>
    <w:rsid w:val="00BB512A"/>
    <w:rsid w:val="00BB5C88"/>
    <w:rsid w:val="00BB6283"/>
    <w:rsid w:val="00BB68EC"/>
    <w:rsid w:val="00BB6E82"/>
    <w:rsid w:val="00BB7070"/>
    <w:rsid w:val="00BB728C"/>
    <w:rsid w:val="00BB72DF"/>
    <w:rsid w:val="00BC0478"/>
    <w:rsid w:val="00BC0A1E"/>
    <w:rsid w:val="00BC0B8F"/>
    <w:rsid w:val="00BC0F55"/>
    <w:rsid w:val="00BC11E5"/>
    <w:rsid w:val="00BC13AE"/>
    <w:rsid w:val="00BC173B"/>
    <w:rsid w:val="00BC1786"/>
    <w:rsid w:val="00BC1D8A"/>
    <w:rsid w:val="00BC2907"/>
    <w:rsid w:val="00BC2D8D"/>
    <w:rsid w:val="00BC2F32"/>
    <w:rsid w:val="00BC35AF"/>
    <w:rsid w:val="00BC365F"/>
    <w:rsid w:val="00BC39AE"/>
    <w:rsid w:val="00BC3A2F"/>
    <w:rsid w:val="00BC40E5"/>
    <w:rsid w:val="00BC4779"/>
    <w:rsid w:val="00BC4E1E"/>
    <w:rsid w:val="00BC4E3E"/>
    <w:rsid w:val="00BC50C1"/>
    <w:rsid w:val="00BC51D1"/>
    <w:rsid w:val="00BC57F9"/>
    <w:rsid w:val="00BC5FAB"/>
    <w:rsid w:val="00BC62B8"/>
    <w:rsid w:val="00BC73AE"/>
    <w:rsid w:val="00BC77E1"/>
    <w:rsid w:val="00BC7DF7"/>
    <w:rsid w:val="00BD0132"/>
    <w:rsid w:val="00BD09A6"/>
    <w:rsid w:val="00BD0B11"/>
    <w:rsid w:val="00BD0C07"/>
    <w:rsid w:val="00BD0D89"/>
    <w:rsid w:val="00BD0D8A"/>
    <w:rsid w:val="00BD127C"/>
    <w:rsid w:val="00BD179D"/>
    <w:rsid w:val="00BD1B0C"/>
    <w:rsid w:val="00BD1D54"/>
    <w:rsid w:val="00BD1E96"/>
    <w:rsid w:val="00BD2253"/>
    <w:rsid w:val="00BD260E"/>
    <w:rsid w:val="00BD2A51"/>
    <w:rsid w:val="00BD2EB7"/>
    <w:rsid w:val="00BD3094"/>
    <w:rsid w:val="00BD30CB"/>
    <w:rsid w:val="00BD3428"/>
    <w:rsid w:val="00BD3BB0"/>
    <w:rsid w:val="00BD3C7F"/>
    <w:rsid w:val="00BD3DA3"/>
    <w:rsid w:val="00BD4455"/>
    <w:rsid w:val="00BD49C6"/>
    <w:rsid w:val="00BD4CB4"/>
    <w:rsid w:val="00BD4DB1"/>
    <w:rsid w:val="00BD5177"/>
    <w:rsid w:val="00BD5252"/>
    <w:rsid w:val="00BD5460"/>
    <w:rsid w:val="00BD5520"/>
    <w:rsid w:val="00BD5784"/>
    <w:rsid w:val="00BD603D"/>
    <w:rsid w:val="00BD604C"/>
    <w:rsid w:val="00BD61CB"/>
    <w:rsid w:val="00BD67E5"/>
    <w:rsid w:val="00BD6B0C"/>
    <w:rsid w:val="00BD6CBF"/>
    <w:rsid w:val="00BD720B"/>
    <w:rsid w:val="00BD7490"/>
    <w:rsid w:val="00BD7578"/>
    <w:rsid w:val="00BD7659"/>
    <w:rsid w:val="00BD77CE"/>
    <w:rsid w:val="00BD7B09"/>
    <w:rsid w:val="00BD7BF0"/>
    <w:rsid w:val="00BD7CE1"/>
    <w:rsid w:val="00BD7E3A"/>
    <w:rsid w:val="00BE0002"/>
    <w:rsid w:val="00BE0C44"/>
    <w:rsid w:val="00BE10D1"/>
    <w:rsid w:val="00BE1465"/>
    <w:rsid w:val="00BE14D7"/>
    <w:rsid w:val="00BE214C"/>
    <w:rsid w:val="00BE25F4"/>
    <w:rsid w:val="00BE2CEF"/>
    <w:rsid w:val="00BE3495"/>
    <w:rsid w:val="00BE38BD"/>
    <w:rsid w:val="00BE429C"/>
    <w:rsid w:val="00BE42B5"/>
    <w:rsid w:val="00BE44F2"/>
    <w:rsid w:val="00BE45D1"/>
    <w:rsid w:val="00BE461E"/>
    <w:rsid w:val="00BE4817"/>
    <w:rsid w:val="00BE53E3"/>
    <w:rsid w:val="00BE54CA"/>
    <w:rsid w:val="00BE59A8"/>
    <w:rsid w:val="00BE5D4C"/>
    <w:rsid w:val="00BE6061"/>
    <w:rsid w:val="00BE60CB"/>
    <w:rsid w:val="00BE6124"/>
    <w:rsid w:val="00BE68FA"/>
    <w:rsid w:val="00BE69F5"/>
    <w:rsid w:val="00BE6BA3"/>
    <w:rsid w:val="00BF02CC"/>
    <w:rsid w:val="00BF03E9"/>
    <w:rsid w:val="00BF0412"/>
    <w:rsid w:val="00BF0D79"/>
    <w:rsid w:val="00BF1014"/>
    <w:rsid w:val="00BF12B9"/>
    <w:rsid w:val="00BF1529"/>
    <w:rsid w:val="00BF16CC"/>
    <w:rsid w:val="00BF186E"/>
    <w:rsid w:val="00BF1E1F"/>
    <w:rsid w:val="00BF1ED8"/>
    <w:rsid w:val="00BF23E7"/>
    <w:rsid w:val="00BF272D"/>
    <w:rsid w:val="00BF293B"/>
    <w:rsid w:val="00BF294B"/>
    <w:rsid w:val="00BF2B41"/>
    <w:rsid w:val="00BF2D38"/>
    <w:rsid w:val="00BF2DF0"/>
    <w:rsid w:val="00BF2ED3"/>
    <w:rsid w:val="00BF3458"/>
    <w:rsid w:val="00BF3A1C"/>
    <w:rsid w:val="00BF400D"/>
    <w:rsid w:val="00BF4BDA"/>
    <w:rsid w:val="00BF4D5B"/>
    <w:rsid w:val="00BF51B1"/>
    <w:rsid w:val="00BF53B1"/>
    <w:rsid w:val="00BF5616"/>
    <w:rsid w:val="00BF5F10"/>
    <w:rsid w:val="00BF611E"/>
    <w:rsid w:val="00BF67C1"/>
    <w:rsid w:val="00BF6A68"/>
    <w:rsid w:val="00BF70A6"/>
    <w:rsid w:val="00BF71D8"/>
    <w:rsid w:val="00BF76A2"/>
    <w:rsid w:val="00BF7B4F"/>
    <w:rsid w:val="00BF7CF2"/>
    <w:rsid w:val="00C007E0"/>
    <w:rsid w:val="00C0089E"/>
    <w:rsid w:val="00C01005"/>
    <w:rsid w:val="00C012A1"/>
    <w:rsid w:val="00C015D8"/>
    <w:rsid w:val="00C0184E"/>
    <w:rsid w:val="00C01894"/>
    <w:rsid w:val="00C0197D"/>
    <w:rsid w:val="00C019E8"/>
    <w:rsid w:val="00C01CA1"/>
    <w:rsid w:val="00C01EC8"/>
    <w:rsid w:val="00C02174"/>
    <w:rsid w:val="00C026F1"/>
    <w:rsid w:val="00C02707"/>
    <w:rsid w:val="00C0287B"/>
    <w:rsid w:val="00C029D5"/>
    <w:rsid w:val="00C02EE2"/>
    <w:rsid w:val="00C03297"/>
    <w:rsid w:val="00C0338D"/>
    <w:rsid w:val="00C03779"/>
    <w:rsid w:val="00C037A3"/>
    <w:rsid w:val="00C03A9B"/>
    <w:rsid w:val="00C04089"/>
    <w:rsid w:val="00C04259"/>
    <w:rsid w:val="00C04A90"/>
    <w:rsid w:val="00C04AE5"/>
    <w:rsid w:val="00C04CFA"/>
    <w:rsid w:val="00C055EE"/>
    <w:rsid w:val="00C058A6"/>
    <w:rsid w:val="00C05EAC"/>
    <w:rsid w:val="00C0632B"/>
    <w:rsid w:val="00C06829"/>
    <w:rsid w:val="00C06A30"/>
    <w:rsid w:val="00C06FB0"/>
    <w:rsid w:val="00C079F7"/>
    <w:rsid w:val="00C10282"/>
    <w:rsid w:val="00C10628"/>
    <w:rsid w:val="00C10AD9"/>
    <w:rsid w:val="00C1138E"/>
    <w:rsid w:val="00C116CE"/>
    <w:rsid w:val="00C117BE"/>
    <w:rsid w:val="00C118E3"/>
    <w:rsid w:val="00C11E40"/>
    <w:rsid w:val="00C120C7"/>
    <w:rsid w:val="00C126B6"/>
    <w:rsid w:val="00C1273D"/>
    <w:rsid w:val="00C12A0C"/>
    <w:rsid w:val="00C12A41"/>
    <w:rsid w:val="00C12BDF"/>
    <w:rsid w:val="00C1317F"/>
    <w:rsid w:val="00C1340F"/>
    <w:rsid w:val="00C13618"/>
    <w:rsid w:val="00C136BE"/>
    <w:rsid w:val="00C13E6A"/>
    <w:rsid w:val="00C140A3"/>
    <w:rsid w:val="00C14714"/>
    <w:rsid w:val="00C14810"/>
    <w:rsid w:val="00C14CAB"/>
    <w:rsid w:val="00C15104"/>
    <w:rsid w:val="00C15383"/>
    <w:rsid w:val="00C1544C"/>
    <w:rsid w:val="00C159E2"/>
    <w:rsid w:val="00C15AA3"/>
    <w:rsid w:val="00C15B3E"/>
    <w:rsid w:val="00C15DDA"/>
    <w:rsid w:val="00C16216"/>
    <w:rsid w:val="00C16787"/>
    <w:rsid w:val="00C16925"/>
    <w:rsid w:val="00C16ADA"/>
    <w:rsid w:val="00C16B50"/>
    <w:rsid w:val="00C172C3"/>
    <w:rsid w:val="00C17311"/>
    <w:rsid w:val="00C17331"/>
    <w:rsid w:val="00C173BD"/>
    <w:rsid w:val="00C17596"/>
    <w:rsid w:val="00C20100"/>
    <w:rsid w:val="00C204CF"/>
    <w:rsid w:val="00C20617"/>
    <w:rsid w:val="00C20646"/>
    <w:rsid w:val="00C20B7F"/>
    <w:rsid w:val="00C20C06"/>
    <w:rsid w:val="00C20CEE"/>
    <w:rsid w:val="00C2105A"/>
    <w:rsid w:val="00C21185"/>
    <w:rsid w:val="00C214D0"/>
    <w:rsid w:val="00C21D6F"/>
    <w:rsid w:val="00C22122"/>
    <w:rsid w:val="00C22829"/>
    <w:rsid w:val="00C22D21"/>
    <w:rsid w:val="00C22D9C"/>
    <w:rsid w:val="00C22E03"/>
    <w:rsid w:val="00C236C9"/>
    <w:rsid w:val="00C23B04"/>
    <w:rsid w:val="00C244C9"/>
    <w:rsid w:val="00C24667"/>
    <w:rsid w:val="00C247A1"/>
    <w:rsid w:val="00C249F7"/>
    <w:rsid w:val="00C24DEA"/>
    <w:rsid w:val="00C252C9"/>
    <w:rsid w:val="00C25517"/>
    <w:rsid w:val="00C2569E"/>
    <w:rsid w:val="00C259D5"/>
    <w:rsid w:val="00C25DEC"/>
    <w:rsid w:val="00C26576"/>
    <w:rsid w:val="00C266FD"/>
    <w:rsid w:val="00C27766"/>
    <w:rsid w:val="00C2787A"/>
    <w:rsid w:val="00C27D7B"/>
    <w:rsid w:val="00C3004C"/>
    <w:rsid w:val="00C30246"/>
    <w:rsid w:val="00C30254"/>
    <w:rsid w:val="00C30427"/>
    <w:rsid w:val="00C30734"/>
    <w:rsid w:val="00C30849"/>
    <w:rsid w:val="00C30922"/>
    <w:rsid w:val="00C30D8A"/>
    <w:rsid w:val="00C31C91"/>
    <w:rsid w:val="00C31CA2"/>
    <w:rsid w:val="00C32581"/>
    <w:rsid w:val="00C329C7"/>
    <w:rsid w:val="00C3303C"/>
    <w:rsid w:val="00C33415"/>
    <w:rsid w:val="00C3370B"/>
    <w:rsid w:val="00C3384E"/>
    <w:rsid w:val="00C33A26"/>
    <w:rsid w:val="00C33B1E"/>
    <w:rsid w:val="00C33C73"/>
    <w:rsid w:val="00C33F35"/>
    <w:rsid w:val="00C34780"/>
    <w:rsid w:val="00C34E7E"/>
    <w:rsid w:val="00C353C7"/>
    <w:rsid w:val="00C35693"/>
    <w:rsid w:val="00C3599F"/>
    <w:rsid w:val="00C35A58"/>
    <w:rsid w:val="00C36237"/>
    <w:rsid w:val="00C364C9"/>
    <w:rsid w:val="00C366CB"/>
    <w:rsid w:val="00C367A9"/>
    <w:rsid w:val="00C36A16"/>
    <w:rsid w:val="00C37229"/>
    <w:rsid w:val="00C3733D"/>
    <w:rsid w:val="00C37AB9"/>
    <w:rsid w:val="00C4010C"/>
    <w:rsid w:val="00C40662"/>
    <w:rsid w:val="00C40BE3"/>
    <w:rsid w:val="00C40DC8"/>
    <w:rsid w:val="00C415D1"/>
    <w:rsid w:val="00C4194F"/>
    <w:rsid w:val="00C421E8"/>
    <w:rsid w:val="00C4252E"/>
    <w:rsid w:val="00C425B4"/>
    <w:rsid w:val="00C42733"/>
    <w:rsid w:val="00C435AB"/>
    <w:rsid w:val="00C43B0A"/>
    <w:rsid w:val="00C449DC"/>
    <w:rsid w:val="00C44B7B"/>
    <w:rsid w:val="00C4577B"/>
    <w:rsid w:val="00C462D3"/>
    <w:rsid w:val="00C47167"/>
    <w:rsid w:val="00C475B9"/>
    <w:rsid w:val="00C476B3"/>
    <w:rsid w:val="00C501F7"/>
    <w:rsid w:val="00C503C3"/>
    <w:rsid w:val="00C50D29"/>
    <w:rsid w:val="00C51EE3"/>
    <w:rsid w:val="00C521D6"/>
    <w:rsid w:val="00C52401"/>
    <w:rsid w:val="00C525A0"/>
    <w:rsid w:val="00C52993"/>
    <w:rsid w:val="00C52E95"/>
    <w:rsid w:val="00C52FFA"/>
    <w:rsid w:val="00C531A3"/>
    <w:rsid w:val="00C535D1"/>
    <w:rsid w:val="00C539F8"/>
    <w:rsid w:val="00C53B09"/>
    <w:rsid w:val="00C53B8F"/>
    <w:rsid w:val="00C53CDA"/>
    <w:rsid w:val="00C53EDE"/>
    <w:rsid w:val="00C53FD6"/>
    <w:rsid w:val="00C5458E"/>
    <w:rsid w:val="00C54719"/>
    <w:rsid w:val="00C5484E"/>
    <w:rsid w:val="00C5492D"/>
    <w:rsid w:val="00C54C1F"/>
    <w:rsid w:val="00C54E64"/>
    <w:rsid w:val="00C552C3"/>
    <w:rsid w:val="00C5539C"/>
    <w:rsid w:val="00C555A3"/>
    <w:rsid w:val="00C559EF"/>
    <w:rsid w:val="00C56020"/>
    <w:rsid w:val="00C56202"/>
    <w:rsid w:val="00C5633C"/>
    <w:rsid w:val="00C56CCB"/>
    <w:rsid w:val="00C56F4F"/>
    <w:rsid w:val="00C57889"/>
    <w:rsid w:val="00C578DB"/>
    <w:rsid w:val="00C57B0A"/>
    <w:rsid w:val="00C60479"/>
    <w:rsid w:val="00C605D8"/>
    <w:rsid w:val="00C6088D"/>
    <w:rsid w:val="00C608A3"/>
    <w:rsid w:val="00C60D2E"/>
    <w:rsid w:val="00C60F2E"/>
    <w:rsid w:val="00C60F37"/>
    <w:rsid w:val="00C60FB2"/>
    <w:rsid w:val="00C61071"/>
    <w:rsid w:val="00C61901"/>
    <w:rsid w:val="00C619C4"/>
    <w:rsid w:val="00C61A4C"/>
    <w:rsid w:val="00C61FF0"/>
    <w:rsid w:val="00C6200C"/>
    <w:rsid w:val="00C62A19"/>
    <w:rsid w:val="00C62A28"/>
    <w:rsid w:val="00C62BF3"/>
    <w:rsid w:val="00C633AA"/>
    <w:rsid w:val="00C6348C"/>
    <w:rsid w:val="00C635E0"/>
    <w:rsid w:val="00C638AE"/>
    <w:rsid w:val="00C63C2C"/>
    <w:rsid w:val="00C63C75"/>
    <w:rsid w:val="00C64114"/>
    <w:rsid w:val="00C641ED"/>
    <w:rsid w:val="00C642FB"/>
    <w:rsid w:val="00C6462B"/>
    <w:rsid w:val="00C64D76"/>
    <w:rsid w:val="00C64E91"/>
    <w:rsid w:val="00C658AB"/>
    <w:rsid w:val="00C65DA1"/>
    <w:rsid w:val="00C663BF"/>
    <w:rsid w:val="00C6640B"/>
    <w:rsid w:val="00C6662C"/>
    <w:rsid w:val="00C66667"/>
    <w:rsid w:val="00C667F9"/>
    <w:rsid w:val="00C66893"/>
    <w:rsid w:val="00C66CA4"/>
    <w:rsid w:val="00C67020"/>
    <w:rsid w:val="00C67EFD"/>
    <w:rsid w:val="00C71631"/>
    <w:rsid w:val="00C71906"/>
    <w:rsid w:val="00C7194F"/>
    <w:rsid w:val="00C724E8"/>
    <w:rsid w:val="00C72C58"/>
    <w:rsid w:val="00C7301F"/>
    <w:rsid w:val="00C732F2"/>
    <w:rsid w:val="00C73569"/>
    <w:rsid w:val="00C73926"/>
    <w:rsid w:val="00C740DF"/>
    <w:rsid w:val="00C7415E"/>
    <w:rsid w:val="00C75487"/>
    <w:rsid w:val="00C7578D"/>
    <w:rsid w:val="00C75836"/>
    <w:rsid w:val="00C75861"/>
    <w:rsid w:val="00C75A33"/>
    <w:rsid w:val="00C75AF7"/>
    <w:rsid w:val="00C75F03"/>
    <w:rsid w:val="00C75F20"/>
    <w:rsid w:val="00C75FC0"/>
    <w:rsid w:val="00C761F7"/>
    <w:rsid w:val="00C76219"/>
    <w:rsid w:val="00C764D5"/>
    <w:rsid w:val="00C77CA7"/>
    <w:rsid w:val="00C77F58"/>
    <w:rsid w:val="00C80142"/>
    <w:rsid w:val="00C80BF5"/>
    <w:rsid w:val="00C80D21"/>
    <w:rsid w:val="00C80FB4"/>
    <w:rsid w:val="00C81439"/>
    <w:rsid w:val="00C816E3"/>
    <w:rsid w:val="00C819B6"/>
    <w:rsid w:val="00C81BEB"/>
    <w:rsid w:val="00C81C59"/>
    <w:rsid w:val="00C81C84"/>
    <w:rsid w:val="00C81CA6"/>
    <w:rsid w:val="00C8217A"/>
    <w:rsid w:val="00C823BF"/>
    <w:rsid w:val="00C826C9"/>
    <w:rsid w:val="00C82753"/>
    <w:rsid w:val="00C82890"/>
    <w:rsid w:val="00C828C5"/>
    <w:rsid w:val="00C82A17"/>
    <w:rsid w:val="00C8323A"/>
    <w:rsid w:val="00C837E3"/>
    <w:rsid w:val="00C83A43"/>
    <w:rsid w:val="00C83B83"/>
    <w:rsid w:val="00C83D1E"/>
    <w:rsid w:val="00C83E5E"/>
    <w:rsid w:val="00C8463B"/>
    <w:rsid w:val="00C851EB"/>
    <w:rsid w:val="00C85AA2"/>
    <w:rsid w:val="00C85DEB"/>
    <w:rsid w:val="00C85EC0"/>
    <w:rsid w:val="00C8661B"/>
    <w:rsid w:val="00C86893"/>
    <w:rsid w:val="00C87803"/>
    <w:rsid w:val="00C87D28"/>
    <w:rsid w:val="00C87ED8"/>
    <w:rsid w:val="00C90088"/>
    <w:rsid w:val="00C902B1"/>
    <w:rsid w:val="00C90955"/>
    <w:rsid w:val="00C90B29"/>
    <w:rsid w:val="00C90D85"/>
    <w:rsid w:val="00C913AC"/>
    <w:rsid w:val="00C914FE"/>
    <w:rsid w:val="00C9168A"/>
    <w:rsid w:val="00C91ADF"/>
    <w:rsid w:val="00C91BA5"/>
    <w:rsid w:val="00C91D27"/>
    <w:rsid w:val="00C91E44"/>
    <w:rsid w:val="00C91E68"/>
    <w:rsid w:val="00C91EAE"/>
    <w:rsid w:val="00C92255"/>
    <w:rsid w:val="00C923C3"/>
    <w:rsid w:val="00C92621"/>
    <w:rsid w:val="00C932E9"/>
    <w:rsid w:val="00C9390B"/>
    <w:rsid w:val="00C93A2E"/>
    <w:rsid w:val="00C93D53"/>
    <w:rsid w:val="00C94C7B"/>
    <w:rsid w:val="00C94DB9"/>
    <w:rsid w:val="00C950A6"/>
    <w:rsid w:val="00C9519E"/>
    <w:rsid w:val="00C9535F"/>
    <w:rsid w:val="00C95474"/>
    <w:rsid w:val="00C96004"/>
    <w:rsid w:val="00C96957"/>
    <w:rsid w:val="00C97426"/>
    <w:rsid w:val="00CA060E"/>
    <w:rsid w:val="00CA06BE"/>
    <w:rsid w:val="00CA08FA"/>
    <w:rsid w:val="00CA0A76"/>
    <w:rsid w:val="00CA0F79"/>
    <w:rsid w:val="00CA10CA"/>
    <w:rsid w:val="00CA153A"/>
    <w:rsid w:val="00CA1A7F"/>
    <w:rsid w:val="00CA1CC4"/>
    <w:rsid w:val="00CA1D1D"/>
    <w:rsid w:val="00CA1EEF"/>
    <w:rsid w:val="00CA21D4"/>
    <w:rsid w:val="00CA2256"/>
    <w:rsid w:val="00CA2706"/>
    <w:rsid w:val="00CA2A1C"/>
    <w:rsid w:val="00CA2BDA"/>
    <w:rsid w:val="00CA30CD"/>
    <w:rsid w:val="00CA36EC"/>
    <w:rsid w:val="00CA3EEF"/>
    <w:rsid w:val="00CA3FBC"/>
    <w:rsid w:val="00CA43C5"/>
    <w:rsid w:val="00CA43CA"/>
    <w:rsid w:val="00CA4526"/>
    <w:rsid w:val="00CA4883"/>
    <w:rsid w:val="00CA4E1C"/>
    <w:rsid w:val="00CA4FC2"/>
    <w:rsid w:val="00CA525D"/>
    <w:rsid w:val="00CA531A"/>
    <w:rsid w:val="00CA5414"/>
    <w:rsid w:val="00CA54D4"/>
    <w:rsid w:val="00CA5C87"/>
    <w:rsid w:val="00CA5D14"/>
    <w:rsid w:val="00CA6703"/>
    <w:rsid w:val="00CA715B"/>
    <w:rsid w:val="00CA752A"/>
    <w:rsid w:val="00CB03A5"/>
    <w:rsid w:val="00CB0613"/>
    <w:rsid w:val="00CB071C"/>
    <w:rsid w:val="00CB0747"/>
    <w:rsid w:val="00CB0A70"/>
    <w:rsid w:val="00CB0E4E"/>
    <w:rsid w:val="00CB0F05"/>
    <w:rsid w:val="00CB1A3A"/>
    <w:rsid w:val="00CB2377"/>
    <w:rsid w:val="00CB24B3"/>
    <w:rsid w:val="00CB339A"/>
    <w:rsid w:val="00CB3A45"/>
    <w:rsid w:val="00CB3B10"/>
    <w:rsid w:val="00CB40DB"/>
    <w:rsid w:val="00CB418A"/>
    <w:rsid w:val="00CB41FF"/>
    <w:rsid w:val="00CB42D0"/>
    <w:rsid w:val="00CB4588"/>
    <w:rsid w:val="00CB46A3"/>
    <w:rsid w:val="00CB4BF3"/>
    <w:rsid w:val="00CB4F0A"/>
    <w:rsid w:val="00CB5093"/>
    <w:rsid w:val="00CB53EB"/>
    <w:rsid w:val="00CB558E"/>
    <w:rsid w:val="00CB5710"/>
    <w:rsid w:val="00CB5784"/>
    <w:rsid w:val="00CB59FC"/>
    <w:rsid w:val="00CB5AEC"/>
    <w:rsid w:val="00CB5CE9"/>
    <w:rsid w:val="00CB607D"/>
    <w:rsid w:val="00CB60B4"/>
    <w:rsid w:val="00CB73F6"/>
    <w:rsid w:val="00CB76FB"/>
    <w:rsid w:val="00CB785C"/>
    <w:rsid w:val="00CB7E92"/>
    <w:rsid w:val="00CB7F96"/>
    <w:rsid w:val="00CC0030"/>
    <w:rsid w:val="00CC04DF"/>
    <w:rsid w:val="00CC077B"/>
    <w:rsid w:val="00CC1092"/>
    <w:rsid w:val="00CC137E"/>
    <w:rsid w:val="00CC1E9E"/>
    <w:rsid w:val="00CC212F"/>
    <w:rsid w:val="00CC228B"/>
    <w:rsid w:val="00CC2827"/>
    <w:rsid w:val="00CC2958"/>
    <w:rsid w:val="00CC2CC2"/>
    <w:rsid w:val="00CC2DC3"/>
    <w:rsid w:val="00CC2F90"/>
    <w:rsid w:val="00CC35CA"/>
    <w:rsid w:val="00CC3774"/>
    <w:rsid w:val="00CC3AE5"/>
    <w:rsid w:val="00CC3E48"/>
    <w:rsid w:val="00CC3F96"/>
    <w:rsid w:val="00CC42F5"/>
    <w:rsid w:val="00CC4658"/>
    <w:rsid w:val="00CC4A37"/>
    <w:rsid w:val="00CC4DAA"/>
    <w:rsid w:val="00CC4F26"/>
    <w:rsid w:val="00CC501B"/>
    <w:rsid w:val="00CC521E"/>
    <w:rsid w:val="00CC525E"/>
    <w:rsid w:val="00CC530B"/>
    <w:rsid w:val="00CC59AC"/>
    <w:rsid w:val="00CC601C"/>
    <w:rsid w:val="00CC609E"/>
    <w:rsid w:val="00CC61E2"/>
    <w:rsid w:val="00CC6791"/>
    <w:rsid w:val="00CC6924"/>
    <w:rsid w:val="00CC6A3A"/>
    <w:rsid w:val="00CC764B"/>
    <w:rsid w:val="00CC785F"/>
    <w:rsid w:val="00CC7BFA"/>
    <w:rsid w:val="00CD0250"/>
    <w:rsid w:val="00CD0445"/>
    <w:rsid w:val="00CD04B3"/>
    <w:rsid w:val="00CD060E"/>
    <w:rsid w:val="00CD09A5"/>
    <w:rsid w:val="00CD1052"/>
    <w:rsid w:val="00CD107C"/>
    <w:rsid w:val="00CD10D5"/>
    <w:rsid w:val="00CD16DF"/>
    <w:rsid w:val="00CD1863"/>
    <w:rsid w:val="00CD1D1B"/>
    <w:rsid w:val="00CD1E9C"/>
    <w:rsid w:val="00CD214C"/>
    <w:rsid w:val="00CD2188"/>
    <w:rsid w:val="00CD23E3"/>
    <w:rsid w:val="00CD29E7"/>
    <w:rsid w:val="00CD2A36"/>
    <w:rsid w:val="00CD2A89"/>
    <w:rsid w:val="00CD3848"/>
    <w:rsid w:val="00CD389B"/>
    <w:rsid w:val="00CD38C9"/>
    <w:rsid w:val="00CD3F6C"/>
    <w:rsid w:val="00CD41B9"/>
    <w:rsid w:val="00CD4298"/>
    <w:rsid w:val="00CD4447"/>
    <w:rsid w:val="00CD4819"/>
    <w:rsid w:val="00CD49DD"/>
    <w:rsid w:val="00CD4BF3"/>
    <w:rsid w:val="00CD4F13"/>
    <w:rsid w:val="00CD5575"/>
    <w:rsid w:val="00CD5E55"/>
    <w:rsid w:val="00CD6189"/>
    <w:rsid w:val="00CD63D4"/>
    <w:rsid w:val="00CD6DDE"/>
    <w:rsid w:val="00CD71C9"/>
    <w:rsid w:val="00CD7F8B"/>
    <w:rsid w:val="00CE0490"/>
    <w:rsid w:val="00CE05F2"/>
    <w:rsid w:val="00CE0D51"/>
    <w:rsid w:val="00CE0F09"/>
    <w:rsid w:val="00CE0F85"/>
    <w:rsid w:val="00CE10A0"/>
    <w:rsid w:val="00CE1451"/>
    <w:rsid w:val="00CE175E"/>
    <w:rsid w:val="00CE1B94"/>
    <w:rsid w:val="00CE1BA7"/>
    <w:rsid w:val="00CE1D80"/>
    <w:rsid w:val="00CE1F70"/>
    <w:rsid w:val="00CE21FE"/>
    <w:rsid w:val="00CE229B"/>
    <w:rsid w:val="00CE2539"/>
    <w:rsid w:val="00CE2E71"/>
    <w:rsid w:val="00CE3161"/>
    <w:rsid w:val="00CE34DC"/>
    <w:rsid w:val="00CE3EA4"/>
    <w:rsid w:val="00CE411E"/>
    <w:rsid w:val="00CE430A"/>
    <w:rsid w:val="00CE4455"/>
    <w:rsid w:val="00CE4D0E"/>
    <w:rsid w:val="00CE5031"/>
    <w:rsid w:val="00CE5A7E"/>
    <w:rsid w:val="00CE5D05"/>
    <w:rsid w:val="00CE5D29"/>
    <w:rsid w:val="00CE5F66"/>
    <w:rsid w:val="00CE64BE"/>
    <w:rsid w:val="00CE6892"/>
    <w:rsid w:val="00CE6ED7"/>
    <w:rsid w:val="00CE727C"/>
    <w:rsid w:val="00CE7308"/>
    <w:rsid w:val="00CE7A51"/>
    <w:rsid w:val="00CE7EDC"/>
    <w:rsid w:val="00CF1073"/>
    <w:rsid w:val="00CF14D5"/>
    <w:rsid w:val="00CF15C3"/>
    <w:rsid w:val="00CF1985"/>
    <w:rsid w:val="00CF1AC7"/>
    <w:rsid w:val="00CF1B22"/>
    <w:rsid w:val="00CF1BB8"/>
    <w:rsid w:val="00CF1C9C"/>
    <w:rsid w:val="00CF1E8E"/>
    <w:rsid w:val="00CF1FFF"/>
    <w:rsid w:val="00CF2810"/>
    <w:rsid w:val="00CF2A20"/>
    <w:rsid w:val="00CF2CE3"/>
    <w:rsid w:val="00CF30E0"/>
    <w:rsid w:val="00CF31E9"/>
    <w:rsid w:val="00CF3246"/>
    <w:rsid w:val="00CF34FA"/>
    <w:rsid w:val="00CF365A"/>
    <w:rsid w:val="00CF3701"/>
    <w:rsid w:val="00CF3846"/>
    <w:rsid w:val="00CF3EFD"/>
    <w:rsid w:val="00CF42ED"/>
    <w:rsid w:val="00CF4871"/>
    <w:rsid w:val="00CF4946"/>
    <w:rsid w:val="00CF4AB5"/>
    <w:rsid w:val="00CF4E30"/>
    <w:rsid w:val="00CF52CC"/>
    <w:rsid w:val="00CF53B9"/>
    <w:rsid w:val="00CF5557"/>
    <w:rsid w:val="00CF5592"/>
    <w:rsid w:val="00CF5651"/>
    <w:rsid w:val="00CF583F"/>
    <w:rsid w:val="00CF5EC9"/>
    <w:rsid w:val="00CF61A8"/>
    <w:rsid w:val="00CF6471"/>
    <w:rsid w:val="00CF6596"/>
    <w:rsid w:val="00CF6782"/>
    <w:rsid w:val="00CF67BC"/>
    <w:rsid w:val="00CF6B87"/>
    <w:rsid w:val="00CF6CCB"/>
    <w:rsid w:val="00CF6FBF"/>
    <w:rsid w:val="00CF70A9"/>
    <w:rsid w:val="00CF712B"/>
    <w:rsid w:val="00CF7420"/>
    <w:rsid w:val="00CF7452"/>
    <w:rsid w:val="00CF7727"/>
    <w:rsid w:val="00D007B5"/>
    <w:rsid w:val="00D00F48"/>
    <w:rsid w:val="00D01158"/>
    <w:rsid w:val="00D0138A"/>
    <w:rsid w:val="00D01463"/>
    <w:rsid w:val="00D0173F"/>
    <w:rsid w:val="00D0201D"/>
    <w:rsid w:val="00D021C1"/>
    <w:rsid w:val="00D025F0"/>
    <w:rsid w:val="00D02CF4"/>
    <w:rsid w:val="00D02F36"/>
    <w:rsid w:val="00D034DA"/>
    <w:rsid w:val="00D03C49"/>
    <w:rsid w:val="00D04092"/>
    <w:rsid w:val="00D042E6"/>
    <w:rsid w:val="00D04D2A"/>
    <w:rsid w:val="00D05042"/>
    <w:rsid w:val="00D05260"/>
    <w:rsid w:val="00D0545F"/>
    <w:rsid w:val="00D054B1"/>
    <w:rsid w:val="00D05548"/>
    <w:rsid w:val="00D05A46"/>
    <w:rsid w:val="00D05B20"/>
    <w:rsid w:val="00D05DFF"/>
    <w:rsid w:val="00D05E4B"/>
    <w:rsid w:val="00D05E82"/>
    <w:rsid w:val="00D061E8"/>
    <w:rsid w:val="00D066EB"/>
    <w:rsid w:val="00D06CC9"/>
    <w:rsid w:val="00D0712B"/>
    <w:rsid w:val="00D0739C"/>
    <w:rsid w:val="00D0740D"/>
    <w:rsid w:val="00D07520"/>
    <w:rsid w:val="00D07A39"/>
    <w:rsid w:val="00D07B88"/>
    <w:rsid w:val="00D07CE8"/>
    <w:rsid w:val="00D1036B"/>
    <w:rsid w:val="00D10473"/>
    <w:rsid w:val="00D11308"/>
    <w:rsid w:val="00D1165C"/>
    <w:rsid w:val="00D1171E"/>
    <w:rsid w:val="00D11744"/>
    <w:rsid w:val="00D1192F"/>
    <w:rsid w:val="00D11A09"/>
    <w:rsid w:val="00D11A99"/>
    <w:rsid w:val="00D11F67"/>
    <w:rsid w:val="00D1260B"/>
    <w:rsid w:val="00D12912"/>
    <w:rsid w:val="00D1295E"/>
    <w:rsid w:val="00D12F51"/>
    <w:rsid w:val="00D130A5"/>
    <w:rsid w:val="00D1316B"/>
    <w:rsid w:val="00D131CE"/>
    <w:rsid w:val="00D13858"/>
    <w:rsid w:val="00D13A73"/>
    <w:rsid w:val="00D13AA0"/>
    <w:rsid w:val="00D13AFC"/>
    <w:rsid w:val="00D13B04"/>
    <w:rsid w:val="00D13D51"/>
    <w:rsid w:val="00D14152"/>
    <w:rsid w:val="00D14735"/>
    <w:rsid w:val="00D147E7"/>
    <w:rsid w:val="00D148AE"/>
    <w:rsid w:val="00D14918"/>
    <w:rsid w:val="00D14A33"/>
    <w:rsid w:val="00D14C6E"/>
    <w:rsid w:val="00D14EF9"/>
    <w:rsid w:val="00D151F7"/>
    <w:rsid w:val="00D15D61"/>
    <w:rsid w:val="00D16644"/>
    <w:rsid w:val="00D16BDC"/>
    <w:rsid w:val="00D16C22"/>
    <w:rsid w:val="00D17295"/>
    <w:rsid w:val="00D1771F"/>
    <w:rsid w:val="00D17ABE"/>
    <w:rsid w:val="00D17CE9"/>
    <w:rsid w:val="00D20230"/>
    <w:rsid w:val="00D2081E"/>
    <w:rsid w:val="00D20B18"/>
    <w:rsid w:val="00D21032"/>
    <w:rsid w:val="00D2112A"/>
    <w:rsid w:val="00D211B8"/>
    <w:rsid w:val="00D211E6"/>
    <w:rsid w:val="00D21C15"/>
    <w:rsid w:val="00D222F9"/>
    <w:rsid w:val="00D226A0"/>
    <w:rsid w:val="00D22875"/>
    <w:rsid w:val="00D228CF"/>
    <w:rsid w:val="00D229DE"/>
    <w:rsid w:val="00D23697"/>
    <w:rsid w:val="00D2421F"/>
    <w:rsid w:val="00D2438E"/>
    <w:rsid w:val="00D2441A"/>
    <w:rsid w:val="00D249B7"/>
    <w:rsid w:val="00D24E68"/>
    <w:rsid w:val="00D2540B"/>
    <w:rsid w:val="00D255BE"/>
    <w:rsid w:val="00D25984"/>
    <w:rsid w:val="00D263A5"/>
    <w:rsid w:val="00D2674D"/>
    <w:rsid w:val="00D268D0"/>
    <w:rsid w:val="00D26A06"/>
    <w:rsid w:val="00D27092"/>
    <w:rsid w:val="00D271E5"/>
    <w:rsid w:val="00D27437"/>
    <w:rsid w:val="00D279A0"/>
    <w:rsid w:val="00D27D99"/>
    <w:rsid w:val="00D30744"/>
    <w:rsid w:val="00D30CDE"/>
    <w:rsid w:val="00D30EF2"/>
    <w:rsid w:val="00D310E7"/>
    <w:rsid w:val="00D313A0"/>
    <w:rsid w:val="00D3181D"/>
    <w:rsid w:val="00D31FA1"/>
    <w:rsid w:val="00D331BF"/>
    <w:rsid w:val="00D333C9"/>
    <w:rsid w:val="00D333EB"/>
    <w:rsid w:val="00D3344B"/>
    <w:rsid w:val="00D3353A"/>
    <w:rsid w:val="00D3367D"/>
    <w:rsid w:val="00D33963"/>
    <w:rsid w:val="00D33B69"/>
    <w:rsid w:val="00D33B9C"/>
    <w:rsid w:val="00D34376"/>
    <w:rsid w:val="00D345C8"/>
    <w:rsid w:val="00D34E2A"/>
    <w:rsid w:val="00D34F90"/>
    <w:rsid w:val="00D34FD4"/>
    <w:rsid w:val="00D351A6"/>
    <w:rsid w:val="00D35900"/>
    <w:rsid w:val="00D35B29"/>
    <w:rsid w:val="00D35B2B"/>
    <w:rsid w:val="00D36171"/>
    <w:rsid w:val="00D36338"/>
    <w:rsid w:val="00D364EE"/>
    <w:rsid w:val="00D36860"/>
    <w:rsid w:val="00D374F4"/>
    <w:rsid w:val="00D37602"/>
    <w:rsid w:val="00D3762C"/>
    <w:rsid w:val="00D3769B"/>
    <w:rsid w:val="00D378AB"/>
    <w:rsid w:val="00D378AD"/>
    <w:rsid w:val="00D37DE9"/>
    <w:rsid w:val="00D37E73"/>
    <w:rsid w:val="00D40065"/>
    <w:rsid w:val="00D4064B"/>
    <w:rsid w:val="00D40762"/>
    <w:rsid w:val="00D407C1"/>
    <w:rsid w:val="00D40E4B"/>
    <w:rsid w:val="00D41048"/>
    <w:rsid w:val="00D41094"/>
    <w:rsid w:val="00D411FE"/>
    <w:rsid w:val="00D41EF5"/>
    <w:rsid w:val="00D420AF"/>
    <w:rsid w:val="00D422FF"/>
    <w:rsid w:val="00D42D6A"/>
    <w:rsid w:val="00D42E2E"/>
    <w:rsid w:val="00D430CE"/>
    <w:rsid w:val="00D431E1"/>
    <w:rsid w:val="00D436D3"/>
    <w:rsid w:val="00D43881"/>
    <w:rsid w:val="00D438E1"/>
    <w:rsid w:val="00D439E1"/>
    <w:rsid w:val="00D43A76"/>
    <w:rsid w:val="00D43C2E"/>
    <w:rsid w:val="00D43C80"/>
    <w:rsid w:val="00D43CDD"/>
    <w:rsid w:val="00D4423E"/>
    <w:rsid w:val="00D44487"/>
    <w:rsid w:val="00D44662"/>
    <w:rsid w:val="00D44D03"/>
    <w:rsid w:val="00D44D6F"/>
    <w:rsid w:val="00D44E5C"/>
    <w:rsid w:val="00D45547"/>
    <w:rsid w:val="00D460A8"/>
    <w:rsid w:val="00D46398"/>
    <w:rsid w:val="00D46412"/>
    <w:rsid w:val="00D467C8"/>
    <w:rsid w:val="00D46879"/>
    <w:rsid w:val="00D46BE2"/>
    <w:rsid w:val="00D47651"/>
    <w:rsid w:val="00D4793D"/>
    <w:rsid w:val="00D47D7E"/>
    <w:rsid w:val="00D5012A"/>
    <w:rsid w:val="00D50471"/>
    <w:rsid w:val="00D51DBE"/>
    <w:rsid w:val="00D51E6F"/>
    <w:rsid w:val="00D51F11"/>
    <w:rsid w:val="00D520AB"/>
    <w:rsid w:val="00D522CD"/>
    <w:rsid w:val="00D523FD"/>
    <w:rsid w:val="00D52741"/>
    <w:rsid w:val="00D527BC"/>
    <w:rsid w:val="00D52B7C"/>
    <w:rsid w:val="00D52D4C"/>
    <w:rsid w:val="00D52DA1"/>
    <w:rsid w:val="00D52EDF"/>
    <w:rsid w:val="00D53348"/>
    <w:rsid w:val="00D5344C"/>
    <w:rsid w:val="00D5353A"/>
    <w:rsid w:val="00D53A22"/>
    <w:rsid w:val="00D53B4E"/>
    <w:rsid w:val="00D53F07"/>
    <w:rsid w:val="00D541BE"/>
    <w:rsid w:val="00D545B5"/>
    <w:rsid w:val="00D54844"/>
    <w:rsid w:val="00D54B93"/>
    <w:rsid w:val="00D54D62"/>
    <w:rsid w:val="00D5510A"/>
    <w:rsid w:val="00D559CC"/>
    <w:rsid w:val="00D55BDD"/>
    <w:rsid w:val="00D56536"/>
    <w:rsid w:val="00D572B9"/>
    <w:rsid w:val="00D57372"/>
    <w:rsid w:val="00D57637"/>
    <w:rsid w:val="00D577DD"/>
    <w:rsid w:val="00D577E8"/>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12"/>
    <w:rsid w:val="00D63D1F"/>
    <w:rsid w:val="00D63DCF"/>
    <w:rsid w:val="00D63EF1"/>
    <w:rsid w:val="00D63F85"/>
    <w:rsid w:val="00D63FF3"/>
    <w:rsid w:val="00D640E7"/>
    <w:rsid w:val="00D64241"/>
    <w:rsid w:val="00D6424B"/>
    <w:rsid w:val="00D64544"/>
    <w:rsid w:val="00D64853"/>
    <w:rsid w:val="00D650BC"/>
    <w:rsid w:val="00D65F71"/>
    <w:rsid w:val="00D660CC"/>
    <w:rsid w:val="00D663D9"/>
    <w:rsid w:val="00D66620"/>
    <w:rsid w:val="00D66713"/>
    <w:rsid w:val="00D66781"/>
    <w:rsid w:val="00D66E01"/>
    <w:rsid w:val="00D66E51"/>
    <w:rsid w:val="00D672DD"/>
    <w:rsid w:val="00D674AE"/>
    <w:rsid w:val="00D676EE"/>
    <w:rsid w:val="00D67DB1"/>
    <w:rsid w:val="00D67DC2"/>
    <w:rsid w:val="00D67DDC"/>
    <w:rsid w:val="00D705BD"/>
    <w:rsid w:val="00D707DD"/>
    <w:rsid w:val="00D70B4F"/>
    <w:rsid w:val="00D70F63"/>
    <w:rsid w:val="00D7210D"/>
    <w:rsid w:val="00D72593"/>
    <w:rsid w:val="00D726EE"/>
    <w:rsid w:val="00D72C7F"/>
    <w:rsid w:val="00D731B2"/>
    <w:rsid w:val="00D73592"/>
    <w:rsid w:val="00D736D4"/>
    <w:rsid w:val="00D736DA"/>
    <w:rsid w:val="00D73822"/>
    <w:rsid w:val="00D73A6B"/>
    <w:rsid w:val="00D73CBF"/>
    <w:rsid w:val="00D74062"/>
    <w:rsid w:val="00D7430D"/>
    <w:rsid w:val="00D74A0B"/>
    <w:rsid w:val="00D74BED"/>
    <w:rsid w:val="00D74F41"/>
    <w:rsid w:val="00D75AD0"/>
    <w:rsid w:val="00D75C1F"/>
    <w:rsid w:val="00D75DA9"/>
    <w:rsid w:val="00D75E09"/>
    <w:rsid w:val="00D75E85"/>
    <w:rsid w:val="00D75F1F"/>
    <w:rsid w:val="00D75FDA"/>
    <w:rsid w:val="00D7621B"/>
    <w:rsid w:val="00D76415"/>
    <w:rsid w:val="00D76874"/>
    <w:rsid w:val="00D76F02"/>
    <w:rsid w:val="00D76F97"/>
    <w:rsid w:val="00D7738B"/>
    <w:rsid w:val="00D77700"/>
    <w:rsid w:val="00D7796F"/>
    <w:rsid w:val="00D77C05"/>
    <w:rsid w:val="00D77C33"/>
    <w:rsid w:val="00D77C93"/>
    <w:rsid w:val="00D80055"/>
    <w:rsid w:val="00D807E8"/>
    <w:rsid w:val="00D80837"/>
    <w:rsid w:val="00D81519"/>
    <w:rsid w:val="00D81D49"/>
    <w:rsid w:val="00D82680"/>
    <w:rsid w:val="00D826D8"/>
    <w:rsid w:val="00D82BC7"/>
    <w:rsid w:val="00D82D71"/>
    <w:rsid w:val="00D833FA"/>
    <w:rsid w:val="00D836C5"/>
    <w:rsid w:val="00D83933"/>
    <w:rsid w:val="00D839E6"/>
    <w:rsid w:val="00D83D48"/>
    <w:rsid w:val="00D84139"/>
    <w:rsid w:val="00D84543"/>
    <w:rsid w:val="00D84DDD"/>
    <w:rsid w:val="00D84E4A"/>
    <w:rsid w:val="00D85430"/>
    <w:rsid w:val="00D85D7C"/>
    <w:rsid w:val="00D85E87"/>
    <w:rsid w:val="00D86183"/>
    <w:rsid w:val="00D86805"/>
    <w:rsid w:val="00D868AE"/>
    <w:rsid w:val="00D86D75"/>
    <w:rsid w:val="00D87782"/>
    <w:rsid w:val="00D87849"/>
    <w:rsid w:val="00D87B62"/>
    <w:rsid w:val="00D90326"/>
    <w:rsid w:val="00D904E3"/>
    <w:rsid w:val="00D90768"/>
    <w:rsid w:val="00D90C62"/>
    <w:rsid w:val="00D9103F"/>
    <w:rsid w:val="00D9175D"/>
    <w:rsid w:val="00D91CB6"/>
    <w:rsid w:val="00D91E5D"/>
    <w:rsid w:val="00D924BB"/>
    <w:rsid w:val="00D925CA"/>
    <w:rsid w:val="00D927FE"/>
    <w:rsid w:val="00D92813"/>
    <w:rsid w:val="00D92814"/>
    <w:rsid w:val="00D928A8"/>
    <w:rsid w:val="00D92971"/>
    <w:rsid w:val="00D92CAF"/>
    <w:rsid w:val="00D93189"/>
    <w:rsid w:val="00D9331F"/>
    <w:rsid w:val="00D933E8"/>
    <w:rsid w:val="00D936AE"/>
    <w:rsid w:val="00D93947"/>
    <w:rsid w:val="00D93DF7"/>
    <w:rsid w:val="00D93E43"/>
    <w:rsid w:val="00D9423D"/>
    <w:rsid w:val="00D94748"/>
    <w:rsid w:val="00D94BDC"/>
    <w:rsid w:val="00D95539"/>
    <w:rsid w:val="00D95982"/>
    <w:rsid w:val="00D95CEE"/>
    <w:rsid w:val="00D95D7E"/>
    <w:rsid w:val="00D95DE0"/>
    <w:rsid w:val="00D95F25"/>
    <w:rsid w:val="00D964A5"/>
    <w:rsid w:val="00D96CC4"/>
    <w:rsid w:val="00D96EBC"/>
    <w:rsid w:val="00D97381"/>
    <w:rsid w:val="00D97471"/>
    <w:rsid w:val="00D975D8"/>
    <w:rsid w:val="00D97A92"/>
    <w:rsid w:val="00D97BCA"/>
    <w:rsid w:val="00D97DD5"/>
    <w:rsid w:val="00D97EAB"/>
    <w:rsid w:val="00D97F40"/>
    <w:rsid w:val="00DA009B"/>
    <w:rsid w:val="00DA03FD"/>
    <w:rsid w:val="00DA080B"/>
    <w:rsid w:val="00DA0C13"/>
    <w:rsid w:val="00DA0F41"/>
    <w:rsid w:val="00DA1191"/>
    <w:rsid w:val="00DA14FA"/>
    <w:rsid w:val="00DA1EB9"/>
    <w:rsid w:val="00DA28A8"/>
    <w:rsid w:val="00DA2E7C"/>
    <w:rsid w:val="00DA2FE9"/>
    <w:rsid w:val="00DA300F"/>
    <w:rsid w:val="00DA30C0"/>
    <w:rsid w:val="00DA34ED"/>
    <w:rsid w:val="00DA3BBD"/>
    <w:rsid w:val="00DA3E06"/>
    <w:rsid w:val="00DA4136"/>
    <w:rsid w:val="00DA44B6"/>
    <w:rsid w:val="00DA4834"/>
    <w:rsid w:val="00DA4F39"/>
    <w:rsid w:val="00DA5168"/>
    <w:rsid w:val="00DA528F"/>
    <w:rsid w:val="00DA53AC"/>
    <w:rsid w:val="00DA5911"/>
    <w:rsid w:val="00DA5DEF"/>
    <w:rsid w:val="00DA5E0F"/>
    <w:rsid w:val="00DA5EB7"/>
    <w:rsid w:val="00DA66E1"/>
    <w:rsid w:val="00DA6D47"/>
    <w:rsid w:val="00DA6E46"/>
    <w:rsid w:val="00DA70D0"/>
    <w:rsid w:val="00DA722E"/>
    <w:rsid w:val="00DA73C4"/>
    <w:rsid w:val="00DA7724"/>
    <w:rsid w:val="00DA7733"/>
    <w:rsid w:val="00DA7C22"/>
    <w:rsid w:val="00DA7DD9"/>
    <w:rsid w:val="00DA7F3B"/>
    <w:rsid w:val="00DA7FAB"/>
    <w:rsid w:val="00DB0003"/>
    <w:rsid w:val="00DB0276"/>
    <w:rsid w:val="00DB0389"/>
    <w:rsid w:val="00DB051C"/>
    <w:rsid w:val="00DB05D7"/>
    <w:rsid w:val="00DB085C"/>
    <w:rsid w:val="00DB0E3F"/>
    <w:rsid w:val="00DB0E62"/>
    <w:rsid w:val="00DB1768"/>
    <w:rsid w:val="00DB17B1"/>
    <w:rsid w:val="00DB198D"/>
    <w:rsid w:val="00DB1E02"/>
    <w:rsid w:val="00DB2279"/>
    <w:rsid w:val="00DB230F"/>
    <w:rsid w:val="00DB23BC"/>
    <w:rsid w:val="00DB3105"/>
    <w:rsid w:val="00DB33A5"/>
    <w:rsid w:val="00DB398E"/>
    <w:rsid w:val="00DB3D65"/>
    <w:rsid w:val="00DB4127"/>
    <w:rsid w:val="00DB42A1"/>
    <w:rsid w:val="00DB4BBA"/>
    <w:rsid w:val="00DB5681"/>
    <w:rsid w:val="00DB5A26"/>
    <w:rsid w:val="00DB5F33"/>
    <w:rsid w:val="00DB653A"/>
    <w:rsid w:val="00DB6F44"/>
    <w:rsid w:val="00DB70E3"/>
    <w:rsid w:val="00DB7960"/>
    <w:rsid w:val="00DB7ABA"/>
    <w:rsid w:val="00DB7D68"/>
    <w:rsid w:val="00DB7E98"/>
    <w:rsid w:val="00DC0263"/>
    <w:rsid w:val="00DC02A3"/>
    <w:rsid w:val="00DC0840"/>
    <w:rsid w:val="00DC0AEC"/>
    <w:rsid w:val="00DC0ED8"/>
    <w:rsid w:val="00DC1A47"/>
    <w:rsid w:val="00DC1C2B"/>
    <w:rsid w:val="00DC1F36"/>
    <w:rsid w:val="00DC2AAB"/>
    <w:rsid w:val="00DC2F23"/>
    <w:rsid w:val="00DC3168"/>
    <w:rsid w:val="00DC37CD"/>
    <w:rsid w:val="00DC39FA"/>
    <w:rsid w:val="00DC42BA"/>
    <w:rsid w:val="00DC4709"/>
    <w:rsid w:val="00DC4CB9"/>
    <w:rsid w:val="00DC5BE4"/>
    <w:rsid w:val="00DC690A"/>
    <w:rsid w:val="00DC6F12"/>
    <w:rsid w:val="00DC724A"/>
    <w:rsid w:val="00DC7565"/>
    <w:rsid w:val="00DC796A"/>
    <w:rsid w:val="00DC7A30"/>
    <w:rsid w:val="00DC7B92"/>
    <w:rsid w:val="00DC7BD1"/>
    <w:rsid w:val="00DC7C3D"/>
    <w:rsid w:val="00DD0731"/>
    <w:rsid w:val="00DD07AC"/>
    <w:rsid w:val="00DD0F4B"/>
    <w:rsid w:val="00DD1270"/>
    <w:rsid w:val="00DD152A"/>
    <w:rsid w:val="00DD1808"/>
    <w:rsid w:val="00DD1C14"/>
    <w:rsid w:val="00DD2C95"/>
    <w:rsid w:val="00DD2D17"/>
    <w:rsid w:val="00DD2E30"/>
    <w:rsid w:val="00DD2F3B"/>
    <w:rsid w:val="00DD2F8F"/>
    <w:rsid w:val="00DD3770"/>
    <w:rsid w:val="00DD39B8"/>
    <w:rsid w:val="00DD3CD3"/>
    <w:rsid w:val="00DD4257"/>
    <w:rsid w:val="00DD42A7"/>
    <w:rsid w:val="00DD43D0"/>
    <w:rsid w:val="00DD49D4"/>
    <w:rsid w:val="00DD4B3A"/>
    <w:rsid w:val="00DD530B"/>
    <w:rsid w:val="00DD56A3"/>
    <w:rsid w:val="00DD5CB8"/>
    <w:rsid w:val="00DD6071"/>
    <w:rsid w:val="00DD61FB"/>
    <w:rsid w:val="00DD6351"/>
    <w:rsid w:val="00DD63A9"/>
    <w:rsid w:val="00DD63DD"/>
    <w:rsid w:val="00DD645E"/>
    <w:rsid w:val="00DD68FB"/>
    <w:rsid w:val="00DD6F4C"/>
    <w:rsid w:val="00DD708B"/>
    <w:rsid w:val="00DD70CB"/>
    <w:rsid w:val="00DD73E6"/>
    <w:rsid w:val="00DD747B"/>
    <w:rsid w:val="00DD76CE"/>
    <w:rsid w:val="00DD79D0"/>
    <w:rsid w:val="00DD7EF3"/>
    <w:rsid w:val="00DE01A5"/>
    <w:rsid w:val="00DE03C8"/>
    <w:rsid w:val="00DE0653"/>
    <w:rsid w:val="00DE134F"/>
    <w:rsid w:val="00DE14F3"/>
    <w:rsid w:val="00DE168F"/>
    <w:rsid w:val="00DE2ADA"/>
    <w:rsid w:val="00DE3456"/>
    <w:rsid w:val="00DE3536"/>
    <w:rsid w:val="00DE36C6"/>
    <w:rsid w:val="00DE3850"/>
    <w:rsid w:val="00DE3888"/>
    <w:rsid w:val="00DE3FF4"/>
    <w:rsid w:val="00DE40FE"/>
    <w:rsid w:val="00DE4144"/>
    <w:rsid w:val="00DE4AA0"/>
    <w:rsid w:val="00DE5700"/>
    <w:rsid w:val="00DE5A67"/>
    <w:rsid w:val="00DE6012"/>
    <w:rsid w:val="00DE6164"/>
    <w:rsid w:val="00DE6365"/>
    <w:rsid w:val="00DE64F6"/>
    <w:rsid w:val="00DE6B20"/>
    <w:rsid w:val="00DE77E5"/>
    <w:rsid w:val="00DE7824"/>
    <w:rsid w:val="00DF012D"/>
    <w:rsid w:val="00DF0879"/>
    <w:rsid w:val="00DF0C6A"/>
    <w:rsid w:val="00DF0EC7"/>
    <w:rsid w:val="00DF11E3"/>
    <w:rsid w:val="00DF1261"/>
    <w:rsid w:val="00DF126A"/>
    <w:rsid w:val="00DF136A"/>
    <w:rsid w:val="00DF16B0"/>
    <w:rsid w:val="00DF1766"/>
    <w:rsid w:val="00DF1963"/>
    <w:rsid w:val="00DF1AF3"/>
    <w:rsid w:val="00DF1BFC"/>
    <w:rsid w:val="00DF2AEB"/>
    <w:rsid w:val="00DF2BB8"/>
    <w:rsid w:val="00DF2CD7"/>
    <w:rsid w:val="00DF2F3B"/>
    <w:rsid w:val="00DF2FC3"/>
    <w:rsid w:val="00DF308A"/>
    <w:rsid w:val="00DF31F7"/>
    <w:rsid w:val="00DF3427"/>
    <w:rsid w:val="00DF3794"/>
    <w:rsid w:val="00DF38C5"/>
    <w:rsid w:val="00DF3B58"/>
    <w:rsid w:val="00DF3B77"/>
    <w:rsid w:val="00DF3ED4"/>
    <w:rsid w:val="00DF4447"/>
    <w:rsid w:val="00DF4777"/>
    <w:rsid w:val="00DF4C3C"/>
    <w:rsid w:val="00DF4FEF"/>
    <w:rsid w:val="00DF5110"/>
    <w:rsid w:val="00DF516E"/>
    <w:rsid w:val="00DF5368"/>
    <w:rsid w:val="00DF555D"/>
    <w:rsid w:val="00DF5AD7"/>
    <w:rsid w:val="00DF5B9D"/>
    <w:rsid w:val="00DF5D98"/>
    <w:rsid w:val="00DF628C"/>
    <w:rsid w:val="00DF6B7A"/>
    <w:rsid w:val="00DF6BEF"/>
    <w:rsid w:val="00DF6C8B"/>
    <w:rsid w:val="00DF6CDC"/>
    <w:rsid w:val="00DF6F94"/>
    <w:rsid w:val="00DF718E"/>
    <w:rsid w:val="00DF71D8"/>
    <w:rsid w:val="00DF74E8"/>
    <w:rsid w:val="00DF779E"/>
    <w:rsid w:val="00DF7C6B"/>
    <w:rsid w:val="00DF7CF9"/>
    <w:rsid w:val="00DF7E5C"/>
    <w:rsid w:val="00E00030"/>
    <w:rsid w:val="00E00236"/>
    <w:rsid w:val="00E00385"/>
    <w:rsid w:val="00E0071E"/>
    <w:rsid w:val="00E00CEE"/>
    <w:rsid w:val="00E00F9E"/>
    <w:rsid w:val="00E01532"/>
    <w:rsid w:val="00E01A95"/>
    <w:rsid w:val="00E01BD8"/>
    <w:rsid w:val="00E01EFC"/>
    <w:rsid w:val="00E01F45"/>
    <w:rsid w:val="00E02610"/>
    <w:rsid w:val="00E02680"/>
    <w:rsid w:val="00E02E47"/>
    <w:rsid w:val="00E03102"/>
    <w:rsid w:val="00E0373D"/>
    <w:rsid w:val="00E039C2"/>
    <w:rsid w:val="00E03BB6"/>
    <w:rsid w:val="00E03D38"/>
    <w:rsid w:val="00E03E19"/>
    <w:rsid w:val="00E040F8"/>
    <w:rsid w:val="00E0525F"/>
    <w:rsid w:val="00E05797"/>
    <w:rsid w:val="00E05FC4"/>
    <w:rsid w:val="00E06125"/>
    <w:rsid w:val="00E06723"/>
    <w:rsid w:val="00E06973"/>
    <w:rsid w:val="00E06C0A"/>
    <w:rsid w:val="00E070B1"/>
    <w:rsid w:val="00E07706"/>
    <w:rsid w:val="00E07D8A"/>
    <w:rsid w:val="00E1010F"/>
    <w:rsid w:val="00E104AF"/>
    <w:rsid w:val="00E10576"/>
    <w:rsid w:val="00E10643"/>
    <w:rsid w:val="00E1078E"/>
    <w:rsid w:val="00E10829"/>
    <w:rsid w:val="00E10BF5"/>
    <w:rsid w:val="00E115CA"/>
    <w:rsid w:val="00E11AA3"/>
    <w:rsid w:val="00E1249C"/>
    <w:rsid w:val="00E12591"/>
    <w:rsid w:val="00E12735"/>
    <w:rsid w:val="00E127C9"/>
    <w:rsid w:val="00E12DB9"/>
    <w:rsid w:val="00E12F2F"/>
    <w:rsid w:val="00E13A9E"/>
    <w:rsid w:val="00E142FE"/>
    <w:rsid w:val="00E1470D"/>
    <w:rsid w:val="00E14D4E"/>
    <w:rsid w:val="00E15F1E"/>
    <w:rsid w:val="00E16307"/>
    <w:rsid w:val="00E16382"/>
    <w:rsid w:val="00E16656"/>
    <w:rsid w:val="00E16AA1"/>
    <w:rsid w:val="00E16AD6"/>
    <w:rsid w:val="00E16FF8"/>
    <w:rsid w:val="00E17227"/>
    <w:rsid w:val="00E176D5"/>
    <w:rsid w:val="00E1790C"/>
    <w:rsid w:val="00E202FE"/>
    <w:rsid w:val="00E2050E"/>
    <w:rsid w:val="00E2091B"/>
    <w:rsid w:val="00E20BB3"/>
    <w:rsid w:val="00E21315"/>
    <w:rsid w:val="00E215C5"/>
    <w:rsid w:val="00E21DCD"/>
    <w:rsid w:val="00E221B3"/>
    <w:rsid w:val="00E224FD"/>
    <w:rsid w:val="00E228B3"/>
    <w:rsid w:val="00E22B61"/>
    <w:rsid w:val="00E2368E"/>
    <w:rsid w:val="00E236E0"/>
    <w:rsid w:val="00E23F4D"/>
    <w:rsid w:val="00E240B5"/>
    <w:rsid w:val="00E2433C"/>
    <w:rsid w:val="00E24518"/>
    <w:rsid w:val="00E2470F"/>
    <w:rsid w:val="00E24D2A"/>
    <w:rsid w:val="00E24F0C"/>
    <w:rsid w:val="00E24F9F"/>
    <w:rsid w:val="00E25700"/>
    <w:rsid w:val="00E263BC"/>
    <w:rsid w:val="00E26569"/>
    <w:rsid w:val="00E265BD"/>
    <w:rsid w:val="00E26773"/>
    <w:rsid w:val="00E26915"/>
    <w:rsid w:val="00E26C78"/>
    <w:rsid w:val="00E26FFF"/>
    <w:rsid w:val="00E271A4"/>
    <w:rsid w:val="00E272D0"/>
    <w:rsid w:val="00E2762A"/>
    <w:rsid w:val="00E279F5"/>
    <w:rsid w:val="00E27AE1"/>
    <w:rsid w:val="00E27F90"/>
    <w:rsid w:val="00E3022E"/>
    <w:rsid w:val="00E3050C"/>
    <w:rsid w:val="00E30C0C"/>
    <w:rsid w:val="00E30DD4"/>
    <w:rsid w:val="00E313A3"/>
    <w:rsid w:val="00E318BC"/>
    <w:rsid w:val="00E31D5F"/>
    <w:rsid w:val="00E31F29"/>
    <w:rsid w:val="00E32141"/>
    <w:rsid w:val="00E321DD"/>
    <w:rsid w:val="00E32558"/>
    <w:rsid w:val="00E32585"/>
    <w:rsid w:val="00E327D5"/>
    <w:rsid w:val="00E32A31"/>
    <w:rsid w:val="00E32DA8"/>
    <w:rsid w:val="00E32FBC"/>
    <w:rsid w:val="00E331A2"/>
    <w:rsid w:val="00E334FF"/>
    <w:rsid w:val="00E33FB0"/>
    <w:rsid w:val="00E34105"/>
    <w:rsid w:val="00E34488"/>
    <w:rsid w:val="00E34991"/>
    <w:rsid w:val="00E34DA7"/>
    <w:rsid w:val="00E34EDA"/>
    <w:rsid w:val="00E35E9B"/>
    <w:rsid w:val="00E360B7"/>
    <w:rsid w:val="00E36430"/>
    <w:rsid w:val="00E36EB0"/>
    <w:rsid w:val="00E37302"/>
    <w:rsid w:val="00E37746"/>
    <w:rsid w:val="00E37982"/>
    <w:rsid w:val="00E37A8D"/>
    <w:rsid w:val="00E37B53"/>
    <w:rsid w:val="00E37B62"/>
    <w:rsid w:val="00E400ED"/>
    <w:rsid w:val="00E407A9"/>
    <w:rsid w:val="00E40EF3"/>
    <w:rsid w:val="00E4133C"/>
    <w:rsid w:val="00E415C1"/>
    <w:rsid w:val="00E41D55"/>
    <w:rsid w:val="00E41FB5"/>
    <w:rsid w:val="00E4239A"/>
    <w:rsid w:val="00E42427"/>
    <w:rsid w:val="00E42A12"/>
    <w:rsid w:val="00E43210"/>
    <w:rsid w:val="00E434C1"/>
    <w:rsid w:val="00E43C8F"/>
    <w:rsid w:val="00E43D1D"/>
    <w:rsid w:val="00E44115"/>
    <w:rsid w:val="00E449DD"/>
    <w:rsid w:val="00E44AC6"/>
    <w:rsid w:val="00E44B31"/>
    <w:rsid w:val="00E454D9"/>
    <w:rsid w:val="00E45850"/>
    <w:rsid w:val="00E45919"/>
    <w:rsid w:val="00E45EB8"/>
    <w:rsid w:val="00E45FF6"/>
    <w:rsid w:val="00E46258"/>
    <w:rsid w:val="00E46482"/>
    <w:rsid w:val="00E4669C"/>
    <w:rsid w:val="00E4679D"/>
    <w:rsid w:val="00E4683A"/>
    <w:rsid w:val="00E46C87"/>
    <w:rsid w:val="00E46D44"/>
    <w:rsid w:val="00E46EB3"/>
    <w:rsid w:val="00E477B1"/>
    <w:rsid w:val="00E4782D"/>
    <w:rsid w:val="00E47BD3"/>
    <w:rsid w:val="00E47E36"/>
    <w:rsid w:val="00E50786"/>
    <w:rsid w:val="00E50AB1"/>
    <w:rsid w:val="00E50BAD"/>
    <w:rsid w:val="00E50BE4"/>
    <w:rsid w:val="00E50C8B"/>
    <w:rsid w:val="00E50E4C"/>
    <w:rsid w:val="00E510CE"/>
    <w:rsid w:val="00E51199"/>
    <w:rsid w:val="00E51216"/>
    <w:rsid w:val="00E51518"/>
    <w:rsid w:val="00E51543"/>
    <w:rsid w:val="00E517A0"/>
    <w:rsid w:val="00E51915"/>
    <w:rsid w:val="00E51A52"/>
    <w:rsid w:val="00E51E16"/>
    <w:rsid w:val="00E520B7"/>
    <w:rsid w:val="00E52A8B"/>
    <w:rsid w:val="00E530B0"/>
    <w:rsid w:val="00E537DF"/>
    <w:rsid w:val="00E53B11"/>
    <w:rsid w:val="00E54141"/>
    <w:rsid w:val="00E54206"/>
    <w:rsid w:val="00E5444A"/>
    <w:rsid w:val="00E54490"/>
    <w:rsid w:val="00E54BB9"/>
    <w:rsid w:val="00E5517C"/>
    <w:rsid w:val="00E55688"/>
    <w:rsid w:val="00E55930"/>
    <w:rsid w:val="00E55AAB"/>
    <w:rsid w:val="00E55D8A"/>
    <w:rsid w:val="00E561C6"/>
    <w:rsid w:val="00E562A5"/>
    <w:rsid w:val="00E56532"/>
    <w:rsid w:val="00E567C9"/>
    <w:rsid w:val="00E56B10"/>
    <w:rsid w:val="00E56CE1"/>
    <w:rsid w:val="00E571B0"/>
    <w:rsid w:val="00E572B0"/>
    <w:rsid w:val="00E60589"/>
    <w:rsid w:val="00E606F1"/>
    <w:rsid w:val="00E60981"/>
    <w:rsid w:val="00E60ABA"/>
    <w:rsid w:val="00E60C2E"/>
    <w:rsid w:val="00E60D47"/>
    <w:rsid w:val="00E60E3C"/>
    <w:rsid w:val="00E61042"/>
    <w:rsid w:val="00E61407"/>
    <w:rsid w:val="00E61543"/>
    <w:rsid w:val="00E6162A"/>
    <w:rsid w:val="00E619C2"/>
    <w:rsid w:val="00E62132"/>
    <w:rsid w:val="00E62296"/>
    <w:rsid w:val="00E62650"/>
    <w:rsid w:val="00E62BCA"/>
    <w:rsid w:val="00E631A3"/>
    <w:rsid w:val="00E63237"/>
    <w:rsid w:val="00E6326A"/>
    <w:rsid w:val="00E63ADC"/>
    <w:rsid w:val="00E63B5E"/>
    <w:rsid w:val="00E63E6F"/>
    <w:rsid w:val="00E6462C"/>
    <w:rsid w:val="00E646DE"/>
    <w:rsid w:val="00E64873"/>
    <w:rsid w:val="00E64968"/>
    <w:rsid w:val="00E65044"/>
    <w:rsid w:val="00E65190"/>
    <w:rsid w:val="00E65589"/>
    <w:rsid w:val="00E65646"/>
    <w:rsid w:val="00E65742"/>
    <w:rsid w:val="00E6646A"/>
    <w:rsid w:val="00E66520"/>
    <w:rsid w:val="00E666CC"/>
    <w:rsid w:val="00E66733"/>
    <w:rsid w:val="00E667CA"/>
    <w:rsid w:val="00E66B6C"/>
    <w:rsid w:val="00E67904"/>
    <w:rsid w:val="00E67FE3"/>
    <w:rsid w:val="00E7028C"/>
    <w:rsid w:val="00E70397"/>
    <w:rsid w:val="00E7054C"/>
    <w:rsid w:val="00E70CED"/>
    <w:rsid w:val="00E716A0"/>
    <w:rsid w:val="00E7187A"/>
    <w:rsid w:val="00E71A37"/>
    <w:rsid w:val="00E71CAC"/>
    <w:rsid w:val="00E72266"/>
    <w:rsid w:val="00E726A0"/>
    <w:rsid w:val="00E72F0F"/>
    <w:rsid w:val="00E72F34"/>
    <w:rsid w:val="00E7355F"/>
    <w:rsid w:val="00E73C44"/>
    <w:rsid w:val="00E73ED1"/>
    <w:rsid w:val="00E73F7F"/>
    <w:rsid w:val="00E742BC"/>
    <w:rsid w:val="00E74744"/>
    <w:rsid w:val="00E749C6"/>
    <w:rsid w:val="00E74C6D"/>
    <w:rsid w:val="00E74D7E"/>
    <w:rsid w:val="00E74DCB"/>
    <w:rsid w:val="00E74FDB"/>
    <w:rsid w:val="00E7518A"/>
    <w:rsid w:val="00E75609"/>
    <w:rsid w:val="00E75707"/>
    <w:rsid w:val="00E75AF4"/>
    <w:rsid w:val="00E75D09"/>
    <w:rsid w:val="00E75D4C"/>
    <w:rsid w:val="00E762C6"/>
    <w:rsid w:val="00E76410"/>
    <w:rsid w:val="00E7654F"/>
    <w:rsid w:val="00E7658D"/>
    <w:rsid w:val="00E767A7"/>
    <w:rsid w:val="00E76989"/>
    <w:rsid w:val="00E77156"/>
    <w:rsid w:val="00E77601"/>
    <w:rsid w:val="00E77CF8"/>
    <w:rsid w:val="00E77D21"/>
    <w:rsid w:val="00E77DE7"/>
    <w:rsid w:val="00E77EBA"/>
    <w:rsid w:val="00E77F9A"/>
    <w:rsid w:val="00E80347"/>
    <w:rsid w:val="00E8042B"/>
    <w:rsid w:val="00E80B86"/>
    <w:rsid w:val="00E814A0"/>
    <w:rsid w:val="00E81BA5"/>
    <w:rsid w:val="00E81C17"/>
    <w:rsid w:val="00E82629"/>
    <w:rsid w:val="00E826AF"/>
    <w:rsid w:val="00E829CA"/>
    <w:rsid w:val="00E82B2A"/>
    <w:rsid w:val="00E82C1E"/>
    <w:rsid w:val="00E82D5D"/>
    <w:rsid w:val="00E82D6B"/>
    <w:rsid w:val="00E830AE"/>
    <w:rsid w:val="00E832B4"/>
    <w:rsid w:val="00E834BE"/>
    <w:rsid w:val="00E83642"/>
    <w:rsid w:val="00E83F16"/>
    <w:rsid w:val="00E83F18"/>
    <w:rsid w:val="00E8470B"/>
    <w:rsid w:val="00E84A8F"/>
    <w:rsid w:val="00E84CDC"/>
    <w:rsid w:val="00E850A3"/>
    <w:rsid w:val="00E851A6"/>
    <w:rsid w:val="00E85619"/>
    <w:rsid w:val="00E85704"/>
    <w:rsid w:val="00E86083"/>
    <w:rsid w:val="00E86D7A"/>
    <w:rsid w:val="00E87C43"/>
    <w:rsid w:val="00E87D16"/>
    <w:rsid w:val="00E87F6C"/>
    <w:rsid w:val="00E9043A"/>
    <w:rsid w:val="00E90EF4"/>
    <w:rsid w:val="00E90FB0"/>
    <w:rsid w:val="00E91369"/>
    <w:rsid w:val="00E917D1"/>
    <w:rsid w:val="00E9180F"/>
    <w:rsid w:val="00E92328"/>
    <w:rsid w:val="00E924CF"/>
    <w:rsid w:val="00E925A9"/>
    <w:rsid w:val="00E92A17"/>
    <w:rsid w:val="00E92C20"/>
    <w:rsid w:val="00E92F0F"/>
    <w:rsid w:val="00E92F4B"/>
    <w:rsid w:val="00E933A7"/>
    <w:rsid w:val="00E9370D"/>
    <w:rsid w:val="00E93755"/>
    <w:rsid w:val="00E945F2"/>
    <w:rsid w:val="00E9464D"/>
    <w:rsid w:val="00E94934"/>
    <w:rsid w:val="00E949FD"/>
    <w:rsid w:val="00E94C48"/>
    <w:rsid w:val="00E950BF"/>
    <w:rsid w:val="00E95477"/>
    <w:rsid w:val="00E95DC3"/>
    <w:rsid w:val="00E962F8"/>
    <w:rsid w:val="00E963DE"/>
    <w:rsid w:val="00E967AA"/>
    <w:rsid w:val="00E96B94"/>
    <w:rsid w:val="00E96D54"/>
    <w:rsid w:val="00E96DAC"/>
    <w:rsid w:val="00E96F81"/>
    <w:rsid w:val="00E97217"/>
    <w:rsid w:val="00E97321"/>
    <w:rsid w:val="00E97436"/>
    <w:rsid w:val="00E97619"/>
    <w:rsid w:val="00E97C0F"/>
    <w:rsid w:val="00EA0568"/>
    <w:rsid w:val="00EA06C4"/>
    <w:rsid w:val="00EA09D0"/>
    <w:rsid w:val="00EA0D91"/>
    <w:rsid w:val="00EA1042"/>
    <w:rsid w:val="00EA116F"/>
    <w:rsid w:val="00EA153A"/>
    <w:rsid w:val="00EA17A5"/>
    <w:rsid w:val="00EA2100"/>
    <w:rsid w:val="00EA23F4"/>
    <w:rsid w:val="00EA2B24"/>
    <w:rsid w:val="00EA2B7A"/>
    <w:rsid w:val="00EA2D99"/>
    <w:rsid w:val="00EA3548"/>
    <w:rsid w:val="00EA3812"/>
    <w:rsid w:val="00EA3BA8"/>
    <w:rsid w:val="00EA3E6A"/>
    <w:rsid w:val="00EA459C"/>
    <w:rsid w:val="00EA5198"/>
    <w:rsid w:val="00EA5277"/>
    <w:rsid w:val="00EA533F"/>
    <w:rsid w:val="00EA5343"/>
    <w:rsid w:val="00EA5D51"/>
    <w:rsid w:val="00EA6446"/>
    <w:rsid w:val="00EA661F"/>
    <w:rsid w:val="00EA6932"/>
    <w:rsid w:val="00EA6F82"/>
    <w:rsid w:val="00EA7426"/>
    <w:rsid w:val="00EA7AF6"/>
    <w:rsid w:val="00EA7E26"/>
    <w:rsid w:val="00EB0279"/>
    <w:rsid w:val="00EB0869"/>
    <w:rsid w:val="00EB0AAA"/>
    <w:rsid w:val="00EB1338"/>
    <w:rsid w:val="00EB1549"/>
    <w:rsid w:val="00EB1730"/>
    <w:rsid w:val="00EB1A9A"/>
    <w:rsid w:val="00EB1AC4"/>
    <w:rsid w:val="00EB200A"/>
    <w:rsid w:val="00EB2C0C"/>
    <w:rsid w:val="00EB2D6D"/>
    <w:rsid w:val="00EB3485"/>
    <w:rsid w:val="00EB36C9"/>
    <w:rsid w:val="00EB3CC7"/>
    <w:rsid w:val="00EB3DE2"/>
    <w:rsid w:val="00EB45CF"/>
    <w:rsid w:val="00EB4604"/>
    <w:rsid w:val="00EB4B77"/>
    <w:rsid w:val="00EB4BEF"/>
    <w:rsid w:val="00EB4BFA"/>
    <w:rsid w:val="00EB4C25"/>
    <w:rsid w:val="00EB4D13"/>
    <w:rsid w:val="00EB4F49"/>
    <w:rsid w:val="00EB508F"/>
    <w:rsid w:val="00EB51B3"/>
    <w:rsid w:val="00EB5791"/>
    <w:rsid w:val="00EB595A"/>
    <w:rsid w:val="00EB5A47"/>
    <w:rsid w:val="00EB5B1F"/>
    <w:rsid w:val="00EB6151"/>
    <w:rsid w:val="00EB6230"/>
    <w:rsid w:val="00EB644D"/>
    <w:rsid w:val="00EB6791"/>
    <w:rsid w:val="00EB6A76"/>
    <w:rsid w:val="00EB6E04"/>
    <w:rsid w:val="00EB6EDA"/>
    <w:rsid w:val="00EB70BB"/>
    <w:rsid w:val="00EB7306"/>
    <w:rsid w:val="00EB7478"/>
    <w:rsid w:val="00EB7626"/>
    <w:rsid w:val="00EB7E63"/>
    <w:rsid w:val="00EC04A4"/>
    <w:rsid w:val="00EC0959"/>
    <w:rsid w:val="00EC0973"/>
    <w:rsid w:val="00EC10DE"/>
    <w:rsid w:val="00EC16DE"/>
    <w:rsid w:val="00EC18C0"/>
    <w:rsid w:val="00EC1BA2"/>
    <w:rsid w:val="00EC1CE3"/>
    <w:rsid w:val="00EC1D38"/>
    <w:rsid w:val="00EC20B6"/>
    <w:rsid w:val="00EC265A"/>
    <w:rsid w:val="00EC2826"/>
    <w:rsid w:val="00EC289F"/>
    <w:rsid w:val="00EC304C"/>
    <w:rsid w:val="00EC3114"/>
    <w:rsid w:val="00EC324B"/>
    <w:rsid w:val="00EC3316"/>
    <w:rsid w:val="00EC33A8"/>
    <w:rsid w:val="00EC3B28"/>
    <w:rsid w:val="00EC40C1"/>
    <w:rsid w:val="00EC44C2"/>
    <w:rsid w:val="00EC456D"/>
    <w:rsid w:val="00EC4948"/>
    <w:rsid w:val="00EC5217"/>
    <w:rsid w:val="00EC5933"/>
    <w:rsid w:val="00EC5B4D"/>
    <w:rsid w:val="00EC5BA0"/>
    <w:rsid w:val="00EC6298"/>
    <w:rsid w:val="00EC62FE"/>
    <w:rsid w:val="00EC6CCD"/>
    <w:rsid w:val="00EC6D7D"/>
    <w:rsid w:val="00EC6EBB"/>
    <w:rsid w:val="00EC7150"/>
    <w:rsid w:val="00EC76F7"/>
    <w:rsid w:val="00EC7AAA"/>
    <w:rsid w:val="00ED0040"/>
    <w:rsid w:val="00ED02E9"/>
    <w:rsid w:val="00ED0683"/>
    <w:rsid w:val="00ED077D"/>
    <w:rsid w:val="00ED0824"/>
    <w:rsid w:val="00ED0B4E"/>
    <w:rsid w:val="00ED0DEA"/>
    <w:rsid w:val="00ED0DF3"/>
    <w:rsid w:val="00ED1017"/>
    <w:rsid w:val="00ED150E"/>
    <w:rsid w:val="00ED19A9"/>
    <w:rsid w:val="00ED25EF"/>
    <w:rsid w:val="00ED2991"/>
    <w:rsid w:val="00ED2E7A"/>
    <w:rsid w:val="00ED32D9"/>
    <w:rsid w:val="00ED44C2"/>
    <w:rsid w:val="00ED4795"/>
    <w:rsid w:val="00ED5218"/>
    <w:rsid w:val="00ED570B"/>
    <w:rsid w:val="00ED59A1"/>
    <w:rsid w:val="00ED5C4B"/>
    <w:rsid w:val="00ED5EB5"/>
    <w:rsid w:val="00ED6107"/>
    <w:rsid w:val="00ED6491"/>
    <w:rsid w:val="00ED6860"/>
    <w:rsid w:val="00ED6955"/>
    <w:rsid w:val="00ED6F02"/>
    <w:rsid w:val="00ED738E"/>
    <w:rsid w:val="00ED7C74"/>
    <w:rsid w:val="00ED7D84"/>
    <w:rsid w:val="00EE0395"/>
    <w:rsid w:val="00EE0582"/>
    <w:rsid w:val="00EE0D68"/>
    <w:rsid w:val="00EE0DD3"/>
    <w:rsid w:val="00EE10A4"/>
    <w:rsid w:val="00EE11AD"/>
    <w:rsid w:val="00EE1663"/>
    <w:rsid w:val="00EE18EC"/>
    <w:rsid w:val="00EE1C9E"/>
    <w:rsid w:val="00EE2143"/>
    <w:rsid w:val="00EE26FE"/>
    <w:rsid w:val="00EE2AF5"/>
    <w:rsid w:val="00EE2B27"/>
    <w:rsid w:val="00EE2F6C"/>
    <w:rsid w:val="00EE3920"/>
    <w:rsid w:val="00EE3B8A"/>
    <w:rsid w:val="00EE3D81"/>
    <w:rsid w:val="00EE3F8D"/>
    <w:rsid w:val="00EE4012"/>
    <w:rsid w:val="00EE4175"/>
    <w:rsid w:val="00EE4675"/>
    <w:rsid w:val="00EE4B43"/>
    <w:rsid w:val="00EE4CC9"/>
    <w:rsid w:val="00EE56FC"/>
    <w:rsid w:val="00EE578F"/>
    <w:rsid w:val="00EE5B91"/>
    <w:rsid w:val="00EE5BE6"/>
    <w:rsid w:val="00EE5D2A"/>
    <w:rsid w:val="00EE5D4E"/>
    <w:rsid w:val="00EE63AD"/>
    <w:rsid w:val="00EE6AB2"/>
    <w:rsid w:val="00EE7106"/>
    <w:rsid w:val="00EE712F"/>
    <w:rsid w:val="00EE726C"/>
    <w:rsid w:val="00EE737E"/>
    <w:rsid w:val="00EE7CD4"/>
    <w:rsid w:val="00EE7D17"/>
    <w:rsid w:val="00EE7D96"/>
    <w:rsid w:val="00EF0220"/>
    <w:rsid w:val="00EF0A40"/>
    <w:rsid w:val="00EF113F"/>
    <w:rsid w:val="00EF12FD"/>
    <w:rsid w:val="00EF134C"/>
    <w:rsid w:val="00EF1455"/>
    <w:rsid w:val="00EF1999"/>
    <w:rsid w:val="00EF1B61"/>
    <w:rsid w:val="00EF1D7F"/>
    <w:rsid w:val="00EF2359"/>
    <w:rsid w:val="00EF2369"/>
    <w:rsid w:val="00EF2F83"/>
    <w:rsid w:val="00EF2FEA"/>
    <w:rsid w:val="00EF2FED"/>
    <w:rsid w:val="00EF303C"/>
    <w:rsid w:val="00EF3221"/>
    <w:rsid w:val="00EF3793"/>
    <w:rsid w:val="00EF38BD"/>
    <w:rsid w:val="00EF4310"/>
    <w:rsid w:val="00EF44F0"/>
    <w:rsid w:val="00EF48C7"/>
    <w:rsid w:val="00EF51D9"/>
    <w:rsid w:val="00EF57A9"/>
    <w:rsid w:val="00EF5C27"/>
    <w:rsid w:val="00EF5FF7"/>
    <w:rsid w:val="00EF668F"/>
    <w:rsid w:val="00EF6924"/>
    <w:rsid w:val="00EF6E66"/>
    <w:rsid w:val="00EF7136"/>
    <w:rsid w:val="00EF7E2D"/>
    <w:rsid w:val="00F00159"/>
    <w:rsid w:val="00F001C1"/>
    <w:rsid w:val="00F00C09"/>
    <w:rsid w:val="00F00FA0"/>
    <w:rsid w:val="00F019DD"/>
    <w:rsid w:val="00F01C77"/>
    <w:rsid w:val="00F02027"/>
    <w:rsid w:val="00F026E3"/>
    <w:rsid w:val="00F03631"/>
    <w:rsid w:val="00F03753"/>
    <w:rsid w:val="00F0378E"/>
    <w:rsid w:val="00F03AEB"/>
    <w:rsid w:val="00F03B9A"/>
    <w:rsid w:val="00F03C02"/>
    <w:rsid w:val="00F03DDE"/>
    <w:rsid w:val="00F03EAD"/>
    <w:rsid w:val="00F04752"/>
    <w:rsid w:val="00F048CD"/>
    <w:rsid w:val="00F04983"/>
    <w:rsid w:val="00F05985"/>
    <w:rsid w:val="00F05996"/>
    <w:rsid w:val="00F05A19"/>
    <w:rsid w:val="00F05AA5"/>
    <w:rsid w:val="00F05B20"/>
    <w:rsid w:val="00F06084"/>
    <w:rsid w:val="00F06111"/>
    <w:rsid w:val="00F064B5"/>
    <w:rsid w:val="00F064F9"/>
    <w:rsid w:val="00F07587"/>
    <w:rsid w:val="00F076DE"/>
    <w:rsid w:val="00F07B97"/>
    <w:rsid w:val="00F07EBC"/>
    <w:rsid w:val="00F10499"/>
    <w:rsid w:val="00F10524"/>
    <w:rsid w:val="00F10972"/>
    <w:rsid w:val="00F10E94"/>
    <w:rsid w:val="00F112F1"/>
    <w:rsid w:val="00F114AD"/>
    <w:rsid w:val="00F117C2"/>
    <w:rsid w:val="00F11C48"/>
    <w:rsid w:val="00F12072"/>
    <w:rsid w:val="00F123DA"/>
    <w:rsid w:val="00F12673"/>
    <w:rsid w:val="00F12825"/>
    <w:rsid w:val="00F12A41"/>
    <w:rsid w:val="00F12BDB"/>
    <w:rsid w:val="00F130AE"/>
    <w:rsid w:val="00F135F2"/>
    <w:rsid w:val="00F13751"/>
    <w:rsid w:val="00F137A3"/>
    <w:rsid w:val="00F13941"/>
    <w:rsid w:val="00F13FA5"/>
    <w:rsid w:val="00F14405"/>
    <w:rsid w:val="00F1445F"/>
    <w:rsid w:val="00F145DF"/>
    <w:rsid w:val="00F149F6"/>
    <w:rsid w:val="00F151D7"/>
    <w:rsid w:val="00F1521E"/>
    <w:rsid w:val="00F15421"/>
    <w:rsid w:val="00F15557"/>
    <w:rsid w:val="00F15F82"/>
    <w:rsid w:val="00F160FA"/>
    <w:rsid w:val="00F165AB"/>
    <w:rsid w:val="00F16861"/>
    <w:rsid w:val="00F16960"/>
    <w:rsid w:val="00F176B7"/>
    <w:rsid w:val="00F17751"/>
    <w:rsid w:val="00F179D7"/>
    <w:rsid w:val="00F17C86"/>
    <w:rsid w:val="00F17D32"/>
    <w:rsid w:val="00F20126"/>
    <w:rsid w:val="00F20579"/>
    <w:rsid w:val="00F20638"/>
    <w:rsid w:val="00F20676"/>
    <w:rsid w:val="00F20859"/>
    <w:rsid w:val="00F20D52"/>
    <w:rsid w:val="00F20F66"/>
    <w:rsid w:val="00F212DB"/>
    <w:rsid w:val="00F21439"/>
    <w:rsid w:val="00F215D6"/>
    <w:rsid w:val="00F21705"/>
    <w:rsid w:val="00F21940"/>
    <w:rsid w:val="00F21B5C"/>
    <w:rsid w:val="00F21BE3"/>
    <w:rsid w:val="00F22192"/>
    <w:rsid w:val="00F2251A"/>
    <w:rsid w:val="00F2258A"/>
    <w:rsid w:val="00F2286E"/>
    <w:rsid w:val="00F229FB"/>
    <w:rsid w:val="00F22D00"/>
    <w:rsid w:val="00F22F33"/>
    <w:rsid w:val="00F237F2"/>
    <w:rsid w:val="00F238B9"/>
    <w:rsid w:val="00F239C9"/>
    <w:rsid w:val="00F23EAA"/>
    <w:rsid w:val="00F2401F"/>
    <w:rsid w:val="00F2403B"/>
    <w:rsid w:val="00F2463C"/>
    <w:rsid w:val="00F251D8"/>
    <w:rsid w:val="00F254A8"/>
    <w:rsid w:val="00F25C21"/>
    <w:rsid w:val="00F25D33"/>
    <w:rsid w:val="00F26065"/>
    <w:rsid w:val="00F26118"/>
    <w:rsid w:val="00F270C3"/>
    <w:rsid w:val="00F274CC"/>
    <w:rsid w:val="00F2757C"/>
    <w:rsid w:val="00F277DC"/>
    <w:rsid w:val="00F2798A"/>
    <w:rsid w:val="00F30014"/>
    <w:rsid w:val="00F300D8"/>
    <w:rsid w:val="00F30403"/>
    <w:rsid w:val="00F30417"/>
    <w:rsid w:val="00F30656"/>
    <w:rsid w:val="00F308E9"/>
    <w:rsid w:val="00F309E9"/>
    <w:rsid w:val="00F30BF5"/>
    <w:rsid w:val="00F30DC9"/>
    <w:rsid w:val="00F315FA"/>
    <w:rsid w:val="00F31684"/>
    <w:rsid w:val="00F31E61"/>
    <w:rsid w:val="00F32242"/>
    <w:rsid w:val="00F324C2"/>
    <w:rsid w:val="00F326A2"/>
    <w:rsid w:val="00F32807"/>
    <w:rsid w:val="00F32A9A"/>
    <w:rsid w:val="00F32B20"/>
    <w:rsid w:val="00F32B51"/>
    <w:rsid w:val="00F334F1"/>
    <w:rsid w:val="00F3372A"/>
    <w:rsid w:val="00F337D4"/>
    <w:rsid w:val="00F33F03"/>
    <w:rsid w:val="00F33FC4"/>
    <w:rsid w:val="00F340EA"/>
    <w:rsid w:val="00F341BA"/>
    <w:rsid w:val="00F34378"/>
    <w:rsid w:val="00F34480"/>
    <w:rsid w:val="00F34626"/>
    <w:rsid w:val="00F34906"/>
    <w:rsid w:val="00F34EE0"/>
    <w:rsid w:val="00F3510C"/>
    <w:rsid w:val="00F36187"/>
    <w:rsid w:val="00F362F6"/>
    <w:rsid w:val="00F366C7"/>
    <w:rsid w:val="00F367AF"/>
    <w:rsid w:val="00F367CA"/>
    <w:rsid w:val="00F369FB"/>
    <w:rsid w:val="00F36B2B"/>
    <w:rsid w:val="00F36C67"/>
    <w:rsid w:val="00F3736F"/>
    <w:rsid w:val="00F376B1"/>
    <w:rsid w:val="00F37D61"/>
    <w:rsid w:val="00F40257"/>
    <w:rsid w:val="00F406B6"/>
    <w:rsid w:val="00F406CA"/>
    <w:rsid w:val="00F40715"/>
    <w:rsid w:val="00F4087C"/>
    <w:rsid w:val="00F40CF9"/>
    <w:rsid w:val="00F4129E"/>
    <w:rsid w:val="00F41311"/>
    <w:rsid w:val="00F41563"/>
    <w:rsid w:val="00F41C1F"/>
    <w:rsid w:val="00F41E00"/>
    <w:rsid w:val="00F4281B"/>
    <w:rsid w:val="00F42C97"/>
    <w:rsid w:val="00F42DA9"/>
    <w:rsid w:val="00F42E38"/>
    <w:rsid w:val="00F42FB5"/>
    <w:rsid w:val="00F43314"/>
    <w:rsid w:val="00F4341B"/>
    <w:rsid w:val="00F4365A"/>
    <w:rsid w:val="00F4370F"/>
    <w:rsid w:val="00F43B27"/>
    <w:rsid w:val="00F43B97"/>
    <w:rsid w:val="00F43C79"/>
    <w:rsid w:val="00F440AB"/>
    <w:rsid w:val="00F44C6C"/>
    <w:rsid w:val="00F44C89"/>
    <w:rsid w:val="00F44E77"/>
    <w:rsid w:val="00F450EB"/>
    <w:rsid w:val="00F455CB"/>
    <w:rsid w:val="00F45A96"/>
    <w:rsid w:val="00F45ACC"/>
    <w:rsid w:val="00F45DB3"/>
    <w:rsid w:val="00F467F7"/>
    <w:rsid w:val="00F46A59"/>
    <w:rsid w:val="00F46F52"/>
    <w:rsid w:val="00F47086"/>
    <w:rsid w:val="00F47171"/>
    <w:rsid w:val="00F474F5"/>
    <w:rsid w:val="00F475F7"/>
    <w:rsid w:val="00F477F9"/>
    <w:rsid w:val="00F47DE8"/>
    <w:rsid w:val="00F47E1E"/>
    <w:rsid w:val="00F500DA"/>
    <w:rsid w:val="00F5060A"/>
    <w:rsid w:val="00F50965"/>
    <w:rsid w:val="00F50B41"/>
    <w:rsid w:val="00F50CCD"/>
    <w:rsid w:val="00F50E9C"/>
    <w:rsid w:val="00F50F58"/>
    <w:rsid w:val="00F50FC2"/>
    <w:rsid w:val="00F51422"/>
    <w:rsid w:val="00F51C2D"/>
    <w:rsid w:val="00F51F46"/>
    <w:rsid w:val="00F523DB"/>
    <w:rsid w:val="00F52868"/>
    <w:rsid w:val="00F530F1"/>
    <w:rsid w:val="00F5381C"/>
    <w:rsid w:val="00F53BE5"/>
    <w:rsid w:val="00F541E4"/>
    <w:rsid w:val="00F54306"/>
    <w:rsid w:val="00F5468E"/>
    <w:rsid w:val="00F54E4D"/>
    <w:rsid w:val="00F55201"/>
    <w:rsid w:val="00F55521"/>
    <w:rsid w:val="00F55954"/>
    <w:rsid w:val="00F55BAE"/>
    <w:rsid w:val="00F55BC9"/>
    <w:rsid w:val="00F55CB3"/>
    <w:rsid w:val="00F56196"/>
    <w:rsid w:val="00F56A49"/>
    <w:rsid w:val="00F56C09"/>
    <w:rsid w:val="00F56D83"/>
    <w:rsid w:val="00F57332"/>
    <w:rsid w:val="00F60493"/>
    <w:rsid w:val="00F60920"/>
    <w:rsid w:val="00F60A57"/>
    <w:rsid w:val="00F60DF4"/>
    <w:rsid w:val="00F60F6A"/>
    <w:rsid w:val="00F61248"/>
    <w:rsid w:val="00F61FAC"/>
    <w:rsid w:val="00F62921"/>
    <w:rsid w:val="00F62AEE"/>
    <w:rsid w:val="00F62DE2"/>
    <w:rsid w:val="00F63495"/>
    <w:rsid w:val="00F63695"/>
    <w:rsid w:val="00F63A95"/>
    <w:rsid w:val="00F64357"/>
    <w:rsid w:val="00F643C4"/>
    <w:rsid w:val="00F64462"/>
    <w:rsid w:val="00F64787"/>
    <w:rsid w:val="00F64EDB"/>
    <w:rsid w:val="00F656C1"/>
    <w:rsid w:val="00F659FC"/>
    <w:rsid w:val="00F65EA2"/>
    <w:rsid w:val="00F660D1"/>
    <w:rsid w:val="00F660E2"/>
    <w:rsid w:val="00F663D9"/>
    <w:rsid w:val="00F666A2"/>
    <w:rsid w:val="00F66EFA"/>
    <w:rsid w:val="00F67165"/>
    <w:rsid w:val="00F672A6"/>
    <w:rsid w:val="00F6747A"/>
    <w:rsid w:val="00F70006"/>
    <w:rsid w:val="00F70633"/>
    <w:rsid w:val="00F70C1A"/>
    <w:rsid w:val="00F70C85"/>
    <w:rsid w:val="00F70D89"/>
    <w:rsid w:val="00F70E77"/>
    <w:rsid w:val="00F717D6"/>
    <w:rsid w:val="00F71865"/>
    <w:rsid w:val="00F718F3"/>
    <w:rsid w:val="00F7195C"/>
    <w:rsid w:val="00F71CE0"/>
    <w:rsid w:val="00F71D8E"/>
    <w:rsid w:val="00F7202E"/>
    <w:rsid w:val="00F721A9"/>
    <w:rsid w:val="00F72203"/>
    <w:rsid w:val="00F724E9"/>
    <w:rsid w:val="00F7267A"/>
    <w:rsid w:val="00F728C0"/>
    <w:rsid w:val="00F72C62"/>
    <w:rsid w:val="00F72D15"/>
    <w:rsid w:val="00F72DCF"/>
    <w:rsid w:val="00F72DFD"/>
    <w:rsid w:val="00F72EA6"/>
    <w:rsid w:val="00F733FF"/>
    <w:rsid w:val="00F734C0"/>
    <w:rsid w:val="00F73588"/>
    <w:rsid w:val="00F73619"/>
    <w:rsid w:val="00F73819"/>
    <w:rsid w:val="00F73FED"/>
    <w:rsid w:val="00F74936"/>
    <w:rsid w:val="00F749EC"/>
    <w:rsid w:val="00F7511A"/>
    <w:rsid w:val="00F75185"/>
    <w:rsid w:val="00F753E1"/>
    <w:rsid w:val="00F756D5"/>
    <w:rsid w:val="00F75805"/>
    <w:rsid w:val="00F75824"/>
    <w:rsid w:val="00F75FED"/>
    <w:rsid w:val="00F760C2"/>
    <w:rsid w:val="00F76165"/>
    <w:rsid w:val="00F762D3"/>
    <w:rsid w:val="00F76714"/>
    <w:rsid w:val="00F77167"/>
    <w:rsid w:val="00F77C92"/>
    <w:rsid w:val="00F80204"/>
    <w:rsid w:val="00F80723"/>
    <w:rsid w:val="00F80AE1"/>
    <w:rsid w:val="00F80EE7"/>
    <w:rsid w:val="00F81119"/>
    <w:rsid w:val="00F81161"/>
    <w:rsid w:val="00F8141B"/>
    <w:rsid w:val="00F81AA1"/>
    <w:rsid w:val="00F81C53"/>
    <w:rsid w:val="00F820E8"/>
    <w:rsid w:val="00F8218C"/>
    <w:rsid w:val="00F82604"/>
    <w:rsid w:val="00F82737"/>
    <w:rsid w:val="00F82943"/>
    <w:rsid w:val="00F82BFD"/>
    <w:rsid w:val="00F82C50"/>
    <w:rsid w:val="00F82FF9"/>
    <w:rsid w:val="00F832BB"/>
    <w:rsid w:val="00F835CA"/>
    <w:rsid w:val="00F836A7"/>
    <w:rsid w:val="00F83834"/>
    <w:rsid w:val="00F838C9"/>
    <w:rsid w:val="00F839F6"/>
    <w:rsid w:val="00F83A1E"/>
    <w:rsid w:val="00F840E1"/>
    <w:rsid w:val="00F8416D"/>
    <w:rsid w:val="00F8463D"/>
    <w:rsid w:val="00F84B72"/>
    <w:rsid w:val="00F85233"/>
    <w:rsid w:val="00F85D8B"/>
    <w:rsid w:val="00F85DA7"/>
    <w:rsid w:val="00F867AC"/>
    <w:rsid w:val="00F869AA"/>
    <w:rsid w:val="00F86AB0"/>
    <w:rsid w:val="00F87011"/>
    <w:rsid w:val="00F87A22"/>
    <w:rsid w:val="00F87AD3"/>
    <w:rsid w:val="00F87EE7"/>
    <w:rsid w:val="00F90ACB"/>
    <w:rsid w:val="00F90E6E"/>
    <w:rsid w:val="00F90EB3"/>
    <w:rsid w:val="00F90F10"/>
    <w:rsid w:val="00F91269"/>
    <w:rsid w:val="00F915FC"/>
    <w:rsid w:val="00F9169C"/>
    <w:rsid w:val="00F91CA7"/>
    <w:rsid w:val="00F91D33"/>
    <w:rsid w:val="00F92476"/>
    <w:rsid w:val="00F92774"/>
    <w:rsid w:val="00F92EB9"/>
    <w:rsid w:val="00F92ECE"/>
    <w:rsid w:val="00F9363F"/>
    <w:rsid w:val="00F93ACE"/>
    <w:rsid w:val="00F94049"/>
    <w:rsid w:val="00F94200"/>
    <w:rsid w:val="00F942F1"/>
    <w:rsid w:val="00F9480B"/>
    <w:rsid w:val="00F94A04"/>
    <w:rsid w:val="00F94C9A"/>
    <w:rsid w:val="00F94CBD"/>
    <w:rsid w:val="00F94FE9"/>
    <w:rsid w:val="00F9530B"/>
    <w:rsid w:val="00F9546F"/>
    <w:rsid w:val="00F963C5"/>
    <w:rsid w:val="00F96559"/>
    <w:rsid w:val="00F9659D"/>
    <w:rsid w:val="00F96C02"/>
    <w:rsid w:val="00F96D06"/>
    <w:rsid w:val="00F97119"/>
    <w:rsid w:val="00F976CC"/>
    <w:rsid w:val="00F97731"/>
    <w:rsid w:val="00F97944"/>
    <w:rsid w:val="00F97960"/>
    <w:rsid w:val="00F97DF9"/>
    <w:rsid w:val="00FA0531"/>
    <w:rsid w:val="00FA08AD"/>
    <w:rsid w:val="00FA0F2A"/>
    <w:rsid w:val="00FA1646"/>
    <w:rsid w:val="00FA1762"/>
    <w:rsid w:val="00FA1CF3"/>
    <w:rsid w:val="00FA21DD"/>
    <w:rsid w:val="00FA238C"/>
    <w:rsid w:val="00FA2416"/>
    <w:rsid w:val="00FA2543"/>
    <w:rsid w:val="00FA2823"/>
    <w:rsid w:val="00FA284B"/>
    <w:rsid w:val="00FA28A1"/>
    <w:rsid w:val="00FA2AB5"/>
    <w:rsid w:val="00FA2E53"/>
    <w:rsid w:val="00FA314A"/>
    <w:rsid w:val="00FA324A"/>
    <w:rsid w:val="00FA33FA"/>
    <w:rsid w:val="00FA34AB"/>
    <w:rsid w:val="00FA3790"/>
    <w:rsid w:val="00FA38F0"/>
    <w:rsid w:val="00FA3B3B"/>
    <w:rsid w:val="00FA3C90"/>
    <w:rsid w:val="00FA3E05"/>
    <w:rsid w:val="00FA41B8"/>
    <w:rsid w:val="00FA475C"/>
    <w:rsid w:val="00FA4A83"/>
    <w:rsid w:val="00FA4EB5"/>
    <w:rsid w:val="00FA564E"/>
    <w:rsid w:val="00FA56BD"/>
    <w:rsid w:val="00FA59AF"/>
    <w:rsid w:val="00FA5AB4"/>
    <w:rsid w:val="00FA5BCB"/>
    <w:rsid w:val="00FA60FB"/>
    <w:rsid w:val="00FA637E"/>
    <w:rsid w:val="00FA6576"/>
    <w:rsid w:val="00FA681C"/>
    <w:rsid w:val="00FA6BE0"/>
    <w:rsid w:val="00FA6CE3"/>
    <w:rsid w:val="00FA75EE"/>
    <w:rsid w:val="00FA766B"/>
    <w:rsid w:val="00FA7E50"/>
    <w:rsid w:val="00FB00C9"/>
    <w:rsid w:val="00FB084B"/>
    <w:rsid w:val="00FB0B65"/>
    <w:rsid w:val="00FB0C32"/>
    <w:rsid w:val="00FB0E87"/>
    <w:rsid w:val="00FB133A"/>
    <w:rsid w:val="00FB188F"/>
    <w:rsid w:val="00FB2270"/>
    <w:rsid w:val="00FB2B91"/>
    <w:rsid w:val="00FB2B99"/>
    <w:rsid w:val="00FB2E7A"/>
    <w:rsid w:val="00FB2F99"/>
    <w:rsid w:val="00FB318D"/>
    <w:rsid w:val="00FB335A"/>
    <w:rsid w:val="00FB3498"/>
    <w:rsid w:val="00FB3724"/>
    <w:rsid w:val="00FB3A56"/>
    <w:rsid w:val="00FB3AE4"/>
    <w:rsid w:val="00FB3ED3"/>
    <w:rsid w:val="00FB403A"/>
    <w:rsid w:val="00FB45B9"/>
    <w:rsid w:val="00FB477C"/>
    <w:rsid w:val="00FB4B09"/>
    <w:rsid w:val="00FB4B9C"/>
    <w:rsid w:val="00FB4C32"/>
    <w:rsid w:val="00FB51B3"/>
    <w:rsid w:val="00FB5355"/>
    <w:rsid w:val="00FB5542"/>
    <w:rsid w:val="00FB56A1"/>
    <w:rsid w:val="00FB5CC1"/>
    <w:rsid w:val="00FB5DEA"/>
    <w:rsid w:val="00FB5ECA"/>
    <w:rsid w:val="00FB6036"/>
    <w:rsid w:val="00FB6866"/>
    <w:rsid w:val="00FB6918"/>
    <w:rsid w:val="00FB6B30"/>
    <w:rsid w:val="00FB6B37"/>
    <w:rsid w:val="00FB6D4F"/>
    <w:rsid w:val="00FB7A50"/>
    <w:rsid w:val="00FB7C61"/>
    <w:rsid w:val="00FB7F54"/>
    <w:rsid w:val="00FC0535"/>
    <w:rsid w:val="00FC05F7"/>
    <w:rsid w:val="00FC07BD"/>
    <w:rsid w:val="00FC0DF1"/>
    <w:rsid w:val="00FC10AB"/>
    <w:rsid w:val="00FC165F"/>
    <w:rsid w:val="00FC1715"/>
    <w:rsid w:val="00FC1758"/>
    <w:rsid w:val="00FC19E0"/>
    <w:rsid w:val="00FC1AD4"/>
    <w:rsid w:val="00FC1CEA"/>
    <w:rsid w:val="00FC27AF"/>
    <w:rsid w:val="00FC2D0E"/>
    <w:rsid w:val="00FC3336"/>
    <w:rsid w:val="00FC3368"/>
    <w:rsid w:val="00FC3578"/>
    <w:rsid w:val="00FC3A9A"/>
    <w:rsid w:val="00FC3F63"/>
    <w:rsid w:val="00FC4035"/>
    <w:rsid w:val="00FC4798"/>
    <w:rsid w:val="00FC479B"/>
    <w:rsid w:val="00FC488D"/>
    <w:rsid w:val="00FC4FB0"/>
    <w:rsid w:val="00FC50CD"/>
    <w:rsid w:val="00FC5168"/>
    <w:rsid w:val="00FC54C0"/>
    <w:rsid w:val="00FC588F"/>
    <w:rsid w:val="00FC5B8D"/>
    <w:rsid w:val="00FC601C"/>
    <w:rsid w:val="00FC61C7"/>
    <w:rsid w:val="00FC6278"/>
    <w:rsid w:val="00FC6510"/>
    <w:rsid w:val="00FC6604"/>
    <w:rsid w:val="00FC67F7"/>
    <w:rsid w:val="00FC6B42"/>
    <w:rsid w:val="00FC6C36"/>
    <w:rsid w:val="00FC6E31"/>
    <w:rsid w:val="00FC6E83"/>
    <w:rsid w:val="00FC6F6A"/>
    <w:rsid w:val="00FC703D"/>
    <w:rsid w:val="00FC70C5"/>
    <w:rsid w:val="00FC7245"/>
    <w:rsid w:val="00FC7426"/>
    <w:rsid w:val="00FC7A54"/>
    <w:rsid w:val="00FC7BEB"/>
    <w:rsid w:val="00FC7C4F"/>
    <w:rsid w:val="00FC7D0C"/>
    <w:rsid w:val="00FD0107"/>
    <w:rsid w:val="00FD0221"/>
    <w:rsid w:val="00FD0453"/>
    <w:rsid w:val="00FD04BB"/>
    <w:rsid w:val="00FD050C"/>
    <w:rsid w:val="00FD0D3E"/>
    <w:rsid w:val="00FD12AD"/>
    <w:rsid w:val="00FD146A"/>
    <w:rsid w:val="00FD1490"/>
    <w:rsid w:val="00FD157D"/>
    <w:rsid w:val="00FD1BE0"/>
    <w:rsid w:val="00FD278D"/>
    <w:rsid w:val="00FD2E02"/>
    <w:rsid w:val="00FD2E9F"/>
    <w:rsid w:val="00FD2EC3"/>
    <w:rsid w:val="00FD3495"/>
    <w:rsid w:val="00FD3B6C"/>
    <w:rsid w:val="00FD3BC6"/>
    <w:rsid w:val="00FD3C18"/>
    <w:rsid w:val="00FD425B"/>
    <w:rsid w:val="00FD4349"/>
    <w:rsid w:val="00FD4A11"/>
    <w:rsid w:val="00FD4C1D"/>
    <w:rsid w:val="00FD4C38"/>
    <w:rsid w:val="00FD4E1E"/>
    <w:rsid w:val="00FD5D3B"/>
    <w:rsid w:val="00FD6371"/>
    <w:rsid w:val="00FD65CB"/>
    <w:rsid w:val="00FD6708"/>
    <w:rsid w:val="00FD7130"/>
    <w:rsid w:val="00FD721B"/>
    <w:rsid w:val="00FD7235"/>
    <w:rsid w:val="00FD74DE"/>
    <w:rsid w:val="00FD77B8"/>
    <w:rsid w:val="00FD7A64"/>
    <w:rsid w:val="00FE000E"/>
    <w:rsid w:val="00FE02F5"/>
    <w:rsid w:val="00FE06EA"/>
    <w:rsid w:val="00FE06EE"/>
    <w:rsid w:val="00FE0725"/>
    <w:rsid w:val="00FE08A4"/>
    <w:rsid w:val="00FE0DB8"/>
    <w:rsid w:val="00FE1151"/>
    <w:rsid w:val="00FE131C"/>
    <w:rsid w:val="00FE1784"/>
    <w:rsid w:val="00FE17B7"/>
    <w:rsid w:val="00FE18D3"/>
    <w:rsid w:val="00FE1AF4"/>
    <w:rsid w:val="00FE1B00"/>
    <w:rsid w:val="00FE1EA2"/>
    <w:rsid w:val="00FE2B86"/>
    <w:rsid w:val="00FE3056"/>
    <w:rsid w:val="00FE30EF"/>
    <w:rsid w:val="00FE3CFE"/>
    <w:rsid w:val="00FE3D4D"/>
    <w:rsid w:val="00FE3D94"/>
    <w:rsid w:val="00FE4346"/>
    <w:rsid w:val="00FE4396"/>
    <w:rsid w:val="00FE484A"/>
    <w:rsid w:val="00FE50B8"/>
    <w:rsid w:val="00FE54C1"/>
    <w:rsid w:val="00FE5DE0"/>
    <w:rsid w:val="00FE5EF4"/>
    <w:rsid w:val="00FE5F32"/>
    <w:rsid w:val="00FE5F63"/>
    <w:rsid w:val="00FE6497"/>
    <w:rsid w:val="00FE6573"/>
    <w:rsid w:val="00FE6E8C"/>
    <w:rsid w:val="00FE6F49"/>
    <w:rsid w:val="00FE75BC"/>
    <w:rsid w:val="00FE76DD"/>
    <w:rsid w:val="00FE7A9B"/>
    <w:rsid w:val="00FE7AB5"/>
    <w:rsid w:val="00FF066F"/>
    <w:rsid w:val="00FF0C84"/>
    <w:rsid w:val="00FF0FD0"/>
    <w:rsid w:val="00FF10A7"/>
    <w:rsid w:val="00FF112D"/>
    <w:rsid w:val="00FF1610"/>
    <w:rsid w:val="00FF1BB9"/>
    <w:rsid w:val="00FF20CB"/>
    <w:rsid w:val="00FF210F"/>
    <w:rsid w:val="00FF2425"/>
    <w:rsid w:val="00FF33A1"/>
    <w:rsid w:val="00FF33F6"/>
    <w:rsid w:val="00FF3AA1"/>
    <w:rsid w:val="00FF42B2"/>
    <w:rsid w:val="00FF4324"/>
    <w:rsid w:val="00FF4467"/>
    <w:rsid w:val="00FF472B"/>
    <w:rsid w:val="00FF4D07"/>
    <w:rsid w:val="00FF4D58"/>
    <w:rsid w:val="00FF4D76"/>
    <w:rsid w:val="00FF4F95"/>
    <w:rsid w:val="00FF51AF"/>
    <w:rsid w:val="00FF5430"/>
    <w:rsid w:val="00FF5C09"/>
    <w:rsid w:val="00FF6158"/>
    <w:rsid w:val="00FF69E0"/>
    <w:rsid w:val="00FF6ED7"/>
    <w:rsid w:val="00FF7042"/>
    <w:rsid w:val="00FF7C9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AF165"/>
  <w15:docId w15:val="{011DE3FF-A9E3-422C-B4D6-320E177AF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qFormat="1"/>
    <w:lsdException w:name="caption" w:qFormat="1"/>
    <w:lsdException w:name="annotation reference" w:uiPriority="99" w:qFormat="1"/>
    <w:lsdException w:name="Default Paragraph Font" w:uiPriority="1"/>
    <w:lsdException w:name="Body Text" w:qFormat="1"/>
    <w:lsdException w:name="Hyperlink"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3585"/>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 Char2 Char,Ca,条目,cap Char Char Char Char Char Char Char,Caption Char2,Caption Char Char Char,fig and tbl,fighead2,Table Caption,fighead21"/>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 Char2 Char 字符,Ca 字符,条目 字符,cap Char Char Char Char Char Char Char 字符,Caption Char2 字符,Caption Char Char Char 字符,fig and tbl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99"/>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7A6848"/>
    <w:pPr>
      <w:numPr>
        <w:numId w:val="9"/>
      </w:numPr>
      <w:spacing w:beforeLines="50" w:before="50" w:afterLines="50" w:after="50"/>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7A6848"/>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BF51B1"/>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BF51B1"/>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4"/>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 w:type="paragraph" w:customStyle="1" w:styleId="Agreement">
    <w:name w:val="Agreement"/>
    <w:basedOn w:val="a"/>
    <w:next w:val="a"/>
    <w:uiPriority w:val="99"/>
    <w:qFormat/>
    <w:rsid w:val="005B4DD6"/>
    <w:pPr>
      <w:spacing w:before="60" w:after="0"/>
      <w:ind w:left="644" w:hanging="360"/>
      <w:jc w:val="left"/>
    </w:pPr>
    <w:rPr>
      <w:rFonts w:ascii="Arial" w:eastAsia="MS Mincho" w:hAnsi="Arial" w:cs="Arial"/>
      <w:b/>
      <w:sz w:val="24"/>
      <w:lang w:eastAsia="zh-CN"/>
    </w:rPr>
  </w:style>
  <w:style w:type="paragraph" w:customStyle="1" w:styleId="Doc-text2">
    <w:name w:val="Doc-text2"/>
    <w:basedOn w:val="a"/>
    <w:link w:val="Doc-text2Char"/>
    <w:qFormat/>
    <w:rsid w:val="00787BC8"/>
    <w:pPr>
      <w:tabs>
        <w:tab w:val="left" w:pos="1622"/>
      </w:tabs>
      <w:spacing w:after="0"/>
      <w:ind w:left="1622" w:hanging="363"/>
      <w:jc w:val="left"/>
    </w:pPr>
    <w:rPr>
      <w:rFonts w:ascii="Arial" w:eastAsia="MS Mincho" w:hAnsi="Arial"/>
      <w:lang w:val="en-GB" w:eastAsia="en-GB"/>
    </w:rPr>
  </w:style>
  <w:style w:type="character" w:customStyle="1" w:styleId="Doc-text2Char">
    <w:name w:val="Doc-text2 Char"/>
    <w:link w:val="Doc-text2"/>
    <w:qFormat/>
    <w:rsid w:val="00787BC8"/>
    <w:rPr>
      <w:rFonts w:ascii="Arial" w:eastAsia="MS Mincho" w:hAnsi="Arial"/>
      <w:szCs w:val="24"/>
      <w:lang w:val="en-GB" w:eastAsia="en-GB"/>
    </w:rPr>
  </w:style>
  <w:style w:type="character" w:styleId="afa">
    <w:name w:val="Book Title"/>
    <w:basedOn w:val="a1"/>
    <w:uiPriority w:val="33"/>
    <w:qFormat/>
    <w:rsid w:val="00E97619"/>
    <w:rPr>
      <w:rFonts w:ascii="Times New Roman" w:hAnsi="Times New Roman"/>
      <w:b/>
      <w:bCs/>
      <w:i/>
      <w:iCs/>
      <w:color w:val="C00000"/>
      <w:spacing w:val="5"/>
      <w:sz w:val="24"/>
      <w:u w:val="single" w:color="C00000"/>
    </w:rPr>
  </w:style>
  <w:style w:type="paragraph" w:customStyle="1" w:styleId="13">
    <w:name w:val="正文1"/>
    <w:rsid w:val="00E24518"/>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5610244">
      <w:bodyDiv w:val="1"/>
      <w:marLeft w:val="0"/>
      <w:marRight w:val="0"/>
      <w:marTop w:val="0"/>
      <w:marBottom w:val="0"/>
      <w:divBdr>
        <w:top w:val="none" w:sz="0" w:space="0" w:color="auto"/>
        <w:left w:val="none" w:sz="0" w:space="0" w:color="auto"/>
        <w:bottom w:val="none" w:sz="0" w:space="0" w:color="auto"/>
        <w:right w:val="none" w:sz="0" w:space="0" w:color="auto"/>
      </w:divBdr>
      <w:divsChild>
        <w:div w:id="1157108245">
          <w:marLeft w:val="446"/>
          <w:marRight w:val="0"/>
          <w:marTop w:val="0"/>
          <w:marBottom w:val="0"/>
          <w:divBdr>
            <w:top w:val="none" w:sz="0" w:space="0" w:color="auto"/>
            <w:left w:val="none" w:sz="0" w:space="0" w:color="auto"/>
            <w:bottom w:val="none" w:sz="0" w:space="0" w:color="auto"/>
            <w:right w:val="none" w:sz="0" w:space="0" w:color="auto"/>
          </w:divBdr>
        </w:div>
        <w:div w:id="1369716743">
          <w:marLeft w:val="446"/>
          <w:marRight w:val="0"/>
          <w:marTop w:val="0"/>
          <w:marBottom w:val="0"/>
          <w:divBdr>
            <w:top w:val="none" w:sz="0" w:space="0" w:color="auto"/>
            <w:left w:val="none" w:sz="0" w:space="0" w:color="auto"/>
            <w:bottom w:val="none" w:sz="0" w:space="0" w:color="auto"/>
            <w:right w:val="none" w:sz="0" w:space="0" w:color="auto"/>
          </w:divBdr>
        </w:div>
      </w:divsChild>
    </w:div>
    <w:div w:id="162815764">
      <w:bodyDiv w:val="1"/>
      <w:marLeft w:val="0"/>
      <w:marRight w:val="0"/>
      <w:marTop w:val="0"/>
      <w:marBottom w:val="0"/>
      <w:divBdr>
        <w:top w:val="none" w:sz="0" w:space="0" w:color="auto"/>
        <w:left w:val="none" w:sz="0" w:space="0" w:color="auto"/>
        <w:bottom w:val="none" w:sz="0" w:space="0" w:color="auto"/>
        <w:right w:val="none" w:sz="0" w:space="0" w:color="auto"/>
      </w:divBdr>
      <w:divsChild>
        <w:div w:id="1058088136">
          <w:marLeft w:val="504"/>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415160">
      <w:bodyDiv w:val="1"/>
      <w:marLeft w:val="0"/>
      <w:marRight w:val="0"/>
      <w:marTop w:val="0"/>
      <w:marBottom w:val="0"/>
      <w:divBdr>
        <w:top w:val="none" w:sz="0" w:space="0" w:color="auto"/>
        <w:left w:val="none" w:sz="0" w:space="0" w:color="auto"/>
        <w:bottom w:val="none" w:sz="0" w:space="0" w:color="auto"/>
        <w:right w:val="none" w:sz="0" w:space="0" w:color="auto"/>
      </w:divBdr>
      <w:divsChild>
        <w:div w:id="837158804">
          <w:marLeft w:val="274"/>
          <w:marRight w:val="0"/>
          <w:marTop w:val="0"/>
          <w:marBottom w:val="0"/>
          <w:divBdr>
            <w:top w:val="none" w:sz="0" w:space="0" w:color="auto"/>
            <w:left w:val="none" w:sz="0" w:space="0" w:color="auto"/>
            <w:bottom w:val="none" w:sz="0" w:space="0" w:color="auto"/>
            <w:right w:val="none" w:sz="0" w:space="0" w:color="auto"/>
          </w:divBdr>
        </w:div>
        <w:div w:id="1307052346">
          <w:marLeft w:val="806"/>
          <w:marRight w:val="0"/>
          <w:marTop w:val="0"/>
          <w:marBottom w:val="0"/>
          <w:divBdr>
            <w:top w:val="none" w:sz="0" w:space="0" w:color="auto"/>
            <w:left w:val="none" w:sz="0" w:space="0" w:color="auto"/>
            <w:bottom w:val="none" w:sz="0" w:space="0" w:color="auto"/>
            <w:right w:val="none" w:sz="0" w:space="0" w:color="auto"/>
          </w:divBdr>
        </w:div>
        <w:div w:id="1639527218">
          <w:marLeft w:val="1354"/>
          <w:marRight w:val="0"/>
          <w:marTop w:val="0"/>
          <w:marBottom w:val="0"/>
          <w:divBdr>
            <w:top w:val="none" w:sz="0" w:space="0" w:color="auto"/>
            <w:left w:val="none" w:sz="0" w:space="0" w:color="auto"/>
            <w:bottom w:val="none" w:sz="0" w:space="0" w:color="auto"/>
            <w:right w:val="none" w:sz="0" w:space="0" w:color="auto"/>
          </w:divBdr>
        </w:div>
        <w:div w:id="1885602669">
          <w:marLeft w:val="1354"/>
          <w:marRight w:val="0"/>
          <w:marTop w:val="0"/>
          <w:marBottom w:val="0"/>
          <w:divBdr>
            <w:top w:val="none" w:sz="0" w:space="0" w:color="auto"/>
            <w:left w:val="none" w:sz="0" w:space="0" w:color="auto"/>
            <w:bottom w:val="none" w:sz="0" w:space="0" w:color="auto"/>
            <w:right w:val="none" w:sz="0" w:space="0" w:color="auto"/>
          </w:divBdr>
        </w:div>
      </w:divsChild>
    </w:div>
    <w:div w:id="31583717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0206075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5329781">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58421518">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496960">
      <w:bodyDiv w:val="1"/>
      <w:marLeft w:val="0"/>
      <w:marRight w:val="0"/>
      <w:marTop w:val="0"/>
      <w:marBottom w:val="0"/>
      <w:divBdr>
        <w:top w:val="none" w:sz="0" w:space="0" w:color="auto"/>
        <w:left w:val="none" w:sz="0" w:space="0" w:color="auto"/>
        <w:bottom w:val="none" w:sz="0" w:space="0" w:color="auto"/>
        <w:right w:val="none" w:sz="0" w:space="0" w:color="auto"/>
      </w:divBdr>
      <w:divsChild>
        <w:div w:id="941228691">
          <w:marLeft w:val="994"/>
          <w:marRight w:val="0"/>
          <w:marTop w:val="0"/>
          <w:marBottom w:val="0"/>
          <w:divBdr>
            <w:top w:val="none" w:sz="0" w:space="0" w:color="auto"/>
            <w:left w:val="none" w:sz="0" w:space="0" w:color="auto"/>
            <w:bottom w:val="none" w:sz="0" w:space="0" w:color="auto"/>
            <w:right w:val="none" w:sz="0" w:space="0" w:color="auto"/>
          </w:divBdr>
        </w:div>
        <w:div w:id="1155611311">
          <w:marLeft w:val="994"/>
          <w:marRight w:val="0"/>
          <w:marTop w:val="0"/>
          <w:marBottom w:val="0"/>
          <w:divBdr>
            <w:top w:val="none" w:sz="0" w:space="0" w:color="auto"/>
            <w:left w:val="none" w:sz="0" w:space="0" w:color="auto"/>
            <w:bottom w:val="none" w:sz="0" w:space="0" w:color="auto"/>
            <w:right w:val="none" w:sz="0" w:space="0" w:color="auto"/>
          </w:divBdr>
        </w:div>
        <w:div w:id="1521814016">
          <w:marLeft w:val="994"/>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106603">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911640">
      <w:bodyDiv w:val="1"/>
      <w:marLeft w:val="0"/>
      <w:marRight w:val="0"/>
      <w:marTop w:val="0"/>
      <w:marBottom w:val="0"/>
      <w:divBdr>
        <w:top w:val="none" w:sz="0" w:space="0" w:color="auto"/>
        <w:left w:val="none" w:sz="0" w:space="0" w:color="auto"/>
        <w:bottom w:val="none" w:sz="0" w:space="0" w:color="auto"/>
        <w:right w:val="none" w:sz="0" w:space="0" w:color="auto"/>
      </w:divBdr>
    </w:div>
    <w:div w:id="1802190490">
      <w:bodyDiv w:val="1"/>
      <w:marLeft w:val="0"/>
      <w:marRight w:val="0"/>
      <w:marTop w:val="0"/>
      <w:marBottom w:val="0"/>
      <w:divBdr>
        <w:top w:val="none" w:sz="0" w:space="0" w:color="auto"/>
        <w:left w:val="none" w:sz="0" w:space="0" w:color="auto"/>
        <w:bottom w:val="none" w:sz="0" w:space="0" w:color="auto"/>
        <w:right w:val="none" w:sz="0" w:space="0" w:color="auto"/>
      </w:divBdr>
    </w:div>
    <w:div w:id="1823890482">
      <w:bodyDiv w:val="1"/>
      <w:marLeft w:val="0"/>
      <w:marRight w:val="0"/>
      <w:marTop w:val="0"/>
      <w:marBottom w:val="0"/>
      <w:divBdr>
        <w:top w:val="none" w:sz="0" w:space="0" w:color="auto"/>
        <w:left w:val="none" w:sz="0" w:space="0" w:color="auto"/>
        <w:bottom w:val="none" w:sz="0" w:space="0" w:color="auto"/>
        <w:right w:val="none" w:sz="0" w:space="0" w:color="auto"/>
      </w:divBdr>
      <w:divsChild>
        <w:div w:id="153961001">
          <w:marLeft w:val="1800"/>
          <w:marRight w:val="0"/>
          <w:marTop w:val="0"/>
          <w:marBottom w:val="0"/>
          <w:divBdr>
            <w:top w:val="none" w:sz="0" w:space="0" w:color="auto"/>
            <w:left w:val="none" w:sz="0" w:space="0" w:color="auto"/>
            <w:bottom w:val="none" w:sz="0" w:space="0" w:color="auto"/>
            <w:right w:val="none" w:sz="0" w:space="0" w:color="auto"/>
          </w:divBdr>
        </w:div>
        <w:div w:id="392461741">
          <w:marLeft w:val="1166"/>
          <w:marRight w:val="0"/>
          <w:marTop w:val="0"/>
          <w:marBottom w:val="0"/>
          <w:divBdr>
            <w:top w:val="none" w:sz="0" w:space="0" w:color="auto"/>
            <w:left w:val="none" w:sz="0" w:space="0" w:color="auto"/>
            <w:bottom w:val="none" w:sz="0" w:space="0" w:color="auto"/>
            <w:right w:val="none" w:sz="0" w:space="0" w:color="auto"/>
          </w:divBdr>
        </w:div>
        <w:div w:id="972054018">
          <w:marLeft w:val="1800"/>
          <w:marRight w:val="0"/>
          <w:marTop w:val="0"/>
          <w:marBottom w:val="0"/>
          <w:divBdr>
            <w:top w:val="none" w:sz="0" w:space="0" w:color="auto"/>
            <w:left w:val="none" w:sz="0" w:space="0" w:color="auto"/>
            <w:bottom w:val="none" w:sz="0" w:space="0" w:color="auto"/>
            <w:right w:val="none" w:sz="0" w:space="0" w:color="auto"/>
          </w:divBdr>
        </w:div>
        <w:div w:id="1261068017">
          <w:marLeft w:val="1800"/>
          <w:marRight w:val="0"/>
          <w:marTop w:val="0"/>
          <w:marBottom w:val="0"/>
          <w:divBdr>
            <w:top w:val="none" w:sz="0" w:space="0" w:color="auto"/>
            <w:left w:val="none" w:sz="0" w:space="0" w:color="auto"/>
            <w:bottom w:val="none" w:sz="0" w:space="0" w:color="auto"/>
            <w:right w:val="none" w:sz="0" w:space="0" w:color="auto"/>
          </w:divBdr>
        </w:div>
        <w:div w:id="1374772274">
          <w:marLeft w:val="1800"/>
          <w:marRight w:val="0"/>
          <w:marTop w:val="0"/>
          <w:marBottom w:val="0"/>
          <w:divBdr>
            <w:top w:val="none" w:sz="0" w:space="0" w:color="auto"/>
            <w:left w:val="none" w:sz="0" w:space="0" w:color="auto"/>
            <w:bottom w:val="none" w:sz="0" w:space="0" w:color="auto"/>
            <w:right w:val="none" w:sz="0" w:space="0" w:color="auto"/>
          </w:divBdr>
        </w:div>
        <w:div w:id="1380083557">
          <w:marLeft w:val="1166"/>
          <w:marRight w:val="0"/>
          <w:marTop w:val="0"/>
          <w:marBottom w:val="0"/>
          <w:divBdr>
            <w:top w:val="none" w:sz="0" w:space="0" w:color="auto"/>
            <w:left w:val="none" w:sz="0" w:space="0" w:color="auto"/>
            <w:bottom w:val="none" w:sz="0" w:space="0" w:color="auto"/>
            <w:right w:val="none" w:sz="0" w:space="0" w:color="auto"/>
          </w:divBdr>
        </w:div>
        <w:div w:id="1397976401">
          <w:marLeft w:val="1166"/>
          <w:marRight w:val="0"/>
          <w:marTop w:val="0"/>
          <w:marBottom w:val="0"/>
          <w:divBdr>
            <w:top w:val="none" w:sz="0" w:space="0" w:color="auto"/>
            <w:left w:val="none" w:sz="0" w:space="0" w:color="auto"/>
            <w:bottom w:val="none" w:sz="0" w:space="0" w:color="auto"/>
            <w:right w:val="none" w:sz="0" w:space="0" w:color="auto"/>
          </w:divBdr>
        </w:div>
        <w:div w:id="1718818240">
          <w:marLeft w:val="1800"/>
          <w:marRight w:val="0"/>
          <w:marTop w:val="0"/>
          <w:marBottom w:val="0"/>
          <w:divBdr>
            <w:top w:val="none" w:sz="0" w:space="0" w:color="auto"/>
            <w:left w:val="none" w:sz="0" w:space="0" w:color="auto"/>
            <w:bottom w:val="none" w:sz="0" w:space="0" w:color="auto"/>
            <w:right w:val="none" w:sz="0" w:space="0" w:color="auto"/>
          </w:divBdr>
        </w:div>
        <w:div w:id="1970747231">
          <w:marLeft w:val="1166"/>
          <w:marRight w:val="0"/>
          <w:marTop w:val="0"/>
          <w:marBottom w:val="0"/>
          <w:divBdr>
            <w:top w:val="none" w:sz="0" w:space="0" w:color="auto"/>
            <w:left w:val="none" w:sz="0" w:space="0" w:color="auto"/>
            <w:bottom w:val="none" w:sz="0" w:space="0" w:color="auto"/>
            <w:right w:val="none" w:sz="0" w:space="0" w:color="auto"/>
          </w:divBdr>
        </w:div>
        <w:div w:id="2138255111">
          <w:marLeft w:val="1800"/>
          <w:marRight w:val="0"/>
          <w:marTop w:val="0"/>
          <w:marBottom w:val="0"/>
          <w:divBdr>
            <w:top w:val="none" w:sz="0" w:space="0" w:color="auto"/>
            <w:left w:val="none" w:sz="0" w:space="0" w:color="auto"/>
            <w:bottom w:val="none" w:sz="0" w:space="0" w:color="auto"/>
            <w:right w:val="none" w:sz="0" w:space="0" w:color="auto"/>
          </w:divBdr>
        </w:div>
        <w:div w:id="2144959753">
          <w:marLeft w:val="180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2271526">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568238">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68960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package" Target="embeddings/Microsoft_Visio_Drawing.vsdx"/><Relationship Id="rId8"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C00286-DC14-4260-A88C-AD190D8F56B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A95D301-30AE-4685-B7DB-A09EE8828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A09B46-EEDB-4AC5-A52B-D01118B500C2}">
  <ds:schemaRefs>
    <ds:schemaRef ds:uri="http://schemas.openxmlformats.org/officeDocument/2006/bibliography"/>
  </ds:schemaRefs>
</ds:datastoreItem>
</file>

<file path=customXml/itemProps4.xml><?xml version="1.0" encoding="utf-8"?>
<ds:datastoreItem xmlns:ds="http://schemas.openxmlformats.org/officeDocument/2006/customXml" ds:itemID="{453F7923-D0B4-4426-B918-75FFE16C60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3581</Words>
  <Characters>20417</Characters>
  <Application>Microsoft Office Word</Application>
  <DocSecurity>0</DocSecurity>
  <Lines>170</Lines>
  <Paragraphs>47</Paragraphs>
  <ScaleCrop>false</ScaleCrop>
  <Company>Vivo</Company>
  <LinksUpToDate>false</LinksUpToDate>
  <CharactersWithSpaces>23951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4</cp:revision>
  <cp:lastPrinted>2011-08-03T09:36:00Z</cp:lastPrinted>
  <dcterms:created xsi:type="dcterms:W3CDTF">2023-09-28T07:00:00Z</dcterms:created>
  <dcterms:modified xsi:type="dcterms:W3CDTF">2023-09-28T08:37:00Z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82fd456f9fc0eafb1c57964de24ff4bca0fbdd3ac78a892d0d17521c898b5921</vt:lpwstr>
  </property>
  <property fmtid="{D5CDD505-2E9C-101B-9397-08002B2CF9AE}" pid="4" name="MTWinEqns">
    <vt:bool>true</vt:bool>
  </property>
</Properties>
</file>