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33C1A00F" w:rsidR="00FE0325" w:rsidRPr="001132A2" w:rsidRDefault="00FE0325" w:rsidP="00C32BED">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w:t>
      </w:r>
      <w:r w:rsidR="00C82909">
        <w:rPr>
          <w:b/>
          <w:kern w:val="2"/>
          <w:lang w:val="en-GB"/>
        </w:rPr>
        <w:t>4</w:t>
      </w:r>
      <w:r w:rsidR="00CB7738">
        <w:rPr>
          <w:b/>
          <w:kern w:val="2"/>
          <w:lang w:val="en-GB"/>
        </w:rPr>
        <w:t>bis</w:t>
      </w:r>
      <w:r w:rsidRPr="001132A2">
        <w:rPr>
          <w:b/>
          <w:kern w:val="2"/>
          <w:lang w:val="en-GB"/>
        </w:rPr>
        <w:tab/>
      </w:r>
      <w:r w:rsidR="00D8767B" w:rsidRPr="00D8767B">
        <w:rPr>
          <w:b/>
          <w:kern w:val="2"/>
          <w:lang w:val="en-GB"/>
        </w:rPr>
        <w:t>R1-2308924</w:t>
      </w:r>
    </w:p>
    <w:p w14:paraId="1C29594D" w14:textId="73412964" w:rsidR="00297AB6" w:rsidRPr="0067142E" w:rsidRDefault="00CB7738" w:rsidP="00925144">
      <w:pPr>
        <w:tabs>
          <w:tab w:val="right" w:pos="9216"/>
        </w:tabs>
        <w:spacing w:before="0" w:afterLines="50" w:after="156"/>
        <w:jc w:val="left"/>
        <w:rPr>
          <w:b/>
          <w:kern w:val="2"/>
          <w:lang w:val="en-GB"/>
        </w:rPr>
      </w:pPr>
      <w:r>
        <w:rPr>
          <w:b/>
          <w:kern w:val="2"/>
        </w:rPr>
        <w:t>Xiamen</w:t>
      </w:r>
      <w:r w:rsidR="00297AB6" w:rsidRPr="0067142E">
        <w:rPr>
          <w:b/>
          <w:kern w:val="2"/>
        </w:rPr>
        <w:t xml:space="preserve">, </w:t>
      </w:r>
      <w:r>
        <w:rPr>
          <w:b/>
          <w:kern w:val="2"/>
        </w:rPr>
        <w:t>China</w:t>
      </w:r>
      <w:r w:rsidR="00297AB6">
        <w:rPr>
          <w:b/>
          <w:kern w:val="2"/>
        </w:rPr>
        <w:t xml:space="preserve">, </w:t>
      </w:r>
      <w:r w:rsidRPr="004636C3">
        <w:rPr>
          <w:b/>
          <w:kern w:val="2"/>
          <w:lang w:eastAsia="zh-CN"/>
        </w:rPr>
        <w:t>October</w:t>
      </w:r>
      <w:r w:rsidR="00297AB6">
        <w:rPr>
          <w:b/>
          <w:kern w:val="2"/>
        </w:rPr>
        <w:t xml:space="preserve"> </w:t>
      </w:r>
      <w:r>
        <w:rPr>
          <w:b/>
          <w:kern w:val="2"/>
        </w:rPr>
        <w:t>9</w:t>
      </w:r>
      <w:r w:rsidR="00297AB6">
        <w:rPr>
          <w:b/>
          <w:kern w:val="2"/>
          <w:vertAlign w:val="superscript"/>
        </w:rPr>
        <w:t xml:space="preserve"> </w:t>
      </w:r>
      <w:r w:rsidR="00297AB6">
        <w:rPr>
          <w:b/>
          <w:kern w:val="2"/>
        </w:rPr>
        <w:t>-</w:t>
      </w:r>
      <w:r w:rsidR="00297AB6" w:rsidRPr="0067142E">
        <w:rPr>
          <w:b/>
          <w:kern w:val="2"/>
        </w:rPr>
        <w:t xml:space="preserve"> </w:t>
      </w:r>
      <w:r>
        <w:rPr>
          <w:b/>
          <w:kern w:val="2"/>
        </w:rPr>
        <w:t>13</w:t>
      </w:r>
      <w:r w:rsidR="00297AB6" w:rsidRPr="0067142E">
        <w:rPr>
          <w:b/>
          <w:kern w:val="2"/>
        </w:rPr>
        <w:t>, 202</w:t>
      </w:r>
      <w:r w:rsidR="00297AB6">
        <w:rPr>
          <w:b/>
          <w:kern w:val="2"/>
        </w:rPr>
        <w:t>3</w:t>
      </w:r>
    </w:p>
    <w:p w14:paraId="55A7E251" w14:textId="77777777" w:rsidR="00FE0325" w:rsidRPr="004636C3" w:rsidRDefault="00FE0325" w:rsidP="00787345">
      <w:pPr>
        <w:pBdr>
          <w:top w:val="single" w:sz="4" w:space="1" w:color="auto"/>
        </w:pBdr>
        <w:spacing w:after="0"/>
        <w:jc w:val="left"/>
        <w:rPr>
          <w:rFonts w:eastAsiaTheme="minorEastAsia"/>
          <w:b/>
          <w:kern w:val="2"/>
          <w:lang w:val="en-GB"/>
        </w:rPr>
      </w:pPr>
    </w:p>
    <w:p w14:paraId="069072E0" w14:textId="63A11D6B" w:rsidR="00D0561E" w:rsidRPr="004636C3" w:rsidRDefault="00D0561E" w:rsidP="00684131">
      <w:pPr>
        <w:spacing w:before="0" w:after="0"/>
        <w:ind w:left="1554" w:hanging="1554"/>
        <w:jc w:val="left"/>
        <w:rPr>
          <w:b/>
          <w:kern w:val="2"/>
          <w:lang w:val="en-GB"/>
        </w:rPr>
      </w:pPr>
      <w:r w:rsidRPr="004636C3">
        <w:rPr>
          <w:b/>
          <w:kern w:val="2"/>
          <w:lang w:val="en-GB"/>
        </w:rPr>
        <w:t>Agenda Item:</w:t>
      </w:r>
      <w:r w:rsidRPr="004636C3">
        <w:rPr>
          <w:b/>
          <w:kern w:val="2"/>
          <w:lang w:val="en-GB"/>
        </w:rPr>
        <w:tab/>
      </w:r>
      <w:r w:rsidR="00E802EC">
        <w:rPr>
          <w:b/>
          <w:kern w:val="2"/>
          <w:lang w:val="en-GB"/>
        </w:rPr>
        <w:t>8</w:t>
      </w:r>
      <w:r w:rsidRPr="004636C3">
        <w:rPr>
          <w:b/>
          <w:kern w:val="2"/>
          <w:lang w:val="en-GB"/>
        </w:rPr>
        <w:t>.1.1.2</w:t>
      </w:r>
    </w:p>
    <w:p w14:paraId="6E93A21C" w14:textId="77777777" w:rsidR="00D0561E" w:rsidRPr="004636C3" w:rsidRDefault="00D0561E" w:rsidP="00684131">
      <w:pPr>
        <w:spacing w:before="0" w:after="0"/>
        <w:ind w:left="1554" w:hanging="1554"/>
        <w:jc w:val="left"/>
        <w:rPr>
          <w:b/>
          <w:kern w:val="2"/>
          <w:lang w:val="en-GB"/>
        </w:rPr>
      </w:pPr>
      <w:r w:rsidRPr="004636C3">
        <w:rPr>
          <w:b/>
          <w:kern w:val="2"/>
          <w:lang w:val="en-GB"/>
        </w:rPr>
        <w:t>Source:</w:t>
      </w:r>
      <w:r w:rsidRPr="004636C3">
        <w:rPr>
          <w:b/>
          <w:kern w:val="2"/>
          <w:lang w:val="en-GB"/>
        </w:rPr>
        <w:tab/>
        <w:t>Huawei, HiSilicon</w:t>
      </w:r>
    </w:p>
    <w:p w14:paraId="30BF08DB" w14:textId="4478C52A" w:rsidR="00D0561E" w:rsidRPr="001132A2" w:rsidRDefault="00D0561E" w:rsidP="00684131">
      <w:pPr>
        <w:spacing w:before="0" w:after="0"/>
        <w:ind w:left="1554" w:hanging="1554"/>
        <w:jc w:val="left"/>
        <w:rPr>
          <w:b/>
          <w:kern w:val="2"/>
          <w:lang w:val="en-GB"/>
        </w:rPr>
      </w:pPr>
      <w:r w:rsidRPr="004636C3">
        <w:rPr>
          <w:b/>
          <w:kern w:val="2"/>
          <w:lang w:val="en-GB"/>
        </w:rPr>
        <w:t>Title:</w:t>
      </w:r>
      <w:r w:rsidRPr="004636C3">
        <w:rPr>
          <w:b/>
          <w:kern w:val="2"/>
          <w:lang w:val="en-GB"/>
        </w:rPr>
        <w:tab/>
      </w:r>
      <w:r w:rsidR="00940B69" w:rsidRPr="00940B69">
        <w:rPr>
          <w:b/>
          <w:kern w:val="2"/>
          <w:lang w:val="en-GB"/>
        </w:rPr>
        <w:t>Maintenance of TA enhancement for UL M-TRP transmission</w:t>
      </w:r>
    </w:p>
    <w:p w14:paraId="2BC376A0" w14:textId="77777777" w:rsidR="00D0561E" w:rsidRPr="004636C3" w:rsidRDefault="00D0561E" w:rsidP="00684131">
      <w:pPr>
        <w:spacing w:before="0"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684131">
      <w:pPr>
        <w:pBdr>
          <w:bottom w:val="single" w:sz="4" w:space="1" w:color="auto"/>
        </w:pBdr>
        <w:spacing w:before="0" w:after="0"/>
        <w:jc w:val="left"/>
        <w:rPr>
          <w:b/>
          <w:kern w:val="2"/>
          <w:lang w:val="en-GB"/>
        </w:rPr>
      </w:pPr>
    </w:p>
    <w:p w14:paraId="5823F1E3" w14:textId="77777777" w:rsidR="00C9295B" w:rsidRPr="004636C3" w:rsidRDefault="00C9295B" w:rsidP="00C9295B">
      <w:pPr>
        <w:pStyle w:val="Heading1"/>
        <w:rPr>
          <w:szCs w:val="20"/>
          <w:lang w:eastAsia="zh-CN"/>
        </w:rPr>
      </w:pPr>
      <w:r w:rsidRPr="004636C3">
        <w:rPr>
          <w:szCs w:val="20"/>
          <w:lang w:eastAsia="zh-CN"/>
        </w:rPr>
        <w:t>Introduction</w:t>
      </w:r>
    </w:p>
    <w:p w14:paraId="760382E7" w14:textId="77777777" w:rsidR="00C9295B" w:rsidRPr="004636C3" w:rsidRDefault="00C9295B" w:rsidP="00C9295B">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2ADF6B4B" w14:textId="7846D3F0" w:rsidR="00C9295B" w:rsidRDefault="00C9295B" w:rsidP="00C9295B">
      <w:pPr>
        <w:rPr>
          <w:lang w:eastAsia="zh-CN"/>
        </w:rPr>
      </w:pPr>
      <w:r w:rsidRPr="004636C3">
        <w:rPr>
          <w:lang w:eastAsia="zh-CN"/>
        </w:rPr>
        <w:t xml:space="preserve">In previous meetings, some agreements pertaining to TA enhancement for UL </w:t>
      </w:r>
      <w:r>
        <w:rPr>
          <w:lang w:eastAsia="zh-CN"/>
        </w:rPr>
        <w:t>multi</w:t>
      </w:r>
      <w:r w:rsidRPr="004636C3">
        <w:rPr>
          <w:lang w:eastAsia="zh-CN"/>
        </w:rPr>
        <w:t xml:space="preserve">-TRP transmission were achieved. While, there are still some issues that need to be further discussed. </w:t>
      </w:r>
      <w:r>
        <w:rPr>
          <w:lang w:eastAsia="zh-CN"/>
        </w:rPr>
        <w:t xml:space="preserve">In this paper, </w:t>
      </w:r>
      <w:r w:rsidRPr="001132A2">
        <w:rPr>
          <w:lang w:eastAsia="zh-CN"/>
        </w:rPr>
        <w:t xml:space="preserve">we provide our views on </w:t>
      </w:r>
      <w:r>
        <w:rPr>
          <w:lang w:eastAsia="zh-CN"/>
        </w:rPr>
        <w:t xml:space="preserve">the </w:t>
      </w:r>
      <w:r w:rsidRPr="001132A2">
        <w:rPr>
          <w:lang w:eastAsia="zh-CN"/>
        </w:rPr>
        <w:t>remaining issues</w:t>
      </w:r>
      <w:r w:rsidRPr="004636C3">
        <w:rPr>
          <w:lang w:eastAsia="zh-CN"/>
        </w:rPr>
        <w:t>.</w:t>
      </w:r>
    </w:p>
    <w:p w14:paraId="503D965F" w14:textId="77777777" w:rsidR="00C9295B" w:rsidRDefault="00C9295B" w:rsidP="00C9295B">
      <w:pPr>
        <w:rPr>
          <w:lang w:eastAsia="zh-CN"/>
        </w:rPr>
      </w:pPr>
    </w:p>
    <w:p w14:paraId="7189CC4A" w14:textId="26B9397E" w:rsidR="00F1382E" w:rsidRPr="004636C3" w:rsidRDefault="00F1382E" w:rsidP="00AF4FEA">
      <w:pPr>
        <w:pStyle w:val="Heading1"/>
      </w:pPr>
      <w:r w:rsidRPr="004636C3">
        <w:t>Discussion</w:t>
      </w:r>
    </w:p>
    <w:tbl>
      <w:tblPr>
        <w:tblStyle w:val="TableGrid"/>
        <w:tblW w:w="0" w:type="auto"/>
        <w:tblLook w:val="04A0" w:firstRow="1" w:lastRow="0" w:firstColumn="1" w:lastColumn="0" w:noHBand="0" w:noVBand="1"/>
      </w:tblPr>
      <w:tblGrid>
        <w:gridCol w:w="9016"/>
      </w:tblGrid>
      <w:tr w:rsidR="00297AB6" w14:paraId="66435757" w14:textId="77777777" w:rsidTr="003623E9">
        <w:tc>
          <w:tcPr>
            <w:tcW w:w="9016" w:type="dxa"/>
          </w:tcPr>
          <w:p w14:paraId="18681A41" w14:textId="77777777" w:rsidR="00297AB6" w:rsidRPr="000573D0" w:rsidRDefault="00297AB6" w:rsidP="003623E9">
            <w:pPr>
              <w:rPr>
                <w:rFonts w:cs="Times"/>
                <w:b/>
                <w:bCs/>
                <w:highlight w:val="darkYellow"/>
                <w:lang w:eastAsia="x-none"/>
              </w:rPr>
            </w:pPr>
            <w:r w:rsidRPr="000573D0">
              <w:rPr>
                <w:rFonts w:cs="Times"/>
                <w:b/>
                <w:bCs/>
                <w:highlight w:val="darkYellow"/>
                <w:lang w:eastAsia="x-none"/>
              </w:rPr>
              <w:t>Working Assumption</w:t>
            </w:r>
          </w:p>
          <w:p w14:paraId="6CC3F778" w14:textId="77777777" w:rsidR="00297AB6" w:rsidRPr="000573D0" w:rsidRDefault="00297AB6" w:rsidP="003623E9">
            <w:pPr>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4F997DA" w14:textId="34D6D4B0" w:rsidR="00EF002B" w:rsidRPr="00BB7E15" w:rsidRDefault="00297AB6" w:rsidP="00BB7E15">
            <w:pPr>
              <w:numPr>
                <w:ilvl w:val="0"/>
                <w:numId w:val="4"/>
              </w:numPr>
              <w:autoSpaceDE/>
              <w:autoSpaceDN/>
              <w:adjustRightInd/>
              <w:snapToGrid/>
              <w:spacing w:after="0"/>
              <w:rPr>
                <w:rFonts w:cs="Times"/>
                <w:iCs/>
              </w:rPr>
            </w:pPr>
            <w:r w:rsidRPr="000573D0">
              <w:rPr>
                <w:rStyle w:val="Emphasis"/>
                <w:rFonts w:cs="Times"/>
                <w:i w:val="0"/>
              </w:rPr>
              <w:t>FFS: details of PRACH power control</w:t>
            </w:r>
          </w:p>
        </w:tc>
      </w:tr>
    </w:tbl>
    <w:p w14:paraId="407A99F2" w14:textId="2EA09425" w:rsidR="00297AB6" w:rsidRDefault="00297AB6" w:rsidP="00297AB6">
      <w:pPr>
        <w:rPr>
          <w:iCs/>
        </w:rPr>
      </w:pPr>
      <w:r>
        <w:rPr>
          <w:rFonts w:hint="eastAsia"/>
          <w:lang w:eastAsia="zh-CN"/>
        </w:rPr>
        <w:t>I</w:t>
      </w:r>
      <w:r>
        <w:rPr>
          <w:lang w:eastAsia="zh-CN"/>
        </w:rPr>
        <w:t>n RAN1#112</w:t>
      </w:r>
      <w:r>
        <w:rPr>
          <w:rFonts w:hint="eastAsia"/>
          <w:lang w:eastAsia="zh-CN"/>
        </w:rPr>
        <w:t>b</w:t>
      </w:r>
      <w:r w:rsidR="00AB5E49">
        <w:rPr>
          <w:lang w:eastAsia="zh-CN"/>
        </w:rPr>
        <w:t xml:space="preserve"> [</w:t>
      </w:r>
      <w:r w:rsidR="00CB7738">
        <w:rPr>
          <w:lang w:eastAsia="zh-CN"/>
        </w:rPr>
        <w:t>3</w:t>
      </w:r>
      <w:r w:rsidR="00AB5E49">
        <w:rPr>
          <w:lang w:eastAsia="zh-CN"/>
        </w:rPr>
        <w:t>]</w:t>
      </w:r>
      <w:r>
        <w:rPr>
          <w:lang w:eastAsia="zh-CN"/>
        </w:rPr>
        <w:t xml:space="preserve">, there was a working assumption that </w:t>
      </w:r>
      <w:r w:rsidRPr="000573D0">
        <w:rPr>
          <w:rStyle w:val="Emphasis"/>
          <w:rFonts w:cs="Times"/>
          <w:i w:val="0"/>
          <w:iCs w:val="0"/>
        </w:rPr>
        <w:t>a PDCCH order sent by TRP</w:t>
      </w:r>
      <w:r w:rsidRPr="000573D0">
        <w:rPr>
          <w:rStyle w:val="Emphasis"/>
          <w:rFonts w:cs="Times"/>
          <w:i w:val="0"/>
          <w:iCs w:val="0"/>
          <w:vertAlign w:val="subscript"/>
        </w:rPr>
        <w:t>X</w:t>
      </w:r>
      <w:r w:rsidRPr="000573D0">
        <w:rPr>
          <w:rStyle w:val="Emphasis"/>
          <w:rFonts w:cs="Times"/>
          <w:i w:val="0"/>
          <w:iCs w:val="0"/>
        </w:rPr>
        <w:t xml:space="preserve"> </w:t>
      </w:r>
      <w:r w:rsidR="005C4150">
        <w:rPr>
          <w:rStyle w:val="Emphasis"/>
          <w:rFonts w:cs="Times" w:hint="eastAsia"/>
          <w:i w:val="0"/>
          <w:iCs w:val="0"/>
          <w:lang w:eastAsia="zh-CN"/>
        </w:rPr>
        <w:t>can</w:t>
      </w:r>
      <w:r w:rsidR="005C4150">
        <w:rPr>
          <w:rStyle w:val="Emphasis"/>
          <w:rFonts w:cs="Times"/>
          <w:i w:val="0"/>
          <w:iCs w:val="0"/>
        </w:rPr>
        <w:t xml:space="preserve"> </w:t>
      </w:r>
      <w:r w:rsidRPr="000573D0">
        <w:rPr>
          <w:rStyle w:val="Emphasis"/>
          <w:rFonts w:cs="Times"/>
          <w:i w:val="0"/>
          <w:iCs w:val="0"/>
        </w:rPr>
        <w:t>trigger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D05779">
        <w:rPr>
          <w:rStyle w:val="Emphasis"/>
          <w:rFonts w:cs="Times"/>
          <w:i w:val="0"/>
          <w:iCs w:val="0"/>
        </w:rPr>
        <w:t xml:space="preserve"> </w:t>
      </w:r>
      <w:r>
        <w:rPr>
          <w:rStyle w:val="Emphasis"/>
          <w:rFonts w:cs="Times"/>
          <w:i w:val="0"/>
          <w:iCs w:val="0"/>
        </w:rPr>
        <w:t>f</w:t>
      </w:r>
      <w:r w:rsidRPr="00A15984">
        <w:rPr>
          <w:rStyle w:val="Emphasis"/>
          <w:rFonts w:cs="Times"/>
          <w:i w:val="0"/>
          <w:iCs w:val="0"/>
        </w:rPr>
        <w:t xml:space="preserve">or intra-cell </w:t>
      </w:r>
      <w:r>
        <w:rPr>
          <w:rStyle w:val="Emphasis"/>
          <w:rFonts w:cs="Times"/>
          <w:i w:val="0"/>
          <w:iCs w:val="0"/>
        </w:rPr>
        <w:t>m</w:t>
      </w:r>
      <w:r w:rsidR="007B05AE">
        <w:rPr>
          <w:rStyle w:val="Emphasis"/>
          <w:rFonts w:cs="Times"/>
          <w:i w:val="0"/>
          <w:iCs w:val="0"/>
        </w:rPr>
        <w:t>ulti-</w:t>
      </w:r>
      <w:r w:rsidRPr="00A15984">
        <w:rPr>
          <w:rStyle w:val="Emphasis"/>
          <w:rFonts w:cs="Times"/>
          <w:i w:val="0"/>
          <w:iCs w:val="0"/>
        </w:rPr>
        <w:t xml:space="preserve">DCI based </w:t>
      </w:r>
      <w:r>
        <w:rPr>
          <w:rStyle w:val="Emphasis"/>
          <w:rFonts w:cs="Times"/>
          <w:i w:val="0"/>
          <w:iCs w:val="0"/>
        </w:rPr>
        <w:t>multi-</w:t>
      </w:r>
      <w:r w:rsidRPr="00A15984">
        <w:rPr>
          <w:rStyle w:val="Emphasis"/>
          <w:rFonts w:cs="Times"/>
          <w:i w:val="0"/>
          <w:iCs w:val="0"/>
        </w:rPr>
        <w:t>TRP operation</w:t>
      </w:r>
      <w:r>
        <w:rPr>
          <w:rStyle w:val="Emphasis"/>
          <w:rFonts w:cs="Times"/>
          <w:i w:val="0"/>
          <w:iCs w:val="0"/>
        </w:rPr>
        <w:t>.</w:t>
      </w:r>
      <w:r w:rsidRPr="00A15984">
        <w:t xml:space="preserve"> </w:t>
      </w:r>
      <w:r w:rsidRPr="00A15984">
        <w:rPr>
          <w:rStyle w:val="Emphasis"/>
          <w:rFonts w:cs="Times"/>
          <w:i w:val="0"/>
          <w:iCs w:val="0"/>
        </w:rPr>
        <w:t>In our view,</w:t>
      </w:r>
      <w:r>
        <w:rPr>
          <w:rStyle w:val="Emphasis"/>
          <w:rFonts w:cs="Times"/>
          <w:i w:val="0"/>
          <w:iCs w:val="0"/>
        </w:rPr>
        <w:t xml:space="preserve"> it is reasonable to </w:t>
      </w:r>
      <w:r w:rsidRPr="00A15984">
        <w:rPr>
          <w:rStyle w:val="Emphasis"/>
          <w:rFonts w:cs="Times"/>
          <w:i w:val="0"/>
          <w:iCs w:val="0"/>
        </w:rPr>
        <w:t>confirm the working assumption</w:t>
      </w:r>
      <w:r>
        <w:rPr>
          <w:rStyle w:val="Emphasis"/>
          <w:rFonts w:cs="Times"/>
          <w:i w:val="0"/>
          <w:iCs w:val="0"/>
        </w:rPr>
        <w:t xml:space="preserve"> due to the following reasons. </w:t>
      </w:r>
      <w:r w:rsidRPr="00A15984">
        <w:rPr>
          <w:rStyle w:val="Emphasis"/>
          <w:rFonts w:cs="Times"/>
          <w:i w:val="0"/>
          <w:iCs w:val="0"/>
        </w:rPr>
        <w:t>Firstly, it is beneficial for PDCCH load balance. For example, when gNB intends to trigger RACH for TRP1 but PDCCH resources of TRP1 are all used for other purposes, gNB can transmit the PDCCH order via TRP2, instead of waiting for PDCCH resource. Secondly, PDCCH order can be transmitted via the TRP with better quality to ensure the reliability of PDCCH order transmission.</w:t>
      </w:r>
    </w:p>
    <w:p w14:paraId="3A709DA0" w14:textId="5DE27884" w:rsidR="00297AB6" w:rsidRDefault="00297AB6" w:rsidP="00297AB6">
      <w:pPr>
        <w:widowControl w:val="0"/>
        <w:spacing w:before="0" w:after="0"/>
        <w:rPr>
          <w:b/>
        </w:rPr>
      </w:pPr>
      <w:r w:rsidRPr="00DC0B7F">
        <w:rPr>
          <w:b/>
        </w:rPr>
        <w:t xml:space="preserve">Proposal </w:t>
      </w:r>
      <w:r>
        <w:rPr>
          <w:b/>
        </w:rPr>
        <w:t>1</w:t>
      </w:r>
      <w:r w:rsidRPr="00DC0B7F">
        <w:rPr>
          <w:b/>
        </w:rPr>
        <w:t>:</w:t>
      </w:r>
      <w:r>
        <w:rPr>
          <w:b/>
        </w:rPr>
        <w:t xml:space="preserve"> Support to confirm the following working assumption:</w:t>
      </w:r>
    </w:p>
    <w:p w14:paraId="2D31F997" w14:textId="0FE8714E" w:rsidR="00446E37" w:rsidRPr="00446E37" w:rsidRDefault="00297AB6" w:rsidP="00446E37">
      <w:pPr>
        <w:pStyle w:val="ListParagraph"/>
        <w:numPr>
          <w:ilvl w:val="0"/>
          <w:numId w:val="29"/>
        </w:numPr>
        <w:snapToGrid w:val="0"/>
        <w:spacing w:beforeLines="50" w:before="156" w:afterLines="50" w:after="156"/>
        <w:ind w:left="425" w:hanging="425"/>
        <w:rPr>
          <w:rFonts w:ascii="Times New Roman" w:eastAsia="楷体" w:hAnsi="Times New Roman" w:cs="Times New Roman"/>
          <w:b/>
        </w:rPr>
      </w:pPr>
      <w:r w:rsidRPr="00667A58">
        <w:rPr>
          <w:rFonts w:ascii="Times New Roman" w:hAnsi="Times New Roman" w:cs="Times New Roman"/>
          <w:b/>
        </w:rPr>
        <w:t>For intra-cell multi-DCI based Multi-TRP operation with two TA enhancement, support the case where a PDCCH order sent by TRP</w:t>
      </w:r>
      <w:r w:rsidRPr="00667A58">
        <w:rPr>
          <w:rFonts w:ascii="Times New Roman" w:hAnsi="Times New Roman" w:cs="Times New Roman"/>
          <w:b/>
          <w:vertAlign w:val="subscript"/>
        </w:rPr>
        <w:t>X</w:t>
      </w:r>
      <w:r w:rsidRPr="00667A58">
        <w:rPr>
          <w:rFonts w:ascii="Times New Roman" w:hAnsi="Times New Roman" w:cs="Times New Roman"/>
          <w:b/>
        </w:rPr>
        <w:t xml:space="preserve"> triggers RACH procedure towards either TRP</w:t>
      </w:r>
      <w:r w:rsidRPr="00667A58">
        <w:rPr>
          <w:rFonts w:ascii="Times New Roman" w:hAnsi="Times New Roman" w:cs="Times New Roman"/>
          <w:b/>
          <w:vertAlign w:val="subscript"/>
        </w:rPr>
        <w:t>X</w:t>
      </w:r>
      <w:r w:rsidRPr="00667A58">
        <w:rPr>
          <w:rFonts w:ascii="Times New Roman" w:hAnsi="Times New Roman" w:cs="Times New Roman"/>
          <w:b/>
        </w:rPr>
        <w:t xml:space="preserve"> or TRP</w:t>
      </w:r>
      <w:r w:rsidRPr="00667A58">
        <w:rPr>
          <w:rFonts w:ascii="Times New Roman" w:hAnsi="Times New Roman" w:cs="Times New Roman"/>
          <w:b/>
          <w:vertAlign w:val="subscript"/>
        </w:rPr>
        <w:t>Y</w:t>
      </w:r>
      <w:r w:rsidRPr="00667A58">
        <w:rPr>
          <w:rFonts w:ascii="Times New Roman" w:hAnsi="Times New Roman" w:cs="Times New Roman"/>
          <w:b/>
        </w:rPr>
        <w:t>.</w:t>
      </w:r>
    </w:p>
    <w:tbl>
      <w:tblPr>
        <w:tblStyle w:val="TableGrid"/>
        <w:tblW w:w="0" w:type="auto"/>
        <w:tblLook w:val="04A0" w:firstRow="1" w:lastRow="0" w:firstColumn="1" w:lastColumn="0" w:noHBand="0" w:noVBand="1"/>
      </w:tblPr>
      <w:tblGrid>
        <w:gridCol w:w="9016"/>
      </w:tblGrid>
      <w:tr w:rsidR="00297AB6" w14:paraId="6A6E99E9" w14:textId="77777777" w:rsidTr="003623E9">
        <w:tc>
          <w:tcPr>
            <w:tcW w:w="9016" w:type="dxa"/>
          </w:tcPr>
          <w:p w14:paraId="0A8D0436" w14:textId="72F005FF" w:rsidR="00CB7738" w:rsidRPr="00CB7738" w:rsidRDefault="00CB7738" w:rsidP="00CB7738">
            <w:pPr>
              <w:spacing w:after="0"/>
              <w:rPr>
                <w:rFonts w:eastAsia="PMingLiU"/>
                <w:b/>
                <w:bCs/>
                <w:highlight w:val="green"/>
                <w:lang w:eastAsia="x-none"/>
              </w:rPr>
            </w:pPr>
            <w:r w:rsidRPr="00CB7738">
              <w:rPr>
                <w:rFonts w:eastAsia="PMingLiU"/>
                <w:b/>
                <w:bCs/>
                <w:highlight w:val="green"/>
                <w:lang w:eastAsia="x-none"/>
              </w:rPr>
              <w:t>Agreement</w:t>
            </w:r>
          </w:p>
          <w:p w14:paraId="5EE753FF" w14:textId="77777777" w:rsidR="00CB7738" w:rsidRPr="00CB7738" w:rsidRDefault="00CB7738" w:rsidP="00CB7738">
            <w:pPr>
              <w:suppressAutoHyphens/>
              <w:autoSpaceDE/>
              <w:autoSpaceDN/>
              <w:adjustRightInd/>
              <w:snapToGrid/>
              <w:spacing w:before="0" w:after="0"/>
              <w:jc w:val="left"/>
              <w:rPr>
                <w:rFonts w:eastAsia="Malgun Gothic"/>
                <w:i/>
                <w:iCs/>
                <w:lang w:eastAsia="zh-TW"/>
              </w:rPr>
            </w:pPr>
            <w:r w:rsidRPr="00CB7738">
              <w:rPr>
                <w:rFonts w:eastAsia="PMingLiU"/>
                <w:lang w:eastAsia="zh-TW"/>
              </w:rPr>
              <w:t xml:space="preserve">For inter-cell multi-DCI based Multi-TRP operation with two TA enhancement, support indication of </w:t>
            </w:r>
            <w:proofErr w:type="spellStart"/>
            <w:r w:rsidRPr="00CB7738">
              <w:rPr>
                <w:rFonts w:eastAsia="PMingLiU"/>
                <w:lang w:eastAsia="zh-TW"/>
              </w:rPr>
              <w:t>additionalPCI</w:t>
            </w:r>
            <w:proofErr w:type="spellEnd"/>
            <w:r w:rsidRPr="00CB7738">
              <w:rPr>
                <w:rFonts w:eastAsia="PMingLiU"/>
                <w:lang w:eastAsia="zh-TW"/>
              </w:rPr>
              <w:t xml:space="preserve"> in the PDCCH order</w:t>
            </w:r>
          </w:p>
          <w:p w14:paraId="522B83DD" w14:textId="731ECAAD" w:rsidR="00297AB6" w:rsidRPr="00ED2DEE" w:rsidRDefault="00CB7738" w:rsidP="00ED2DEE">
            <w:pPr>
              <w:pStyle w:val="ListParagraph"/>
              <w:numPr>
                <w:ilvl w:val="0"/>
                <w:numId w:val="4"/>
              </w:numPr>
              <w:spacing w:before="0"/>
              <w:rPr>
                <w:rFonts w:ascii="Times New Roman" w:hAnsi="Times New Roman" w:cs="Times New Roman"/>
                <w:i/>
                <w:szCs w:val="20"/>
                <w:lang w:val="en-CA"/>
              </w:rPr>
            </w:pPr>
            <w:r w:rsidRPr="00ED2DEE">
              <w:rPr>
                <w:rFonts w:ascii="Times New Roman" w:eastAsia="PMingLiU" w:hAnsi="Times New Roman" w:cs="Times New Roman"/>
                <w:sz w:val="22"/>
                <w:szCs w:val="20"/>
                <w:lang w:eastAsia="zh-TW"/>
              </w:rPr>
              <w:t xml:space="preserve">as baseline capability: support PRACH triggering towards </w:t>
            </w:r>
            <w:proofErr w:type="spellStart"/>
            <w:r w:rsidRPr="00ED2DEE">
              <w:rPr>
                <w:rFonts w:ascii="Times New Roman" w:eastAsia="PMingLiU" w:hAnsi="Times New Roman" w:cs="Times New Roman"/>
                <w:sz w:val="22"/>
                <w:szCs w:val="20"/>
                <w:lang w:eastAsia="zh-TW"/>
              </w:rPr>
              <w:t>servingCell</w:t>
            </w:r>
            <w:proofErr w:type="spellEnd"/>
            <w:r w:rsidRPr="00ED2DEE">
              <w:rPr>
                <w:rFonts w:ascii="Times New Roman" w:eastAsia="PMingLiU" w:hAnsi="Times New Roman" w:cs="Times New Roman"/>
                <w:sz w:val="22"/>
                <w:szCs w:val="20"/>
                <w:lang w:eastAsia="zh-TW"/>
              </w:rPr>
              <w:t xml:space="preserve"> PCI </w:t>
            </w:r>
            <w:r w:rsidR="00ED2DEE">
              <w:rPr>
                <w:rFonts w:ascii="Times New Roman" w:eastAsia="PMingLiU" w:hAnsi="Times New Roman" w:cs="Times New Roman"/>
                <w:sz w:val="22"/>
                <w:szCs w:val="20"/>
                <w:lang w:eastAsia="zh-TW"/>
              </w:rPr>
              <w:t xml:space="preserve">or </w:t>
            </w:r>
            <w:r w:rsidRPr="00ED2DEE">
              <w:rPr>
                <w:rFonts w:ascii="Times New Roman" w:eastAsia="PMingLiU" w:hAnsi="Times New Roman" w:cs="Times New Roman"/>
                <w:sz w:val="22"/>
                <w:szCs w:val="20"/>
                <w:lang w:eastAsia="zh-TW"/>
              </w:rPr>
              <w:t xml:space="preserve">active </w:t>
            </w:r>
            <w:proofErr w:type="spellStart"/>
            <w:r w:rsidRPr="00ED2DEE">
              <w:rPr>
                <w:rFonts w:ascii="Times New Roman" w:eastAsia="PMingLiU" w:hAnsi="Times New Roman" w:cs="Times New Roman"/>
                <w:sz w:val="22"/>
                <w:szCs w:val="20"/>
                <w:lang w:eastAsia="zh-TW"/>
              </w:rPr>
              <w:t>additionalPCI</w:t>
            </w:r>
            <w:proofErr w:type="spellEnd"/>
            <w:r w:rsidRPr="00ED2DEE">
              <w:rPr>
                <w:rFonts w:ascii="Times New Roman" w:eastAsia="PMingLiU" w:hAnsi="Times New Roman" w:cs="Times New Roman"/>
                <w:sz w:val="22"/>
                <w:szCs w:val="20"/>
                <w:lang w:eastAsia="zh-TW"/>
              </w:rPr>
              <w:t>.</w:t>
            </w:r>
          </w:p>
        </w:tc>
      </w:tr>
    </w:tbl>
    <w:p w14:paraId="1836B76A" w14:textId="1DBBE9F2" w:rsidR="00162AB9" w:rsidRDefault="0000609C" w:rsidP="00162AB9">
      <w:pPr>
        <w:spacing w:beforeLines="50" w:before="156"/>
        <w:rPr>
          <w:b/>
          <w:lang w:eastAsia="zh-CN"/>
        </w:rPr>
      </w:pPr>
      <w:r>
        <w:rPr>
          <w:rFonts w:hint="eastAsia"/>
          <w:lang w:eastAsia="zh-CN"/>
        </w:rPr>
        <w:t>I</w:t>
      </w:r>
      <w:r>
        <w:rPr>
          <w:lang w:eastAsia="zh-CN"/>
        </w:rPr>
        <w:t>n RAN1#114 [1]</w:t>
      </w:r>
      <w:r>
        <w:t xml:space="preserve">, </w:t>
      </w:r>
      <w:r w:rsidR="00AB19FD">
        <w:rPr>
          <w:lang w:val="en-CA" w:eastAsia="zh-CN"/>
        </w:rPr>
        <w:t>it was agreed</w:t>
      </w:r>
      <w:r>
        <w:rPr>
          <w:lang w:eastAsia="zh-CN"/>
        </w:rPr>
        <w:t xml:space="preserve"> that </w:t>
      </w:r>
      <w:r w:rsidR="00C86604">
        <w:rPr>
          <w:lang w:eastAsia="zh-CN"/>
        </w:rPr>
        <w:t xml:space="preserve">one field in PDCCH order </w:t>
      </w:r>
      <w:r>
        <w:rPr>
          <w:lang w:eastAsia="zh-CN"/>
        </w:rPr>
        <w:t>indicate</w:t>
      </w:r>
      <w:r w:rsidR="00C86604">
        <w:rPr>
          <w:lang w:eastAsia="zh-CN"/>
        </w:rPr>
        <w:t>s</w:t>
      </w:r>
      <w:r>
        <w:rPr>
          <w:lang w:eastAsia="zh-CN"/>
        </w:rPr>
        <w:t xml:space="preserve"> </w:t>
      </w:r>
      <w:r w:rsidR="00C86604">
        <w:rPr>
          <w:lang w:eastAsia="zh-CN"/>
        </w:rPr>
        <w:t xml:space="preserve">that the </w:t>
      </w:r>
      <w:r>
        <w:rPr>
          <w:lang w:eastAsia="zh-CN"/>
        </w:rPr>
        <w:t xml:space="preserve">PDCCH order </w:t>
      </w:r>
      <w:r w:rsidR="00C86604">
        <w:rPr>
          <w:lang w:eastAsia="zh-CN"/>
        </w:rPr>
        <w:t xml:space="preserve">is used to </w:t>
      </w:r>
      <w:r>
        <w:rPr>
          <w:lang w:eastAsia="zh-CN"/>
        </w:rPr>
        <w:t xml:space="preserve">trigger RACH </w:t>
      </w:r>
      <w:r w:rsidR="00C86604">
        <w:rPr>
          <w:lang w:eastAsia="zh-CN"/>
        </w:rPr>
        <w:t>for</w:t>
      </w:r>
      <w:r>
        <w:rPr>
          <w:lang w:eastAsia="zh-CN"/>
        </w:rPr>
        <w:t xml:space="preserve"> </w:t>
      </w:r>
      <w:r w:rsidR="00C86604">
        <w:rPr>
          <w:lang w:eastAsia="zh-CN"/>
        </w:rPr>
        <w:t xml:space="preserve">the </w:t>
      </w:r>
      <w:r w:rsidRPr="0000609C">
        <w:rPr>
          <w:lang w:eastAsia="zh-CN"/>
        </w:rPr>
        <w:t>serving</w:t>
      </w:r>
      <w:r w:rsidR="00C86604">
        <w:rPr>
          <w:lang w:eastAsia="zh-CN"/>
        </w:rPr>
        <w:t xml:space="preserve"> cell </w:t>
      </w:r>
      <w:r w:rsidRPr="0000609C">
        <w:rPr>
          <w:lang w:eastAsia="zh-CN"/>
        </w:rPr>
        <w:t xml:space="preserve">or </w:t>
      </w:r>
      <w:r w:rsidR="00C86604">
        <w:rPr>
          <w:lang w:eastAsia="zh-CN"/>
        </w:rPr>
        <w:t xml:space="preserve">the </w:t>
      </w:r>
      <w:r w:rsidRPr="0000609C">
        <w:rPr>
          <w:lang w:eastAsia="zh-CN"/>
        </w:rPr>
        <w:t xml:space="preserve">active </w:t>
      </w:r>
      <w:proofErr w:type="spellStart"/>
      <w:r w:rsidRPr="0000609C">
        <w:rPr>
          <w:lang w:eastAsia="zh-CN"/>
        </w:rPr>
        <w:t>additionalPCI</w:t>
      </w:r>
      <w:proofErr w:type="spellEnd"/>
      <w:r>
        <w:rPr>
          <w:lang w:eastAsia="zh-CN"/>
        </w:rPr>
        <w:t xml:space="preserve">. </w:t>
      </w:r>
      <w:r w:rsidR="00C86604">
        <w:rPr>
          <w:lang w:eastAsia="zh-CN"/>
        </w:rPr>
        <w:t>O</w:t>
      </w:r>
      <w:r w:rsidR="00162AB9">
        <w:rPr>
          <w:lang w:eastAsia="zh-CN"/>
        </w:rPr>
        <w:t>ne critical issue</w:t>
      </w:r>
      <w:r>
        <w:rPr>
          <w:lang w:eastAsia="zh-CN"/>
        </w:rPr>
        <w:t xml:space="preserve"> </w:t>
      </w:r>
      <w:r w:rsidR="00162AB9">
        <w:rPr>
          <w:lang w:eastAsia="zh-CN"/>
        </w:rPr>
        <w:t xml:space="preserve">is how the introduced DCI field can coexist with the cell indicator </w:t>
      </w:r>
      <w:r w:rsidR="004547FE">
        <w:rPr>
          <w:lang w:eastAsia="zh-CN"/>
        </w:rPr>
        <w:t xml:space="preserve">field </w:t>
      </w:r>
      <w:r w:rsidR="00162AB9">
        <w:rPr>
          <w:lang w:eastAsia="zh-CN"/>
        </w:rPr>
        <w:t>introduced in Rel-18</w:t>
      </w:r>
      <w:r w:rsidR="004547FE">
        <w:rPr>
          <w:lang w:eastAsia="zh-CN"/>
        </w:rPr>
        <w:t xml:space="preserve"> LTM.</w:t>
      </w:r>
      <w:r w:rsidR="00E459DE">
        <w:rPr>
          <w:lang w:eastAsia="zh-CN"/>
        </w:rPr>
        <w:t xml:space="preserve"> In Rel-18 </w:t>
      </w:r>
      <w:r w:rsidR="00EF50D4">
        <w:rPr>
          <w:lang w:eastAsia="zh-CN"/>
        </w:rPr>
        <w:t>LTM</w:t>
      </w:r>
      <w:r w:rsidR="00E459DE">
        <w:rPr>
          <w:lang w:eastAsia="zh-CN"/>
        </w:rPr>
        <w:t>, a DCI</w:t>
      </w:r>
      <w:r w:rsidR="0084673C">
        <w:rPr>
          <w:lang w:eastAsia="zh-CN"/>
        </w:rPr>
        <w:t xml:space="preserve"> field</w:t>
      </w:r>
      <w:r w:rsidR="00E459DE">
        <w:rPr>
          <w:lang w:eastAsia="zh-CN"/>
        </w:rPr>
        <w:t xml:space="preserve"> (i.e., cell indicator</w:t>
      </w:r>
      <w:r w:rsidR="0084673C">
        <w:rPr>
          <w:lang w:eastAsia="zh-CN"/>
        </w:rPr>
        <w:t xml:space="preserve"> field</w:t>
      </w:r>
      <w:r w:rsidR="00E459DE">
        <w:rPr>
          <w:lang w:eastAsia="zh-CN"/>
        </w:rPr>
        <w:t>)</w:t>
      </w:r>
      <w:r w:rsidR="0084673C">
        <w:rPr>
          <w:lang w:eastAsia="zh-CN"/>
        </w:rPr>
        <w:t xml:space="preserve"> </w:t>
      </w:r>
      <w:r w:rsidR="00E459DE">
        <w:rPr>
          <w:lang w:eastAsia="zh-CN"/>
        </w:rPr>
        <w:t>in PDCCH order</w:t>
      </w:r>
      <w:r w:rsidR="0081674F">
        <w:rPr>
          <w:lang w:eastAsia="zh-CN"/>
        </w:rPr>
        <w:t xml:space="preserve"> </w:t>
      </w:r>
      <w:r w:rsidR="00E459DE">
        <w:rPr>
          <w:lang w:eastAsia="zh-CN"/>
        </w:rPr>
        <w:t>indicate</w:t>
      </w:r>
      <w:r w:rsidR="0081674F">
        <w:rPr>
          <w:lang w:eastAsia="zh-CN"/>
        </w:rPr>
        <w:t>s</w:t>
      </w:r>
      <w:r w:rsidR="00E459DE">
        <w:rPr>
          <w:lang w:eastAsia="zh-CN"/>
        </w:rPr>
        <w:t xml:space="preserve"> </w:t>
      </w:r>
      <w:r w:rsidR="0081674F">
        <w:rPr>
          <w:lang w:eastAsia="zh-CN"/>
        </w:rPr>
        <w:t>that the PDCCH order is used to trigger RACH</w:t>
      </w:r>
      <w:r w:rsidR="000276BD">
        <w:rPr>
          <w:lang w:eastAsia="zh-CN"/>
        </w:rPr>
        <w:t xml:space="preserve"> for which cell (i.e.,</w:t>
      </w:r>
      <w:r w:rsidR="0081674F">
        <w:rPr>
          <w:lang w:eastAsia="zh-CN"/>
        </w:rPr>
        <w:t xml:space="preserve"> </w:t>
      </w:r>
      <w:r w:rsidR="00E459DE">
        <w:rPr>
          <w:lang w:eastAsia="zh-CN"/>
        </w:rPr>
        <w:t>a cell among the serving cell and the candidate cells</w:t>
      </w:r>
      <w:r w:rsidR="000276BD">
        <w:rPr>
          <w:lang w:eastAsia="zh-CN"/>
        </w:rPr>
        <w:t>)</w:t>
      </w:r>
      <w:r w:rsidR="00E459DE">
        <w:rPr>
          <w:lang w:eastAsia="zh-CN"/>
        </w:rPr>
        <w:t xml:space="preserve">. </w:t>
      </w:r>
      <w:r w:rsidR="00E459DE" w:rsidRPr="00942DB8">
        <w:rPr>
          <w:b/>
          <w:lang w:eastAsia="zh-CN"/>
        </w:rPr>
        <w:t>With the cell indicator field, do we need to introduce another new field or just reuse the cell indicator field?</w:t>
      </w:r>
    </w:p>
    <w:p w14:paraId="06337CAE" w14:textId="7FCC427C" w:rsidR="0041736C" w:rsidRDefault="0041736C" w:rsidP="005815DD">
      <w:pPr>
        <w:spacing w:beforeLines="50" w:before="156"/>
        <w:rPr>
          <w:lang w:eastAsia="zh-CN"/>
        </w:rPr>
      </w:pPr>
      <w:r>
        <w:rPr>
          <w:lang w:eastAsia="zh-CN"/>
        </w:rPr>
        <w:t xml:space="preserve">We prefer to reuse the cell indicator field as one PDCCH order can only trigger RACH procedure for one cell, and hence one cell indication field is enough. No matter the triggered RACH procedure is for </w:t>
      </w:r>
      <w:r w:rsidR="0095543C">
        <w:rPr>
          <w:lang w:eastAsia="zh-CN"/>
        </w:rPr>
        <w:t xml:space="preserve">a cell of </w:t>
      </w:r>
      <w:r>
        <w:rPr>
          <w:lang w:eastAsia="zh-CN"/>
        </w:rPr>
        <w:t xml:space="preserve">Rel-18 </w:t>
      </w:r>
      <w:r w:rsidR="0095543C">
        <w:rPr>
          <w:lang w:eastAsia="zh-CN"/>
        </w:rPr>
        <w:t xml:space="preserve">LTM </w:t>
      </w:r>
      <w:r>
        <w:rPr>
          <w:lang w:eastAsia="zh-CN"/>
        </w:rPr>
        <w:t xml:space="preserve">or for </w:t>
      </w:r>
      <w:r w:rsidR="0095543C">
        <w:rPr>
          <w:lang w:eastAsia="zh-CN"/>
        </w:rPr>
        <w:t xml:space="preserve">a cell of </w:t>
      </w:r>
      <w:r>
        <w:rPr>
          <w:lang w:eastAsia="zh-CN"/>
        </w:rPr>
        <w:t>inter-cell m</w:t>
      </w:r>
      <w:r w:rsidR="00DE20EE">
        <w:rPr>
          <w:lang w:eastAsia="zh-CN"/>
        </w:rPr>
        <w:t>ulti-</w:t>
      </w:r>
      <w:r>
        <w:rPr>
          <w:lang w:eastAsia="zh-CN"/>
        </w:rPr>
        <w:t>TRP transmission, the cell indicator field can be used to indicate the cell.</w:t>
      </w:r>
      <w:r w:rsidR="005815DD">
        <w:rPr>
          <w:lang w:eastAsia="zh-CN"/>
        </w:rPr>
        <w:t xml:space="preserve"> </w:t>
      </w:r>
      <w:r w:rsidR="00054C50">
        <w:rPr>
          <w:lang w:eastAsia="zh-CN"/>
        </w:rPr>
        <w:t>One remaining issue is that, when UE receives a PDCCH order,</w:t>
      </w:r>
      <w:r w:rsidR="005815DD">
        <w:rPr>
          <w:lang w:eastAsia="zh-CN"/>
        </w:rPr>
        <w:t xml:space="preserve"> how UE can </w:t>
      </w:r>
      <w:r w:rsidR="005815DD">
        <w:rPr>
          <w:lang w:eastAsia="zh-CN"/>
        </w:rPr>
        <w:lastRenderedPageBreak/>
        <w:t>know whether th</w:t>
      </w:r>
      <w:r w:rsidR="00054C50">
        <w:rPr>
          <w:lang w:eastAsia="zh-CN"/>
        </w:rPr>
        <w:t xml:space="preserve">e cell indicator </w:t>
      </w:r>
      <w:r w:rsidR="005815DD">
        <w:rPr>
          <w:lang w:eastAsia="zh-CN"/>
        </w:rPr>
        <w:t>field</w:t>
      </w:r>
      <w:r w:rsidR="00054C50">
        <w:rPr>
          <w:lang w:eastAsia="zh-CN"/>
        </w:rPr>
        <w:t xml:space="preserve"> in the PDCCH order</w:t>
      </w:r>
      <w:r w:rsidR="005815DD">
        <w:rPr>
          <w:lang w:eastAsia="zh-CN"/>
        </w:rPr>
        <w:t xml:space="preserve"> indicates a</w:t>
      </w:r>
      <w:r w:rsidR="00054C50">
        <w:rPr>
          <w:lang w:eastAsia="zh-CN"/>
        </w:rPr>
        <w:t xml:space="preserve"> cell for Rel-18 LTM or a cell for inter-cell multi-TRP</w:t>
      </w:r>
      <w:r w:rsidR="004B60DC">
        <w:rPr>
          <w:lang w:eastAsia="zh-CN"/>
        </w:rPr>
        <w:t>.</w:t>
      </w:r>
      <w:r w:rsidR="005815DD">
        <w:rPr>
          <w:lang w:eastAsia="zh-CN"/>
        </w:rPr>
        <w:t xml:space="preserve"> </w:t>
      </w:r>
      <w:r w:rsidR="00F64FDE">
        <w:rPr>
          <w:lang w:eastAsia="zh-CN"/>
        </w:rPr>
        <w:t xml:space="preserve">In our view, </w:t>
      </w:r>
      <w:r w:rsidR="005815DD">
        <w:rPr>
          <w:lang w:eastAsia="zh-CN"/>
        </w:rPr>
        <w:t>three cases should be considered.</w:t>
      </w:r>
    </w:p>
    <w:p w14:paraId="2B440506" w14:textId="4C4D2257" w:rsidR="005815DD" w:rsidRPr="00800F00" w:rsidRDefault="005815DD" w:rsidP="005815DD">
      <w:pPr>
        <w:pStyle w:val="ListParagraph"/>
        <w:numPr>
          <w:ilvl w:val="0"/>
          <w:numId w:val="4"/>
        </w:numPr>
        <w:spacing w:beforeLines="50" w:before="156"/>
        <w:rPr>
          <w:rFonts w:ascii="Times New Roman" w:hAnsi="Times New Roman" w:cs="Times New Roman"/>
          <w:b/>
          <w:sz w:val="22"/>
          <w:szCs w:val="22"/>
        </w:rPr>
      </w:pPr>
      <w:r w:rsidRPr="00800F00">
        <w:rPr>
          <w:rFonts w:ascii="Times New Roman" w:hAnsi="Times New Roman" w:cs="Times New Roman"/>
          <w:sz w:val="22"/>
        </w:rPr>
        <w:t xml:space="preserve">When UE is </w:t>
      </w:r>
      <w:r w:rsidR="00800F00">
        <w:rPr>
          <w:rFonts w:ascii="Times New Roman" w:hAnsi="Times New Roman" w:cs="Times New Roman"/>
          <w:sz w:val="22"/>
        </w:rPr>
        <w:t xml:space="preserve">only </w:t>
      </w:r>
      <w:r w:rsidRPr="00800F00">
        <w:rPr>
          <w:rFonts w:ascii="Times New Roman" w:hAnsi="Times New Roman" w:cs="Times New Roman"/>
          <w:sz w:val="22"/>
        </w:rPr>
        <w:t xml:space="preserve">configured with </w:t>
      </w:r>
      <w:r w:rsidR="00630FAA">
        <w:rPr>
          <w:rFonts w:ascii="Times New Roman" w:hAnsi="Times New Roman" w:cs="Times New Roman"/>
          <w:sz w:val="22"/>
        </w:rPr>
        <w:t xml:space="preserve">Rel-18 </w:t>
      </w:r>
      <w:r w:rsidRPr="00800F00">
        <w:rPr>
          <w:rFonts w:ascii="Times New Roman" w:hAnsi="Times New Roman" w:cs="Times New Roman"/>
          <w:sz w:val="22"/>
        </w:rPr>
        <w:t xml:space="preserve">LTM, the cell indicator field indicates </w:t>
      </w:r>
      <w:r w:rsidR="00D40FDA">
        <w:rPr>
          <w:rFonts w:ascii="Times New Roman" w:hAnsi="Times New Roman" w:cs="Times New Roman"/>
          <w:sz w:val="22"/>
        </w:rPr>
        <w:t xml:space="preserve">a </w:t>
      </w:r>
      <w:r w:rsidR="0020232E">
        <w:rPr>
          <w:rFonts w:ascii="Times New Roman" w:hAnsi="Times New Roman" w:cs="Times New Roman"/>
          <w:sz w:val="22"/>
        </w:rPr>
        <w:t>cell for Rel-18 LTM</w:t>
      </w:r>
      <w:r w:rsidR="00800F00">
        <w:rPr>
          <w:rFonts w:ascii="Times New Roman" w:hAnsi="Times New Roman" w:cs="Times New Roman"/>
          <w:sz w:val="22"/>
        </w:rPr>
        <w:t>.</w:t>
      </w:r>
    </w:p>
    <w:p w14:paraId="0281903B" w14:textId="2DFF4FC5" w:rsidR="00800F00" w:rsidRPr="00800F00" w:rsidRDefault="00800F00" w:rsidP="00800F00">
      <w:pPr>
        <w:pStyle w:val="ListParagraph"/>
        <w:numPr>
          <w:ilvl w:val="0"/>
          <w:numId w:val="4"/>
        </w:numPr>
        <w:rPr>
          <w:rFonts w:ascii="Times New Roman" w:hAnsi="Times New Roman" w:cs="Times New Roman"/>
          <w:sz w:val="22"/>
          <w:szCs w:val="22"/>
        </w:rPr>
      </w:pPr>
      <w:r w:rsidRPr="00800F00">
        <w:rPr>
          <w:rFonts w:ascii="Times New Roman" w:hAnsi="Times New Roman" w:cs="Times New Roman"/>
          <w:sz w:val="22"/>
          <w:szCs w:val="22"/>
        </w:rPr>
        <w:t xml:space="preserve">When UE is only configured with </w:t>
      </w:r>
      <w:r>
        <w:rPr>
          <w:rFonts w:ascii="Times New Roman" w:hAnsi="Times New Roman" w:cs="Times New Roman"/>
          <w:sz w:val="22"/>
          <w:szCs w:val="22"/>
        </w:rPr>
        <w:t>inter-cell multi-TRP</w:t>
      </w:r>
      <w:r w:rsidRPr="00800F00">
        <w:rPr>
          <w:rFonts w:ascii="Times New Roman" w:hAnsi="Times New Roman" w:cs="Times New Roman"/>
          <w:sz w:val="22"/>
          <w:szCs w:val="22"/>
        </w:rPr>
        <w:t xml:space="preserve">, the cell indicator field indicates </w:t>
      </w:r>
      <w:r w:rsidR="00D40FDA">
        <w:rPr>
          <w:rFonts w:ascii="Times New Roman" w:hAnsi="Times New Roman" w:cs="Times New Roman"/>
          <w:sz w:val="22"/>
          <w:szCs w:val="22"/>
        </w:rPr>
        <w:t>a</w:t>
      </w:r>
      <w:r w:rsidR="00A76AE7">
        <w:rPr>
          <w:rFonts w:ascii="Times New Roman" w:hAnsi="Times New Roman" w:cs="Times New Roman"/>
          <w:sz w:val="22"/>
          <w:szCs w:val="22"/>
        </w:rPr>
        <w:t xml:space="preserve"> cell for inter-cell multi-TRP</w:t>
      </w:r>
      <w:r w:rsidRPr="00800F00">
        <w:rPr>
          <w:rFonts w:ascii="Times New Roman" w:hAnsi="Times New Roman" w:cs="Times New Roman"/>
          <w:sz w:val="22"/>
          <w:szCs w:val="22"/>
        </w:rPr>
        <w:t>.</w:t>
      </w:r>
    </w:p>
    <w:p w14:paraId="48F40DA1" w14:textId="4C4B52AD" w:rsidR="00800F00" w:rsidRPr="004B60DC" w:rsidRDefault="004B60DC" w:rsidP="005815DD">
      <w:pPr>
        <w:pStyle w:val="ListParagraph"/>
        <w:numPr>
          <w:ilvl w:val="0"/>
          <w:numId w:val="4"/>
        </w:numPr>
        <w:spacing w:beforeLines="50" w:before="156"/>
        <w:rPr>
          <w:rFonts w:ascii="Times New Roman" w:hAnsi="Times New Roman" w:cs="Times New Roman"/>
          <w:b/>
          <w:sz w:val="22"/>
          <w:szCs w:val="22"/>
        </w:rPr>
      </w:pPr>
      <w:r w:rsidRPr="004B60DC">
        <w:rPr>
          <w:rFonts w:ascii="Times New Roman" w:hAnsi="Times New Roman" w:cs="Times New Roman"/>
          <w:sz w:val="22"/>
          <w:szCs w:val="22"/>
        </w:rPr>
        <w:t xml:space="preserve">When UE is configured with both inter-cell multi-TRP and </w:t>
      </w:r>
      <w:r w:rsidR="00FC17AC">
        <w:rPr>
          <w:rFonts w:ascii="Times New Roman" w:hAnsi="Times New Roman" w:cs="Times New Roman"/>
          <w:sz w:val="22"/>
        </w:rPr>
        <w:t xml:space="preserve">Rel-18 </w:t>
      </w:r>
      <w:r w:rsidRPr="004B60DC">
        <w:rPr>
          <w:rFonts w:ascii="Times New Roman" w:hAnsi="Times New Roman" w:cs="Times New Roman"/>
          <w:sz w:val="22"/>
          <w:szCs w:val="22"/>
        </w:rPr>
        <w:t xml:space="preserve">LTM, </w:t>
      </w:r>
      <w:r w:rsidR="00D40FDA">
        <w:rPr>
          <w:rFonts w:ascii="Times New Roman" w:hAnsi="Times New Roman" w:cs="Times New Roman"/>
          <w:sz w:val="22"/>
          <w:szCs w:val="22"/>
        </w:rPr>
        <w:t xml:space="preserve">UE cannot differentiate between the two cases according to RRC configuration. In this case, </w:t>
      </w:r>
      <w:r w:rsidRPr="004B60DC">
        <w:rPr>
          <w:rFonts w:ascii="Times New Roman" w:hAnsi="Times New Roman" w:cs="Times New Roman"/>
          <w:sz w:val="22"/>
          <w:szCs w:val="22"/>
        </w:rPr>
        <w:t xml:space="preserve">one additional </w:t>
      </w:r>
      <w:r w:rsidR="00FC17AC">
        <w:rPr>
          <w:rFonts w:ascii="Times New Roman" w:hAnsi="Times New Roman" w:cs="Times New Roman"/>
          <w:sz w:val="22"/>
          <w:szCs w:val="22"/>
        </w:rPr>
        <w:t xml:space="preserve">1-bit </w:t>
      </w:r>
      <w:r w:rsidRPr="004B60DC">
        <w:rPr>
          <w:rFonts w:ascii="Times New Roman" w:hAnsi="Times New Roman" w:cs="Times New Roman"/>
          <w:sz w:val="22"/>
          <w:szCs w:val="22"/>
        </w:rPr>
        <w:t xml:space="preserve">field needs to be introduced to discriminate whether </w:t>
      </w:r>
      <w:r w:rsidR="00D40FDA">
        <w:rPr>
          <w:rFonts w:ascii="Times New Roman" w:hAnsi="Times New Roman" w:cs="Times New Roman"/>
          <w:sz w:val="22"/>
          <w:szCs w:val="22"/>
        </w:rPr>
        <w:t>the cell indicator</w:t>
      </w:r>
      <w:r w:rsidRPr="004B60DC">
        <w:rPr>
          <w:rFonts w:ascii="Times New Roman" w:hAnsi="Times New Roman" w:cs="Times New Roman"/>
          <w:sz w:val="22"/>
          <w:szCs w:val="22"/>
        </w:rPr>
        <w:t xml:space="preserve"> field indicates </w:t>
      </w:r>
      <w:r w:rsidR="00D40FDA">
        <w:rPr>
          <w:rFonts w:ascii="Times New Roman" w:hAnsi="Times New Roman" w:cs="Times New Roman"/>
          <w:sz w:val="22"/>
        </w:rPr>
        <w:t>a cell for Rel-18 LTM or a cell for inter-cell multi-TRP</w:t>
      </w:r>
      <w:r>
        <w:rPr>
          <w:rFonts w:ascii="Times New Roman" w:hAnsi="Times New Roman" w:cs="Times New Roman" w:hint="eastAsia"/>
          <w:sz w:val="22"/>
          <w:szCs w:val="22"/>
        </w:rPr>
        <w:t>.</w:t>
      </w:r>
    </w:p>
    <w:p w14:paraId="5D6D2155" w14:textId="40F2E5F3" w:rsidR="0041736C" w:rsidRDefault="0041736C" w:rsidP="00162AB9">
      <w:pPr>
        <w:spacing w:beforeLines="50" w:before="156"/>
        <w:rPr>
          <w:b/>
          <w:lang w:eastAsia="zh-CN"/>
        </w:rPr>
      </w:pPr>
      <w:bookmarkStart w:id="0" w:name="_Hlk142557750"/>
      <w:r w:rsidRPr="00942DB8">
        <w:rPr>
          <w:b/>
          <w:lang w:eastAsia="zh-CN"/>
        </w:rPr>
        <w:t xml:space="preserve">Proposal </w:t>
      </w:r>
      <w:r w:rsidR="00DA0A81">
        <w:rPr>
          <w:b/>
          <w:lang w:eastAsia="zh-CN"/>
        </w:rPr>
        <w:t>2</w:t>
      </w:r>
      <w:r w:rsidRPr="00942DB8">
        <w:rPr>
          <w:b/>
          <w:lang w:eastAsia="zh-CN"/>
        </w:rPr>
        <w:t xml:space="preserve">: </w:t>
      </w:r>
      <w:r w:rsidR="003E3E8D">
        <w:rPr>
          <w:b/>
          <w:lang w:eastAsia="zh-CN"/>
        </w:rPr>
        <w:t>Support r</w:t>
      </w:r>
      <w:r w:rsidRPr="00942DB8">
        <w:rPr>
          <w:b/>
          <w:lang w:eastAsia="zh-CN"/>
        </w:rPr>
        <w:t>eus</w:t>
      </w:r>
      <w:r w:rsidR="008A5CB3">
        <w:rPr>
          <w:b/>
          <w:lang w:eastAsia="zh-CN"/>
        </w:rPr>
        <w:t>ing</w:t>
      </w:r>
      <w:r w:rsidRPr="00942DB8">
        <w:rPr>
          <w:b/>
          <w:lang w:eastAsia="zh-CN"/>
        </w:rPr>
        <w:t xml:space="preserve"> the cell indicator field </w:t>
      </w:r>
      <w:r w:rsidR="009723D6">
        <w:rPr>
          <w:b/>
          <w:lang w:eastAsia="zh-CN"/>
        </w:rPr>
        <w:t xml:space="preserve">in </w:t>
      </w:r>
      <w:r w:rsidR="009723D6">
        <w:rPr>
          <w:rFonts w:hint="eastAsia"/>
          <w:b/>
          <w:lang w:eastAsia="zh-CN"/>
        </w:rPr>
        <w:t>PDCCH</w:t>
      </w:r>
      <w:r w:rsidR="009723D6">
        <w:rPr>
          <w:b/>
          <w:lang w:eastAsia="zh-CN"/>
        </w:rPr>
        <w:t xml:space="preserve"> </w:t>
      </w:r>
      <w:r w:rsidR="009723D6">
        <w:rPr>
          <w:rFonts w:hint="eastAsia"/>
          <w:b/>
          <w:lang w:eastAsia="zh-CN"/>
        </w:rPr>
        <w:t>order</w:t>
      </w:r>
      <w:r w:rsidR="009723D6">
        <w:rPr>
          <w:b/>
          <w:lang w:eastAsia="zh-CN"/>
        </w:rPr>
        <w:t xml:space="preserve"> </w:t>
      </w:r>
      <w:r w:rsidRPr="00942DB8">
        <w:rPr>
          <w:b/>
          <w:lang w:eastAsia="zh-CN"/>
        </w:rPr>
        <w:t xml:space="preserve">introduced in Rel-18 </w:t>
      </w:r>
      <w:r w:rsidR="008A5CB3">
        <w:rPr>
          <w:b/>
          <w:lang w:eastAsia="zh-CN"/>
        </w:rPr>
        <w:t>LTM for cell indication in inter-cell multi-TRP</w:t>
      </w:r>
      <w:r w:rsidRPr="00942DB8">
        <w:rPr>
          <w:b/>
          <w:lang w:eastAsia="zh-CN"/>
        </w:rPr>
        <w:t>.</w:t>
      </w:r>
    </w:p>
    <w:p w14:paraId="3AFD4854" w14:textId="5111282D" w:rsidR="00D06BEB" w:rsidRDefault="00FC17AC" w:rsidP="00162AB9">
      <w:pPr>
        <w:spacing w:beforeLines="50" w:before="156"/>
        <w:rPr>
          <w:b/>
          <w:lang w:eastAsia="zh-CN"/>
        </w:rPr>
      </w:pPr>
      <w:r w:rsidRPr="00942DB8">
        <w:rPr>
          <w:b/>
          <w:lang w:eastAsia="zh-CN"/>
        </w:rPr>
        <w:t xml:space="preserve">Proposal </w:t>
      </w:r>
      <w:r>
        <w:rPr>
          <w:b/>
          <w:lang w:eastAsia="zh-CN"/>
        </w:rPr>
        <w:t>3</w:t>
      </w:r>
      <w:r w:rsidRPr="00942DB8">
        <w:rPr>
          <w:b/>
          <w:lang w:eastAsia="zh-CN"/>
        </w:rPr>
        <w:t xml:space="preserve">: </w:t>
      </w:r>
      <w:r>
        <w:rPr>
          <w:rFonts w:hint="eastAsia"/>
          <w:b/>
          <w:lang w:eastAsia="zh-CN"/>
        </w:rPr>
        <w:t>When</w:t>
      </w:r>
      <w:r>
        <w:rPr>
          <w:b/>
          <w:lang w:eastAsia="zh-CN"/>
        </w:rPr>
        <w:t xml:space="preserve"> both </w:t>
      </w:r>
      <w:r w:rsidRPr="00FC17AC">
        <w:rPr>
          <w:b/>
          <w:lang w:eastAsia="zh-CN"/>
        </w:rPr>
        <w:t>inter-cell multi-TRP and Rel-18</w:t>
      </w:r>
      <w:r>
        <w:rPr>
          <w:b/>
          <w:lang w:eastAsia="zh-CN"/>
        </w:rPr>
        <w:t xml:space="preserve"> </w:t>
      </w:r>
      <w:r w:rsidRPr="00FC17AC">
        <w:rPr>
          <w:b/>
          <w:lang w:eastAsia="zh-CN"/>
        </w:rPr>
        <w:t xml:space="preserve">LTM </w:t>
      </w:r>
      <w:r>
        <w:rPr>
          <w:b/>
          <w:lang w:eastAsia="zh-CN"/>
        </w:rPr>
        <w:t xml:space="preserve">are configured, one additional 1-bit field is </w:t>
      </w:r>
      <w:r w:rsidRPr="00446E37">
        <w:rPr>
          <w:b/>
          <w:lang w:eastAsia="zh-CN"/>
        </w:rPr>
        <w:t>introduced</w:t>
      </w:r>
      <w:r w:rsidR="00696B0D">
        <w:rPr>
          <w:b/>
          <w:lang w:eastAsia="zh-CN"/>
        </w:rPr>
        <w:t xml:space="preserve"> in PDCCH order</w:t>
      </w:r>
      <w:r w:rsidRPr="00446E37">
        <w:rPr>
          <w:b/>
          <w:lang w:eastAsia="zh-CN"/>
        </w:rPr>
        <w:t xml:space="preserve"> to discriminate whether the cell indicator field</w:t>
      </w:r>
      <w:r w:rsidR="0056126F">
        <w:rPr>
          <w:b/>
          <w:lang w:eastAsia="zh-CN"/>
        </w:rPr>
        <w:t xml:space="preserve"> in PDCCH order</w:t>
      </w:r>
      <w:r w:rsidRPr="00446E37">
        <w:rPr>
          <w:b/>
          <w:lang w:eastAsia="zh-CN"/>
        </w:rPr>
        <w:t xml:space="preserve"> indicates a cell for Rel-18 LTM or a cell for inter-cell multi-TRP</w:t>
      </w:r>
      <w:r w:rsidRPr="00942DB8">
        <w:rPr>
          <w:b/>
          <w:lang w:eastAsia="zh-CN"/>
        </w:rPr>
        <w:t>.</w:t>
      </w:r>
    </w:p>
    <w:tbl>
      <w:tblPr>
        <w:tblStyle w:val="TableGrid"/>
        <w:tblW w:w="0" w:type="auto"/>
        <w:tblLook w:val="04A0" w:firstRow="1" w:lastRow="0" w:firstColumn="1" w:lastColumn="0" w:noHBand="0" w:noVBand="1"/>
      </w:tblPr>
      <w:tblGrid>
        <w:gridCol w:w="9016"/>
      </w:tblGrid>
      <w:tr w:rsidR="00297AB6" w:rsidRPr="00DD459B" w14:paraId="5F21364B" w14:textId="77777777" w:rsidTr="003623E9">
        <w:tc>
          <w:tcPr>
            <w:tcW w:w="9016" w:type="dxa"/>
          </w:tcPr>
          <w:bookmarkEnd w:id="0"/>
          <w:p w14:paraId="2EA62CF6" w14:textId="4A067522" w:rsidR="00297AB6" w:rsidRPr="00DD459B" w:rsidRDefault="00297AB6" w:rsidP="003623E9">
            <w:pPr>
              <w:rPr>
                <w:b/>
                <w:szCs w:val="22"/>
                <w:highlight w:val="green"/>
                <w:lang w:eastAsia="x-none"/>
              </w:rPr>
            </w:pPr>
            <w:r w:rsidRPr="00DD459B">
              <w:rPr>
                <w:b/>
                <w:szCs w:val="22"/>
                <w:highlight w:val="green"/>
                <w:lang w:eastAsia="x-none"/>
              </w:rPr>
              <w:t>Agreement</w:t>
            </w:r>
          </w:p>
          <w:p w14:paraId="38179828" w14:textId="23B26E07" w:rsidR="00297AB6" w:rsidRPr="00DD459B" w:rsidRDefault="00297AB6" w:rsidP="0000609C">
            <w:pPr>
              <w:spacing w:line="276" w:lineRule="auto"/>
              <w:rPr>
                <w:rStyle w:val="Emphasis"/>
                <w:i w:val="0"/>
                <w:szCs w:val="22"/>
              </w:rPr>
            </w:pPr>
            <w:r w:rsidRPr="00DD459B">
              <w:rPr>
                <w:rStyle w:val="Emphasis"/>
                <w:i w:val="0"/>
                <w:szCs w:val="22"/>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4FC9193E" w14:textId="77777777" w:rsidR="0000609C" w:rsidRPr="00DD459B" w:rsidRDefault="0000609C" w:rsidP="0000609C">
            <w:pPr>
              <w:spacing w:after="0"/>
              <w:rPr>
                <w:rFonts w:eastAsia="Batang"/>
                <w:b/>
                <w:bCs/>
                <w:iCs/>
                <w:szCs w:val="22"/>
                <w:highlight w:val="green"/>
                <w:lang w:val="en-GB"/>
              </w:rPr>
            </w:pPr>
            <w:r w:rsidRPr="00DD459B">
              <w:rPr>
                <w:rFonts w:eastAsia="Batang"/>
                <w:b/>
                <w:bCs/>
                <w:iCs/>
                <w:szCs w:val="22"/>
                <w:highlight w:val="green"/>
                <w:lang w:val="en-GB"/>
              </w:rPr>
              <w:t>Agreement</w:t>
            </w:r>
          </w:p>
          <w:p w14:paraId="0F33C2E9" w14:textId="01C89494" w:rsidR="0000609C" w:rsidRPr="00DD459B" w:rsidRDefault="0000609C" w:rsidP="0000609C">
            <w:pPr>
              <w:spacing w:after="0" w:line="276" w:lineRule="auto"/>
              <w:rPr>
                <w:rStyle w:val="Emphasis"/>
                <w:rFonts w:eastAsia="Batang"/>
                <w:i w:val="0"/>
                <w:iCs w:val="0"/>
                <w:szCs w:val="22"/>
                <w:lang w:val="en-GB"/>
              </w:rPr>
            </w:pPr>
            <w:r w:rsidRPr="00DD459B">
              <w:rPr>
                <w:rFonts w:eastAsia="Batang"/>
                <w:szCs w:val="22"/>
                <w:lang w:val="en-GB"/>
              </w:rPr>
              <w:t xml:space="preserve">For inter-cell multi-DCI based multi-TRP operation with two TAGs configured in </w:t>
            </w:r>
            <w:proofErr w:type="spellStart"/>
            <w:r w:rsidRPr="00DD459B">
              <w:rPr>
                <w:rFonts w:eastAsia="Batang"/>
                <w:szCs w:val="22"/>
                <w:lang w:val="en-GB"/>
              </w:rPr>
              <w:t>Spcell</w:t>
            </w:r>
            <w:proofErr w:type="spellEnd"/>
            <w:r w:rsidRPr="00DD459B">
              <w:rPr>
                <w:rFonts w:eastAsia="Batang"/>
                <w:szCs w:val="22"/>
                <w:lang w:val="en-GB"/>
              </w:rPr>
              <w:t xml:space="preserve">, when the PDCCH order is transmitted from a TRP associated with </w:t>
            </w:r>
            <w:proofErr w:type="spellStart"/>
            <w:r w:rsidRPr="00DD459B">
              <w:rPr>
                <w:rFonts w:eastAsia="Batang"/>
                <w:szCs w:val="22"/>
                <w:lang w:val="en-GB"/>
              </w:rPr>
              <w:t>additionalPCI</w:t>
            </w:r>
            <w:proofErr w:type="spellEnd"/>
            <w:r w:rsidRPr="00DD459B">
              <w:rPr>
                <w:rFonts w:eastAsia="Batang"/>
                <w:szCs w:val="22"/>
                <w:lang w:val="en-GB"/>
              </w:rPr>
              <w:t xml:space="preserve">, PDCCH RAR and PDSCH RAR of a CFRA are both </w:t>
            </w:r>
            <w:proofErr w:type="spellStart"/>
            <w:r w:rsidRPr="00DD459B">
              <w:rPr>
                <w:rFonts w:eastAsia="Batang"/>
                <w:szCs w:val="22"/>
                <w:lang w:val="en-GB"/>
              </w:rPr>
              <w:t>QCLed</w:t>
            </w:r>
            <w:proofErr w:type="spellEnd"/>
            <w:r w:rsidRPr="00DD459B">
              <w:rPr>
                <w:rFonts w:eastAsia="Batang"/>
                <w:szCs w:val="22"/>
                <w:lang w:val="en-GB"/>
              </w:rPr>
              <w:t xml:space="preserve"> with the CORESET associated with the Type I CSS set</w:t>
            </w:r>
          </w:p>
          <w:p w14:paraId="7C35189C" w14:textId="77777777" w:rsidR="00297AB6" w:rsidRPr="00DD459B" w:rsidRDefault="00297AB6" w:rsidP="003623E9">
            <w:pPr>
              <w:spacing w:after="0"/>
              <w:rPr>
                <w:b/>
                <w:szCs w:val="22"/>
                <w:highlight w:val="green"/>
                <w:lang w:eastAsia="x-none"/>
              </w:rPr>
            </w:pPr>
            <w:r w:rsidRPr="00DD459B">
              <w:rPr>
                <w:b/>
                <w:szCs w:val="22"/>
                <w:highlight w:val="green"/>
                <w:lang w:eastAsia="x-none"/>
              </w:rPr>
              <w:t>Agreement</w:t>
            </w:r>
          </w:p>
          <w:p w14:paraId="1BFE0FF6" w14:textId="77777777" w:rsidR="00297AB6" w:rsidRPr="00DD459B" w:rsidRDefault="00297AB6" w:rsidP="0000609C">
            <w:pPr>
              <w:rPr>
                <w:szCs w:val="22"/>
                <w:lang w:val="en-GB" w:eastAsia="fr-FR"/>
              </w:rPr>
            </w:pPr>
            <w:r w:rsidRPr="00DD459B">
              <w:rPr>
                <w:szCs w:val="22"/>
                <w:lang w:val="en-GB" w:eastAsia="fr-FR"/>
              </w:rPr>
              <w:t>For multi-DCI based Multi-TRP operation with two TA enhancement, support at least RAR-based solution where RAR is only received from a TRP that is associated with Type 1 CSS</w:t>
            </w:r>
          </w:p>
          <w:p w14:paraId="7CB70A6F" w14:textId="77777777" w:rsidR="00297AB6" w:rsidRPr="00DD459B" w:rsidRDefault="00297AB6" w:rsidP="00297AB6">
            <w:pPr>
              <w:widowControl/>
              <w:numPr>
                <w:ilvl w:val="0"/>
                <w:numId w:val="12"/>
              </w:numPr>
              <w:autoSpaceDE/>
              <w:autoSpaceDN/>
              <w:adjustRightInd/>
              <w:snapToGrid/>
              <w:spacing w:after="0"/>
              <w:contextualSpacing/>
              <w:jc w:val="left"/>
              <w:rPr>
                <w:rFonts w:eastAsia="Batang"/>
                <w:szCs w:val="22"/>
                <w:lang w:val="en-GB" w:eastAsia="ja-JP"/>
              </w:rPr>
            </w:pPr>
            <w:r w:rsidRPr="00DD459B">
              <w:rPr>
                <w:rFonts w:eastAsia="Batang"/>
                <w:szCs w:val="22"/>
                <w:lang w:val="en-GB" w:eastAsia="ja-JP"/>
              </w:rPr>
              <w:t>RAR based</w:t>
            </w:r>
          </w:p>
          <w:p w14:paraId="15183BC3" w14:textId="77777777" w:rsidR="00297AB6" w:rsidRPr="00DD459B" w:rsidRDefault="00297AB6" w:rsidP="00297AB6">
            <w:pPr>
              <w:widowControl/>
              <w:numPr>
                <w:ilvl w:val="0"/>
                <w:numId w:val="11"/>
              </w:numPr>
              <w:autoSpaceDE/>
              <w:autoSpaceDN/>
              <w:adjustRightInd/>
              <w:snapToGrid/>
              <w:spacing w:after="0"/>
              <w:contextualSpacing/>
              <w:jc w:val="left"/>
              <w:rPr>
                <w:rFonts w:eastAsia="Microsoft YaHei UI Light"/>
                <w:szCs w:val="22"/>
                <w:lang w:val="en-GB" w:eastAsia="x-none"/>
              </w:rPr>
            </w:pPr>
            <w:r w:rsidRPr="00DD459B">
              <w:rPr>
                <w:rFonts w:eastAsia="Microsoft YaHei UI Light"/>
                <w:szCs w:val="22"/>
                <w:lang w:val="en-GB" w:eastAsia="x-none"/>
              </w:rPr>
              <w:t xml:space="preserve">FFS: RAR-less solution reusing the solution agreed in Rel-18 Mobility </w:t>
            </w:r>
            <w:proofErr w:type="spellStart"/>
            <w:r w:rsidRPr="00DD459B">
              <w:rPr>
                <w:rFonts w:eastAsia="Microsoft YaHei UI Light"/>
                <w:szCs w:val="22"/>
                <w:lang w:val="en-GB" w:eastAsia="x-none"/>
              </w:rPr>
              <w:t>Enh</w:t>
            </w:r>
            <w:proofErr w:type="spellEnd"/>
          </w:p>
          <w:p w14:paraId="5DB96FFF" w14:textId="77777777" w:rsidR="00297AB6" w:rsidRPr="00DD459B" w:rsidRDefault="00297AB6" w:rsidP="003623E9">
            <w:pPr>
              <w:spacing w:after="0"/>
              <w:rPr>
                <w:rFonts w:eastAsia="Batang"/>
                <w:b/>
                <w:bCs/>
                <w:szCs w:val="22"/>
                <w:lang w:val="en-GB" w:eastAsia="x-none"/>
              </w:rPr>
            </w:pPr>
            <w:r w:rsidRPr="00DD459B">
              <w:rPr>
                <w:rFonts w:eastAsia="Batang"/>
                <w:b/>
                <w:bCs/>
                <w:szCs w:val="22"/>
                <w:lang w:val="en-GB" w:eastAsia="x-none"/>
              </w:rPr>
              <w:t>Conclusion</w:t>
            </w:r>
          </w:p>
          <w:p w14:paraId="0BB807FF" w14:textId="77677622" w:rsidR="00297AB6" w:rsidRPr="00DD459B" w:rsidRDefault="00297AB6" w:rsidP="003623E9">
            <w:pPr>
              <w:pStyle w:val="NormalWeb"/>
              <w:spacing w:before="0" w:beforeAutospacing="0" w:after="0" w:afterAutospacing="0"/>
              <w:rPr>
                <w:rFonts w:ascii="Times New Roman" w:eastAsia="Batang" w:hAnsi="Times New Roman" w:cs="Times New Roman"/>
                <w:sz w:val="22"/>
                <w:szCs w:val="22"/>
                <w:lang w:val="en-GB" w:eastAsia="x-none"/>
              </w:rPr>
            </w:pPr>
            <w:r w:rsidRPr="00DD459B">
              <w:rPr>
                <w:rFonts w:ascii="Times New Roman" w:eastAsia="Batang" w:hAnsi="Times New Roman" w:cs="Times New Roman"/>
                <w:sz w:val="22"/>
                <w:szCs w:val="22"/>
                <w:lang w:val="en-GB" w:eastAsia="x-none"/>
              </w:rPr>
              <w:t>For inter-cell multi-DCI based multi-TRP operation with two TA enhancement, there is no consensus to introduce additional type 1 CSS configuration per additional PCI.</w:t>
            </w:r>
          </w:p>
          <w:p w14:paraId="02EB4F79" w14:textId="77777777" w:rsidR="00056E14" w:rsidRPr="00DD459B" w:rsidRDefault="00056E14" w:rsidP="00056E14">
            <w:pPr>
              <w:widowControl/>
              <w:autoSpaceDE/>
              <w:autoSpaceDN/>
              <w:adjustRightInd/>
              <w:snapToGrid/>
              <w:spacing w:after="0"/>
              <w:rPr>
                <w:b/>
                <w:bCs/>
                <w:szCs w:val="22"/>
                <w:highlight w:val="green"/>
                <w:lang w:eastAsia="x-none"/>
              </w:rPr>
            </w:pPr>
            <w:r w:rsidRPr="00DD459B">
              <w:rPr>
                <w:b/>
                <w:bCs/>
                <w:szCs w:val="22"/>
                <w:highlight w:val="green"/>
                <w:lang w:eastAsia="x-none"/>
              </w:rPr>
              <w:t>Agreement</w:t>
            </w:r>
            <w:r w:rsidRPr="00DD459B">
              <w:rPr>
                <w:b/>
                <w:bCs/>
                <w:szCs w:val="22"/>
                <w:lang w:eastAsia="x-none"/>
              </w:rPr>
              <w:t xml:space="preserve"> (Rel-18 mobility)</w:t>
            </w:r>
          </w:p>
          <w:p w14:paraId="2E0A6068" w14:textId="18547B40" w:rsidR="00056E14" w:rsidRPr="00DD459B" w:rsidRDefault="00056E14" w:rsidP="00056E14">
            <w:pPr>
              <w:pStyle w:val="NormalWeb"/>
              <w:spacing w:before="0" w:beforeAutospacing="0" w:after="0" w:afterAutospacing="0"/>
              <w:rPr>
                <w:rFonts w:ascii="Times New Roman" w:hAnsi="Times New Roman" w:cs="Times New Roman"/>
                <w:i/>
                <w:sz w:val="22"/>
                <w:szCs w:val="22"/>
              </w:rPr>
            </w:pPr>
            <w:r w:rsidRPr="00DD459B">
              <w:rPr>
                <w:rFonts w:ascii="Times New Roman" w:hAnsi="Times New Roman" w:cs="Times New Roman"/>
                <w:sz w:val="22"/>
                <w:szCs w:val="22"/>
                <w:lang w:eastAsia="en-US"/>
              </w:rPr>
              <w:t>For PDCCH order based PRACH to candidate cell, the candidate cell SSB indicated in the PDCCH order serves as the path loss RS for PRACH Tx power determination.</w:t>
            </w:r>
          </w:p>
        </w:tc>
      </w:tr>
    </w:tbl>
    <w:p w14:paraId="1EDA89D5" w14:textId="5005ED37" w:rsidR="0051605E" w:rsidRDefault="00825D15" w:rsidP="0051605E">
      <w:pPr>
        <w:spacing w:beforeLines="50" w:before="156"/>
        <w:rPr>
          <w:lang w:eastAsia="zh-CN"/>
        </w:rPr>
      </w:pPr>
      <w:r w:rsidRPr="00825D15">
        <w:rPr>
          <w:rFonts w:eastAsia="楷体"/>
          <w:b/>
          <w:lang w:eastAsia="zh-CN"/>
        </w:rPr>
        <w:t>Reason for change</w:t>
      </w:r>
      <w:r>
        <w:rPr>
          <w:rFonts w:eastAsia="楷体"/>
          <w:lang w:eastAsia="zh-CN"/>
        </w:rPr>
        <w:t xml:space="preserve">: </w:t>
      </w:r>
      <w:r w:rsidR="0051605E" w:rsidRPr="001406B1">
        <w:rPr>
          <w:rFonts w:eastAsia="楷体"/>
          <w:lang w:eastAsia="zh-CN"/>
        </w:rPr>
        <w:t>In RAN1#113</w:t>
      </w:r>
      <w:r w:rsidR="0051605E">
        <w:rPr>
          <w:rFonts w:eastAsia="楷体"/>
          <w:lang w:eastAsia="zh-CN"/>
        </w:rPr>
        <w:t xml:space="preserve"> [</w:t>
      </w:r>
      <w:r w:rsidR="0075063E">
        <w:rPr>
          <w:rFonts w:eastAsia="楷体"/>
          <w:lang w:eastAsia="zh-CN"/>
        </w:rPr>
        <w:t>2</w:t>
      </w:r>
      <w:r w:rsidR="0051605E">
        <w:rPr>
          <w:rFonts w:eastAsia="楷体"/>
          <w:lang w:eastAsia="zh-CN"/>
        </w:rPr>
        <w:t>]</w:t>
      </w:r>
      <w:r w:rsidR="0051605E" w:rsidRPr="001406B1">
        <w:rPr>
          <w:rFonts w:eastAsia="楷体"/>
          <w:lang w:eastAsia="zh-CN"/>
        </w:rPr>
        <w:t xml:space="preserve">, </w:t>
      </w:r>
      <w:r w:rsidR="0051605E">
        <w:rPr>
          <w:rFonts w:eastAsia="楷体"/>
          <w:lang w:eastAsia="zh-CN"/>
        </w:rPr>
        <w:t>PL RS for power control of t</w:t>
      </w:r>
      <w:r w:rsidR="0051605E" w:rsidRPr="001406B1">
        <w:rPr>
          <w:rFonts w:eastAsia="楷体"/>
          <w:lang w:eastAsia="zh-CN"/>
        </w:rPr>
        <w:t xml:space="preserve">he triggered PRACH </w:t>
      </w:r>
      <w:r w:rsidR="0051605E">
        <w:rPr>
          <w:rFonts w:eastAsia="楷体"/>
          <w:lang w:eastAsia="zh-CN"/>
        </w:rPr>
        <w:t>was discussed, but no consensus was reached. According to the legacy mechanism, QCL</w:t>
      </w:r>
      <w:r w:rsidR="0051605E" w:rsidRPr="00D16C1E">
        <w:rPr>
          <w:rFonts w:eastAsia="楷体"/>
          <w:lang w:eastAsia="zh-CN"/>
        </w:rPr>
        <w:t xml:space="preserve"> RS </w:t>
      </w:r>
      <w:r w:rsidR="0051605E">
        <w:rPr>
          <w:rFonts w:eastAsia="楷体"/>
          <w:lang w:eastAsia="zh-CN"/>
        </w:rPr>
        <w:t xml:space="preserve">of the </w:t>
      </w:r>
      <w:r w:rsidR="0051605E" w:rsidRPr="00D16C1E">
        <w:rPr>
          <w:rFonts w:eastAsia="楷体"/>
          <w:lang w:eastAsia="zh-CN"/>
        </w:rPr>
        <w:t>PDCCH order</w:t>
      </w:r>
      <w:r w:rsidR="0051605E">
        <w:rPr>
          <w:rFonts w:eastAsia="楷体"/>
          <w:lang w:eastAsia="zh-CN"/>
        </w:rPr>
        <w:t xml:space="preserve"> is taken as the PL RS for power control of PRACH</w:t>
      </w:r>
      <w:r w:rsidR="0051605E">
        <w:t xml:space="preserve">. Such mechanism cannot be applied to </w:t>
      </w:r>
      <w:r w:rsidR="0051605E" w:rsidRPr="00016590">
        <w:t>cros</w:t>
      </w:r>
      <w:r w:rsidR="0051605E">
        <w:t>s</w:t>
      </w:r>
      <w:r w:rsidR="0051605E">
        <w:rPr>
          <w:rFonts w:hint="eastAsia"/>
          <w:lang w:eastAsia="zh-CN"/>
        </w:rPr>
        <w:t>-</w:t>
      </w:r>
      <w:r w:rsidR="0051605E">
        <w:t xml:space="preserve">TRP triggered </w:t>
      </w:r>
      <w:r w:rsidR="0051605E">
        <w:rPr>
          <w:lang w:eastAsia="ko-KR"/>
        </w:rPr>
        <w:t>RACH</w:t>
      </w:r>
      <w:r w:rsidR="0051605E" w:rsidRPr="00016590">
        <w:t xml:space="preserve"> </w:t>
      </w:r>
      <w:r w:rsidR="0051605E">
        <w:t xml:space="preserve">procedure as PDCCH order and the triggered PRACH correspond to different TRPs. If the legacy rule is applied, different mechanism should be applied for same-TRP triggered RACH procedure and cross-TRP triggered RACH procedure. For simplicity, we suggest introducing a unified mechanism which can be applied for both </w:t>
      </w:r>
      <w:r w:rsidR="0051605E" w:rsidRPr="00016590">
        <w:t>cros</w:t>
      </w:r>
      <w:r w:rsidR="0051605E">
        <w:t>s</w:t>
      </w:r>
      <w:r w:rsidR="0051605E">
        <w:rPr>
          <w:rFonts w:hint="eastAsia"/>
          <w:lang w:eastAsia="zh-CN"/>
        </w:rPr>
        <w:t>-</w:t>
      </w:r>
      <w:r w:rsidR="0051605E">
        <w:t xml:space="preserve">TRP triggered </w:t>
      </w:r>
      <w:r w:rsidR="0051605E">
        <w:rPr>
          <w:lang w:eastAsia="ko-KR"/>
        </w:rPr>
        <w:t>RACH</w:t>
      </w:r>
      <w:r w:rsidR="0051605E" w:rsidRPr="00016590">
        <w:t xml:space="preserve"> </w:t>
      </w:r>
      <w:r w:rsidR="0051605E">
        <w:t xml:space="preserve">procedure and same-TRP </w:t>
      </w:r>
      <w:r w:rsidR="0051605E">
        <w:lastRenderedPageBreak/>
        <w:t xml:space="preserve">triggered RACH procedure. In Rel-18 mobility enhancement, it was agreed that the SSB indicated in PDCCH order serves as the PL RS </w:t>
      </w:r>
      <w:bookmarkStart w:id="1" w:name="_Hlk142557852"/>
      <w:r w:rsidR="0051605E">
        <w:t>for power control of PRACH</w:t>
      </w:r>
      <w:bookmarkEnd w:id="1"/>
      <w:r w:rsidR="0051605E">
        <w:t>. Such mechanism can be also adopted for multi-</w:t>
      </w:r>
      <w:r w:rsidR="0051605E">
        <w:rPr>
          <w:rFonts w:hint="eastAsia"/>
          <w:lang w:eastAsia="zh-CN"/>
        </w:rPr>
        <w:t>TRP</w:t>
      </w:r>
      <w:r w:rsidR="0051605E">
        <w:t xml:space="preserve"> </w:t>
      </w:r>
      <w:r w:rsidR="0051605E">
        <w:rPr>
          <w:rFonts w:hint="eastAsia"/>
          <w:lang w:eastAsia="zh-CN"/>
        </w:rPr>
        <w:t>case</w:t>
      </w:r>
      <w:r w:rsidR="0051605E">
        <w:t xml:space="preserve">. </w:t>
      </w:r>
      <w:r w:rsidR="0051605E">
        <w:rPr>
          <w:lang w:eastAsia="zh-CN"/>
        </w:rPr>
        <w:t>M</w:t>
      </w:r>
      <w:r w:rsidR="0051605E">
        <w:rPr>
          <w:rFonts w:hint="eastAsia"/>
          <w:lang w:eastAsia="zh-CN"/>
        </w:rPr>
        <w:t>ore</w:t>
      </w:r>
      <w:r w:rsidR="0051605E">
        <w:t xml:space="preserve"> </w:t>
      </w:r>
      <w:r w:rsidR="0051605E">
        <w:rPr>
          <w:rFonts w:hint="eastAsia"/>
          <w:lang w:eastAsia="zh-CN"/>
        </w:rPr>
        <w:t>specific</w:t>
      </w:r>
      <w:r w:rsidR="0051605E">
        <w:rPr>
          <w:lang w:eastAsia="zh-CN"/>
        </w:rPr>
        <w:t>, such mechanism can be applied for both intra-cell and inter-cell multi-TRP case.</w:t>
      </w:r>
    </w:p>
    <w:p w14:paraId="0E6A36AB" w14:textId="5FDFA2CD" w:rsidR="00825D15" w:rsidRDefault="00825D15" w:rsidP="0051605E">
      <w:pPr>
        <w:spacing w:beforeLines="50" w:before="156"/>
      </w:pPr>
      <w:r w:rsidRPr="00825D15">
        <w:rPr>
          <w:rFonts w:hint="eastAsia"/>
          <w:b/>
          <w:lang w:eastAsia="zh-CN"/>
        </w:rPr>
        <w:t>Summary</w:t>
      </w:r>
      <w:r w:rsidRPr="00825D15">
        <w:rPr>
          <w:b/>
        </w:rPr>
        <w:t xml:space="preserve"> of change</w:t>
      </w:r>
      <w:r>
        <w:t xml:space="preserve">: </w:t>
      </w:r>
      <w:r w:rsidR="00470121">
        <w:t>Define the PL RS for PRACH in both intra-cell and inter-cell multi-DCI multi-TRP.</w:t>
      </w:r>
    </w:p>
    <w:p w14:paraId="3DB3C696" w14:textId="12C28D6F" w:rsidR="00825D15" w:rsidRDefault="00825D15" w:rsidP="0051605E">
      <w:pPr>
        <w:spacing w:beforeLines="50" w:before="156"/>
        <w:rPr>
          <w:lang w:eastAsia="zh-CN"/>
        </w:rPr>
      </w:pPr>
      <w:r w:rsidRPr="00F056E2">
        <w:rPr>
          <w:b/>
          <w:lang w:eastAsia="zh-CN"/>
        </w:rPr>
        <w:t>Consequence if not approved</w:t>
      </w:r>
      <w:r>
        <w:rPr>
          <w:lang w:eastAsia="zh-CN"/>
        </w:rPr>
        <w:t>:</w:t>
      </w:r>
      <w:r w:rsidR="00F056E2">
        <w:rPr>
          <w:lang w:eastAsia="zh-CN"/>
        </w:rPr>
        <w:t xml:space="preserve"> </w:t>
      </w:r>
      <w:r w:rsidR="00470121">
        <w:t>PL RS for PRACH is not clear.</w:t>
      </w:r>
    </w:p>
    <w:p w14:paraId="3DB792F9" w14:textId="06745891" w:rsidR="00136BC0" w:rsidRDefault="00136BC0" w:rsidP="00136BC0">
      <w:pPr>
        <w:spacing w:before="0"/>
        <w:rPr>
          <w:b/>
        </w:rPr>
      </w:pPr>
      <w:r w:rsidRPr="00DC0B7F">
        <w:rPr>
          <w:b/>
        </w:rPr>
        <w:t>Prop</w:t>
      </w:r>
      <w:r w:rsidRPr="00A169CF">
        <w:rPr>
          <w:b/>
        </w:rPr>
        <w:t xml:space="preserve">osal </w:t>
      </w:r>
      <w:r w:rsidR="00D94F16">
        <w:rPr>
          <w:b/>
        </w:rPr>
        <w:t>4</w:t>
      </w:r>
      <w:r w:rsidRPr="00A169CF">
        <w:rPr>
          <w:b/>
        </w:rPr>
        <w:t xml:space="preserve">: For power control of PRACH in both intra-cell and inter-cell </w:t>
      </w:r>
      <w:r w:rsidR="00C81843" w:rsidRPr="00A169CF">
        <w:rPr>
          <w:b/>
        </w:rPr>
        <w:t>multi</w:t>
      </w:r>
      <w:r w:rsidR="00C81843" w:rsidRPr="00A169CF">
        <w:rPr>
          <w:rFonts w:hint="eastAsia"/>
          <w:b/>
          <w:lang w:eastAsia="zh-CN"/>
        </w:rPr>
        <w:t>-</w:t>
      </w:r>
      <w:r w:rsidR="00C81843" w:rsidRPr="00A169CF">
        <w:rPr>
          <w:b/>
        </w:rPr>
        <w:t xml:space="preserve">DCI </w:t>
      </w:r>
      <w:r w:rsidRPr="00A169CF">
        <w:rPr>
          <w:b/>
        </w:rPr>
        <w:t>m</w:t>
      </w:r>
      <w:r w:rsidR="00A941DD" w:rsidRPr="00A169CF">
        <w:rPr>
          <w:b/>
        </w:rPr>
        <w:t>ulti-</w:t>
      </w:r>
      <w:r w:rsidRPr="00A169CF">
        <w:rPr>
          <w:b/>
        </w:rPr>
        <w:t>TRP case</w:t>
      </w:r>
      <w:r w:rsidR="00C81843" w:rsidRPr="00A169CF">
        <w:rPr>
          <w:b/>
        </w:rPr>
        <w:t xml:space="preserve"> </w:t>
      </w:r>
      <w:r w:rsidR="00C81843" w:rsidRPr="00A169CF">
        <w:rPr>
          <w:b/>
          <w:lang w:val="en-GB" w:eastAsia="fr-FR"/>
        </w:rPr>
        <w:t>with two TA enhancement</w:t>
      </w:r>
      <w:r w:rsidRPr="00A169CF">
        <w:rPr>
          <w:b/>
        </w:rPr>
        <w:t>, S</w:t>
      </w:r>
      <w:r>
        <w:rPr>
          <w:b/>
        </w:rPr>
        <w:t>SB indicated in the PDCCH order serves as the PL RS.</w:t>
      </w:r>
    </w:p>
    <w:p w14:paraId="377F9CC4" w14:textId="0DE8070B" w:rsidR="00EE6735" w:rsidRPr="004A4C3D" w:rsidRDefault="00EE6735" w:rsidP="00EE6735">
      <w:pPr>
        <w:spacing w:beforeLines="50" w:before="156"/>
        <w:rPr>
          <w:lang w:eastAsia="zh-CN"/>
        </w:rPr>
      </w:pPr>
      <w:r w:rsidRPr="004A4C3D">
        <w:rPr>
          <w:lang w:eastAsia="zh-CN"/>
        </w:rPr>
        <w:t xml:space="preserve">To accommodate the above </w:t>
      </w:r>
      <w:r w:rsidR="005C1E46" w:rsidRPr="004A4C3D">
        <w:rPr>
          <w:rFonts w:hint="eastAsia"/>
          <w:lang w:eastAsia="zh-CN"/>
        </w:rPr>
        <w:t>proposal</w:t>
      </w:r>
      <w:r w:rsidRPr="004A4C3D">
        <w:rPr>
          <w:lang w:eastAsia="zh-CN"/>
        </w:rPr>
        <w:t xml:space="preserve">, suggest following </w:t>
      </w:r>
      <w:r w:rsidR="004A4C3D" w:rsidRPr="004A4C3D">
        <w:rPr>
          <w:lang w:eastAsia="zh-CN"/>
        </w:rPr>
        <w:t xml:space="preserve">the </w:t>
      </w:r>
      <w:r w:rsidRPr="004A4C3D">
        <w:rPr>
          <w:lang w:eastAsia="zh-CN"/>
        </w:rPr>
        <w:t xml:space="preserve">text proposal </w:t>
      </w:r>
      <w:r w:rsidR="002075D8">
        <w:rPr>
          <w:lang w:eastAsia="zh-CN"/>
        </w:rPr>
        <w:t xml:space="preserve">1 </w:t>
      </w:r>
      <w:r w:rsidRPr="004A4C3D">
        <w:rPr>
          <w:lang w:eastAsia="zh-CN"/>
        </w:rPr>
        <w:t>for TS38.213.</w:t>
      </w:r>
    </w:p>
    <w:p w14:paraId="35ADE664" w14:textId="0616B63E" w:rsidR="00EE6735" w:rsidRPr="00942DB8" w:rsidRDefault="00EE6735" w:rsidP="00EE6735">
      <w:pPr>
        <w:spacing w:beforeLines="50" w:before="156"/>
        <w:rPr>
          <w:b/>
          <w:lang w:eastAsia="zh-CN"/>
        </w:rPr>
      </w:pPr>
      <w:r w:rsidRPr="00F97FD3">
        <w:rPr>
          <w:b/>
          <w:lang w:eastAsia="zh-CN"/>
        </w:rPr>
        <w:t xml:space="preserve">Text proposal </w:t>
      </w:r>
      <w:r w:rsidR="002075D8">
        <w:rPr>
          <w:b/>
          <w:lang w:eastAsia="zh-CN"/>
        </w:rPr>
        <w:t>1</w:t>
      </w:r>
      <w:r w:rsidRPr="00F97FD3">
        <w:rPr>
          <w:b/>
          <w:lang w:eastAsia="zh-CN"/>
        </w:rPr>
        <w:t>:</w:t>
      </w:r>
    </w:p>
    <w:tbl>
      <w:tblPr>
        <w:tblStyle w:val="TableGrid"/>
        <w:tblW w:w="0" w:type="auto"/>
        <w:tblLook w:val="04A0" w:firstRow="1" w:lastRow="0" w:firstColumn="1" w:lastColumn="0" w:noHBand="0" w:noVBand="1"/>
      </w:tblPr>
      <w:tblGrid>
        <w:gridCol w:w="9016"/>
      </w:tblGrid>
      <w:tr w:rsidR="00EE6735" w:rsidRPr="00DD459B" w14:paraId="669AF7B3" w14:textId="77777777" w:rsidTr="00EE6735">
        <w:tc>
          <w:tcPr>
            <w:tcW w:w="9016" w:type="dxa"/>
          </w:tcPr>
          <w:p w14:paraId="6F144FED" w14:textId="23FAB648" w:rsidR="00EE6735" w:rsidRPr="00787770" w:rsidRDefault="00EE6735" w:rsidP="00EE6735">
            <w:pPr>
              <w:rPr>
                <w:b/>
                <w:color w:val="000000" w:themeColor="text1"/>
                <w:szCs w:val="22"/>
              </w:rPr>
            </w:pPr>
            <w:r w:rsidRPr="00787770">
              <w:rPr>
                <w:b/>
                <w:color w:val="000000" w:themeColor="text1"/>
                <w:szCs w:val="22"/>
              </w:rPr>
              <w:t>7.4</w:t>
            </w:r>
            <w:r w:rsidRPr="00787770">
              <w:rPr>
                <w:b/>
                <w:color w:val="000000" w:themeColor="text1"/>
                <w:szCs w:val="22"/>
              </w:rPr>
              <w:tab/>
              <w:t xml:space="preserve">Physical </w:t>
            </w:r>
            <w:proofErr w:type="gramStart"/>
            <w:r w:rsidRPr="00787770">
              <w:rPr>
                <w:b/>
                <w:color w:val="000000" w:themeColor="text1"/>
                <w:szCs w:val="22"/>
              </w:rPr>
              <w:t>random access</w:t>
            </w:r>
            <w:proofErr w:type="gramEnd"/>
            <w:r w:rsidRPr="00787770">
              <w:rPr>
                <w:b/>
                <w:color w:val="000000" w:themeColor="text1"/>
                <w:szCs w:val="22"/>
              </w:rPr>
              <w:t xml:space="preserve"> channel</w:t>
            </w:r>
          </w:p>
          <w:p w14:paraId="4DE30150" w14:textId="18B62AD7" w:rsidR="004F12BB" w:rsidRPr="00DD459B" w:rsidRDefault="00EE6735" w:rsidP="00EE6735">
            <w:pPr>
              <w:rPr>
                <w:color w:val="FF0000"/>
                <w:szCs w:val="22"/>
              </w:rPr>
            </w:pPr>
            <w:r w:rsidRPr="00DD459B">
              <w:rPr>
                <w:color w:val="FF0000"/>
                <w:szCs w:val="22"/>
              </w:rPr>
              <w:t>&lt; Unchanged parts are omitted &gt;</w:t>
            </w:r>
          </w:p>
          <w:p w14:paraId="312972FC" w14:textId="35CDB3CB" w:rsidR="00EE6735" w:rsidRPr="00DD459B" w:rsidRDefault="00EE6735" w:rsidP="00136BC0">
            <w:pPr>
              <w:spacing w:before="0"/>
              <w:rPr>
                <w:rFonts w:eastAsia="楷体"/>
                <w:szCs w:val="22"/>
                <w:lang w:eastAsia="zh-CN"/>
              </w:rPr>
            </w:pPr>
            <w:r w:rsidRPr="00DD459B">
              <w:rPr>
                <w:rFonts w:eastAsia="楷体"/>
                <w:szCs w:val="22"/>
                <w:lang w:eastAsia="zh-CN"/>
              </w:rPr>
              <w:t>If a PRACH transmission from a UE is in response to a detection of a PDCCH order by the UE that triggers a contention-free random access procedure and depending on the DL RS that the DM-RS of the PDCCH order is quasi-collocated with as described in clause 10.1</w:t>
            </w:r>
            <w:r w:rsidR="004F12BB" w:rsidRPr="00DD459B">
              <w:rPr>
                <w:rFonts w:eastAsia="楷体"/>
                <w:szCs w:val="22"/>
                <w:lang w:eastAsia="zh-CN"/>
              </w:rPr>
              <w:t xml:space="preserve"> </w:t>
            </w:r>
            <w:r w:rsidR="004F12BB" w:rsidRPr="00DD459B">
              <w:rPr>
                <w:szCs w:val="22"/>
              </w:rPr>
              <w:t>when the PRACH transmission is on a serving cell</w:t>
            </w:r>
            <w:r w:rsidR="004C6F95">
              <w:rPr>
                <w:szCs w:val="22"/>
              </w:rPr>
              <w:t xml:space="preserve"> </w:t>
            </w:r>
            <w:r w:rsidR="004C6F95" w:rsidRPr="007541CB">
              <w:rPr>
                <w:rFonts w:hint="eastAsia"/>
                <w:color w:val="FF0000"/>
                <w:szCs w:val="22"/>
                <w:u w:val="single"/>
                <w:lang w:eastAsia="zh-CN"/>
              </w:rPr>
              <w:t>and</w:t>
            </w:r>
            <w:r w:rsidR="004C6F95" w:rsidRPr="007541CB">
              <w:rPr>
                <w:color w:val="FF0000"/>
                <w:szCs w:val="22"/>
                <w:u w:val="single"/>
                <w:lang w:eastAsia="zh-CN"/>
              </w:rPr>
              <w:t xml:space="preserve"> UE </w:t>
            </w:r>
            <w:r w:rsidR="004C6F95" w:rsidRPr="007541CB">
              <w:rPr>
                <w:rFonts w:eastAsia="MS Mincho"/>
                <w:color w:val="FF0000"/>
                <w:u w:val="single"/>
              </w:rPr>
              <w:t>operates with single TAG on the serving cell</w:t>
            </w:r>
            <w:r w:rsidR="004C6F95" w:rsidRPr="007541CB">
              <w:rPr>
                <w:color w:val="FF0000"/>
                <w:szCs w:val="22"/>
                <w:u w:val="single"/>
              </w:rPr>
              <w:t xml:space="preserve">, or depending on an indicated SS/PBCH block when the PRACH transmission is on a non-serving cell or when </w:t>
            </w:r>
            <w:r w:rsidR="004C6F95" w:rsidRPr="007541CB">
              <w:rPr>
                <w:color w:val="FF0000"/>
                <w:u w:val="single"/>
              </w:rPr>
              <w:t>the</w:t>
            </w:r>
            <w:r w:rsidR="004C6F95" w:rsidRPr="007541CB">
              <w:rPr>
                <w:rFonts w:eastAsia="MS Mincho"/>
                <w:color w:val="FF0000"/>
                <w:u w:val="single"/>
              </w:rPr>
              <w:t xml:space="preserve"> UE operates with two TAGs on an active UL BWP of a serving cell</w:t>
            </w:r>
            <w:r w:rsidR="004C6F95" w:rsidRPr="007541CB">
              <w:rPr>
                <w:color w:val="FF0000"/>
                <w:szCs w:val="22"/>
                <w:u w:val="single"/>
              </w:rPr>
              <w:t xml:space="preserve"> and for the serving cell the UE is provided two </w:t>
            </w:r>
            <w:proofErr w:type="spellStart"/>
            <w:r w:rsidR="004C6F95" w:rsidRPr="007541CB">
              <w:rPr>
                <w:color w:val="FF0000"/>
                <w:szCs w:val="22"/>
                <w:u w:val="single"/>
              </w:rPr>
              <w:t>coresetPoolIndex</w:t>
            </w:r>
            <w:proofErr w:type="spellEnd"/>
            <w:r w:rsidR="004C6F95" w:rsidRPr="007541CB">
              <w:rPr>
                <w:color w:val="FF0000"/>
                <w:szCs w:val="22"/>
                <w:u w:val="single"/>
              </w:rPr>
              <w:t xml:space="preserve"> values 0 and 1 for first and second CORESETs or is not provided </w:t>
            </w:r>
            <w:proofErr w:type="spellStart"/>
            <w:r w:rsidR="004C6F95" w:rsidRPr="007541CB">
              <w:rPr>
                <w:color w:val="FF0000"/>
                <w:szCs w:val="22"/>
                <w:u w:val="single"/>
              </w:rPr>
              <w:t>coresetPoolIndex</w:t>
            </w:r>
            <w:proofErr w:type="spellEnd"/>
            <w:r w:rsidR="004C6F95" w:rsidRPr="007541CB">
              <w:rPr>
                <w:color w:val="FF0000"/>
                <w:szCs w:val="22"/>
                <w:u w:val="single"/>
              </w:rPr>
              <w:t xml:space="preserve"> value for first CORESETs and is provided </w:t>
            </w:r>
            <w:proofErr w:type="spellStart"/>
            <w:r w:rsidR="004C6F95" w:rsidRPr="007541CB">
              <w:rPr>
                <w:color w:val="FF0000"/>
                <w:szCs w:val="22"/>
                <w:u w:val="single"/>
              </w:rPr>
              <w:t>coresetPoolIndex</w:t>
            </w:r>
            <w:proofErr w:type="spellEnd"/>
            <w:r w:rsidR="004C6F95" w:rsidRPr="007541CB">
              <w:rPr>
                <w:color w:val="FF0000"/>
                <w:szCs w:val="22"/>
                <w:u w:val="single"/>
              </w:rPr>
              <w:t xml:space="preserve"> value of 1 for second CORESETs</w:t>
            </w:r>
            <w:r w:rsidRPr="00DD459B">
              <w:rPr>
                <w:rFonts w:eastAsia="楷体"/>
                <w:szCs w:val="22"/>
                <w:lang w:eastAsia="zh-CN"/>
              </w:rPr>
              <w:t xml:space="preserve">, </w:t>
            </w:r>
            <w:proofErr w:type="spellStart"/>
            <w:r w:rsidRPr="00DD459B">
              <w:rPr>
                <w:rFonts w:eastAsia="楷体"/>
                <w:szCs w:val="22"/>
                <w:lang w:eastAsia="zh-CN"/>
              </w:rPr>
              <w:t>referenceSignalPower</w:t>
            </w:r>
            <w:proofErr w:type="spellEnd"/>
            <w:r w:rsidRPr="00DD459B">
              <w:rPr>
                <w:rFonts w:eastAsia="楷体"/>
                <w:szCs w:val="22"/>
                <w:lang w:eastAsia="zh-CN"/>
              </w:rPr>
              <w:t xml:space="preserve"> is provided by ss-PBCH-</w:t>
            </w:r>
            <w:proofErr w:type="spellStart"/>
            <w:r w:rsidRPr="00DD459B">
              <w:rPr>
                <w:rFonts w:eastAsia="楷体"/>
                <w:szCs w:val="22"/>
                <w:lang w:eastAsia="zh-CN"/>
              </w:rPr>
              <w:t>BlockPower</w:t>
            </w:r>
            <w:proofErr w:type="spellEnd"/>
            <w:r w:rsidRPr="00DD459B">
              <w:rPr>
                <w:rFonts w:eastAsia="楷体"/>
                <w:szCs w:val="22"/>
                <w:lang w:eastAsia="zh-CN"/>
              </w:rPr>
              <w:t xml:space="preserve"> or, if the UE is configured resources for a periodic CSI-RS reception or the PRACH transmission is associated with a link recovery procedure where a corresponding index </w:t>
            </w:r>
            <w:proofErr w:type="spellStart"/>
            <w:r w:rsidRPr="00DD459B">
              <w:rPr>
                <w:rFonts w:eastAsia="楷体"/>
                <w:i/>
                <w:szCs w:val="22"/>
                <w:lang w:eastAsia="zh-CN"/>
              </w:rPr>
              <w:t>q</w:t>
            </w:r>
            <w:r w:rsidRPr="00DD459B">
              <w:rPr>
                <w:rFonts w:eastAsia="楷体"/>
                <w:szCs w:val="22"/>
                <w:vertAlign w:val="subscript"/>
                <w:lang w:eastAsia="zh-CN"/>
              </w:rPr>
              <w:t>new</w:t>
            </w:r>
            <w:proofErr w:type="spellEnd"/>
            <w:r w:rsidRPr="00DD459B">
              <w:rPr>
                <w:rFonts w:eastAsia="楷体"/>
                <w:szCs w:val="22"/>
                <w:lang w:eastAsia="zh-CN"/>
              </w:rPr>
              <w:t xml:space="preserve"> is associated with a periodic CSI-RS configuration as described in clause 6, </w:t>
            </w:r>
            <w:proofErr w:type="spellStart"/>
            <w:r w:rsidRPr="00DD459B">
              <w:rPr>
                <w:rFonts w:eastAsia="楷体"/>
                <w:szCs w:val="22"/>
                <w:lang w:eastAsia="zh-CN"/>
              </w:rPr>
              <w:t>referenceSignalPower</w:t>
            </w:r>
            <w:proofErr w:type="spellEnd"/>
            <w:r w:rsidRPr="00DD459B">
              <w:rPr>
                <w:rFonts w:eastAsia="楷体"/>
                <w:szCs w:val="22"/>
                <w:lang w:eastAsia="zh-CN"/>
              </w:rPr>
              <w:t xml:space="preserve"> is obtained by ss-PBCH-</w:t>
            </w:r>
            <w:proofErr w:type="spellStart"/>
            <w:r w:rsidRPr="00DD459B">
              <w:rPr>
                <w:rFonts w:eastAsia="楷体"/>
                <w:szCs w:val="22"/>
                <w:lang w:eastAsia="zh-CN"/>
              </w:rPr>
              <w:t>BlockPower</w:t>
            </w:r>
            <w:proofErr w:type="spellEnd"/>
            <w:r w:rsidRPr="00DD459B">
              <w:rPr>
                <w:rFonts w:eastAsia="楷体"/>
                <w:szCs w:val="22"/>
                <w:lang w:eastAsia="zh-CN"/>
              </w:rPr>
              <w:t xml:space="preserve"> and </w:t>
            </w:r>
            <w:proofErr w:type="spellStart"/>
            <w:r w:rsidRPr="00DD459B">
              <w:rPr>
                <w:rFonts w:eastAsia="楷体"/>
                <w:szCs w:val="22"/>
                <w:lang w:eastAsia="zh-CN"/>
              </w:rPr>
              <w:t>powerControlOffsetSS</w:t>
            </w:r>
            <w:proofErr w:type="spellEnd"/>
            <w:r w:rsidRPr="00DD459B">
              <w:rPr>
                <w:rFonts w:eastAsia="楷体"/>
                <w:szCs w:val="22"/>
                <w:lang w:eastAsia="zh-CN"/>
              </w:rPr>
              <w:t xml:space="preserve"> where </w:t>
            </w:r>
            <w:proofErr w:type="spellStart"/>
            <w:r w:rsidRPr="00DD459B">
              <w:rPr>
                <w:rFonts w:eastAsia="楷体"/>
                <w:szCs w:val="22"/>
                <w:lang w:eastAsia="zh-CN"/>
              </w:rPr>
              <w:t>powerControlOffsetSS</w:t>
            </w:r>
            <w:proofErr w:type="spellEnd"/>
            <w:r w:rsidRPr="00DD459B">
              <w:rPr>
                <w:rFonts w:eastAsia="楷体"/>
                <w:szCs w:val="22"/>
                <w:lang w:eastAsia="zh-CN"/>
              </w:rPr>
              <w:t xml:space="preserve"> provides an offset of CSI-RS transmission power relative to SS/PBCH block transmission power [6, TS 38.214]. If </w:t>
            </w:r>
            <w:proofErr w:type="spellStart"/>
            <w:r w:rsidRPr="00DD459B">
              <w:rPr>
                <w:rFonts w:eastAsia="楷体"/>
                <w:szCs w:val="22"/>
                <w:lang w:eastAsia="zh-CN"/>
              </w:rPr>
              <w:t>powerControlOffsetSS</w:t>
            </w:r>
            <w:proofErr w:type="spellEnd"/>
            <w:r w:rsidRPr="00DD459B">
              <w:rPr>
                <w:rFonts w:eastAsia="楷体"/>
                <w:szCs w:val="22"/>
                <w:lang w:eastAsia="zh-CN"/>
              </w:rPr>
              <w:t xml:space="preserve"> is not provided to the UE, the UE assumes an offset of 0 dB. If the active TCI state for the PDCCH that provides the PDCCH order includes two RS, the UE expects that one RS is configured with </w:t>
            </w:r>
            <w:proofErr w:type="spellStart"/>
            <w:r w:rsidRPr="00DD459B">
              <w:rPr>
                <w:rFonts w:eastAsia="楷体"/>
                <w:szCs w:val="22"/>
                <w:lang w:eastAsia="zh-CN"/>
              </w:rPr>
              <w:t>qcl</w:t>
            </w:r>
            <w:proofErr w:type="spellEnd"/>
            <w:r w:rsidRPr="00DD459B">
              <w:rPr>
                <w:rFonts w:eastAsia="楷体"/>
                <w:szCs w:val="22"/>
                <w:lang w:eastAsia="zh-CN"/>
              </w:rPr>
              <w:t>-Type set to '</w:t>
            </w:r>
            <w:proofErr w:type="spellStart"/>
            <w:r w:rsidRPr="00DD459B">
              <w:rPr>
                <w:rFonts w:eastAsia="楷体"/>
                <w:szCs w:val="22"/>
                <w:lang w:eastAsia="zh-CN"/>
              </w:rPr>
              <w:t>typeD</w:t>
            </w:r>
            <w:proofErr w:type="spellEnd"/>
            <w:r w:rsidRPr="00DD459B">
              <w:rPr>
                <w:rFonts w:eastAsia="楷体"/>
                <w:szCs w:val="22"/>
                <w:lang w:eastAsia="zh-CN"/>
              </w:rPr>
              <w:t xml:space="preserve">' and the UE uses the one RS when applying a value provided by </w:t>
            </w:r>
            <w:proofErr w:type="spellStart"/>
            <w:r w:rsidRPr="00DD459B">
              <w:rPr>
                <w:rFonts w:eastAsia="楷体"/>
                <w:szCs w:val="22"/>
                <w:lang w:eastAsia="zh-CN"/>
              </w:rPr>
              <w:t>powerControlOffsetSS</w:t>
            </w:r>
            <w:proofErr w:type="spellEnd"/>
            <w:r w:rsidRPr="00DD459B">
              <w:rPr>
                <w:rFonts w:eastAsia="楷体"/>
                <w:szCs w:val="22"/>
                <w:lang w:eastAsia="zh-CN"/>
              </w:rPr>
              <w:t>.</w:t>
            </w:r>
          </w:p>
          <w:p w14:paraId="0592AA46" w14:textId="1E2CF8B4" w:rsidR="004F12BB" w:rsidRPr="00DD459B" w:rsidRDefault="004F12BB" w:rsidP="00136BC0">
            <w:pPr>
              <w:spacing w:before="0"/>
              <w:rPr>
                <w:rFonts w:eastAsia="楷体"/>
                <w:szCs w:val="22"/>
                <w:lang w:eastAsia="zh-CN"/>
              </w:rPr>
            </w:pPr>
            <w:r w:rsidRPr="00DD459B">
              <w:rPr>
                <w:color w:val="FF0000"/>
                <w:szCs w:val="22"/>
              </w:rPr>
              <w:t>&lt; Unchanged parts are omitted &gt;</w:t>
            </w:r>
          </w:p>
        </w:tc>
      </w:tr>
    </w:tbl>
    <w:p w14:paraId="454E1488" w14:textId="4C6F6A07" w:rsidR="00A62A91" w:rsidRDefault="00A62A91" w:rsidP="00A62A91">
      <w:pPr>
        <w:rPr>
          <w:lang w:val="en-CA" w:eastAsia="zh-CN"/>
        </w:rPr>
      </w:pPr>
    </w:p>
    <w:p w14:paraId="475CE246" w14:textId="1A924E9A" w:rsidR="00ED2DEE" w:rsidRDefault="00E74634" w:rsidP="00ED2DEE">
      <w:pPr>
        <w:rPr>
          <w:lang w:val="en-CA" w:eastAsia="zh-CN"/>
        </w:rPr>
      </w:pPr>
      <w:r w:rsidRPr="00E74634">
        <w:rPr>
          <w:b/>
          <w:lang w:val="en-CA" w:eastAsia="zh-CN"/>
        </w:rPr>
        <w:t>Reason for change</w:t>
      </w:r>
      <w:r>
        <w:rPr>
          <w:lang w:val="en-CA" w:eastAsia="zh-CN"/>
        </w:rPr>
        <w:t xml:space="preserve">: </w:t>
      </w:r>
      <w:r w:rsidR="009E76CF">
        <w:rPr>
          <w:lang w:val="en-CA" w:eastAsia="zh-CN"/>
        </w:rPr>
        <w:t>In RAN1#112</w:t>
      </w:r>
      <w:r w:rsidR="008F0C27">
        <w:rPr>
          <w:lang w:val="en-CA" w:eastAsia="zh-CN"/>
        </w:rPr>
        <w:t xml:space="preserve">, </w:t>
      </w:r>
      <w:r w:rsidR="002F3F3B">
        <w:rPr>
          <w:rFonts w:hint="eastAsia"/>
          <w:lang w:val="en-CA" w:eastAsia="zh-CN"/>
        </w:rPr>
        <w:t>th</w:t>
      </w:r>
      <w:r w:rsidR="002F3F3B">
        <w:rPr>
          <w:lang w:val="en-CA" w:eastAsia="zh-CN"/>
        </w:rPr>
        <w:t xml:space="preserve">ere is working assumption need to further confirm. For a more flexible scheduling, e.g. cross-TRP scheduling, and a better </w:t>
      </w:r>
      <w:r w:rsidR="002F3F3B" w:rsidRPr="002F3F3B">
        <w:rPr>
          <w:lang w:val="en-CA" w:eastAsia="zh-CN"/>
        </w:rPr>
        <w:t>backward compatibility</w:t>
      </w:r>
      <w:r w:rsidR="002F3F3B">
        <w:rPr>
          <w:lang w:val="en-CA" w:eastAsia="zh-CN"/>
        </w:rPr>
        <w:t xml:space="preserve"> for other cases, </w:t>
      </w:r>
      <w:r w:rsidR="002F3F3B">
        <w:rPr>
          <w:rFonts w:hint="eastAsia"/>
          <w:lang w:val="en-CA" w:eastAsia="zh-CN"/>
        </w:rPr>
        <w:t>w</w:t>
      </w:r>
      <w:r w:rsidR="002F3F3B">
        <w:rPr>
          <w:lang w:val="en-CA" w:eastAsia="zh-CN"/>
        </w:rPr>
        <w:t xml:space="preserve">e </w:t>
      </w:r>
      <w:r w:rsidR="000C2A50">
        <w:rPr>
          <w:lang w:val="en-CA" w:eastAsia="zh-CN"/>
        </w:rPr>
        <w:t>support to confirm the working assumption.</w:t>
      </w:r>
    </w:p>
    <w:p w14:paraId="591A19F8" w14:textId="3B9C725A" w:rsidR="00E74634" w:rsidRDefault="00E74634" w:rsidP="00E74634">
      <w:pPr>
        <w:spacing w:beforeLines="50" w:before="156"/>
      </w:pPr>
      <w:r w:rsidRPr="00825D15">
        <w:rPr>
          <w:rFonts w:hint="eastAsia"/>
          <w:b/>
          <w:lang w:eastAsia="zh-CN"/>
        </w:rPr>
        <w:t>Summary</w:t>
      </w:r>
      <w:r w:rsidRPr="00825D15">
        <w:rPr>
          <w:b/>
        </w:rPr>
        <w:t xml:space="preserve"> of change</w:t>
      </w:r>
      <w:r>
        <w:t xml:space="preserve">: </w:t>
      </w:r>
      <w:r w:rsidR="00C54CCF">
        <w:t xml:space="preserve">Confirm that </w:t>
      </w:r>
      <w:r w:rsidR="00C54CCF" w:rsidRPr="00C54CCF">
        <w:t xml:space="preserve">TCI-states or TCI-UL-States associated with one </w:t>
      </w:r>
      <w:proofErr w:type="spellStart"/>
      <w:r w:rsidR="00C54CCF" w:rsidRPr="00C54CCF">
        <w:t>coresetPoolIndex</w:t>
      </w:r>
      <w:proofErr w:type="spellEnd"/>
      <w:r w:rsidR="00C54CCF" w:rsidRPr="00C54CCF">
        <w:t xml:space="preserve"> </w:t>
      </w:r>
      <w:r w:rsidR="00C54CCF">
        <w:t xml:space="preserve">can </w:t>
      </w:r>
      <w:r w:rsidR="00C54CCF" w:rsidRPr="00C54CCF">
        <w:t>correspond to two TAGs</w:t>
      </w:r>
      <w:r w:rsidR="00C54CCF">
        <w:t xml:space="preserve"> subject to UE capability.</w:t>
      </w:r>
    </w:p>
    <w:p w14:paraId="59632DC3" w14:textId="09503E4F" w:rsidR="00E74634" w:rsidRDefault="00E74634" w:rsidP="00E74634">
      <w:pPr>
        <w:spacing w:beforeLines="50" w:before="156"/>
        <w:rPr>
          <w:lang w:eastAsia="zh-CN"/>
        </w:rPr>
      </w:pPr>
      <w:r w:rsidRPr="00F056E2">
        <w:rPr>
          <w:b/>
          <w:lang w:eastAsia="zh-CN"/>
        </w:rPr>
        <w:t>Consequence if not approved</w:t>
      </w:r>
      <w:r>
        <w:rPr>
          <w:lang w:eastAsia="zh-CN"/>
        </w:rPr>
        <w:t xml:space="preserve">: </w:t>
      </w:r>
      <w:r w:rsidR="00F51E30">
        <w:rPr>
          <w:lang w:eastAsia="zh-CN"/>
        </w:rPr>
        <w:t>Two TA functionality is not supported for sDCI case.</w:t>
      </w:r>
    </w:p>
    <w:p w14:paraId="79DE1D61" w14:textId="77777777" w:rsidR="00E74634" w:rsidRPr="00E74634" w:rsidRDefault="00E74634" w:rsidP="00ED2DEE">
      <w:pPr>
        <w:rPr>
          <w:lang w:eastAsia="zh-CN"/>
        </w:rPr>
      </w:pPr>
    </w:p>
    <w:tbl>
      <w:tblPr>
        <w:tblStyle w:val="TableGrid"/>
        <w:tblW w:w="0" w:type="auto"/>
        <w:tblLook w:val="04A0" w:firstRow="1" w:lastRow="0" w:firstColumn="1" w:lastColumn="0" w:noHBand="0" w:noVBand="1"/>
      </w:tblPr>
      <w:tblGrid>
        <w:gridCol w:w="9016"/>
      </w:tblGrid>
      <w:tr w:rsidR="00166F79" w14:paraId="75D0967B" w14:textId="77777777" w:rsidTr="00BC3DB5">
        <w:tc>
          <w:tcPr>
            <w:tcW w:w="9016" w:type="dxa"/>
          </w:tcPr>
          <w:p w14:paraId="1FDF8188" w14:textId="77777777" w:rsidR="00166F79" w:rsidRPr="004D3636" w:rsidRDefault="00166F79" w:rsidP="00BC3DB5">
            <w:pPr>
              <w:spacing w:before="0"/>
              <w:rPr>
                <w:b/>
                <w:bCs/>
                <w:highlight w:val="green"/>
                <w:lang w:eastAsia="x-none"/>
              </w:rPr>
            </w:pPr>
            <w:r w:rsidRPr="004D3636">
              <w:rPr>
                <w:b/>
                <w:bCs/>
                <w:highlight w:val="green"/>
                <w:lang w:eastAsia="x-none"/>
              </w:rPr>
              <w:t>Agreement</w:t>
            </w:r>
          </w:p>
          <w:p w14:paraId="5C7909B5" w14:textId="77777777" w:rsidR="00166F79" w:rsidRPr="006F74A7" w:rsidRDefault="00166F79" w:rsidP="00BC3DB5">
            <w:pPr>
              <w:spacing w:before="0"/>
              <w:rPr>
                <w:rFonts w:cs="Times"/>
                <w:i/>
                <w:iCs/>
                <w:lang w:eastAsia="zh-CN"/>
              </w:rPr>
            </w:pPr>
            <w:r w:rsidRPr="006F74A7">
              <w:rPr>
                <w:rStyle w:val="Emphasis"/>
                <w:rFonts w:cs="Times"/>
                <w:i w:val="0"/>
                <w:lang w:eastAsia="zh-CN"/>
              </w:rPr>
              <w:t>For associating TAGs to target UL channels/signals for multi-DCI based multi-TRP operation, support the following:</w:t>
            </w:r>
          </w:p>
          <w:p w14:paraId="2A7653A6" w14:textId="77777777" w:rsidR="00166F79" w:rsidRPr="006F74A7" w:rsidRDefault="00166F79" w:rsidP="00BC3DB5">
            <w:pPr>
              <w:spacing w:before="0"/>
              <w:rPr>
                <w:rFonts w:cs="Times"/>
                <w:i/>
                <w:iCs/>
                <w:lang w:eastAsia="zh-CN"/>
              </w:rPr>
            </w:pPr>
            <w:r w:rsidRPr="006F74A7">
              <w:rPr>
                <w:rStyle w:val="Emphasis"/>
                <w:rFonts w:cs="Times"/>
                <w:i w:val="0"/>
                <w:lang w:eastAsia="zh-CN"/>
              </w:rPr>
              <w:t>Associate TAG to TCI-state</w:t>
            </w:r>
          </w:p>
          <w:p w14:paraId="1873DA8E" w14:textId="77777777" w:rsidR="00166F79" w:rsidRPr="006F74A7" w:rsidRDefault="00166F79" w:rsidP="00166F79">
            <w:pPr>
              <w:numPr>
                <w:ilvl w:val="0"/>
                <w:numId w:val="5"/>
              </w:numPr>
              <w:autoSpaceDE/>
              <w:autoSpaceDN/>
              <w:adjustRightInd/>
              <w:snapToGrid/>
              <w:spacing w:before="0" w:after="0"/>
              <w:jc w:val="left"/>
              <w:rPr>
                <w:rFonts w:cs="Times"/>
                <w:i/>
                <w:iCs/>
                <w:lang w:eastAsia="zh-CN"/>
              </w:rPr>
            </w:pPr>
            <w:r w:rsidRPr="006F74A7">
              <w:rPr>
                <w:rStyle w:val="Emphasis"/>
                <w:rFonts w:cs="Times"/>
                <w:i w:val="0"/>
                <w:lang w:eastAsia="zh-CN"/>
              </w:rPr>
              <w:t xml:space="preserve">Associate TAG ID with UL/joint TCI state </w:t>
            </w:r>
          </w:p>
          <w:p w14:paraId="2F94257F" w14:textId="77777777" w:rsidR="00166F79" w:rsidRPr="006F74A7" w:rsidRDefault="00166F79" w:rsidP="00166F79">
            <w:pPr>
              <w:numPr>
                <w:ilvl w:val="0"/>
                <w:numId w:val="5"/>
              </w:numPr>
              <w:autoSpaceDE/>
              <w:autoSpaceDN/>
              <w:adjustRightInd/>
              <w:snapToGrid/>
              <w:spacing w:before="0" w:after="0"/>
              <w:jc w:val="left"/>
              <w:rPr>
                <w:rFonts w:cs="Times"/>
                <w:i/>
                <w:iCs/>
                <w:lang w:eastAsia="zh-CN"/>
              </w:rPr>
            </w:pPr>
            <w:r w:rsidRPr="006F74A7">
              <w:rPr>
                <w:rStyle w:val="Emphasis"/>
                <w:rFonts w:cs="Times"/>
                <w:i w:val="0"/>
                <w:lang w:eastAsia="zh-CN"/>
              </w:rPr>
              <w:lastRenderedPageBreak/>
              <w:t>For UL transmission, the TAG ID associated with the UL/joint TCI state is utilized</w:t>
            </w:r>
          </w:p>
          <w:p w14:paraId="616F3D8B" w14:textId="77777777" w:rsidR="00166F79" w:rsidRPr="006F74A7" w:rsidRDefault="00166F79" w:rsidP="00166F79">
            <w:pPr>
              <w:numPr>
                <w:ilvl w:val="0"/>
                <w:numId w:val="5"/>
              </w:numPr>
              <w:autoSpaceDE/>
              <w:autoSpaceDN/>
              <w:adjustRightInd/>
              <w:snapToGrid/>
              <w:spacing w:before="0" w:after="0"/>
              <w:jc w:val="left"/>
              <w:rPr>
                <w:rStyle w:val="Emphasis"/>
                <w:rFonts w:cs="Times"/>
                <w:i w:val="0"/>
                <w:iCs w:val="0"/>
              </w:rPr>
            </w:pPr>
            <w:r w:rsidRPr="006F74A7">
              <w:rPr>
                <w:rStyle w:val="Emphasis"/>
                <w:rFonts w:cs="Times"/>
                <w:i w:val="0"/>
              </w:rPr>
              <w:t>A baseline is UE expects that the [activated] UL/joint TCI states [of UL signals/channels] associated to one CORESET Pool Index correspond to one TAG</w:t>
            </w:r>
          </w:p>
          <w:p w14:paraId="0398F77C" w14:textId="77777777" w:rsidR="00166F79" w:rsidRPr="002F3F3B" w:rsidRDefault="00166F79" w:rsidP="00166F79">
            <w:pPr>
              <w:numPr>
                <w:ilvl w:val="0"/>
                <w:numId w:val="5"/>
              </w:numPr>
              <w:autoSpaceDE/>
              <w:autoSpaceDN/>
              <w:adjustRightInd/>
              <w:snapToGrid/>
              <w:spacing w:before="0" w:after="0"/>
              <w:jc w:val="left"/>
              <w:rPr>
                <w:rStyle w:val="Emphasis"/>
                <w:rFonts w:cs="Times"/>
                <w:i w:val="0"/>
                <w:iCs w:val="0"/>
                <w:highlight w:val="yellow"/>
              </w:rPr>
            </w:pPr>
            <w:r w:rsidRPr="002F3F3B">
              <w:rPr>
                <w:rStyle w:val="Emphasis"/>
                <w:rFonts w:cs="Times"/>
                <w:i w:val="0"/>
                <w:highlight w:val="yellow"/>
              </w:rPr>
              <w:t xml:space="preserve">Working Assumption: A UE may report that it supports that the [activated] UL/joint TCI states [of UL signals/channels] associated to one </w:t>
            </w:r>
            <w:proofErr w:type="spellStart"/>
            <w:r w:rsidRPr="002F3F3B">
              <w:rPr>
                <w:rStyle w:val="Emphasis"/>
                <w:rFonts w:cs="Times"/>
                <w:i w:val="0"/>
                <w:highlight w:val="yellow"/>
              </w:rPr>
              <w:t>CORESETPoolIndex</w:t>
            </w:r>
            <w:proofErr w:type="spellEnd"/>
            <w:r w:rsidRPr="002F3F3B">
              <w:rPr>
                <w:rStyle w:val="Emphasis"/>
                <w:rFonts w:cs="Times"/>
                <w:i w:val="0"/>
                <w:highlight w:val="yellow"/>
              </w:rPr>
              <w:t xml:space="preserve"> correspond to both TAGs</w:t>
            </w:r>
          </w:p>
          <w:p w14:paraId="1E5AF870" w14:textId="77777777" w:rsidR="00166F79" w:rsidRPr="006F74A7" w:rsidRDefault="00166F79" w:rsidP="00BC3DB5">
            <w:pPr>
              <w:spacing w:before="0"/>
              <w:rPr>
                <w:rStyle w:val="Emphasis"/>
                <w:rFonts w:cs="Times"/>
                <w:i w:val="0"/>
                <w:iCs w:val="0"/>
                <w:lang w:eastAsia="en-CA"/>
              </w:rPr>
            </w:pPr>
            <w:r w:rsidRPr="006F74A7">
              <w:rPr>
                <w:rStyle w:val="Emphasis"/>
                <w:rFonts w:cs="Times"/>
                <w:i w:val="0"/>
                <w:lang w:eastAsia="zh-CN"/>
              </w:rPr>
              <w:t>FFS: on how to handle association when Rel-15/16 spatial relation framework is used for</w:t>
            </w:r>
          </w:p>
          <w:p w14:paraId="22F9907E" w14:textId="77777777" w:rsidR="00166F79" w:rsidRPr="006F74A7" w:rsidRDefault="00166F79" w:rsidP="00166F79">
            <w:pPr>
              <w:numPr>
                <w:ilvl w:val="0"/>
                <w:numId w:val="5"/>
              </w:numPr>
              <w:autoSpaceDE/>
              <w:autoSpaceDN/>
              <w:adjustRightInd/>
              <w:snapToGrid/>
              <w:spacing w:before="0" w:after="0"/>
              <w:jc w:val="left"/>
              <w:rPr>
                <w:rStyle w:val="Emphasis"/>
                <w:rFonts w:cs="Times"/>
                <w:i w:val="0"/>
                <w:iCs w:val="0"/>
                <w:lang w:eastAsia="en-CA"/>
              </w:rPr>
            </w:pPr>
            <w:r w:rsidRPr="006F74A7">
              <w:rPr>
                <w:rStyle w:val="Emphasis"/>
                <w:rFonts w:cs="Times"/>
                <w:i w:val="0"/>
                <w:lang w:eastAsia="zh-CN"/>
              </w:rPr>
              <w:t>PUCCH</w:t>
            </w:r>
          </w:p>
          <w:p w14:paraId="5B290744" w14:textId="77777777" w:rsidR="00166F79" w:rsidRPr="006F74A7" w:rsidRDefault="00166F79" w:rsidP="00166F79">
            <w:pPr>
              <w:numPr>
                <w:ilvl w:val="0"/>
                <w:numId w:val="5"/>
              </w:numPr>
              <w:autoSpaceDE/>
              <w:autoSpaceDN/>
              <w:adjustRightInd/>
              <w:snapToGrid/>
              <w:spacing w:before="0" w:after="0"/>
              <w:jc w:val="left"/>
              <w:rPr>
                <w:rStyle w:val="Emphasis"/>
                <w:rFonts w:cs="Times"/>
                <w:i w:val="0"/>
                <w:iCs w:val="0"/>
                <w:lang w:eastAsia="en-CA"/>
              </w:rPr>
            </w:pPr>
            <w:r w:rsidRPr="006F74A7">
              <w:rPr>
                <w:rStyle w:val="Emphasis"/>
                <w:rFonts w:cs="Times"/>
                <w:i w:val="0"/>
                <w:lang w:eastAsia="zh-CN"/>
              </w:rPr>
              <w:t>DG/CG Type 1/Type 2 PUSCH</w:t>
            </w:r>
          </w:p>
          <w:p w14:paraId="50089F35" w14:textId="77777777" w:rsidR="00166F79" w:rsidRDefault="00166F79" w:rsidP="00BC3DB5">
            <w:pPr>
              <w:rPr>
                <w:lang w:val="en-CA" w:eastAsia="zh-CN"/>
              </w:rPr>
            </w:pPr>
            <w:r w:rsidRPr="006F74A7">
              <w:rPr>
                <w:rStyle w:val="Emphasis"/>
                <w:rFonts w:cs="Times"/>
                <w:i w:val="0"/>
                <w:lang w:eastAsia="zh-CN"/>
              </w:rPr>
              <w:t>AP/SP/P SRS</w:t>
            </w:r>
          </w:p>
        </w:tc>
      </w:tr>
    </w:tbl>
    <w:p w14:paraId="6019E61A" w14:textId="064BE45F" w:rsidR="000C2A50" w:rsidRPr="00DF44D1" w:rsidRDefault="000C2A50" w:rsidP="00ED2DEE">
      <w:pPr>
        <w:rPr>
          <w:b/>
          <w:lang w:val="en-CA" w:eastAsia="zh-CN"/>
        </w:rPr>
      </w:pPr>
      <w:r w:rsidRPr="000C2A50">
        <w:rPr>
          <w:rFonts w:hint="eastAsia"/>
          <w:b/>
          <w:lang w:val="en-CA" w:eastAsia="zh-CN"/>
        </w:rPr>
        <w:lastRenderedPageBreak/>
        <w:t>P</w:t>
      </w:r>
      <w:r w:rsidRPr="00DF44D1">
        <w:rPr>
          <w:b/>
          <w:lang w:val="en-CA" w:eastAsia="zh-CN"/>
        </w:rPr>
        <w:t xml:space="preserve">roposal 5: </w:t>
      </w:r>
      <w:r w:rsidR="00842A28">
        <w:rPr>
          <w:b/>
          <w:lang w:val="en-CA" w:eastAsia="zh-CN"/>
        </w:rPr>
        <w:t>C</w:t>
      </w:r>
      <w:bookmarkStart w:id="2" w:name="_GoBack"/>
      <w:bookmarkEnd w:id="2"/>
      <w:r w:rsidRPr="00DF44D1">
        <w:rPr>
          <w:b/>
          <w:lang w:val="en-CA" w:eastAsia="zh-CN"/>
        </w:rPr>
        <w:t>onfirm the working assumption:</w:t>
      </w:r>
    </w:p>
    <w:p w14:paraId="42BACFC1" w14:textId="3BFFF32D" w:rsidR="000C2A50" w:rsidRPr="00867BA0" w:rsidRDefault="000C2A50" w:rsidP="00867BA0">
      <w:pPr>
        <w:pStyle w:val="ListParagraph"/>
        <w:numPr>
          <w:ilvl w:val="0"/>
          <w:numId w:val="35"/>
        </w:numPr>
        <w:rPr>
          <w:rFonts w:ascii="Times New Roman" w:hAnsi="Times New Roman" w:cs="Times New Roman"/>
          <w:b/>
          <w:sz w:val="22"/>
          <w:szCs w:val="22"/>
          <w:lang w:val="en-CA"/>
        </w:rPr>
      </w:pPr>
      <w:r w:rsidRPr="00867BA0">
        <w:rPr>
          <w:rFonts w:ascii="Times New Roman" w:hAnsi="Times New Roman" w:cs="Times New Roman"/>
          <w:b/>
          <w:sz w:val="22"/>
          <w:szCs w:val="22"/>
          <w:lang w:val="en-CA"/>
        </w:rPr>
        <w:t xml:space="preserve">A UE may report that it supports that the [activated] UL/joint TCI states [of UL signals/channels] associated to one </w:t>
      </w:r>
      <w:proofErr w:type="spellStart"/>
      <w:r w:rsidRPr="00867BA0">
        <w:rPr>
          <w:rFonts w:ascii="Times New Roman" w:hAnsi="Times New Roman" w:cs="Times New Roman"/>
          <w:b/>
          <w:sz w:val="22"/>
          <w:szCs w:val="22"/>
          <w:lang w:val="en-CA"/>
        </w:rPr>
        <w:t>CORESETPoolIndex</w:t>
      </w:r>
      <w:proofErr w:type="spellEnd"/>
      <w:r w:rsidRPr="00867BA0">
        <w:rPr>
          <w:rFonts w:ascii="Times New Roman" w:hAnsi="Times New Roman" w:cs="Times New Roman"/>
          <w:b/>
          <w:sz w:val="22"/>
          <w:szCs w:val="22"/>
          <w:lang w:val="en-CA"/>
        </w:rPr>
        <w:t xml:space="preserve"> correspond to both TAGs.</w:t>
      </w:r>
    </w:p>
    <w:p w14:paraId="6520DD03" w14:textId="492F6BDB" w:rsidR="00C9295B" w:rsidRDefault="00C9295B" w:rsidP="00ED2DEE">
      <w:pPr>
        <w:rPr>
          <w:lang w:eastAsia="zh-CN"/>
        </w:rPr>
      </w:pPr>
      <w:r w:rsidRPr="004A4C3D">
        <w:rPr>
          <w:lang w:eastAsia="zh-CN"/>
        </w:rPr>
        <w:t xml:space="preserve">To accommodate the above </w:t>
      </w:r>
      <w:r w:rsidRPr="004A4C3D">
        <w:rPr>
          <w:rFonts w:hint="eastAsia"/>
          <w:lang w:eastAsia="zh-CN"/>
        </w:rPr>
        <w:t>proposal</w:t>
      </w:r>
      <w:r w:rsidRPr="004A4C3D">
        <w:rPr>
          <w:lang w:eastAsia="zh-CN"/>
        </w:rPr>
        <w:t xml:space="preserve">, suggest following the text proposal </w:t>
      </w:r>
      <w:r>
        <w:rPr>
          <w:lang w:eastAsia="zh-CN"/>
        </w:rPr>
        <w:t xml:space="preserve">2 </w:t>
      </w:r>
      <w:r w:rsidRPr="004A4C3D">
        <w:rPr>
          <w:lang w:eastAsia="zh-CN"/>
        </w:rPr>
        <w:t>for TS38.21</w:t>
      </w:r>
      <w:r w:rsidR="001E15E3">
        <w:rPr>
          <w:lang w:eastAsia="zh-CN"/>
        </w:rPr>
        <w:t>4</w:t>
      </w:r>
      <w:r w:rsidRPr="004A4C3D">
        <w:rPr>
          <w:lang w:eastAsia="zh-CN"/>
        </w:rPr>
        <w:t>.</w:t>
      </w:r>
    </w:p>
    <w:p w14:paraId="150805C7" w14:textId="476EB487" w:rsidR="00C9295B" w:rsidRPr="00C9295B" w:rsidRDefault="00C9295B" w:rsidP="00ED2DEE">
      <w:pPr>
        <w:rPr>
          <w:b/>
          <w:lang w:val="en-CA" w:eastAsia="zh-CN"/>
        </w:rPr>
      </w:pPr>
      <w:r w:rsidRPr="00C9295B">
        <w:rPr>
          <w:b/>
          <w:lang w:eastAsia="zh-CN"/>
        </w:rPr>
        <w:t>Text proposal 2:</w:t>
      </w:r>
    </w:p>
    <w:tbl>
      <w:tblPr>
        <w:tblStyle w:val="TableGrid"/>
        <w:tblW w:w="0" w:type="auto"/>
        <w:tblLook w:val="04A0" w:firstRow="1" w:lastRow="0" w:firstColumn="1" w:lastColumn="0" w:noHBand="0" w:noVBand="1"/>
      </w:tblPr>
      <w:tblGrid>
        <w:gridCol w:w="9016"/>
      </w:tblGrid>
      <w:tr w:rsidR="00C9295B" w14:paraId="50112638" w14:textId="77777777" w:rsidTr="00C9295B">
        <w:tc>
          <w:tcPr>
            <w:tcW w:w="9016" w:type="dxa"/>
          </w:tcPr>
          <w:p w14:paraId="0CA3F697" w14:textId="77777777" w:rsidR="00C9295B" w:rsidRDefault="00C9295B" w:rsidP="00ED2DEE">
            <w:pPr>
              <w:rPr>
                <w:b/>
                <w:lang w:val="en-CA" w:eastAsia="zh-CN"/>
              </w:rPr>
            </w:pPr>
            <w:r w:rsidRPr="00C9295B">
              <w:rPr>
                <w:b/>
                <w:lang w:val="en-CA" w:eastAsia="zh-CN"/>
              </w:rPr>
              <w:t>6.1</w:t>
            </w:r>
            <w:r w:rsidRPr="00C9295B">
              <w:rPr>
                <w:b/>
                <w:lang w:val="en-CA" w:eastAsia="zh-CN"/>
              </w:rPr>
              <w:tab/>
              <w:t>UE procedure for transmitting the physical uplink shared channel</w:t>
            </w:r>
          </w:p>
          <w:p w14:paraId="66FB77DA" w14:textId="75CE0B74" w:rsidR="00C9295B" w:rsidRDefault="00C9295B" w:rsidP="009D5892">
            <w:pPr>
              <w:jc w:val="center"/>
              <w:rPr>
                <w:color w:val="FF0000"/>
                <w:szCs w:val="22"/>
              </w:rPr>
            </w:pPr>
            <w:r w:rsidRPr="00DD459B">
              <w:rPr>
                <w:color w:val="FF0000"/>
                <w:szCs w:val="22"/>
              </w:rPr>
              <w:t>&lt; Unchanged parts are omitted &gt;</w:t>
            </w:r>
          </w:p>
          <w:p w14:paraId="7C9A5820" w14:textId="7EB32540" w:rsidR="00C9295B" w:rsidRPr="00C9295B" w:rsidRDefault="00C9295B" w:rsidP="00C9295B">
            <w:pPr>
              <w:rPr>
                <w:color w:val="000000" w:themeColor="text1"/>
                <w:sz w:val="20"/>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w:t>
            </w:r>
            <w:proofErr w:type="spellStart"/>
            <w:r>
              <w:rPr>
                <w:i/>
                <w:iCs/>
                <w:color w:val="000000" w:themeColor="text1"/>
              </w:rPr>
              <w:t>ControlResourceSets</w:t>
            </w:r>
            <w:proofErr w:type="spellEnd"/>
            <w:r>
              <w:rPr>
                <w:color w:val="000000" w:themeColor="text1"/>
              </w:rPr>
              <w:t xml:space="preserve"> with two different values of </w:t>
            </w:r>
            <w:proofErr w:type="spellStart"/>
            <w:r>
              <w:rPr>
                <w:i/>
                <w:color w:val="000000" w:themeColor="text1"/>
              </w:rPr>
              <w:t>coresetPoolIndex</w:t>
            </w:r>
            <w:proofErr w:type="spellEnd"/>
            <w:r>
              <w:rPr>
                <w:color w:val="000000" w:themeColor="text1"/>
              </w:rPr>
              <w:t xml:space="preserve"> for the active BWP of a serving cell, or if a UE is configured with </w:t>
            </w:r>
            <w:r>
              <w:rPr>
                <w:i/>
                <w:iCs/>
                <w:color w:val="000000" w:themeColor="text1"/>
              </w:rPr>
              <w:t>SSB-MTC-</w:t>
            </w:r>
            <w:proofErr w:type="spellStart"/>
            <w:r>
              <w:rPr>
                <w:i/>
                <w:iCs/>
                <w:color w:val="000000" w:themeColor="text1"/>
              </w:rPr>
              <w:t>AddtionalPCI</w:t>
            </w:r>
            <w:proofErr w:type="spellEnd"/>
            <w:r>
              <w:rPr>
                <w:color w:val="000000" w:themeColor="text1"/>
              </w:rPr>
              <w:t xml:space="preserve"> and with </w:t>
            </w:r>
            <w:r>
              <w:rPr>
                <w:i/>
                <w:iCs/>
                <w:color w:val="000000" w:themeColor="text1"/>
              </w:rPr>
              <w:t>PDCCH-Config</w:t>
            </w:r>
            <w:r>
              <w:rPr>
                <w:color w:val="000000" w:themeColor="text1"/>
              </w:rPr>
              <w:t xml:space="preserve"> that contains two different values of </w:t>
            </w:r>
            <w:proofErr w:type="spellStart"/>
            <w:r>
              <w:rPr>
                <w:i/>
                <w:iCs/>
                <w:color w:val="000000" w:themeColor="text1"/>
              </w:rPr>
              <w:t>coresetPoolIndex</w:t>
            </w:r>
            <w:proofErr w:type="spellEnd"/>
            <w:r>
              <w:rPr>
                <w:color w:val="000000" w:themeColor="text1"/>
              </w:rPr>
              <w:t xml:space="preserve"> in </w:t>
            </w:r>
            <w:proofErr w:type="spellStart"/>
            <w:r>
              <w:rPr>
                <w:i/>
                <w:iCs/>
                <w:color w:val="000000" w:themeColor="text1"/>
              </w:rPr>
              <w:t>ControlResourceSet</w:t>
            </w:r>
            <w:proofErr w:type="spellEnd"/>
            <w:r>
              <w:rPr>
                <w:color w:val="000000" w:themeColor="text1"/>
              </w:rPr>
              <w:t>, and if the UE is configured with [</w:t>
            </w:r>
            <w:proofErr w:type="spellStart"/>
            <w:r>
              <w:rPr>
                <w:i/>
                <w:iCs/>
                <w:color w:val="000000" w:themeColor="text1"/>
              </w:rPr>
              <w:t>twoTAGs</w:t>
            </w:r>
            <w:proofErr w:type="spellEnd"/>
            <w:r>
              <w:rPr>
                <w:color w:val="000000" w:themeColor="text1"/>
              </w:rPr>
              <w:t xml:space="preserve">] and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w:t>
            </w:r>
            <w:r>
              <w:rPr>
                <w:i/>
                <w:iCs/>
                <w:color w:val="000000"/>
              </w:rPr>
              <w:t xml:space="preserve"> </w:t>
            </w:r>
            <w:r>
              <w:rPr>
                <w:i/>
                <w:iCs/>
                <w:color w:val="000000" w:themeColor="text1"/>
              </w:rPr>
              <w:t xml:space="preserve">TCI-UL-State </w:t>
            </w:r>
            <w:r>
              <w:rPr>
                <w:color w:val="000000" w:themeColor="text1"/>
              </w:rPr>
              <w:t xml:space="preserve">for a serving cell, each </w:t>
            </w:r>
            <w:r>
              <w:rPr>
                <w:i/>
                <w:iCs/>
                <w:color w:val="000000" w:themeColor="text1"/>
              </w:rPr>
              <w:t>TCI-State</w:t>
            </w:r>
            <w:r>
              <w:rPr>
                <w:color w:val="000000" w:themeColor="text1"/>
              </w:rPr>
              <w:t xml:space="preserve"> or </w:t>
            </w:r>
            <w:r>
              <w:rPr>
                <w:i/>
                <w:iCs/>
                <w:color w:val="000000" w:themeColor="text1"/>
              </w:rPr>
              <w:t xml:space="preserve">TCI-UL-State </w:t>
            </w:r>
            <w:r>
              <w:rPr>
                <w:color w:val="000000" w:themeColor="text1"/>
              </w:rPr>
              <w:t>is associated with a [</w:t>
            </w:r>
            <w:r>
              <w:rPr>
                <w:i/>
                <w:iCs/>
                <w:color w:val="000000" w:themeColor="text1"/>
              </w:rPr>
              <w:t>TAG-ID</w:t>
            </w:r>
            <w:r>
              <w:rPr>
                <w:color w:val="000000" w:themeColor="text1"/>
              </w:rPr>
              <w:t>]</w:t>
            </w:r>
            <w:r>
              <w:rPr>
                <w:i/>
                <w:iCs/>
                <w:color w:val="000000" w:themeColor="text1"/>
              </w:rPr>
              <w:t xml:space="preserve"> </w:t>
            </w:r>
            <w:r>
              <w:rPr>
                <w:color w:val="000000" w:themeColor="text1"/>
              </w:rPr>
              <w:t xml:space="preserve">for determining timing adjustment for a corresponding UL transmission as described in Clause 4.2 of [6, TS 38.213]. The UE does not expect that </w:t>
            </w:r>
            <w:r>
              <w:rPr>
                <w:i/>
                <w:iCs/>
                <w:color w:val="000000" w:themeColor="text1"/>
              </w:rPr>
              <w:t>TCI-states</w:t>
            </w:r>
            <w:r>
              <w:rPr>
                <w:color w:val="000000" w:themeColor="text1"/>
              </w:rPr>
              <w:t xml:space="preserve"> or </w:t>
            </w:r>
            <w:r>
              <w:rPr>
                <w:i/>
                <w:iCs/>
                <w:color w:val="000000" w:themeColor="text1"/>
              </w:rPr>
              <w:t xml:space="preserve">TCI-UL-States </w:t>
            </w:r>
            <w:r>
              <w:rPr>
                <w:color w:val="000000" w:themeColor="text1"/>
              </w:rPr>
              <w:t xml:space="preserve">associated with one </w:t>
            </w:r>
            <w:proofErr w:type="spellStart"/>
            <w:r>
              <w:rPr>
                <w:i/>
                <w:color w:val="000000" w:themeColor="text1"/>
              </w:rPr>
              <w:t>coresetPoolIndex</w:t>
            </w:r>
            <w:proofErr w:type="spellEnd"/>
            <w:r>
              <w:rPr>
                <w:color w:val="000000" w:themeColor="text1"/>
              </w:rPr>
              <w:t xml:space="preserve"> to correspond to two TAGs </w:t>
            </w:r>
            <w:r w:rsidR="009F3497" w:rsidRPr="009F3497">
              <w:rPr>
                <w:strike/>
                <w:color w:val="FF0000"/>
              </w:rPr>
              <w:t>[</w:t>
            </w:r>
            <w:r>
              <w:rPr>
                <w:color w:val="000000" w:themeColor="text1"/>
              </w:rPr>
              <w:t>except if reported by [UE capability]</w:t>
            </w:r>
            <w:r w:rsidR="009F3497" w:rsidRPr="009F3497">
              <w:rPr>
                <w:strike/>
                <w:color w:val="FF0000"/>
              </w:rPr>
              <w:t>]</w:t>
            </w:r>
            <w:r>
              <w:rPr>
                <w:color w:val="000000" w:themeColor="text1"/>
              </w:rPr>
              <w:t>.</w:t>
            </w:r>
          </w:p>
          <w:p w14:paraId="61568AA1" w14:textId="0C4CB525" w:rsidR="00C9295B" w:rsidRPr="00C9295B" w:rsidRDefault="00C9295B" w:rsidP="009D5892">
            <w:pPr>
              <w:jc w:val="center"/>
              <w:rPr>
                <w:color w:val="FF0000"/>
                <w:szCs w:val="22"/>
              </w:rPr>
            </w:pPr>
            <w:r w:rsidRPr="00DD459B">
              <w:rPr>
                <w:color w:val="FF0000"/>
                <w:szCs w:val="22"/>
              </w:rPr>
              <w:t>&lt; Unchanged parts are omitted &gt;</w:t>
            </w:r>
          </w:p>
        </w:tc>
      </w:tr>
    </w:tbl>
    <w:p w14:paraId="0F6A117B" w14:textId="77777777" w:rsidR="00E66F4B" w:rsidRPr="004636C3" w:rsidRDefault="00E66F4B" w:rsidP="00E66F4B">
      <w:pPr>
        <w:spacing w:beforeLines="50" w:before="156" w:after="0"/>
        <w:rPr>
          <w:kern w:val="2"/>
          <w:lang w:eastAsia="zh-CN"/>
        </w:rPr>
      </w:pPr>
    </w:p>
    <w:p w14:paraId="5DF1708A" w14:textId="77777777" w:rsidR="006D4964" w:rsidRPr="004636C3" w:rsidRDefault="006D4964" w:rsidP="006D4964">
      <w:pPr>
        <w:pStyle w:val="Heading1"/>
        <w:rPr>
          <w:rFonts w:eastAsiaTheme="minorEastAsia"/>
          <w:lang w:val="en-GB" w:eastAsia="zh-CN"/>
        </w:rPr>
      </w:pPr>
      <w:r w:rsidRPr="004636C3">
        <w:rPr>
          <w:rFonts w:eastAsiaTheme="minorEastAsia"/>
          <w:lang w:val="en-GB" w:eastAsia="zh-CN"/>
        </w:rPr>
        <w:t>Summary and conclusion</w:t>
      </w:r>
    </w:p>
    <w:p w14:paraId="12774264" w14:textId="0FF269EB" w:rsidR="006D4964" w:rsidRPr="004636C3"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observation</w:t>
      </w:r>
      <w:r w:rsidR="00F153C6">
        <w:rPr>
          <w:rFonts w:eastAsiaTheme="minorEastAsia" w:hint="eastAsia"/>
          <w:lang w:val="en-GB" w:eastAsia="zh-CN"/>
        </w:rPr>
        <w:t>s</w:t>
      </w:r>
      <w:r w:rsidR="007041D3">
        <w:rPr>
          <w:rFonts w:eastAsiaTheme="minorEastAsia"/>
          <w:lang w:val="en-GB"/>
        </w:rPr>
        <w:t xml:space="preserve"> and proposals</w:t>
      </w:r>
      <w:r w:rsidRPr="004636C3">
        <w:rPr>
          <w:rFonts w:eastAsiaTheme="minorEastAsia"/>
          <w:lang w:val="en-GB"/>
        </w:rPr>
        <w:t>:</w:t>
      </w:r>
    </w:p>
    <w:p w14:paraId="482D25C0" w14:textId="77777777" w:rsidR="002F4449" w:rsidRPr="00DF44D1" w:rsidRDefault="002F4449" w:rsidP="002F4449">
      <w:pPr>
        <w:widowControl w:val="0"/>
        <w:spacing w:before="0" w:after="0"/>
        <w:rPr>
          <w:b/>
        </w:rPr>
      </w:pPr>
      <w:r w:rsidRPr="00DF44D1">
        <w:rPr>
          <w:b/>
        </w:rPr>
        <w:t>Proposal 1: Support to confirm the following working assumption:</w:t>
      </w:r>
    </w:p>
    <w:p w14:paraId="070E007C" w14:textId="77777777" w:rsidR="002F4449" w:rsidRPr="00437DFD" w:rsidRDefault="002F4449" w:rsidP="002F4449">
      <w:pPr>
        <w:pStyle w:val="ListParagraph"/>
        <w:numPr>
          <w:ilvl w:val="0"/>
          <w:numId w:val="29"/>
        </w:numPr>
        <w:snapToGrid w:val="0"/>
        <w:spacing w:beforeLines="50" w:before="156" w:afterLines="50" w:after="156"/>
        <w:ind w:left="425" w:hanging="425"/>
        <w:rPr>
          <w:rFonts w:ascii="Times New Roman" w:eastAsia="楷体" w:hAnsi="Times New Roman" w:cs="Times New Roman"/>
          <w:b/>
          <w:szCs w:val="22"/>
        </w:rPr>
      </w:pPr>
      <w:r w:rsidRPr="00437DFD">
        <w:rPr>
          <w:rFonts w:ascii="Times New Roman" w:hAnsi="Times New Roman" w:cs="Times New Roman"/>
          <w:b/>
          <w:szCs w:val="22"/>
        </w:rPr>
        <w:t>For intra-cell multi-DCI based Multi-TRP operation with two TA enhancement, support the case where a PDCCH order sent by TRP</w:t>
      </w:r>
      <w:r w:rsidRPr="00437DFD">
        <w:rPr>
          <w:rFonts w:ascii="Times New Roman" w:hAnsi="Times New Roman" w:cs="Times New Roman"/>
          <w:b/>
          <w:szCs w:val="22"/>
          <w:vertAlign w:val="subscript"/>
        </w:rPr>
        <w:t>X</w:t>
      </w:r>
      <w:r w:rsidRPr="00437DFD">
        <w:rPr>
          <w:rFonts w:ascii="Times New Roman" w:hAnsi="Times New Roman" w:cs="Times New Roman"/>
          <w:b/>
          <w:szCs w:val="22"/>
        </w:rPr>
        <w:t xml:space="preserve"> triggers RACH procedure towards either TRP</w:t>
      </w:r>
      <w:r w:rsidRPr="00437DFD">
        <w:rPr>
          <w:rFonts w:ascii="Times New Roman" w:hAnsi="Times New Roman" w:cs="Times New Roman"/>
          <w:b/>
          <w:szCs w:val="22"/>
          <w:vertAlign w:val="subscript"/>
        </w:rPr>
        <w:t>X</w:t>
      </w:r>
      <w:r w:rsidRPr="00437DFD">
        <w:rPr>
          <w:rFonts w:ascii="Times New Roman" w:hAnsi="Times New Roman" w:cs="Times New Roman"/>
          <w:b/>
          <w:szCs w:val="22"/>
        </w:rPr>
        <w:t xml:space="preserve"> or TRP</w:t>
      </w:r>
      <w:r w:rsidRPr="00437DFD">
        <w:rPr>
          <w:rFonts w:ascii="Times New Roman" w:hAnsi="Times New Roman" w:cs="Times New Roman"/>
          <w:b/>
          <w:szCs w:val="22"/>
          <w:vertAlign w:val="subscript"/>
        </w:rPr>
        <w:t>Y</w:t>
      </w:r>
      <w:r w:rsidRPr="00437DFD">
        <w:rPr>
          <w:rFonts w:ascii="Times New Roman" w:hAnsi="Times New Roman" w:cs="Times New Roman"/>
          <w:b/>
          <w:szCs w:val="22"/>
        </w:rPr>
        <w:t>.</w:t>
      </w:r>
    </w:p>
    <w:p w14:paraId="25DEA158" w14:textId="77777777" w:rsidR="002F4449" w:rsidRPr="00DF44D1" w:rsidRDefault="002F4449" w:rsidP="002F4449">
      <w:pPr>
        <w:rPr>
          <w:b/>
          <w:lang w:eastAsia="zh-CN"/>
        </w:rPr>
      </w:pPr>
      <w:r w:rsidRPr="00DF44D1">
        <w:rPr>
          <w:b/>
          <w:lang w:eastAsia="zh-CN"/>
        </w:rPr>
        <w:t>Proposal 2: Support reusing the cell indicator field in PDCCH order introduced in Rel-18 LTM for cell indication in inter-cell multi-TRP.</w:t>
      </w:r>
    </w:p>
    <w:p w14:paraId="5AB9AE43" w14:textId="0733754D" w:rsidR="003C0C4B" w:rsidRPr="00867BA0" w:rsidRDefault="002F4449" w:rsidP="002F4449">
      <w:pPr>
        <w:rPr>
          <w:b/>
          <w:lang w:eastAsia="zh-CN"/>
        </w:rPr>
      </w:pPr>
      <w:r w:rsidRPr="00867BA0">
        <w:rPr>
          <w:b/>
          <w:lang w:eastAsia="zh-CN"/>
        </w:rPr>
        <w:t>Proposal 3: When both inter-cell multi-TRP and Rel-18 LTM are configured, one additional 1-bit field is introduced in PDCCH order to discriminate whether the cell indicator field in PDCCH order indicates a cell for Rel-18 LTM or a cell for inter-cell multi-TRP.</w:t>
      </w:r>
    </w:p>
    <w:p w14:paraId="7574CED4" w14:textId="77777777" w:rsidR="002F4449" w:rsidRPr="00867BA0" w:rsidRDefault="002F4449" w:rsidP="002F4449">
      <w:pPr>
        <w:spacing w:before="0"/>
        <w:rPr>
          <w:b/>
        </w:rPr>
      </w:pPr>
      <w:r w:rsidRPr="00867BA0">
        <w:rPr>
          <w:b/>
        </w:rPr>
        <w:t>Proposal 4: For power control of PRACH in both intra-cell and inter-cell multi</w:t>
      </w:r>
      <w:r w:rsidRPr="00867BA0">
        <w:rPr>
          <w:b/>
          <w:lang w:eastAsia="zh-CN"/>
        </w:rPr>
        <w:t>-</w:t>
      </w:r>
      <w:r w:rsidRPr="00DF44D1">
        <w:rPr>
          <w:b/>
        </w:rPr>
        <w:t>DCI multi-TRP case</w:t>
      </w:r>
      <w:r w:rsidRPr="00867BA0">
        <w:rPr>
          <w:b/>
        </w:rPr>
        <w:t xml:space="preserve"> </w:t>
      </w:r>
      <w:r w:rsidRPr="00867BA0">
        <w:rPr>
          <w:b/>
          <w:lang w:val="en-GB" w:eastAsia="fr-FR"/>
        </w:rPr>
        <w:t>with two TA enhancement</w:t>
      </w:r>
      <w:r w:rsidRPr="00867BA0">
        <w:rPr>
          <w:b/>
        </w:rPr>
        <w:t>, SSB indicated in the PDCCH order serves as the PL RS.</w:t>
      </w:r>
    </w:p>
    <w:p w14:paraId="0FB13407" w14:textId="68EF19D7" w:rsidR="002F4449" w:rsidRPr="00DF44D1" w:rsidRDefault="002F4449" w:rsidP="002F4449">
      <w:pPr>
        <w:rPr>
          <w:b/>
          <w:lang w:val="en-CA" w:eastAsia="zh-CN"/>
        </w:rPr>
      </w:pPr>
      <w:r w:rsidRPr="00867BA0">
        <w:rPr>
          <w:b/>
          <w:lang w:val="en-CA" w:eastAsia="zh-CN"/>
        </w:rPr>
        <w:t>P</w:t>
      </w:r>
      <w:r w:rsidRPr="00DF44D1">
        <w:rPr>
          <w:b/>
          <w:lang w:val="en-CA" w:eastAsia="zh-CN"/>
        </w:rPr>
        <w:t>roposal 5</w:t>
      </w:r>
      <w:r w:rsidR="00842A28">
        <w:rPr>
          <w:b/>
          <w:lang w:val="en-CA" w:eastAsia="zh-CN"/>
        </w:rPr>
        <w:t>: C</w:t>
      </w:r>
      <w:r w:rsidRPr="00DF44D1">
        <w:rPr>
          <w:b/>
          <w:lang w:val="en-CA" w:eastAsia="zh-CN"/>
        </w:rPr>
        <w:t>onfirm the working assumption:</w:t>
      </w:r>
    </w:p>
    <w:p w14:paraId="1C259E2D" w14:textId="77777777" w:rsidR="002F4449" w:rsidRPr="00867BA0" w:rsidRDefault="002F4449" w:rsidP="00867BA0">
      <w:pPr>
        <w:pStyle w:val="ListParagraph"/>
        <w:numPr>
          <w:ilvl w:val="0"/>
          <w:numId w:val="34"/>
        </w:numPr>
        <w:rPr>
          <w:rFonts w:ascii="Times New Roman" w:hAnsi="Times New Roman" w:cs="Times New Roman"/>
          <w:b/>
          <w:sz w:val="22"/>
          <w:szCs w:val="22"/>
          <w:lang w:val="en-CA"/>
        </w:rPr>
      </w:pPr>
      <w:r w:rsidRPr="00867BA0">
        <w:rPr>
          <w:rFonts w:ascii="Times New Roman" w:hAnsi="Times New Roman" w:cs="Times New Roman"/>
          <w:b/>
          <w:sz w:val="22"/>
          <w:szCs w:val="22"/>
          <w:lang w:val="en-CA"/>
        </w:rPr>
        <w:lastRenderedPageBreak/>
        <w:t xml:space="preserve">A UE may report that it supports that the [activated] UL/joint TCI states [of UL signals/channels] associated to one </w:t>
      </w:r>
      <w:proofErr w:type="spellStart"/>
      <w:r w:rsidRPr="00867BA0">
        <w:rPr>
          <w:rFonts w:ascii="Times New Roman" w:hAnsi="Times New Roman" w:cs="Times New Roman"/>
          <w:b/>
          <w:sz w:val="22"/>
          <w:szCs w:val="22"/>
          <w:lang w:val="en-CA"/>
        </w:rPr>
        <w:t>CORESETPoolIndex</w:t>
      </w:r>
      <w:proofErr w:type="spellEnd"/>
      <w:r w:rsidRPr="00867BA0">
        <w:rPr>
          <w:rFonts w:ascii="Times New Roman" w:hAnsi="Times New Roman" w:cs="Times New Roman"/>
          <w:b/>
          <w:sz w:val="22"/>
          <w:szCs w:val="22"/>
          <w:lang w:val="en-CA"/>
        </w:rPr>
        <w:t xml:space="preserve"> correspond to both TAGs.</w:t>
      </w:r>
    </w:p>
    <w:p w14:paraId="5C27B049" w14:textId="57FDA9BD" w:rsidR="002F4449" w:rsidRDefault="002F4449" w:rsidP="002F4449">
      <w:pPr>
        <w:rPr>
          <w:b/>
          <w:lang w:val="en-CA" w:eastAsia="zh-CN"/>
        </w:rPr>
      </w:pPr>
    </w:p>
    <w:p w14:paraId="50FF9C0A" w14:textId="77777777" w:rsidR="009D5892" w:rsidRPr="00942DB8" w:rsidRDefault="009D5892" w:rsidP="009D5892">
      <w:pPr>
        <w:spacing w:beforeLines="50" w:before="156"/>
        <w:rPr>
          <w:b/>
          <w:lang w:eastAsia="zh-CN"/>
        </w:rPr>
      </w:pPr>
      <w:r w:rsidRPr="00F97FD3">
        <w:rPr>
          <w:b/>
          <w:lang w:eastAsia="zh-CN"/>
        </w:rPr>
        <w:t xml:space="preserve">Text proposal </w:t>
      </w:r>
      <w:r>
        <w:rPr>
          <w:b/>
          <w:lang w:eastAsia="zh-CN"/>
        </w:rPr>
        <w:t>1</w:t>
      </w:r>
      <w:r w:rsidRPr="00F97FD3">
        <w:rPr>
          <w:b/>
          <w:lang w:eastAsia="zh-CN"/>
        </w:rPr>
        <w:t>:</w:t>
      </w:r>
    </w:p>
    <w:tbl>
      <w:tblPr>
        <w:tblStyle w:val="TableGrid"/>
        <w:tblW w:w="0" w:type="auto"/>
        <w:tblLook w:val="04A0" w:firstRow="1" w:lastRow="0" w:firstColumn="1" w:lastColumn="0" w:noHBand="0" w:noVBand="1"/>
      </w:tblPr>
      <w:tblGrid>
        <w:gridCol w:w="9016"/>
      </w:tblGrid>
      <w:tr w:rsidR="009D5892" w:rsidRPr="00DD459B" w14:paraId="66FF5A5B" w14:textId="77777777" w:rsidTr="00BC3DB5">
        <w:tc>
          <w:tcPr>
            <w:tcW w:w="9016" w:type="dxa"/>
          </w:tcPr>
          <w:p w14:paraId="791212A8" w14:textId="77777777" w:rsidR="009D5892" w:rsidRPr="00787770" w:rsidRDefault="009D5892" w:rsidP="00BC3DB5">
            <w:pPr>
              <w:rPr>
                <w:b/>
                <w:color w:val="000000" w:themeColor="text1"/>
                <w:szCs w:val="22"/>
              </w:rPr>
            </w:pPr>
            <w:r w:rsidRPr="00787770">
              <w:rPr>
                <w:b/>
                <w:color w:val="000000" w:themeColor="text1"/>
                <w:szCs w:val="22"/>
              </w:rPr>
              <w:t>7.4</w:t>
            </w:r>
            <w:r w:rsidRPr="00787770">
              <w:rPr>
                <w:b/>
                <w:color w:val="000000" w:themeColor="text1"/>
                <w:szCs w:val="22"/>
              </w:rPr>
              <w:tab/>
              <w:t xml:space="preserve">Physical </w:t>
            </w:r>
            <w:proofErr w:type="gramStart"/>
            <w:r w:rsidRPr="00787770">
              <w:rPr>
                <w:b/>
                <w:color w:val="000000" w:themeColor="text1"/>
                <w:szCs w:val="22"/>
              </w:rPr>
              <w:t>random access</w:t>
            </w:r>
            <w:proofErr w:type="gramEnd"/>
            <w:r w:rsidRPr="00787770">
              <w:rPr>
                <w:b/>
                <w:color w:val="000000" w:themeColor="text1"/>
                <w:szCs w:val="22"/>
              </w:rPr>
              <w:t xml:space="preserve"> channel</w:t>
            </w:r>
          </w:p>
          <w:p w14:paraId="4562ADDE" w14:textId="77777777" w:rsidR="009D5892" w:rsidRPr="00DD459B" w:rsidRDefault="009D5892" w:rsidP="00BC3DB5">
            <w:pPr>
              <w:rPr>
                <w:color w:val="FF0000"/>
                <w:szCs w:val="22"/>
              </w:rPr>
            </w:pPr>
            <w:r w:rsidRPr="00DD459B">
              <w:rPr>
                <w:color w:val="FF0000"/>
                <w:szCs w:val="22"/>
              </w:rPr>
              <w:t>&lt; Unchanged parts are omitted &gt;</w:t>
            </w:r>
          </w:p>
          <w:p w14:paraId="75B4FAC8" w14:textId="77777777" w:rsidR="009D5892" w:rsidRPr="00DD459B" w:rsidRDefault="009D5892" w:rsidP="00BC3DB5">
            <w:pPr>
              <w:spacing w:before="0"/>
              <w:rPr>
                <w:rFonts w:eastAsia="楷体"/>
                <w:szCs w:val="22"/>
                <w:lang w:eastAsia="zh-CN"/>
              </w:rPr>
            </w:pPr>
            <w:r w:rsidRPr="00DD459B">
              <w:rPr>
                <w:rFonts w:eastAsia="楷体"/>
                <w:szCs w:val="22"/>
                <w:lang w:eastAsia="zh-CN"/>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DD459B">
              <w:rPr>
                <w:szCs w:val="22"/>
              </w:rPr>
              <w:t>when the PRACH transmission is on a serving cell</w:t>
            </w:r>
            <w:r>
              <w:rPr>
                <w:szCs w:val="22"/>
              </w:rPr>
              <w:t xml:space="preserve"> </w:t>
            </w:r>
            <w:r w:rsidRPr="007541CB">
              <w:rPr>
                <w:rFonts w:hint="eastAsia"/>
                <w:color w:val="FF0000"/>
                <w:szCs w:val="22"/>
                <w:u w:val="single"/>
                <w:lang w:eastAsia="zh-CN"/>
              </w:rPr>
              <w:t>and</w:t>
            </w:r>
            <w:r w:rsidRPr="007541CB">
              <w:rPr>
                <w:color w:val="FF0000"/>
                <w:szCs w:val="22"/>
                <w:u w:val="single"/>
                <w:lang w:eastAsia="zh-CN"/>
              </w:rPr>
              <w:t xml:space="preserve"> UE </w:t>
            </w:r>
            <w:r w:rsidRPr="007541CB">
              <w:rPr>
                <w:rFonts w:eastAsia="MS Mincho"/>
                <w:color w:val="FF0000"/>
                <w:u w:val="single"/>
              </w:rPr>
              <w:t>operates with single TAG on the serving cell</w:t>
            </w:r>
            <w:r w:rsidRPr="007541CB">
              <w:rPr>
                <w:color w:val="FF0000"/>
                <w:szCs w:val="22"/>
                <w:u w:val="single"/>
              </w:rPr>
              <w:t xml:space="preserve">, or depending on an indicated SS/PBCH block when the PRACH transmission is on a non-serving cell or when </w:t>
            </w:r>
            <w:r w:rsidRPr="007541CB">
              <w:rPr>
                <w:color w:val="FF0000"/>
                <w:u w:val="single"/>
              </w:rPr>
              <w:t>the</w:t>
            </w:r>
            <w:r w:rsidRPr="007541CB">
              <w:rPr>
                <w:rFonts w:eastAsia="MS Mincho"/>
                <w:color w:val="FF0000"/>
                <w:u w:val="single"/>
              </w:rPr>
              <w:t xml:space="preserve"> UE operates with two TAGs on an active UL BWP of a serving cell</w:t>
            </w:r>
            <w:r w:rsidRPr="007541CB">
              <w:rPr>
                <w:color w:val="FF0000"/>
                <w:szCs w:val="22"/>
                <w:u w:val="single"/>
              </w:rPr>
              <w:t xml:space="preserve"> and for the serving cell the UE is provided two </w:t>
            </w:r>
            <w:proofErr w:type="spellStart"/>
            <w:r w:rsidRPr="007541CB">
              <w:rPr>
                <w:color w:val="FF0000"/>
                <w:szCs w:val="22"/>
                <w:u w:val="single"/>
              </w:rPr>
              <w:t>coresetPoolIndex</w:t>
            </w:r>
            <w:proofErr w:type="spellEnd"/>
            <w:r w:rsidRPr="007541CB">
              <w:rPr>
                <w:color w:val="FF0000"/>
                <w:szCs w:val="22"/>
                <w:u w:val="single"/>
              </w:rPr>
              <w:t xml:space="preserve"> values 0 and 1 for first and second CORESETs or is not provided </w:t>
            </w:r>
            <w:proofErr w:type="spellStart"/>
            <w:r w:rsidRPr="007541CB">
              <w:rPr>
                <w:color w:val="FF0000"/>
                <w:szCs w:val="22"/>
                <w:u w:val="single"/>
              </w:rPr>
              <w:t>coresetPoolIndex</w:t>
            </w:r>
            <w:proofErr w:type="spellEnd"/>
            <w:r w:rsidRPr="007541CB">
              <w:rPr>
                <w:color w:val="FF0000"/>
                <w:szCs w:val="22"/>
                <w:u w:val="single"/>
              </w:rPr>
              <w:t xml:space="preserve"> value for first CORESETs and is provided </w:t>
            </w:r>
            <w:proofErr w:type="spellStart"/>
            <w:r w:rsidRPr="007541CB">
              <w:rPr>
                <w:color w:val="FF0000"/>
                <w:szCs w:val="22"/>
                <w:u w:val="single"/>
              </w:rPr>
              <w:t>coresetPoolIndex</w:t>
            </w:r>
            <w:proofErr w:type="spellEnd"/>
            <w:r w:rsidRPr="007541CB">
              <w:rPr>
                <w:color w:val="FF0000"/>
                <w:szCs w:val="22"/>
                <w:u w:val="single"/>
              </w:rPr>
              <w:t xml:space="preserve"> value of 1 for second CORESETs</w:t>
            </w:r>
            <w:r w:rsidRPr="00DD459B">
              <w:rPr>
                <w:rFonts w:eastAsia="楷体"/>
                <w:szCs w:val="22"/>
                <w:lang w:eastAsia="zh-CN"/>
              </w:rPr>
              <w:t xml:space="preserve">, </w:t>
            </w:r>
            <w:proofErr w:type="spellStart"/>
            <w:r w:rsidRPr="00DD459B">
              <w:rPr>
                <w:rFonts w:eastAsia="楷体"/>
                <w:szCs w:val="22"/>
                <w:lang w:eastAsia="zh-CN"/>
              </w:rPr>
              <w:t>referenceSignalPower</w:t>
            </w:r>
            <w:proofErr w:type="spellEnd"/>
            <w:r w:rsidRPr="00DD459B">
              <w:rPr>
                <w:rFonts w:eastAsia="楷体"/>
                <w:szCs w:val="22"/>
                <w:lang w:eastAsia="zh-CN"/>
              </w:rPr>
              <w:t xml:space="preserve"> is provided by ss-PBCH-</w:t>
            </w:r>
            <w:proofErr w:type="spellStart"/>
            <w:r w:rsidRPr="00DD459B">
              <w:rPr>
                <w:rFonts w:eastAsia="楷体"/>
                <w:szCs w:val="22"/>
                <w:lang w:eastAsia="zh-CN"/>
              </w:rPr>
              <w:t>BlockPower</w:t>
            </w:r>
            <w:proofErr w:type="spellEnd"/>
            <w:r w:rsidRPr="00DD459B">
              <w:rPr>
                <w:rFonts w:eastAsia="楷体"/>
                <w:szCs w:val="22"/>
                <w:lang w:eastAsia="zh-CN"/>
              </w:rPr>
              <w:t xml:space="preserve"> or, if the UE is configured resources for a periodic CSI-RS reception or the PRACH transmission is associated with a link recovery procedure where a corresponding index </w:t>
            </w:r>
            <w:proofErr w:type="spellStart"/>
            <w:r w:rsidRPr="00DD459B">
              <w:rPr>
                <w:rFonts w:eastAsia="楷体"/>
                <w:i/>
                <w:szCs w:val="22"/>
                <w:lang w:eastAsia="zh-CN"/>
              </w:rPr>
              <w:t>q</w:t>
            </w:r>
            <w:r w:rsidRPr="00DD459B">
              <w:rPr>
                <w:rFonts w:eastAsia="楷体"/>
                <w:szCs w:val="22"/>
                <w:vertAlign w:val="subscript"/>
                <w:lang w:eastAsia="zh-CN"/>
              </w:rPr>
              <w:t>new</w:t>
            </w:r>
            <w:proofErr w:type="spellEnd"/>
            <w:r w:rsidRPr="00DD459B">
              <w:rPr>
                <w:rFonts w:eastAsia="楷体"/>
                <w:szCs w:val="22"/>
                <w:lang w:eastAsia="zh-CN"/>
              </w:rPr>
              <w:t xml:space="preserve"> is associated with a periodic CSI-RS configuration as described in clause 6, </w:t>
            </w:r>
            <w:proofErr w:type="spellStart"/>
            <w:r w:rsidRPr="00DD459B">
              <w:rPr>
                <w:rFonts w:eastAsia="楷体"/>
                <w:szCs w:val="22"/>
                <w:lang w:eastAsia="zh-CN"/>
              </w:rPr>
              <w:t>referenceSignalPower</w:t>
            </w:r>
            <w:proofErr w:type="spellEnd"/>
            <w:r w:rsidRPr="00DD459B">
              <w:rPr>
                <w:rFonts w:eastAsia="楷体"/>
                <w:szCs w:val="22"/>
                <w:lang w:eastAsia="zh-CN"/>
              </w:rPr>
              <w:t xml:space="preserve"> is obtained by ss-PBCH-</w:t>
            </w:r>
            <w:proofErr w:type="spellStart"/>
            <w:r w:rsidRPr="00DD459B">
              <w:rPr>
                <w:rFonts w:eastAsia="楷体"/>
                <w:szCs w:val="22"/>
                <w:lang w:eastAsia="zh-CN"/>
              </w:rPr>
              <w:t>BlockPower</w:t>
            </w:r>
            <w:proofErr w:type="spellEnd"/>
            <w:r w:rsidRPr="00DD459B">
              <w:rPr>
                <w:rFonts w:eastAsia="楷体"/>
                <w:szCs w:val="22"/>
                <w:lang w:eastAsia="zh-CN"/>
              </w:rPr>
              <w:t xml:space="preserve"> and </w:t>
            </w:r>
            <w:proofErr w:type="spellStart"/>
            <w:r w:rsidRPr="00DD459B">
              <w:rPr>
                <w:rFonts w:eastAsia="楷体"/>
                <w:szCs w:val="22"/>
                <w:lang w:eastAsia="zh-CN"/>
              </w:rPr>
              <w:t>powerControlOffsetSS</w:t>
            </w:r>
            <w:proofErr w:type="spellEnd"/>
            <w:r w:rsidRPr="00DD459B">
              <w:rPr>
                <w:rFonts w:eastAsia="楷体"/>
                <w:szCs w:val="22"/>
                <w:lang w:eastAsia="zh-CN"/>
              </w:rPr>
              <w:t xml:space="preserve"> where </w:t>
            </w:r>
            <w:proofErr w:type="spellStart"/>
            <w:r w:rsidRPr="00DD459B">
              <w:rPr>
                <w:rFonts w:eastAsia="楷体"/>
                <w:szCs w:val="22"/>
                <w:lang w:eastAsia="zh-CN"/>
              </w:rPr>
              <w:t>powerControlOffsetSS</w:t>
            </w:r>
            <w:proofErr w:type="spellEnd"/>
            <w:r w:rsidRPr="00DD459B">
              <w:rPr>
                <w:rFonts w:eastAsia="楷体"/>
                <w:szCs w:val="22"/>
                <w:lang w:eastAsia="zh-CN"/>
              </w:rPr>
              <w:t xml:space="preserve"> provides an offset of CSI-RS transmission power relative to SS/PBCH block transmission power [6, TS 38.214]. If </w:t>
            </w:r>
            <w:proofErr w:type="spellStart"/>
            <w:r w:rsidRPr="00DD459B">
              <w:rPr>
                <w:rFonts w:eastAsia="楷体"/>
                <w:szCs w:val="22"/>
                <w:lang w:eastAsia="zh-CN"/>
              </w:rPr>
              <w:t>powerControlOffsetSS</w:t>
            </w:r>
            <w:proofErr w:type="spellEnd"/>
            <w:r w:rsidRPr="00DD459B">
              <w:rPr>
                <w:rFonts w:eastAsia="楷体"/>
                <w:szCs w:val="22"/>
                <w:lang w:eastAsia="zh-CN"/>
              </w:rPr>
              <w:t xml:space="preserve"> is not provided to the UE, the UE assumes an offset of 0 dB. If the active TCI state for the PDCCH that provides the PDCCH order includes two RS, the UE expects that one RS is configured with </w:t>
            </w:r>
            <w:proofErr w:type="spellStart"/>
            <w:r w:rsidRPr="00DD459B">
              <w:rPr>
                <w:rFonts w:eastAsia="楷体"/>
                <w:szCs w:val="22"/>
                <w:lang w:eastAsia="zh-CN"/>
              </w:rPr>
              <w:t>qcl</w:t>
            </w:r>
            <w:proofErr w:type="spellEnd"/>
            <w:r w:rsidRPr="00DD459B">
              <w:rPr>
                <w:rFonts w:eastAsia="楷体"/>
                <w:szCs w:val="22"/>
                <w:lang w:eastAsia="zh-CN"/>
              </w:rPr>
              <w:t>-Type set to '</w:t>
            </w:r>
            <w:proofErr w:type="spellStart"/>
            <w:r w:rsidRPr="00DD459B">
              <w:rPr>
                <w:rFonts w:eastAsia="楷体"/>
                <w:szCs w:val="22"/>
                <w:lang w:eastAsia="zh-CN"/>
              </w:rPr>
              <w:t>typeD</w:t>
            </w:r>
            <w:proofErr w:type="spellEnd"/>
            <w:r w:rsidRPr="00DD459B">
              <w:rPr>
                <w:rFonts w:eastAsia="楷体"/>
                <w:szCs w:val="22"/>
                <w:lang w:eastAsia="zh-CN"/>
              </w:rPr>
              <w:t xml:space="preserve">' and the UE uses the one RS when applying a value provided by </w:t>
            </w:r>
            <w:proofErr w:type="spellStart"/>
            <w:r w:rsidRPr="00DD459B">
              <w:rPr>
                <w:rFonts w:eastAsia="楷体"/>
                <w:szCs w:val="22"/>
                <w:lang w:eastAsia="zh-CN"/>
              </w:rPr>
              <w:t>powerControlOffsetSS</w:t>
            </w:r>
            <w:proofErr w:type="spellEnd"/>
            <w:r w:rsidRPr="00DD459B">
              <w:rPr>
                <w:rFonts w:eastAsia="楷体"/>
                <w:szCs w:val="22"/>
                <w:lang w:eastAsia="zh-CN"/>
              </w:rPr>
              <w:t>.</w:t>
            </w:r>
          </w:p>
          <w:p w14:paraId="3B05C264" w14:textId="77777777" w:rsidR="009D5892" w:rsidRPr="00DD459B" w:rsidRDefault="009D5892" w:rsidP="00BC3DB5">
            <w:pPr>
              <w:spacing w:before="0"/>
              <w:rPr>
                <w:rFonts w:eastAsia="楷体"/>
                <w:szCs w:val="22"/>
                <w:lang w:eastAsia="zh-CN"/>
              </w:rPr>
            </w:pPr>
            <w:r w:rsidRPr="00DD459B">
              <w:rPr>
                <w:color w:val="FF0000"/>
                <w:szCs w:val="22"/>
              </w:rPr>
              <w:t>&lt; Unchanged parts are omitted &gt;</w:t>
            </w:r>
          </w:p>
        </w:tc>
      </w:tr>
    </w:tbl>
    <w:p w14:paraId="39659AB7" w14:textId="09ED3D45" w:rsidR="009D5892" w:rsidRDefault="009D5892" w:rsidP="002F4449">
      <w:pPr>
        <w:rPr>
          <w:b/>
          <w:lang w:val="en-CA" w:eastAsia="zh-CN"/>
        </w:rPr>
      </w:pPr>
    </w:p>
    <w:p w14:paraId="79600B0B" w14:textId="77777777" w:rsidR="009D5892" w:rsidRPr="00C9295B" w:rsidRDefault="009D5892" w:rsidP="009D5892">
      <w:pPr>
        <w:rPr>
          <w:b/>
          <w:lang w:val="en-CA" w:eastAsia="zh-CN"/>
        </w:rPr>
      </w:pPr>
      <w:r w:rsidRPr="00C9295B">
        <w:rPr>
          <w:b/>
          <w:lang w:eastAsia="zh-CN"/>
        </w:rPr>
        <w:t>Text proposal 2:</w:t>
      </w:r>
    </w:p>
    <w:tbl>
      <w:tblPr>
        <w:tblStyle w:val="TableGrid"/>
        <w:tblW w:w="0" w:type="auto"/>
        <w:tblLook w:val="04A0" w:firstRow="1" w:lastRow="0" w:firstColumn="1" w:lastColumn="0" w:noHBand="0" w:noVBand="1"/>
      </w:tblPr>
      <w:tblGrid>
        <w:gridCol w:w="9016"/>
      </w:tblGrid>
      <w:tr w:rsidR="009D5892" w14:paraId="7FA6E254" w14:textId="77777777" w:rsidTr="00BC3DB5">
        <w:tc>
          <w:tcPr>
            <w:tcW w:w="9016" w:type="dxa"/>
          </w:tcPr>
          <w:p w14:paraId="7494A665" w14:textId="77777777" w:rsidR="009D5892" w:rsidRDefault="009D5892" w:rsidP="00BC3DB5">
            <w:pPr>
              <w:rPr>
                <w:b/>
                <w:lang w:val="en-CA" w:eastAsia="zh-CN"/>
              </w:rPr>
            </w:pPr>
            <w:r w:rsidRPr="00C9295B">
              <w:rPr>
                <w:b/>
                <w:lang w:val="en-CA" w:eastAsia="zh-CN"/>
              </w:rPr>
              <w:t>6.1</w:t>
            </w:r>
            <w:r w:rsidRPr="00C9295B">
              <w:rPr>
                <w:b/>
                <w:lang w:val="en-CA" w:eastAsia="zh-CN"/>
              </w:rPr>
              <w:tab/>
              <w:t>UE procedure for transmitting the physical uplink shared channel</w:t>
            </w:r>
          </w:p>
          <w:p w14:paraId="05C06535" w14:textId="77777777" w:rsidR="009D5892" w:rsidRDefault="009D5892" w:rsidP="00BC3DB5">
            <w:pPr>
              <w:jc w:val="center"/>
              <w:rPr>
                <w:color w:val="FF0000"/>
                <w:szCs w:val="22"/>
              </w:rPr>
            </w:pPr>
            <w:r w:rsidRPr="00DD459B">
              <w:rPr>
                <w:color w:val="FF0000"/>
                <w:szCs w:val="22"/>
              </w:rPr>
              <w:t>&lt; Unchanged parts are omitted &gt;</w:t>
            </w:r>
          </w:p>
          <w:p w14:paraId="40F7671D" w14:textId="77777777" w:rsidR="009D5892" w:rsidRPr="00C9295B" w:rsidRDefault="009D5892" w:rsidP="00BC3DB5">
            <w:pPr>
              <w:rPr>
                <w:color w:val="000000" w:themeColor="text1"/>
                <w:sz w:val="20"/>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w:t>
            </w:r>
            <w:proofErr w:type="spellStart"/>
            <w:r>
              <w:rPr>
                <w:i/>
                <w:iCs/>
                <w:color w:val="000000" w:themeColor="text1"/>
              </w:rPr>
              <w:t>ControlResourceSets</w:t>
            </w:r>
            <w:proofErr w:type="spellEnd"/>
            <w:r>
              <w:rPr>
                <w:color w:val="000000" w:themeColor="text1"/>
              </w:rPr>
              <w:t xml:space="preserve"> with two different values of </w:t>
            </w:r>
            <w:proofErr w:type="spellStart"/>
            <w:r>
              <w:rPr>
                <w:i/>
                <w:color w:val="000000" w:themeColor="text1"/>
              </w:rPr>
              <w:t>coresetPoolIndex</w:t>
            </w:r>
            <w:proofErr w:type="spellEnd"/>
            <w:r>
              <w:rPr>
                <w:color w:val="000000" w:themeColor="text1"/>
              </w:rPr>
              <w:t xml:space="preserve"> for the active BWP of a serving cell, or if a UE is configured with </w:t>
            </w:r>
            <w:r>
              <w:rPr>
                <w:i/>
                <w:iCs/>
                <w:color w:val="000000" w:themeColor="text1"/>
              </w:rPr>
              <w:t>SSB-MTC-</w:t>
            </w:r>
            <w:proofErr w:type="spellStart"/>
            <w:r>
              <w:rPr>
                <w:i/>
                <w:iCs/>
                <w:color w:val="000000" w:themeColor="text1"/>
              </w:rPr>
              <w:t>AddtionalPCI</w:t>
            </w:r>
            <w:proofErr w:type="spellEnd"/>
            <w:r>
              <w:rPr>
                <w:color w:val="000000" w:themeColor="text1"/>
              </w:rPr>
              <w:t xml:space="preserve"> and with </w:t>
            </w:r>
            <w:r>
              <w:rPr>
                <w:i/>
                <w:iCs/>
                <w:color w:val="000000" w:themeColor="text1"/>
              </w:rPr>
              <w:t>PDCCH-Config</w:t>
            </w:r>
            <w:r>
              <w:rPr>
                <w:color w:val="000000" w:themeColor="text1"/>
              </w:rPr>
              <w:t xml:space="preserve"> that contains two different values of </w:t>
            </w:r>
            <w:proofErr w:type="spellStart"/>
            <w:r>
              <w:rPr>
                <w:i/>
                <w:iCs/>
                <w:color w:val="000000" w:themeColor="text1"/>
              </w:rPr>
              <w:t>coresetPoolIndex</w:t>
            </w:r>
            <w:proofErr w:type="spellEnd"/>
            <w:r>
              <w:rPr>
                <w:color w:val="000000" w:themeColor="text1"/>
              </w:rPr>
              <w:t xml:space="preserve"> in </w:t>
            </w:r>
            <w:proofErr w:type="spellStart"/>
            <w:r>
              <w:rPr>
                <w:i/>
                <w:iCs/>
                <w:color w:val="000000" w:themeColor="text1"/>
              </w:rPr>
              <w:t>ControlResourceSet</w:t>
            </w:r>
            <w:proofErr w:type="spellEnd"/>
            <w:r>
              <w:rPr>
                <w:color w:val="000000" w:themeColor="text1"/>
              </w:rPr>
              <w:t>, and if the UE is configured with [</w:t>
            </w:r>
            <w:proofErr w:type="spellStart"/>
            <w:r>
              <w:rPr>
                <w:i/>
                <w:iCs/>
                <w:color w:val="000000" w:themeColor="text1"/>
              </w:rPr>
              <w:t>twoTAGs</w:t>
            </w:r>
            <w:proofErr w:type="spellEnd"/>
            <w:r>
              <w:rPr>
                <w:color w:val="000000" w:themeColor="text1"/>
              </w:rPr>
              <w:t xml:space="preserve">] and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w:t>
            </w:r>
            <w:r>
              <w:rPr>
                <w:i/>
                <w:iCs/>
                <w:color w:val="000000"/>
              </w:rPr>
              <w:t xml:space="preserve"> </w:t>
            </w:r>
            <w:r>
              <w:rPr>
                <w:i/>
                <w:iCs/>
                <w:color w:val="000000" w:themeColor="text1"/>
              </w:rPr>
              <w:t xml:space="preserve">TCI-UL-State </w:t>
            </w:r>
            <w:r>
              <w:rPr>
                <w:color w:val="000000" w:themeColor="text1"/>
              </w:rPr>
              <w:t xml:space="preserve">for a serving cell, each </w:t>
            </w:r>
            <w:r>
              <w:rPr>
                <w:i/>
                <w:iCs/>
                <w:color w:val="000000" w:themeColor="text1"/>
              </w:rPr>
              <w:t>TCI-State</w:t>
            </w:r>
            <w:r>
              <w:rPr>
                <w:color w:val="000000" w:themeColor="text1"/>
              </w:rPr>
              <w:t xml:space="preserve"> or </w:t>
            </w:r>
            <w:r>
              <w:rPr>
                <w:i/>
                <w:iCs/>
                <w:color w:val="000000" w:themeColor="text1"/>
              </w:rPr>
              <w:t xml:space="preserve">TCI-UL-State </w:t>
            </w:r>
            <w:r>
              <w:rPr>
                <w:color w:val="000000" w:themeColor="text1"/>
              </w:rPr>
              <w:t>is associated with a [</w:t>
            </w:r>
            <w:r>
              <w:rPr>
                <w:i/>
                <w:iCs/>
                <w:color w:val="000000" w:themeColor="text1"/>
              </w:rPr>
              <w:t>TAG-ID</w:t>
            </w:r>
            <w:r>
              <w:rPr>
                <w:color w:val="000000" w:themeColor="text1"/>
              </w:rPr>
              <w:t>]</w:t>
            </w:r>
            <w:r>
              <w:rPr>
                <w:i/>
                <w:iCs/>
                <w:color w:val="000000" w:themeColor="text1"/>
              </w:rPr>
              <w:t xml:space="preserve"> </w:t>
            </w:r>
            <w:r>
              <w:rPr>
                <w:color w:val="000000" w:themeColor="text1"/>
              </w:rPr>
              <w:t xml:space="preserve">for determining timing adjustment for a corresponding UL transmission as described in Clause 4.2 of [6, TS 38.213]. The UE does not expect that </w:t>
            </w:r>
            <w:r>
              <w:rPr>
                <w:i/>
                <w:iCs/>
                <w:color w:val="000000" w:themeColor="text1"/>
              </w:rPr>
              <w:t>TCI-states</w:t>
            </w:r>
            <w:r>
              <w:rPr>
                <w:color w:val="000000" w:themeColor="text1"/>
              </w:rPr>
              <w:t xml:space="preserve"> or </w:t>
            </w:r>
            <w:r>
              <w:rPr>
                <w:i/>
                <w:iCs/>
                <w:color w:val="000000" w:themeColor="text1"/>
              </w:rPr>
              <w:t xml:space="preserve">TCI-UL-States </w:t>
            </w:r>
            <w:r>
              <w:rPr>
                <w:color w:val="000000" w:themeColor="text1"/>
              </w:rPr>
              <w:t xml:space="preserve">associated with one </w:t>
            </w:r>
            <w:proofErr w:type="spellStart"/>
            <w:r>
              <w:rPr>
                <w:i/>
                <w:color w:val="000000" w:themeColor="text1"/>
              </w:rPr>
              <w:t>coresetPoolIndex</w:t>
            </w:r>
            <w:proofErr w:type="spellEnd"/>
            <w:r>
              <w:rPr>
                <w:color w:val="000000" w:themeColor="text1"/>
              </w:rPr>
              <w:t xml:space="preserve"> to correspond to two TAGs </w:t>
            </w:r>
            <w:r w:rsidRPr="009F3497">
              <w:rPr>
                <w:strike/>
                <w:color w:val="FF0000"/>
              </w:rPr>
              <w:t>[</w:t>
            </w:r>
            <w:r>
              <w:rPr>
                <w:color w:val="000000" w:themeColor="text1"/>
              </w:rPr>
              <w:t>except if reported by [UE capability]</w:t>
            </w:r>
            <w:r w:rsidRPr="009F3497">
              <w:rPr>
                <w:strike/>
                <w:color w:val="FF0000"/>
              </w:rPr>
              <w:t>]</w:t>
            </w:r>
            <w:r>
              <w:rPr>
                <w:color w:val="000000" w:themeColor="text1"/>
              </w:rPr>
              <w:t>.</w:t>
            </w:r>
          </w:p>
          <w:p w14:paraId="6E3B9A99" w14:textId="77777777" w:rsidR="009D5892" w:rsidRPr="00C9295B" w:rsidRDefault="009D5892" w:rsidP="00BC3DB5">
            <w:pPr>
              <w:jc w:val="center"/>
              <w:rPr>
                <w:color w:val="FF0000"/>
                <w:szCs w:val="22"/>
              </w:rPr>
            </w:pPr>
            <w:r w:rsidRPr="00DD459B">
              <w:rPr>
                <w:color w:val="FF0000"/>
                <w:szCs w:val="22"/>
              </w:rPr>
              <w:t>&lt; Unchanged parts are omitted &gt;</w:t>
            </w:r>
          </w:p>
        </w:tc>
      </w:tr>
    </w:tbl>
    <w:p w14:paraId="6D542AEC" w14:textId="77777777" w:rsidR="009D5892" w:rsidRPr="00867BA0" w:rsidRDefault="009D5892" w:rsidP="002F4449">
      <w:pPr>
        <w:rPr>
          <w:b/>
          <w:lang w:val="en-CA" w:eastAsia="zh-CN"/>
        </w:rPr>
      </w:pPr>
    </w:p>
    <w:p w14:paraId="4104DC53" w14:textId="1A628F09" w:rsidR="006D4964" w:rsidRDefault="006D4964" w:rsidP="006D4964">
      <w:pPr>
        <w:pStyle w:val="Heading1"/>
        <w:rPr>
          <w:rFonts w:eastAsiaTheme="minorEastAsia"/>
          <w:lang w:val="en-GB" w:eastAsia="zh-CN"/>
        </w:rPr>
      </w:pPr>
      <w:r w:rsidRPr="004636C3">
        <w:rPr>
          <w:rFonts w:eastAsiaTheme="minorEastAsia"/>
          <w:lang w:val="en-GB" w:eastAsia="zh-CN"/>
        </w:rPr>
        <w:t>References</w:t>
      </w:r>
    </w:p>
    <w:p w14:paraId="432866F3" w14:textId="5065C1E6" w:rsidR="00CB7738" w:rsidRDefault="00007A9D" w:rsidP="00942DB8">
      <w:pPr>
        <w:spacing w:beforeLines="50" w:before="156" w:after="0"/>
        <w:rPr>
          <w:lang w:val="en-GB" w:eastAsia="zh-CN"/>
        </w:rPr>
      </w:pPr>
      <w:r>
        <w:rPr>
          <w:rFonts w:hint="eastAsia"/>
          <w:lang w:val="en-GB" w:eastAsia="zh-CN"/>
        </w:rPr>
        <w:t>[</w:t>
      </w:r>
      <w:r>
        <w:rPr>
          <w:lang w:val="en-GB" w:eastAsia="zh-CN"/>
        </w:rPr>
        <w:t xml:space="preserve">1] </w:t>
      </w:r>
      <w:r w:rsidR="00CB7738" w:rsidRPr="00CB7738">
        <w:rPr>
          <w:lang w:val="en-GB" w:eastAsia="zh-CN"/>
        </w:rPr>
        <w:t>Draft Minutes report RAN1#11</w:t>
      </w:r>
      <w:r w:rsidR="00CB7738">
        <w:rPr>
          <w:lang w:val="en-GB" w:eastAsia="zh-CN"/>
        </w:rPr>
        <w:t>4</w:t>
      </w:r>
      <w:r w:rsidR="00CB7738" w:rsidRPr="00CB7738">
        <w:rPr>
          <w:lang w:val="en-GB" w:eastAsia="zh-CN"/>
        </w:rPr>
        <w:t>, Chairman, August 21 - 25, 2023</w:t>
      </w:r>
    </w:p>
    <w:p w14:paraId="7AFD408B" w14:textId="63572321" w:rsidR="00AB5E49" w:rsidRDefault="00CB7738" w:rsidP="00942DB8">
      <w:pPr>
        <w:spacing w:beforeLines="50" w:before="156" w:after="0"/>
        <w:rPr>
          <w:lang w:val="en-GB" w:eastAsia="zh-CN"/>
        </w:rPr>
      </w:pPr>
      <w:r>
        <w:rPr>
          <w:kern w:val="2"/>
          <w:lang w:val="en-GB" w:eastAsia="zh-CN"/>
        </w:rPr>
        <w:t xml:space="preserve">[2] </w:t>
      </w:r>
      <w:r w:rsidR="00AB5E49" w:rsidRPr="004636C3">
        <w:rPr>
          <w:kern w:val="2"/>
          <w:lang w:val="en-GB" w:eastAsia="zh-CN"/>
        </w:rPr>
        <w:t>Draft</w:t>
      </w:r>
      <w:r w:rsidR="00AB5E49" w:rsidRPr="004636C3">
        <w:rPr>
          <w:kern w:val="2"/>
          <w:lang w:val="en-GB"/>
        </w:rPr>
        <w:t xml:space="preserve"> Minutes report</w:t>
      </w:r>
      <w:r w:rsidR="00AB5E49">
        <w:rPr>
          <w:kern w:val="2"/>
          <w:lang w:val="en-GB"/>
        </w:rPr>
        <w:t xml:space="preserve"> RAN1#113, </w:t>
      </w:r>
      <w:r w:rsidR="00AB5E49" w:rsidRPr="004636C3">
        <w:rPr>
          <w:kern w:val="2"/>
          <w:lang w:val="en-GB"/>
        </w:rPr>
        <w:t>Chairman</w:t>
      </w:r>
      <w:r w:rsidR="00AB5E49">
        <w:rPr>
          <w:kern w:val="2"/>
          <w:lang w:val="en-GB"/>
        </w:rPr>
        <w:t xml:space="preserve">, </w:t>
      </w:r>
      <w:r w:rsidR="00AB5E49" w:rsidRPr="00AB5E49">
        <w:rPr>
          <w:kern w:val="2"/>
          <w:lang w:val="en-GB"/>
        </w:rPr>
        <w:t>May 22 - 26, 2023</w:t>
      </w:r>
    </w:p>
    <w:p w14:paraId="6E654D46" w14:textId="37BF4990" w:rsidR="00136D86" w:rsidRPr="00E44CC6" w:rsidRDefault="00AB5E49" w:rsidP="00942DB8">
      <w:pPr>
        <w:spacing w:beforeLines="50" w:before="156" w:after="0"/>
      </w:pPr>
      <w:r>
        <w:rPr>
          <w:kern w:val="2"/>
          <w:lang w:val="en-GB" w:eastAsia="zh-CN"/>
        </w:rPr>
        <w:t>[</w:t>
      </w:r>
      <w:r w:rsidR="00CB7738">
        <w:rPr>
          <w:kern w:val="2"/>
          <w:lang w:val="en-GB" w:eastAsia="zh-CN"/>
        </w:rPr>
        <w:t>3</w:t>
      </w:r>
      <w:r>
        <w:rPr>
          <w:kern w:val="2"/>
          <w:lang w:val="en-GB" w:eastAsia="zh-CN"/>
        </w:rPr>
        <w:t xml:space="preserve">] </w:t>
      </w:r>
      <w:r w:rsidR="00781CC4" w:rsidRPr="004636C3">
        <w:rPr>
          <w:kern w:val="2"/>
          <w:lang w:val="en-GB" w:eastAsia="zh-CN"/>
        </w:rPr>
        <w:t>Draft</w:t>
      </w:r>
      <w:r w:rsidR="00781CC4" w:rsidRPr="004636C3">
        <w:rPr>
          <w:kern w:val="2"/>
          <w:lang w:val="en-GB"/>
        </w:rPr>
        <w:t xml:space="preserve"> Minutes report</w:t>
      </w:r>
      <w:r w:rsidR="00781CC4">
        <w:rPr>
          <w:kern w:val="2"/>
          <w:lang w:val="en-GB"/>
        </w:rPr>
        <w:t xml:space="preserve"> RAN1#112bis-e, </w:t>
      </w:r>
      <w:r w:rsidR="00781CC4" w:rsidRPr="004636C3">
        <w:rPr>
          <w:kern w:val="2"/>
          <w:lang w:val="en-GB"/>
        </w:rPr>
        <w:t>Chairman</w:t>
      </w:r>
      <w:r w:rsidR="00781CC4">
        <w:rPr>
          <w:kern w:val="2"/>
          <w:lang w:val="en-GB"/>
        </w:rPr>
        <w:t xml:space="preserve">, </w:t>
      </w:r>
      <w:r w:rsidR="00781CC4" w:rsidRPr="00781CC4">
        <w:rPr>
          <w:lang w:val="en-GB" w:eastAsia="zh-CN"/>
        </w:rPr>
        <w:t xml:space="preserve">April 17 </w:t>
      </w:r>
      <w:r w:rsidR="00A06471">
        <w:rPr>
          <w:kern w:val="2"/>
          <w:lang w:val="en-GB"/>
        </w:rPr>
        <w:t>-</w:t>
      </w:r>
      <w:r w:rsidR="006665CF">
        <w:rPr>
          <w:lang w:val="en-GB" w:eastAsia="zh-CN"/>
        </w:rPr>
        <w:t xml:space="preserve"> </w:t>
      </w:r>
      <w:r w:rsidR="00781CC4" w:rsidRPr="00781CC4">
        <w:rPr>
          <w:lang w:val="en-GB" w:eastAsia="zh-CN"/>
        </w:rPr>
        <w:t>26, 2023</w:t>
      </w:r>
      <w:r w:rsidR="00C64BF2">
        <w:rPr>
          <w:lang w:val="en-GB" w:eastAsia="zh-CN"/>
        </w:rPr>
        <w:t>.</w:t>
      </w:r>
    </w:p>
    <w:sectPr w:rsidR="00136D86" w:rsidRPr="00E44CC6"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3C86C" w14:textId="77777777" w:rsidR="00EC15E9" w:rsidRDefault="00EC15E9" w:rsidP="00475236">
      <w:pPr>
        <w:spacing w:after="0"/>
      </w:pPr>
      <w:r>
        <w:separator/>
      </w:r>
    </w:p>
  </w:endnote>
  <w:endnote w:type="continuationSeparator" w:id="0">
    <w:p w14:paraId="62421ED5" w14:textId="77777777" w:rsidR="00EC15E9" w:rsidRDefault="00EC15E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Microsoft YaHei"/>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B765F" w14:textId="77777777" w:rsidR="00EC15E9" w:rsidRDefault="00EC15E9" w:rsidP="00475236">
      <w:pPr>
        <w:spacing w:after="0"/>
      </w:pPr>
      <w:r>
        <w:separator/>
      </w:r>
    </w:p>
  </w:footnote>
  <w:footnote w:type="continuationSeparator" w:id="0">
    <w:p w14:paraId="6A516246" w14:textId="77777777" w:rsidR="00EC15E9" w:rsidRDefault="00EC15E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71132"/>
    <w:multiLevelType w:val="hybridMultilevel"/>
    <w:tmpl w:val="DBE0AB0E"/>
    <w:lvl w:ilvl="0" w:tplc="A67428E4">
      <w:start w:val="1"/>
      <w:numFmt w:val="bullet"/>
      <w:lvlText w:val=""/>
      <w:lvlJc w:val="left"/>
      <w:pPr>
        <w:ind w:left="922" w:hanging="420"/>
      </w:pPr>
      <w:rPr>
        <w:rFonts w:ascii="Symbol" w:hAnsi="Symbol"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22715"/>
    <w:multiLevelType w:val="hybridMultilevel"/>
    <w:tmpl w:val="04D6ECAE"/>
    <w:lvl w:ilvl="0" w:tplc="04090005">
      <w:start w:val="1"/>
      <w:numFmt w:val="bullet"/>
      <w:lvlText w:val=""/>
      <w:lvlJc w:val="left"/>
      <w:pPr>
        <w:ind w:left="2290" w:hanging="420"/>
      </w:pPr>
      <w:rPr>
        <w:rFonts w:ascii="Wingdings" w:hAnsi="Wingdings"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 w15:restartNumberingAfterBreak="0">
    <w:nsid w:val="19F501F0"/>
    <w:multiLevelType w:val="hybridMultilevel"/>
    <w:tmpl w:val="0450DDC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364E2"/>
    <w:multiLevelType w:val="hybridMultilevel"/>
    <w:tmpl w:val="F7B2F556"/>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AD0D0D"/>
    <w:multiLevelType w:val="hybridMultilevel"/>
    <w:tmpl w:val="985698F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7FE6365"/>
    <w:multiLevelType w:val="hybridMultilevel"/>
    <w:tmpl w:val="30DCCEC0"/>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E3B3FA3"/>
    <w:multiLevelType w:val="hybridMultilevel"/>
    <w:tmpl w:val="391AE74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EC4688"/>
    <w:multiLevelType w:val="hybridMultilevel"/>
    <w:tmpl w:val="0690047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976CE4"/>
    <w:multiLevelType w:val="hybridMultilevel"/>
    <w:tmpl w:val="6E24BF90"/>
    <w:lvl w:ilvl="0" w:tplc="F8C427D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4C026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29"/>
        </w:tabs>
        <w:ind w:left="1429" w:hanging="720"/>
      </w:pPr>
      <w:rPr>
        <w:rFonts w:hint="default"/>
        <w:lang w:val="en-US"/>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D968C7"/>
    <w:multiLevelType w:val="hybridMultilevel"/>
    <w:tmpl w:val="CF4E5FD4"/>
    <w:lvl w:ilvl="0" w:tplc="A6742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35968"/>
    <w:multiLevelType w:val="hybridMultilevel"/>
    <w:tmpl w:val="5AE45B5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AC35AC"/>
    <w:multiLevelType w:val="hybridMultilevel"/>
    <w:tmpl w:val="83EC66E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E47365"/>
    <w:multiLevelType w:val="hybridMultilevel"/>
    <w:tmpl w:val="963E567A"/>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450979"/>
    <w:multiLevelType w:val="hybridMultilevel"/>
    <w:tmpl w:val="6C5EBF4A"/>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A86C35"/>
    <w:multiLevelType w:val="hybridMultilevel"/>
    <w:tmpl w:val="FCFE5E4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9467AD"/>
    <w:multiLevelType w:val="hybridMultilevel"/>
    <w:tmpl w:val="364433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CF3BA0"/>
    <w:multiLevelType w:val="hybridMultilevel"/>
    <w:tmpl w:val="471094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1807EB"/>
    <w:multiLevelType w:val="hybridMultilevel"/>
    <w:tmpl w:val="E81056C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5"/>
  </w:num>
  <w:num w:numId="3">
    <w:abstractNumId w:val="19"/>
  </w:num>
  <w:num w:numId="4">
    <w:abstractNumId w:val="13"/>
  </w:num>
  <w:num w:numId="5">
    <w:abstractNumId w:val="7"/>
  </w:num>
  <w:num w:numId="6">
    <w:abstractNumId w:val="15"/>
  </w:num>
  <w:num w:numId="7">
    <w:abstractNumId w:val="0"/>
  </w:num>
  <w:num w:numId="8">
    <w:abstractNumId w:val="24"/>
  </w:num>
  <w:num w:numId="9">
    <w:abstractNumId w:val="25"/>
  </w:num>
  <w:num w:numId="10">
    <w:abstractNumId w:val="23"/>
  </w:num>
  <w:num w:numId="11">
    <w:abstractNumId w:val="1"/>
  </w:num>
  <w:num w:numId="12">
    <w:abstractNumId w:val="22"/>
  </w:num>
  <w:num w:numId="13">
    <w:abstractNumId w:val="6"/>
  </w:num>
  <w:num w:numId="14">
    <w:abstractNumId w:val="10"/>
  </w:num>
  <w:num w:numId="15">
    <w:abstractNumId w:val="3"/>
  </w:num>
  <w:num w:numId="16">
    <w:abstractNumId w:val="14"/>
  </w:num>
  <w:num w:numId="17">
    <w:abstractNumId w:val="21"/>
  </w:num>
  <w:num w:numId="18">
    <w:abstractNumId w:val="12"/>
  </w:num>
  <w:num w:numId="19">
    <w:abstractNumId w:val="12"/>
  </w:num>
  <w:num w:numId="20">
    <w:abstractNumId w:val="12"/>
  </w:num>
  <w:num w:numId="21">
    <w:abstractNumId w:val="12"/>
  </w:num>
  <w:num w:numId="22">
    <w:abstractNumId w:val="12"/>
  </w:num>
  <w:num w:numId="23">
    <w:abstractNumId w:val="20"/>
  </w:num>
  <w:num w:numId="24">
    <w:abstractNumId w:val="2"/>
  </w:num>
  <w:num w:numId="25">
    <w:abstractNumId w:val="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num>
  <w:num w:numId="29">
    <w:abstractNumId w:val="11"/>
  </w:num>
  <w:num w:numId="30">
    <w:abstractNumId w:val="26"/>
  </w:num>
  <w:num w:numId="31">
    <w:abstractNumId w:val="16"/>
  </w:num>
  <w:num w:numId="32">
    <w:abstractNumId w:val="8"/>
  </w:num>
  <w:num w:numId="33">
    <w:abstractNumId w:val="18"/>
  </w:num>
  <w:num w:numId="34">
    <w:abstractNumId w:val="17"/>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E4F"/>
    <w:rsid w:val="00001389"/>
    <w:rsid w:val="00001472"/>
    <w:rsid w:val="0000158C"/>
    <w:rsid w:val="000019AB"/>
    <w:rsid w:val="00001BBE"/>
    <w:rsid w:val="00002480"/>
    <w:rsid w:val="000029F0"/>
    <w:rsid w:val="000036DF"/>
    <w:rsid w:val="00004B11"/>
    <w:rsid w:val="00005254"/>
    <w:rsid w:val="0000609C"/>
    <w:rsid w:val="000062B9"/>
    <w:rsid w:val="00007A9D"/>
    <w:rsid w:val="00014159"/>
    <w:rsid w:val="000159B0"/>
    <w:rsid w:val="000164CA"/>
    <w:rsid w:val="00016590"/>
    <w:rsid w:val="000165D9"/>
    <w:rsid w:val="00016998"/>
    <w:rsid w:val="000170EB"/>
    <w:rsid w:val="00020424"/>
    <w:rsid w:val="00021326"/>
    <w:rsid w:val="00021E39"/>
    <w:rsid w:val="00023BF4"/>
    <w:rsid w:val="00023C95"/>
    <w:rsid w:val="00025D44"/>
    <w:rsid w:val="0002636D"/>
    <w:rsid w:val="00026EBE"/>
    <w:rsid w:val="000276BD"/>
    <w:rsid w:val="0003088D"/>
    <w:rsid w:val="00031E87"/>
    <w:rsid w:val="00033B4C"/>
    <w:rsid w:val="00034406"/>
    <w:rsid w:val="000354EF"/>
    <w:rsid w:val="00036F8E"/>
    <w:rsid w:val="00040DF4"/>
    <w:rsid w:val="00040F2E"/>
    <w:rsid w:val="00041A33"/>
    <w:rsid w:val="00041E69"/>
    <w:rsid w:val="000433C5"/>
    <w:rsid w:val="00045E16"/>
    <w:rsid w:val="000464C4"/>
    <w:rsid w:val="00046619"/>
    <w:rsid w:val="00046F7B"/>
    <w:rsid w:val="00050080"/>
    <w:rsid w:val="00051331"/>
    <w:rsid w:val="00051C98"/>
    <w:rsid w:val="00051FC9"/>
    <w:rsid w:val="000521D4"/>
    <w:rsid w:val="00052F6A"/>
    <w:rsid w:val="000531E6"/>
    <w:rsid w:val="00053734"/>
    <w:rsid w:val="00053AF5"/>
    <w:rsid w:val="0005428B"/>
    <w:rsid w:val="00054C50"/>
    <w:rsid w:val="00054F35"/>
    <w:rsid w:val="00055EE3"/>
    <w:rsid w:val="000563DC"/>
    <w:rsid w:val="00056E14"/>
    <w:rsid w:val="00057249"/>
    <w:rsid w:val="00061C49"/>
    <w:rsid w:val="00061FD1"/>
    <w:rsid w:val="0006317D"/>
    <w:rsid w:val="000648E3"/>
    <w:rsid w:val="00064DC3"/>
    <w:rsid w:val="000671F8"/>
    <w:rsid w:val="00071248"/>
    <w:rsid w:val="000714AD"/>
    <w:rsid w:val="000725FC"/>
    <w:rsid w:val="0007289D"/>
    <w:rsid w:val="0007437C"/>
    <w:rsid w:val="0007535C"/>
    <w:rsid w:val="00075924"/>
    <w:rsid w:val="000763F1"/>
    <w:rsid w:val="0007650C"/>
    <w:rsid w:val="00076F3B"/>
    <w:rsid w:val="000772B6"/>
    <w:rsid w:val="000779DB"/>
    <w:rsid w:val="00080099"/>
    <w:rsid w:val="00080D5A"/>
    <w:rsid w:val="00081F0B"/>
    <w:rsid w:val="0008386D"/>
    <w:rsid w:val="00083E4D"/>
    <w:rsid w:val="00084622"/>
    <w:rsid w:val="00084722"/>
    <w:rsid w:val="00085A54"/>
    <w:rsid w:val="0008647F"/>
    <w:rsid w:val="00086C3A"/>
    <w:rsid w:val="00090953"/>
    <w:rsid w:val="00092CC2"/>
    <w:rsid w:val="00094FEB"/>
    <w:rsid w:val="0009564E"/>
    <w:rsid w:val="00096B94"/>
    <w:rsid w:val="00097745"/>
    <w:rsid w:val="00097B9C"/>
    <w:rsid w:val="00097D8D"/>
    <w:rsid w:val="000A16BA"/>
    <w:rsid w:val="000A1F08"/>
    <w:rsid w:val="000A2F27"/>
    <w:rsid w:val="000A58FE"/>
    <w:rsid w:val="000A59E5"/>
    <w:rsid w:val="000A6A6F"/>
    <w:rsid w:val="000A6BD4"/>
    <w:rsid w:val="000A6E6D"/>
    <w:rsid w:val="000A7776"/>
    <w:rsid w:val="000B0125"/>
    <w:rsid w:val="000B173E"/>
    <w:rsid w:val="000B19EF"/>
    <w:rsid w:val="000B1AD9"/>
    <w:rsid w:val="000B1E56"/>
    <w:rsid w:val="000B223C"/>
    <w:rsid w:val="000B266E"/>
    <w:rsid w:val="000B3630"/>
    <w:rsid w:val="000B5226"/>
    <w:rsid w:val="000B536A"/>
    <w:rsid w:val="000B5751"/>
    <w:rsid w:val="000B5816"/>
    <w:rsid w:val="000B64D6"/>
    <w:rsid w:val="000B6A14"/>
    <w:rsid w:val="000B7352"/>
    <w:rsid w:val="000B79B2"/>
    <w:rsid w:val="000C046F"/>
    <w:rsid w:val="000C0C83"/>
    <w:rsid w:val="000C1037"/>
    <w:rsid w:val="000C16E5"/>
    <w:rsid w:val="000C2195"/>
    <w:rsid w:val="000C2302"/>
    <w:rsid w:val="000C2564"/>
    <w:rsid w:val="000C2A50"/>
    <w:rsid w:val="000C2A6D"/>
    <w:rsid w:val="000C2FFD"/>
    <w:rsid w:val="000C3783"/>
    <w:rsid w:val="000C3CE1"/>
    <w:rsid w:val="000C482F"/>
    <w:rsid w:val="000C508A"/>
    <w:rsid w:val="000C66F6"/>
    <w:rsid w:val="000C67EC"/>
    <w:rsid w:val="000C6F61"/>
    <w:rsid w:val="000C7424"/>
    <w:rsid w:val="000C7F0A"/>
    <w:rsid w:val="000D0001"/>
    <w:rsid w:val="000D1036"/>
    <w:rsid w:val="000D1737"/>
    <w:rsid w:val="000D2319"/>
    <w:rsid w:val="000D32E8"/>
    <w:rsid w:val="000D7C24"/>
    <w:rsid w:val="000E17F1"/>
    <w:rsid w:val="000E2B63"/>
    <w:rsid w:val="000E3769"/>
    <w:rsid w:val="000F12CD"/>
    <w:rsid w:val="000F1572"/>
    <w:rsid w:val="000F1DB6"/>
    <w:rsid w:val="000F23E8"/>
    <w:rsid w:val="000F2571"/>
    <w:rsid w:val="000F57AA"/>
    <w:rsid w:val="000F5948"/>
    <w:rsid w:val="000F5F38"/>
    <w:rsid w:val="000F6D21"/>
    <w:rsid w:val="000F7D2C"/>
    <w:rsid w:val="00100448"/>
    <w:rsid w:val="00101F44"/>
    <w:rsid w:val="00102312"/>
    <w:rsid w:val="00102C0B"/>
    <w:rsid w:val="00103D16"/>
    <w:rsid w:val="00104BE2"/>
    <w:rsid w:val="0010514D"/>
    <w:rsid w:val="00105390"/>
    <w:rsid w:val="00105FAC"/>
    <w:rsid w:val="00107536"/>
    <w:rsid w:val="0011070F"/>
    <w:rsid w:val="00110F74"/>
    <w:rsid w:val="0011203F"/>
    <w:rsid w:val="0011209E"/>
    <w:rsid w:val="001132A2"/>
    <w:rsid w:val="001138C0"/>
    <w:rsid w:val="00113E23"/>
    <w:rsid w:val="001149C8"/>
    <w:rsid w:val="001156AA"/>
    <w:rsid w:val="00115D89"/>
    <w:rsid w:val="00117566"/>
    <w:rsid w:val="00117967"/>
    <w:rsid w:val="00117E54"/>
    <w:rsid w:val="00117F2A"/>
    <w:rsid w:val="00120558"/>
    <w:rsid w:val="0012214F"/>
    <w:rsid w:val="00122594"/>
    <w:rsid w:val="0012370D"/>
    <w:rsid w:val="00124415"/>
    <w:rsid w:val="00124737"/>
    <w:rsid w:val="00125140"/>
    <w:rsid w:val="00126584"/>
    <w:rsid w:val="001265F2"/>
    <w:rsid w:val="001268C2"/>
    <w:rsid w:val="00126A88"/>
    <w:rsid w:val="001319E8"/>
    <w:rsid w:val="0013394D"/>
    <w:rsid w:val="001348AA"/>
    <w:rsid w:val="00135088"/>
    <w:rsid w:val="00135585"/>
    <w:rsid w:val="00135CAB"/>
    <w:rsid w:val="00136BC0"/>
    <w:rsid w:val="00136D86"/>
    <w:rsid w:val="00136E35"/>
    <w:rsid w:val="00137305"/>
    <w:rsid w:val="001376C5"/>
    <w:rsid w:val="00140267"/>
    <w:rsid w:val="00140635"/>
    <w:rsid w:val="001406B1"/>
    <w:rsid w:val="001419F7"/>
    <w:rsid w:val="00142553"/>
    <w:rsid w:val="00142960"/>
    <w:rsid w:val="00142B4B"/>
    <w:rsid w:val="00143049"/>
    <w:rsid w:val="001436C3"/>
    <w:rsid w:val="001439F7"/>
    <w:rsid w:val="00144924"/>
    <w:rsid w:val="00146405"/>
    <w:rsid w:val="001472A3"/>
    <w:rsid w:val="00150C87"/>
    <w:rsid w:val="00151983"/>
    <w:rsid w:val="001524D6"/>
    <w:rsid w:val="0015480C"/>
    <w:rsid w:val="00154AB2"/>
    <w:rsid w:val="00154CCB"/>
    <w:rsid w:val="001551A8"/>
    <w:rsid w:val="00155769"/>
    <w:rsid w:val="00155B90"/>
    <w:rsid w:val="00157958"/>
    <w:rsid w:val="00160B84"/>
    <w:rsid w:val="001618E4"/>
    <w:rsid w:val="00162AB9"/>
    <w:rsid w:val="00163FB9"/>
    <w:rsid w:val="001650E0"/>
    <w:rsid w:val="00165193"/>
    <w:rsid w:val="00166F79"/>
    <w:rsid w:val="001674A4"/>
    <w:rsid w:val="00170062"/>
    <w:rsid w:val="00170B3F"/>
    <w:rsid w:val="00171541"/>
    <w:rsid w:val="00171C9C"/>
    <w:rsid w:val="00172C8A"/>
    <w:rsid w:val="00173DF5"/>
    <w:rsid w:val="001765B1"/>
    <w:rsid w:val="00177433"/>
    <w:rsid w:val="0018003F"/>
    <w:rsid w:val="001806B6"/>
    <w:rsid w:val="00180EF4"/>
    <w:rsid w:val="00181B09"/>
    <w:rsid w:val="00181E29"/>
    <w:rsid w:val="0018266A"/>
    <w:rsid w:val="00182C3B"/>
    <w:rsid w:val="0018303A"/>
    <w:rsid w:val="001830D7"/>
    <w:rsid w:val="00183EC8"/>
    <w:rsid w:val="00184C3B"/>
    <w:rsid w:val="00185185"/>
    <w:rsid w:val="001856BB"/>
    <w:rsid w:val="0018580A"/>
    <w:rsid w:val="00186449"/>
    <w:rsid w:val="00187652"/>
    <w:rsid w:val="0019004E"/>
    <w:rsid w:val="00190DE9"/>
    <w:rsid w:val="001910BE"/>
    <w:rsid w:val="00191399"/>
    <w:rsid w:val="00191752"/>
    <w:rsid w:val="001919BF"/>
    <w:rsid w:val="001921A7"/>
    <w:rsid w:val="00193235"/>
    <w:rsid w:val="00193338"/>
    <w:rsid w:val="00193EC1"/>
    <w:rsid w:val="00194763"/>
    <w:rsid w:val="00195010"/>
    <w:rsid w:val="00196518"/>
    <w:rsid w:val="00196BE6"/>
    <w:rsid w:val="001973B9"/>
    <w:rsid w:val="00197EA9"/>
    <w:rsid w:val="001A0402"/>
    <w:rsid w:val="001A05BF"/>
    <w:rsid w:val="001A1193"/>
    <w:rsid w:val="001A1284"/>
    <w:rsid w:val="001A21FE"/>
    <w:rsid w:val="001A31CD"/>
    <w:rsid w:val="001A34E8"/>
    <w:rsid w:val="001A555F"/>
    <w:rsid w:val="001A57AB"/>
    <w:rsid w:val="001A5B9A"/>
    <w:rsid w:val="001A7E21"/>
    <w:rsid w:val="001B020F"/>
    <w:rsid w:val="001B1180"/>
    <w:rsid w:val="001B2959"/>
    <w:rsid w:val="001B2BDF"/>
    <w:rsid w:val="001B3717"/>
    <w:rsid w:val="001B40CA"/>
    <w:rsid w:val="001B41EF"/>
    <w:rsid w:val="001B5F7C"/>
    <w:rsid w:val="001B60A2"/>
    <w:rsid w:val="001B64E7"/>
    <w:rsid w:val="001B6D01"/>
    <w:rsid w:val="001B706B"/>
    <w:rsid w:val="001C0BD5"/>
    <w:rsid w:val="001C1510"/>
    <w:rsid w:val="001C1A61"/>
    <w:rsid w:val="001C1BDB"/>
    <w:rsid w:val="001C28CE"/>
    <w:rsid w:val="001C32AD"/>
    <w:rsid w:val="001C36A0"/>
    <w:rsid w:val="001C3E12"/>
    <w:rsid w:val="001C5278"/>
    <w:rsid w:val="001C557C"/>
    <w:rsid w:val="001C562D"/>
    <w:rsid w:val="001C6391"/>
    <w:rsid w:val="001C7325"/>
    <w:rsid w:val="001D0D29"/>
    <w:rsid w:val="001D0D72"/>
    <w:rsid w:val="001D1DA4"/>
    <w:rsid w:val="001D21D7"/>
    <w:rsid w:val="001D255B"/>
    <w:rsid w:val="001D2785"/>
    <w:rsid w:val="001D3289"/>
    <w:rsid w:val="001D4DFB"/>
    <w:rsid w:val="001D515F"/>
    <w:rsid w:val="001D53BA"/>
    <w:rsid w:val="001D557C"/>
    <w:rsid w:val="001D5655"/>
    <w:rsid w:val="001D57BD"/>
    <w:rsid w:val="001D6240"/>
    <w:rsid w:val="001D6D0C"/>
    <w:rsid w:val="001D7115"/>
    <w:rsid w:val="001D7D41"/>
    <w:rsid w:val="001E0060"/>
    <w:rsid w:val="001E114D"/>
    <w:rsid w:val="001E15E3"/>
    <w:rsid w:val="001E2431"/>
    <w:rsid w:val="001E29D0"/>
    <w:rsid w:val="001E31E9"/>
    <w:rsid w:val="001E3D45"/>
    <w:rsid w:val="001E3DD2"/>
    <w:rsid w:val="001E4B54"/>
    <w:rsid w:val="001E4BE0"/>
    <w:rsid w:val="001E5DAD"/>
    <w:rsid w:val="001E6501"/>
    <w:rsid w:val="001E6786"/>
    <w:rsid w:val="001E6B2D"/>
    <w:rsid w:val="001E6D1D"/>
    <w:rsid w:val="001F07CD"/>
    <w:rsid w:val="001F26EE"/>
    <w:rsid w:val="001F6FBF"/>
    <w:rsid w:val="0020044D"/>
    <w:rsid w:val="00200E5A"/>
    <w:rsid w:val="0020232E"/>
    <w:rsid w:val="00203B73"/>
    <w:rsid w:val="00204679"/>
    <w:rsid w:val="00204BE1"/>
    <w:rsid w:val="00204F72"/>
    <w:rsid w:val="00206003"/>
    <w:rsid w:val="00206542"/>
    <w:rsid w:val="002067D2"/>
    <w:rsid w:val="00206AAB"/>
    <w:rsid w:val="00207157"/>
    <w:rsid w:val="002075D8"/>
    <w:rsid w:val="002103BC"/>
    <w:rsid w:val="00210697"/>
    <w:rsid w:val="0021134A"/>
    <w:rsid w:val="00211DC6"/>
    <w:rsid w:val="00212B9E"/>
    <w:rsid w:val="002132EA"/>
    <w:rsid w:val="00213312"/>
    <w:rsid w:val="00213647"/>
    <w:rsid w:val="00213AB4"/>
    <w:rsid w:val="00216C35"/>
    <w:rsid w:val="00220A93"/>
    <w:rsid w:val="00221322"/>
    <w:rsid w:val="00221CAE"/>
    <w:rsid w:val="00222509"/>
    <w:rsid w:val="002225EB"/>
    <w:rsid w:val="0022296E"/>
    <w:rsid w:val="002234E9"/>
    <w:rsid w:val="00223C98"/>
    <w:rsid w:val="00223F87"/>
    <w:rsid w:val="00224700"/>
    <w:rsid w:val="002247B0"/>
    <w:rsid w:val="0022559F"/>
    <w:rsid w:val="002263C3"/>
    <w:rsid w:val="002312A6"/>
    <w:rsid w:val="002317E0"/>
    <w:rsid w:val="00231DCC"/>
    <w:rsid w:val="00231E72"/>
    <w:rsid w:val="002320CB"/>
    <w:rsid w:val="002328C0"/>
    <w:rsid w:val="00232AC9"/>
    <w:rsid w:val="002335F9"/>
    <w:rsid w:val="00234025"/>
    <w:rsid w:val="002351A6"/>
    <w:rsid w:val="0023688F"/>
    <w:rsid w:val="00236AAD"/>
    <w:rsid w:val="00236C7D"/>
    <w:rsid w:val="00237644"/>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D1"/>
    <w:rsid w:val="0025740A"/>
    <w:rsid w:val="00260405"/>
    <w:rsid w:val="00262714"/>
    <w:rsid w:val="00262E73"/>
    <w:rsid w:val="00262EC5"/>
    <w:rsid w:val="00262FB7"/>
    <w:rsid w:val="002630DC"/>
    <w:rsid w:val="00263506"/>
    <w:rsid w:val="002642B9"/>
    <w:rsid w:val="00265A50"/>
    <w:rsid w:val="00267355"/>
    <w:rsid w:val="00270A51"/>
    <w:rsid w:val="00270BE5"/>
    <w:rsid w:val="0027168F"/>
    <w:rsid w:val="002748FB"/>
    <w:rsid w:val="00276217"/>
    <w:rsid w:val="00280A78"/>
    <w:rsid w:val="00281D20"/>
    <w:rsid w:val="00281F41"/>
    <w:rsid w:val="00282379"/>
    <w:rsid w:val="0028442C"/>
    <w:rsid w:val="002852DF"/>
    <w:rsid w:val="00285696"/>
    <w:rsid w:val="002863C3"/>
    <w:rsid w:val="00286465"/>
    <w:rsid w:val="00286C62"/>
    <w:rsid w:val="002870F4"/>
    <w:rsid w:val="0028739F"/>
    <w:rsid w:val="002879C1"/>
    <w:rsid w:val="0029086A"/>
    <w:rsid w:val="002911DC"/>
    <w:rsid w:val="0029181C"/>
    <w:rsid w:val="00291999"/>
    <w:rsid w:val="002922E3"/>
    <w:rsid w:val="00292466"/>
    <w:rsid w:val="002925E2"/>
    <w:rsid w:val="00293F35"/>
    <w:rsid w:val="00294C7B"/>
    <w:rsid w:val="00295984"/>
    <w:rsid w:val="00295A02"/>
    <w:rsid w:val="00295A8F"/>
    <w:rsid w:val="00295D2B"/>
    <w:rsid w:val="00297AB6"/>
    <w:rsid w:val="00297CFC"/>
    <w:rsid w:val="002A0124"/>
    <w:rsid w:val="002A10E4"/>
    <w:rsid w:val="002A1A65"/>
    <w:rsid w:val="002A2144"/>
    <w:rsid w:val="002A2674"/>
    <w:rsid w:val="002A3199"/>
    <w:rsid w:val="002A3701"/>
    <w:rsid w:val="002A3BF2"/>
    <w:rsid w:val="002A437A"/>
    <w:rsid w:val="002A53DC"/>
    <w:rsid w:val="002A540C"/>
    <w:rsid w:val="002A61D7"/>
    <w:rsid w:val="002A6C51"/>
    <w:rsid w:val="002A7398"/>
    <w:rsid w:val="002B0D79"/>
    <w:rsid w:val="002B2580"/>
    <w:rsid w:val="002B2EAC"/>
    <w:rsid w:val="002B32DE"/>
    <w:rsid w:val="002B3ACE"/>
    <w:rsid w:val="002B40F2"/>
    <w:rsid w:val="002B465F"/>
    <w:rsid w:val="002B5A29"/>
    <w:rsid w:val="002B5D7E"/>
    <w:rsid w:val="002B63E3"/>
    <w:rsid w:val="002B6FE3"/>
    <w:rsid w:val="002C000D"/>
    <w:rsid w:val="002C0C2F"/>
    <w:rsid w:val="002C1065"/>
    <w:rsid w:val="002C1281"/>
    <w:rsid w:val="002C142D"/>
    <w:rsid w:val="002C1561"/>
    <w:rsid w:val="002C164A"/>
    <w:rsid w:val="002C2A26"/>
    <w:rsid w:val="002C3425"/>
    <w:rsid w:val="002C3786"/>
    <w:rsid w:val="002C3F02"/>
    <w:rsid w:val="002C4147"/>
    <w:rsid w:val="002C4D93"/>
    <w:rsid w:val="002C6407"/>
    <w:rsid w:val="002C6DE8"/>
    <w:rsid w:val="002C713B"/>
    <w:rsid w:val="002C7494"/>
    <w:rsid w:val="002C783C"/>
    <w:rsid w:val="002D0034"/>
    <w:rsid w:val="002D06A6"/>
    <w:rsid w:val="002D1450"/>
    <w:rsid w:val="002D1ADC"/>
    <w:rsid w:val="002D2494"/>
    <w:rsid w:val="002D268E"/>
    <w:rsid w:val="002D34C6"/>
    <w:rsid w:val="002D39F2"/>
    <w:rsid w:val="002D441D"/>
    <w:rsid w:val="002D4BEE"/>
    <w:rsid w:val="002D51FE"/>
    <w:rsid w:val="002D5554"/>
    <w:rsid w:val="002D5AB1"/>
    <w:rsid w:val="002D6858"/>
    <w:rsid w:val="002D6F1F"/>
    <w:rsid w:val="002D7508"/>
    <w:rsid w:val="002D7D0D"/>
    <w:rsid w:val="002E1799"/>
    <w:rsid w:val="002E281A"/>
    <w:rsid w:val="002E292D"/>
    <w:rsid w:val="002E492B"/>
    <w:rsid w:val="002E5277"/>
    <w:rsid w:val="002E5682"/>
    <w:rsid w:val="002E5DFC"/>
    <w:rsid w:val="002E5F69"/>
    <w:rsid w:val="002E6168"/>
    <w:rsid w:val="002E7F3A"/>
    <w:rsid w:val="002F26E5"/>
    <w:rsid w:val="002F298C"/>
    <w:rsid w:val="002F331A"/>
    <w:rsid w:val="002F363C"/>
    <w:rsid w:val="002F3D9F"/>
    <w:rsid w:val="002F3F3B"/>
    <w:rsid w:val="002F41B4"/>
    <w:rsid w:val="002F4449"/>
    <w:rsid w:val="002F491F"/>
    <w:rsid w:val="002F52D7"/>
    <w:rsid w:val="002F5C8D"/>
    <w:rsid w:val="002F77C6"/>
    <w:rsid w:val="00301147"/>
    <w:rsid w:val="00301740"/>
    <w:rsid w:val="00301B8D"/>
    <w:rsid w:val="003020B9"/>
    <w:rsid w:val="003029EC"/>
    <w:rsid w:val="00303700"/>
    <w:rsid w:val="003041C6"/>
    <w:rsid w:val="00304522"/>
    <w:rsid w:val="00304843"/>
    <w:rsid w:val="00304AF8"/>
    <w:rsid w:val="003058DF"/>
    <w:rsid w:val="00306793"/>
    <w:rsid w:val="00306A7D"/>
    <w:rsid w:val="003106C4"/>
    <w:rsid w:val="00310DB0"/>
    <w:rsid w:val="00312607"/>
    <w:rsid w:val="0031279F"/>
    <w:rsid w:val="00312BEA"/>
    <w:rsid w:val="003132D3"/>
    <w:rsid w:val="00313AE7"/>
    <w:rsid w:val="00315516"/>
    <w:rsid w:val="00315A45"/>
    <w:rsid w:val="00315E0E"/>
    <w:rsid w:val="003161C0"/>
    <w:rsid w:val="003204F0"/>
    <w:rsid w:val="00320C44"/>
    <w:rsid w:val="0032369A"/>
    <w:rsid w:val="00325D36"/>
    <w:rsid w:val="00326076"/>
    <w:rsid w:val="00326E2E"/>
    <w:rsid w:val="0032743E"/>
    <w:rsid w:val="00327916"/>
    <w:rsid w:val="00327DE5"/>
    <w:rsid w:val="00333F68"/>
    <w:rsid w:val="003348CB"/>
    <w:rsid w:val="00334993"/>
    <w:rsid w:val="00335BA0"/>
    <w:rsid w:val="00335E8A"/>
    <w:rsid w:val="00336293"/>
    <w:rsid w:val="003364E9"/>
    <w:rsid w:val="00337240"/>
    <w:rsid w:val="00337751"/>
    <w:rsid w:val="00340B55"/>
    <w:rsid w:val="00340EDB"/>
    <w:rsid w:val="003425F4"/>
    <w:rsid w:val="00344547"/>
    <w:rsid w:val="003465DE"/>
    <w:rsid w:val="00347209"/>
    <w:rsid w:val="003473AD"/>
    <w:rsid w:val="0034756D"/>
    <w:rsid w:val="00347D7E"/>
    <w:rsid w:val="00350404"/>
    <w:rsid w:val="00350DC1"/>
    <w:rsid w:val="00351264"/>
    <w:rsid w:val="00351458"/>
    <w:rsid w:val="00351E63"/>
    <w:rsid w:val="00353A7F"/>
    <w:rsid w:val="00353B56"/>
    <w:rsid w:val="003548DA"/>
    <w:rsid w:val="00354B43"/>
    <w:rsid w:val="0035537F"/>
    <w:rsid w:val="00355D73"/>
    <w:rsid w:val="00360965"/>
    <w:rsid w:val="003613BB"/>
    <w:rsid w:val="00361B5B"/>
    <w:rsid w:val="00361F28"/>
    <w:rsid w:val="003623E9"/>
    <w:rsid w:val="003627B7"/>
    <w:rsid w:val="0036366B"/>
    <w:rsid w:val="00363D5D"/>
    <w:rsid w:val="00363DDF"/>
    <w:rsid w:val="00364B90"/>
    <w:rsid w:val="00364E96"/>
    <w:rsid w:val="00365106"/>
    <w:rsid w:val="003653E4"/>
    <w:rsid w:val="00365518"/>
    <w:rsid w:val="003659B1"/>
    <w:rsid w:val="00366232"/>
    <w:rsid w:val="00367265"/>
    <w:rsid w:val="0036736F"/>
    <w:rsid w:val="00367449"/>
    <w:rsid w:val="00370CB2"/>
    <w:rsid w:val="003730E9"/>
    <w:rsid w:val="00374C7B"/>
    <w:rsid w:val="003755DB"/>
    <w:rsid w:val="003760BD"/>
    <w:rsid w:val="00376DA2"/>
    <w:rsid w:val="00377679"/>
    <w:rsid w:val="003803BB"/>
    <w:rsid w:val="00380657"/>
    <w:rsid w:val="003812C4"/>
    <w:rsid w:val="00382025"/>
    <w:rsid w:val="0038211A"/>
    <w:rsid w:val="00382545"/>
    <w:rsid w:val="003828F1"/>
    <w:rsid w:val="00385ED8"/>
    <w:rsid w:val="00386235"/>
    <w:rsid w:val="003863B5"/>
    <w:rsid w:val="00387C86"/>
    <w:rsid w:val="00390B25"/>
    <w:rsid w:val="00391E75"/>
    <w:rsid w:val="00392195"/>
    <w:rsid w:val="003925D3"/>
    <w:rsid w:val="00392E76"/>
    <w:rsid w:val="00392FA9"/>
    <w:rsid w:val="00393F5B"/>
    <w:rsid w:val="003952F5"/>
    <w:rsid w:val="00397498"/>
    <w:rsid w:val="003A078D"/>
    <w:rsid w:val="003A0A49"/>
    <w:rsid w:val="003A0B9F"/>
    <w:rsid w:val="003A13D3"/>
    <w:rsid w:val="003A19A6"/>
    <w:rsid w:val="003A2086"/>
    <w:rsid w:val="003A246A"/>
    <w:rsid w:val="003A367A"/>
    <w:rsid w:val="003A3968"/>
    <w:rsid w:val="003A3A05"/>
    <w:rsid w:val="003A4851"/>
    <w:rsid w:val="003A5822"/>
    <w:rsid w:val="003A6336"/>
    <w:rsid w:val="003A7E81"/>
    <w:rsid w:val="003B00CF"/>
    <w:rsid w:val="003B0887"/>
    <w:rsid w:val="003B169F"/>
    <w:rsid w:val="003B1C70"/>
    <w:rsid w:val="003B2AC1"/>
    <w:rsid w:val="003B3B69"/>
    <w:rsid w:val="003B3DED"/>
    <w:rsid w:val="003B4824"/>
    <w:rsid w:val="003B5A1F"/>
    <w:rsid w:val="003B7A92"/>
    <w:rsid w:val="003B7EC4"/>
    <w:rsid w:val="003C0040"/>
    <w:rsid w:val="003C0C4B"/>
    <w:rsid w:val="003C114C"/>
    <w:rsid w:val="003C2D80"/>
    <w:rsid w:val="003C3D2A"/>
    <w:rsid w:val="003C4AFD"/>
    <w:rsid w:val="003C55FF"/>
    <w:rsid w:val="003C59FB"/>
    <w:rsid w:val="003C6B03"/>
    <w:rsid w:val="003C75FB"/>
    <w:rsid w:val="003C77F0"/>
    <w:rsid w:val="003C77F7"/>
    <w:rsid w:val="003D052B"/>
    <w:rsid w:val="003D0656"/>
    <w:rsid w:val="003D09B6"/>
    <w:rsid w:val="003D28C5"/>
    <w:rsid w:val="003D29EF"/>
    <w:rsid w:val="003D2E46"/>
    <w:rsid w:val="003D34F1"/>
    <w:rsid w:val="003D3D9D"/>
    <w:rsid w:val="003D4A1E"/>
    <w:rsid w:val="003D5EC7"/>
    <w:rsid w:val="003D6739"/>
    <w:rsid w:val="003D729E"/>
    <w:rsid w:val="003D7FBE"/>
    <w:rsid w:val="003E225B"/>
    <w:rsid w:val="003E3304"/>
    <w:rsid w:val="003E3B52"/>
    <w:rsid w:val="003E3E8D"/>
    <w:rsid w:val="003E439B"/>
    <w:rsid w:val="003E4462"/>
    <w:rsid w:val="003E51FE"/>
    <w:rsid w:val="003E549F"/>
    <w:rsid w:val="003E5C34"/>
    <w:rsid w:val="003E65EB"/>
    <w:rsid w:val="003E6F4C"/>
    <w:rsid w:val="003E70E1"/>
    <w:rsid w:val="003E798E"/>
    <w:rsid w:val="003F0226"/>
    <w:rsid w:val="003F13DA"/>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2F9"/>
    <w:rsid w:val="004055B5"/>
    <w:rsid w:val="00405C49"/>
    <w:rsid w:val="004063E0"/>
    <w:rsid w:val="00406CA0"/>
    <w:rsid w:val="00406D78"/>
    <w:rsid w:val="004070EB"/>
    <w:rsid w:val="00407746"/>
    <w:rsid w:val="00410078"/>
    <w:rsid w:val="00410E12"/>
    <w:rsid w:val="00411055"/>
    <w:rsid w:val="004114C8"/>
    <w:rsid w:val="00411C43"/>
    <w:rsid w:val="00412110"/>
    <w:rsid w:val="00412FCF"/>
    <w:rsid w:val="004145B3"/>
    <w:rsid w:val="00414AF6"/>
    <w:rsid w:val="00414E3F"/>
    <w:rsid w:val="004159C2"/>
    <w:rsid w:val="00415D22"/>
    <w:rsid w:val="00416120"/>
    <w:rsid w:val="00416169"/>
    <w:rsid w:val="0041629F"/>
    <w:rsid w:val="00416D01"/>
    <w:rsid w:val="0041736C"/>
    <w:rsid w:val="004205E4"/>
    <w:rsid w:val="0042060E"/>
    <w:rsid w:val="00420955"/>
    <w:rsid w:val="0042118A"/>
    <w:rsid w:val="00423507"/>
    <w:rsid w:val="0042412A"/>
    <w:rsid w:val="004242DF"/>
    <w:rsid w:val="004243FC"/>
    <w:rsid w:val="00424861"/>
    <w:rsid w:val="004263E3"/>
    <w:rsid w:val="00427778"/>
    <w:rsid w:val="004303F8"/>
    <w:rsid w:val="0043115A"/>
    <w:rsid w:val="00431588"/>
    <w:rsid w:val="004324E0"/>
    <w:rsid w:val="004330B0"/>
    <w:rsid w:val="004335F2"/>
    <w:rsid w:val="00433F06"/>
    <w:rsid w:val="00434289"/>
    <w:rsid w:val="00434C2A"/>
    <w:rsid w:val="0043681B"/>
    <w:rsid w:val="00437DFD"/>
    <w:rsid w:val="00440971"/>
    <w:rsid w:val="0044139C"/>
    <w:rsid w:val="00441D59"/>
    <w:rsid w:val="004422BA"/>
    <w:rsid w:val="00443C27"/>
    <w:rsid w:val="00443C47"/>
    <w:rsid w:val="00444108"/>
    <w:rsid w:val="00446039"/>
    <w:rsid w:val="00446529"/>
    <w:rsid w:val="00446605"/>
    <w:rsid w:val="00446874"/>
    <w:rsid w:val="00446E37"/>
    <w:rsid w:val="00446FFE"/>
    <w:rsid w:val="00447137"/>
    <w:rsid w:val="00447406"/>
    <w:rsid w:val="00447674"/>
    <w:rsid w:val="00447F9B"/>
    <w:rsid w:val="004508EA"/>
    <w:rsid w:val="00450C58"/>
    <w:rsid w:val="00452533"/>
    <w:rsid w:val="00452C4B"/>
    <w:rsid w:val="0045393A"/>
    <w:rsid w:val="004547FE"/>
    <w:rsid w:val="00454D7D"/>
    <w:rsid w:val="00454E96"/>
    <w:rsid w:val="0045516C"/>
    <w:rsid w:val="00456972"/>
    <w:rsid w:val="00457C00"/>
    <w:rsid w:val="00460250"/>
    <w:rsid w:val="004636C3"/>
    <w:rsid w:val="0046625A"/>
    <w:rsid w:val="00467944"/>
    <w:rsid w:val="00470121"/>
    <w:rsid w:val="00470ED4"/>
    <w:rsid w:val="00472453"/>
    <w:rsid w:val="00473935"/>
    <w:rsid w:val="004746A8"/>
    <w:rsid w:val="00474B0D"/>
    <w:rsid w:val="00474C71"/>
    <w:rsid w:val="00474DEC"/>
    <w:rsid w:val="004750D7"/>
    <w:rsid w:val="00475236"/>
    <w:rsid w:val="00475CFA"/>
    <w:rsid w:val="00475F6E"/>
    <w:rsid w:val="0047664F"/>
    <w:rsid w:val="00480A9C"/>
    <w:rsid w:val="004828B7"/>
    <w:rsid w:val="004835ED"/>
    <w:rsid w:val="00483CA6"/>
    <w:rsid w:val="00483DD4"/>
    <w:rsid w:val="004857A5"/>
    <w:rsid w:val="00485FEB"/>
    <w:rsid w:val="00486474"/>
    <w:rsid w:val="00486678"/>
    <w:rsid w:val="0048667D"/>
    <w:rsid w:val="00486A9D"/>
    <w:rsid w:val="004878B4"/>
    <w:rsid w:val="00487E64"/>
    <w:rsid w:val="00490738"/>
    <w:rsid w:val="00491009"/>
    <w:rsid w:val="004911B4"/>
    <w:rsid w:val="004912C8"/>
    <w:rsid w:val="0049149A"/>
    <w:rsid w:val="00491750"/>
    <w:rsid w:val="00491A8C"/>
    <w:rsid w:val="00492837"/>
    <w:rsid w:val="00493E15"/>
    <w:rsid w:val="00493EE2"/>
    <w:rsid w:val="004943EA"/>
    <w:rsid w:val="00495EC3"/>
    <w:rsid w:val="00496F3D"/>
    <w:rsid w:val="004A0507"/>
    <w:rsid w:val="004A1DF6"/>
    <w:rsid w:val="004A1FB1"/>
    <w:rsid w:val="004A2B8A"/>
    <w:rsid w:val="004A30C6"/>
    <w:rsid w:val="004A35AE"/>
    <w:rsid w:val="004A4C1D"/>
    <w:rsid w:val="004A4C3D"/>
    <w:rsid w:val="004A4EAF"/>
    <w:rsid w:val="004A5715"/>
    <w:rsid w:val="004A5DA6"/>
    <w:rsid w:val="004A6541"/>
    <w:rsid w:val="004A65EF"/>
    <w:rsid w:val="004A74DD"/>
    <w:rsid w:val="004B1DEE"/>
    <w:rsid w:val="004B2647"/>
    <w:rsid w:val="004B2A01"/>
    <w:rsid w:val="004B486D"/>
    <w:rsid w:val="004B4C67"/>
    <w:rsid w:val="004B4FC2"/>
    <w:rsid w:val="004B5D47"/>
    <w:rsid w:val="004B60DC"/>
    <w:rsid w:val="004B6A2B"/>
    <w:rsid w:val="004B7406"/>
    <w:rsid w:val="004B7EAC"/>
    <w:rsid w:val="004C02A9"/>
    <w:rsid w:val="004C34B8"/>
    <w:rsid w:val="004C3B47"/>
    <w:rsid w:val="004C40E9"/>
    <w:rsid w:val="004C514E"/>
    <w:rsid w:val="004C63BE"/>
    <w:rsid w:val="004C6CB0"/>
    <w:rsid w:val="004C6F14"/>
    <w:rsid w:val="004C6F95"/>
    <w:rsid w:val="004C7208"/>
    <w:rsid w:val="004C776D"/>
    <w:rsid w:val="004C77DB"/>
    <w:rsid w:val="004D0E30"/>
    <w:rsid w:val="004D12D2"/>
    <w:rsid w:val="004D3A7C"/>
    <w:rsid w:val="004D4718"/>
    <w:rsid w:val="004D610D"/>
    <w:rsid w:val="004D6250"/>
    <w:rsid w:val="004D7AFA"/>
    <w:rsid w:val="004D7F17"/>
    <w:rsid w:val="004E143D"/>
    <w:rsid w:val="004E1AD5"/>
    <w:rsid w:val="004E1F5E"/>
    <w:rsid w:val="004E3E0A"/>
    <w:rsid w:val="004E4C76"/>
    <w:rsid w:val="004E5B17"/>
    <w:rsid w:val="004E5F64"/>
    <w:rsid w:val="004E74A2"/>
    <w:rsid w:val="004E76F0"/>
    <w:rsid w:val="004F06D9"/>
    <w:rsid w:val="004F12BB"/>
    <w:rsid w:val="004F15DC"/>
    <w:rsid w:val="004F15EB"/>
    <w:rsid w:val="004F27CB"/>
    <w:rsid w:val="004F296A"/>
    <w:rsid w:val="004F3079"/>
    <w:rsid w:val="004F329C"/>
    <w:rsid w:val="004F3E67"/>
    <w:rsid w:val="004F44A3"/>
    <w:rsid w:val="004F45FF"/>
    <w:rsid w:val="004F474B"/>
    <w:rsid w:val="004F4BA6"/>
    <w:rsid w:val="004F5C23"/>
    <w:rsid w:val="004F5DC3"/>
    <w:rsid w:val="004F5F99"/>
    <w:rsid w:val="004F61FF"/>
    <w:rsid w:val="004F66F3"/>
    <w:rsid w:val="004F6870"/>
    <w:rsid w:val="004F6A3F"/>
    <w:rsid w:val="004F6A58"/>
    <w:rsid w:val="004F7DF9"/>
    <w:rsid w:val="004F7EE9"/>
    <w:rsid w:val="00500594"/>
    <w:rsid w:val="005005B4"/>
    <w:rsid w:val="0050110A"/>
    <w:rsid w:val="00501A96"/>
    <w:rsid w:val="00501A98"/>
    <w:rsid w:val="00501CE6"/>
    <w:rsid w:val="005026DD"/>
    <w:rsid w:val="00503442"/>
    <w:rsid w:val="0050364F"/>
    <w:rsid w:val="00505841"/>
    <w:rsid w:val="00505B0A"/>
    <w:rsid w:val="00507D2E"/>
    <w:rsid w:val="0051094E"/>
    <w:rsid w:val="00511DDB"/>
    <w:rsid w:val="005124B0"/>
    <w:rsid w:val="00512DE2"/>
    <w:rsid w:val="005139A2"/>
    <w:rsid w:val="00514424"/>
    <w:rsid w:val="00514A87"/>
    <w:rsid w:val="00514F05"/>
    <w:rsid w:val="00515066"/>
    <w:rsid w:val="00515A50"/>
    <w:rsid w:val="0051605E"/>
    <w:rsid w:val="005178BC"/>
    <w:rsid w:val="0052128B"/>
    <w:rsid w:val="0052239B"/>
    <w:rsid w:val="00523E88"/>
    <w:rsid w:val="00524865"/>
    <w:rsid w:val="00526246"/>
    <w:rsid w:val="00527590"/>
    <w:rsid w:val="00530150"/>
    <w:rsid w:val="00530ACF"/>
    <w:rsid w:val="00531E7E"/>
    <w:rsid w:val="00532E57"/>
    <w:rsid w:val="00532E7D"/>
    <w:rsid w:val="005334A5"/>
    <w:rsid w:val="00534188"/>
    <w:rsid w:val="00534E7E"/>
    <w:rsid w:val="00536395"/>
    <w:rsid w:val="0053655D"/>
    <w:rsid w:val="00537326"/>
    <w:rsid w:val="00537843"/>
    <w:rsid w:val="0054057E"/>
    <w:rsid w:val="00540D87"/>
    <w:rsid w:val="005425FB"/>
    <w:rsid w:val="0054392C"/>
    <w:rsid w:val="0054392E"/>
    <w:rsid w:val="00543AB0"/>
    <w:rsid w:val="005440F4"/>
    <w:rsid w:val="005454AF"/>
    <w:rsid w:val="00547D29"/>
    <w:rsid w:val="00550961"/>
    <w:rsid w:val="0055127C"/>
    <w:rsid w:val="00551E74"/>
    <w:rsid w:val="00551FFF"/>
    <w:rsid w:val="00553D25"/>
    <w:rsid w:val="00553F4D"/>
    <w:rsid w:val="0055515B"/>
    <w:rsid w:val="00555EDB"/>
    <w:rsid w:val="00555FC6"/>
    <w:rsid w:val="00556462"/>
    <w:rsid w:val="00557C92"/>
    <w:rsid w:val="00560224"/>
    <w:rsid w:val="00560234"/>
    <w:rsid w:val="00560441"/>
    <w:rsid w:val="00560F21"/>
    <w:rsid w:val="00560F5C"/>
    <w:rsid w:val="0056126F"/>
    <w:rsid w:val="00561E40"/>
    <w:rsid w:val="00562C75"/>
    <w:rsid w:val="00562EE4"/>
    <w:rsid w:val="005630EB"/>
    <w:rsid w:val="00563386"/>
    <w:rsid w:val="00563537"/>
    <w:rsid w:val="00563F13"/>
    <w:rsid w:val="0056427A"/>
    <w:rsid w:val="00564C0D"/>
    <w:rsid w:val="00565518"/>
    <w:rsid w:val="00565818"/>
    <w:rsid w:val="00566290"/>
    <w:rsid w:val="00566DE7"/>
    <w:rsid w:val="005671D2"/>
    <w:rsid w:val="00567883"/>
    <w:rsid w:val="00567F26"/>
    <w:rsid w:val="00571D48"/>
    <w:rsid w:val="00572C30"/>
    <w:rsid w:val="00572E55"/>
    <w:rsid w:val="00573525"/>
    <w:rsid w:val="00574412"/>
    <w:rsid w:val="00574829"/>
    <w:rsid w:val="005748E3"/>
    <w:rsid w:val="00577489"/>
    <w:rsid w:val="0057751A"/>
    <w:rsid w:val="00577E50"/>
    <w:rsid w:val="00580808"/>
    <w:rsid w:val="005815DD"/>
    <w:rsid w:val="005825F5"/>
    <w:rsid w:val="00583E98"/>
    <w:rsid w:val="00584534"/>
    <w:rsid w:val="00586023"/>
    <w:rsid w:val="00586F61"/>
    <w:rsid w:val="00587AE6"/>
    <w:rsid w:val="00591E00"/>
    <w:rsid w:val="00592D0A"/>
    <w:rsid w:val="0059358E"/>
    <w:rsid w:val="00593ADC"/>
    <w:rsid w:val="00594A19"/>
    <w:rsid w:val="00594B36"/>
    <w:rsid w:val="00595CA3"/>
    <w:rsid w:val="00596114"/>
    <w:rsid w:val="005973EE"/>
    <w:rsid w:val="005974D2"/>
    <w:rsid w:val="005A098A"/>
    <w:rsid w:val="005A0EA7"/>
    <w:rsid w:val="005A15A2"/>
    <w:rsid w:val="005A15C8"/>
    <w:rsid w:val="005A2D27"/>
    <w:rsid w:val="005A387A"/>
    <w:rsid w:val="005A3A9D"/>
    <w:rsid w:val="005A4378"/>
    <w:rsid w:val="005A4FCC"/>
    <w:rsid w:val="005A53A0"/>
    <w:rsid w:val="005A546F"/>
    <w:rsid w:val="005A5F07"/>
    <w:rsid w:val="005A6F61"/>
    <w:rsid w:val="005A739F"/>
    <w:rsid w:val="005B0E07"/>
    <w:rsid w:val="005B1138"/>
    <w:rsid w:val="005B181C"/>
    <w:rsid w:val="005B200B"/>
    <w:rsid w:val="005B2C28"/>
    <w:rsid w:val="005B3861"/>
    <w:rsid w:val="005B41F4"/>
    <w:rsid w:val="005B46AF"/>
    <w:rsid w:val="005B516A"/>
    <w:rsid w:val="005B5A5B"/>
    <w:rsid w:val="005B6B80"/>
    <w:rsid w:val="005B6D6E"/>
    <w:rsid w:val="005B6ED9"/>
    <w:rsid w:val="005B71E9"/>
    <w:rsid w:val="005B758C"/>
    <w:rsid w:val="005B7BA8"/>
    <w:rsid w:val="005C00F1"/>
    <w:rsid w:val="005C1E46"/>
    <w:rsid w:val="005C3298"/>
    <w:rsid w:val="005C3547"/>
    <w:rsid w:val="005C4150"/>
    <w:rsid w:val="005C448B"/>
    <w:rsid w:val="005C49B7"/>
    <w:rsid w:val="005C5D49"/>
    <w:rsid w:val="005C7AE1"/>
    <w:rsid w:val="005D09FB"/>
    <w:rsid w:val="005D0A72"/>
    <w:rsid w:val="005D0C2F"/>
    <w:rsid w:val="005D1102"/>
    <w:rsid w:val="005D12BC"/>
    <w:rsid w:val="005D13BA"/>
    <w:rsid w:val="005D1D3E"/>
    <w:rsid w:val="005D2DE4"/>
    <w:rsid w:val="005D31AD"/>
    <w:rsid w:val="005D396E"/>
    <w:rsid w:val="005D4359"/>
    <w:rsid w:val="005D4ADE"/>
    <w:rsid w:val="005D5287"/>
    <w:rsid w:val="005D59E4"/>
    <w:rsid w:val="005D5F9F"/>
    <w:rsid w:val="005D60F2"/>
    <w:rsid w:val="005D7511"/>
    <w:rsid w:val="005E0066"/>
    <w:rsid w:val="005E1CC9"/>
    <w:rsid w:val="005E2304"/>
    <w:rsid w:val="005E24A8"/>
    <w:rsid w:val="005E34C9"/>
    <w:rsid w:val="005E4F2B"/>
    <w:rsid w:val="005E51DC"/>
    <w:rsid w:val="005E5502"/>
    <w:rsid w:val="005E5D3B"/>
    <w:rsid w:val="005E65E6"/>
    <w:rsid w:val="005E6F0D"/>
    <w:rsid w:val="005E7504"/>
    <w:rsid w:val="005F0A4B"/>
    <w:rsid w:val="005F168E"/>
    <w:rsid w:val="005F1ECE"/>
    <w:rsid w:val="005F214E"/>
    <w:rsid w:val="005F2665"/>
    <w:rsid w:val="005F2A43"/>
    <w:rsid w:val="005F34DF"/>
    <w:rsid w:val="005F37DE"/>
    <w:rsid w:val="005F3A45"/>
    <w:rsid w:val="005F4164"/>
    <w:rsid w:val="005F4547"/>
    <w:rsid w:val="005F4F04"/>
    <w:rsid w:val="005F5E6A"/>
    <w:rsid w:val="005F6714"/>
    <w:rsid w:val="005F6D1D"/>
    <w:rsid w:val="005F7D82"/>
    <w:rsid w:val="00600088"/>
    <w:rsid w:val="00601370"/>
    <w:rsid w:val="00601766"/>
    <w:rsid w:val="00601927"/>
    <w:rsid w:val="00601A77"/>
    <w:rsid w:val="00602292"/>
    <w:rsid w:val="0060309F"/>
    <w:rsid w:val="0060376B"/>
    <w:rsid w:val="00605036"/>
    <w:rsid w:val="0060527A"/>
    <w:rsid w:val="00605F34"/>
    <w:rsid w:val="00606716"/>
    <w:rsid w:val="00607B47"/>
    <w:rsid w:val="00610141"/>
    <w:rsid w:val="0061073B"/>
    <w:rsid w:val="00611894"/>
    <w:rsid w:val="00611D09"/>
    <w:rsid w:val="00612184"/>
    <w:rsid w:val="006133C4"/>
    <w:rsid w:val="006172AB"/>
    <w:rsid w:val="00617391"/>
    <w:rsid w:val="006173EE"/>
    <w:rsid w:val="006219AD"/>
    <w:rsid w:val="00621FCA"/>
    <w:rsid w:val="0062209D"/>
    <w:rsid w:val="006224B1"/>
    <w:rsid w:val="00622D37"/>
    <w:rsid w:val="006233C7"/>
    <w:rsid w:val="00623B04"/>
    <w:rsid w:val="00623D4E"/>
    <w:rsid w:val="00624784"/>
    <w:rsid w:val="00625A49"/>
    <w:rsid w:val="006262AF"/>
    <w:rsid w:val="00627166"/>
    <w:rsid w:val="00627A7D"/>
    <w:rsid w:val="00627B14"/>
    <w:rsid w:val="006301C3"/>
    <w:rsid w:val="00630BD3"/>
    <w:rsid w:val="00630FAA"/>
    <w:rsid w:val="00632782"/>
    <w:rsid w:val="00632D2B"/>
    <w:rsid w:val="0063344B"/>
    <w:rsid w:val="006339BE"/>
    <w:rsid w:val="0063404B"/>
    <w:rsid w:val="00634355"/>
    <w:rsid w:val="00634DBB"/>
    <w:rsid w:val="006351B5"/>
    <w:rsid w:val="00635E31"/>
    <w:rsid w:val="0064041C"/>
    <w:rsid w:val="0064066E"/>
    <w:rsid w:val="00641602"/>
    <w:rsid w:val="00641907"/>
    <w:rsid w:val="0064203F"/>
    <w:rsid w:val="00642AC0"/>
    <w:rsid w:val="00643C7E"/>
    <w:rsid w:val="0064493D"/>
    <w:rsid w:val="00644C00"/>
    <w:rsid w:val="00645764"/>
    <w:rsid w:val="006461BE"/>
    <w:rsid w:val="006469F2"/>
    <w:rsid w:val="006502FD"/>
    <w:rsid w:val="0065147C"/>
    <w:rsid w:val="006534C0"/>
    <w:rsid w:val="00653D99"/>
    <w:rsid w:val="0065502A"/>
    <w:rsid w:val="006552D5"/>
    <w:rsid w:val="0065534B"/>
    <w:rsid w:val="00656476"/>
    <w:rsid w:val="006564BE"/>
    <w:rsid w:val="006568E8"/>
    <w:rsid w:val="00660A49"/>
    <w:rsid w:val="00662010"/>
    <w:rsid w:val="00662407"/>
    <w:rsid w:val="0066257B"/>
    <w:rsid w:val="00662ADF"/>
    <w:rsid w:val="0066533D"/>
    <w:rsid w:val="006656D8"/>
    <w:rsid w:val="006665CF"/>
    <w:rsid w:val="00667252"/>
    <w:rsid w:val="00667693"/>
    <w:rsid w:val="00667A58"/>
    <w:rsid w:val="006704D6"/>
    <w:rsid w:val="00670861"/>
    <w:rsid w:val="006711C2"/>
    <w:rsid w:val="0067149F"/>
    <w:rsid w:val="00671847"/>
    <w:rsid w:val="0067211F"/>
    <w:rsid w:val="00672773"/>
    <w:rsid w:val="006729DD"/>
    <w:rsid w:val="00672CB8"/>
    <w:rsid w:val="006732E1"/>
    <w:rsid w:val="0067601E"/>
    <w:rsid w:val="006765AA"/>
    <w:rsid w:val="00677BDB"/>
    <w:rsid w:val="00680FFD"/>
    <w:rsid w:val="00681696"/>
    <w:rsid w:val="0068236A"/>
    <w:rsid w:val="0068251D"/>
    <w:rsid w:val="00682726"/>
    <w:rsid w:val="00684131"/>
    <w:rsid w:val="00684564"/>
    <w:rsid w:val="006846C2"/>
    <w:rsid w:val="00684D58"/>
    <w:rsid w:val="006855D8"/>
    <w:rsid w:val="006858EA"/>
    <w:rsid w:val="0068680C"/>
    <w:rsid w:val="0069019F"/>
    <w:rsid w:val="00690C70"/>
    <w:rsid w:val="00691728"/>
    <w:rsid w:val="00691D75"/>
    <w:rsid w:val="00692B55"/>
    <w:rsid w:val="00692DAF"/>
    <w:rsid w:val="00694E7B"/>
    <w:rsid w:val="00696B0D"/>
    <w:rsid w:val="006A0B20"/>
    <w:rsid w:val="006A0F8C"/>
    <w:rsid w:val="006A11D4"/>
    <w:rsid w:val="006A17F6"/>
    <w:rsid w:val="006A1A1B"/>
    <w:rsid w:val="006A2C45"/>
    <w:rsid w:val="006A38C3"/>
    <w:rsid w:val="006A407B"/>
    <w:rsid w:val="006A4402"/>
    <w:rsid w:val="006A722D"/>
    <w:rsid w:val="006A7647"/>
    <w:rsid w:val="006B0660"/>
    <w:rsid w:val="006B0AB0"/>
    <w:rsid w:val="006B2492"/>
    <w:rsid w:val="006B306F"/>
    <w:rsid w:val="006B3309"/>
    <w:rsid w:val="006B3E45"/>
    <w:rsid w:val="006B4497"/>
    <w:rsid w:val="006B4A26"/>
    <w:rsid w:val="006B55BF"/>
    <w:rsid w:val="006B578D"/>
    <w:rsid w:val="006B60DE"/>
    <w:rsid w:val="006B61C9"/>
    <w:rsid w:val="006B65BF"/>
    <w:rsid w:val="006B67D5"/>
    <w:rsid w:val="006B6D0E"/>
    <w:rsid w:val="006B7D5C"/>
    <w:rsid w:val="006B7FDF"/>
    <w:rsid w:val="006C1496"/>
    <w:rsid w:val="006C184A"/>
    <w:rsid w:val="006C3465"/>
    <w:rsid w:val="006C3BAA"/>
    <w:rsid w:val="006C429C"/>
    <w:rsid w:val="006C43DC"/>
    <w:rsid w:val="006C597F"/>
    <w:rsid w:val="006D00CC"/>
    <w:rsid w:val="006D03AD"/>
    <w:rsid w:val="006D0BA7"/>
    <w:rsid w:val="006D143A"/>
    <w:rsid w:val="006D14D0"/>
    <w:rsid w:val="006D17EB"/>
    <w:rsid w:val="006D4421"/>
    <w:rsid w:val="006D484F"/>
    <w:rsid w:val="006D48E6"/>
    <w:rsid w:val="006D4964"/>
    <w:rsid w:val="006D4BF1"/>
    <w:rsid w:val="006D64AA"/>
    <w:rsid w:val="006D680A"/>
    <w:rsid w:val="006D6AB2"/>
    <w:rsid w:val="006D6DA3"/>
    <w:rsid w:val="006D7280"/>
    <w:rsid w:val="006D791A"/>
    <w:rsid w:val="006E0284"/>
    <w:rsid w:val="006E0ABA"/>
    <w:rsid w:val="006E0FBF"/>
    <w:rsid w:val="006E11D0"/>
    <w:rsid w:val="006E2151"/>
    <w:rsid w:val="006E2748"/>
    <w:rsid w:val="006E3285"/>
    <w:rsid w:val="006E3658"/>
    <w:rsid w:val="006E365F"/>
    <w:rsid w:val="006E40C2"/>
    <w:rsid w:val="006E4D42"/>
    <w:rsid w:val="006E5341"/>
    <w:rsid w:val="006E6CBF"/>
    <w:rsid w:val="006E7817"/>
    <w:rsid w:val="006E7971"/>
    <w:rsid w:val="006F0EF2"/>
    <w:rsid w:val="006F20B8"/>
    <w:rsid w:val="006F2108"/>
    <w:rsid w:val="006F2616"/>
    <w:rsid w:val="006F3137"/>
    <w:rsid w:val="006F33F7"/>
    <w:rsid w:val="006F41A7"/>
    <w:rsid w:val="006F4CFE"/>
    <w:rsid w:val="006F4F36"/>
    <w:rsid w:val="006F62A0"/>
    <w:rsid w:val="006F6D6D"/>
    <w:rsid w:val="006F74A7"/>
    <w:rsid w:val="006F7E79"/>
    <w:rsid w:val="007029BA"/>
    <w:rsid w:val="00703E15"/>
    <w:rsid w:val="007041D3"/>
    <w:rsid w:val="00704940"/>
    <w:rsid w:val="00704FCC"/>
    <w:rsid w:val="0070617E"/>
    <w:rsid w:val="0070754A"/>
    <w:rsid w:val="00710CCB"/>
    <w:rsid w:val="007110C2"/>
    <w:rsid w:val="007113C1"/>
    <w:rsid w:val="0071213B"/>
    <w:rsid w:val="00715400"/>
    <w:rsid w:val="0071568D"/>
    <w:rsid w:val="007157E7"/>
    <w:rsid w:val="00715958"/>
    <w:rsid w:val="00715DDD"/>
    <w:rsid w:val="007165C2"/>
    <w:rsid w:val="0071796B"/>
    <w:rsid w:val="00717C73"/>
    <w:rsid w:val="007204F2"/>
    <w:rsid w:val="00721A70"/>
    <w:rsid w:val="00721E69"/>
    <w:rsid w:val="00722406"/>
    <w:rsid w:val="007231B2"/>
    <w:rsid w:val="00723676"/>
    <w:rsid w:val="00724A23"/>
    <w:rsid w:val="00725068"/>
    <w:rsid w:val="00725ED6"/>
    <w:rsid w:val="00727BAE"/>
    <w:rsid w:val="00727D24"/>
    <w:rsid w:val="00730113"/>
    <w:rsid w:val="00730849"/>
    <w:rsid w:val="00730DCB"/>
    <w:rsid w:val="00730FDE"/>
    <w:rsid w:val="00731177"/>
    <w:rsid w:val="00731B54"/>
    <w:rsid w:val="00731C63"/>
    <w:rsid w:val="00731EEB"/>
    <w:rsid w:val="00732BD3"/>
    <w:rsid w:val="0073366A"/>
    <w:rsid w:val="00734750"/>
    <w:rsid w:val="007351B1"/>
    <w:rsid w:val="00736BEF"/>
    <w:rsid w:val="0074009A"/>
    <w:rsid w:val="00743361"/>
    <w:rsid w:val="00743933"/>
    <w:rsid w:val="00744202"/>
    <w:rsid w:val="00744233"/>
    <w:rsid w:val="007442DE"/>
    <w:rsid w:val="00744B6C"/>
    <w:rsid w:val="00744E40"/>
    <w:rsid w:val="00745344"/>
    <w:rsid w:val="00745E0D"/>
    <w:rsid w:val="00746981"/>
    <w:rsid w:val="00746C3C"/>
    <w:rsid w:val="00746DC9"/>
    <w:rsid w:val="00747E32"/>
    <w:rsid w:val="007502EA"/>
    <w:rsid w:val="0075063E"/>
    <w:rsid w:val="00751A8D"/>
    <w:rsid w:val="00751BF2"/>
    <w:rsid w:val="00751DD8"/>
    <w:rsid w:val="00752443"/>
    <w:rsid w:val="0075330C"/>
    <w:rsid w:val="0075343A"/>
    <w:rsid w:val="007541CB"/>
    <w:rsid w:val="00755118"/>
    <w:rsid w:val="0075576B"/>
    <w:rsid w:val="00755EA6"/>
    <w:rsid w:val="0075623F"/>
    <w:rsid w:val="007569B6"/>
    <w:rsid w:val="00757190"/>
    <w:rsid w:val="0075796D"/>
    <w:rsid w:val="00760B8D"/>
    <w:rsid w:val="00760F57"/>
    <w:rsid w:val="0076196A"/>
    <w:rsid w:val="007621D0"/>
    <w:rsid w:val="00762FC3"/>
    <w:rsid w:val="007634AE"/>
    <w:rsid w:val="007662D3"/>
    <w:rsid w:val="00766DD9"/>
    <w:rsid w:val="00766E75"/>
    <w:rsid w:val="00767ACF"/>
    <w:rsid w:val="00767B98"/>
    <w:rsid w:val="00770268"/>
    <w:rsid w:val="00772343"/>
    <w:rsid w:val="007726F9"/>
    <w:rsid w:val="00773C15"/>
    <w:rsid w:val="00773C58"/>
    <w:rsid w:val="00774505"/>
    <w:rsid w:val="00774D2E"/>
    <w:rsid w:val="0077538B"/>
    <w:rsid w:val="007758BC"/>
    <w:rsid w:val="00775F31"/>
    <w:rsid w:val="00777FF2"/>
    <w:rsid w:val="007807B5"/>
    <w:rsid w:val="00780B21"/>
    <w:rsid w:val="007813EF"/>
    <w:rsid w:val="00781CC4"/>
    <w:rsid w:val="00784275"/>
    <w:rsid w:val="00784B6A"/>
    <w:rsid w:val="00784DAB"/>
    <w:rsid w:val="00785237"/>
    <w:rsid w:val="00785456"/>
    <w:rsid w:val="00785786"/>
    <w:rsid w:val="007862B0"/>
    <w:rsid w:val="00786B60"/>
    <w:rsid w:val="00786DC4"/>
    <w:rsid w:val="00787345"/>
    <w:rsid w:val="0078735F"/>
    <w:rsid w:val="00787770"/>
    <w:rsid w:val="0078784C"/>
    <w:rsid w:val="00787D4C"/>
    <w:rsid w:val="00791874"/>
    <w:rsid w:val="00791E92"/>
    <w:rsid w:val="007928AF"/>
    <w:rsid w:val="007933A4"/>
    <w:rsid w:val="00793C3E"/>
    <w:rsid w:val="00793D4B"/>
    <w:rsid w:val="007948DE"/>
    <w:rsid w:val="00795680"/>
    <w:rsid w:val="00796AC5"/>
    <w:rsid w:val="00796AFF"/>
    <w:rsid w:val="00797053"/>
    <w:rsid w:val="0079786D"/>
    <w:rsid w:val="007A0B3A"/>
    <w:rsid w:val="007A1140"/>
    <w:rsid w:val="007A270D"/>
    <w:rsid w:val="007A32DD"/>
    <w:rsid w:val="007A4355"/>
    <w:rsid w:val="007A4841"/>
    <w:rsid w:val="007A6217"/>
    <w:rsid w:val="007A7320"/>
    <w:rsid w:val="007A7D30"/>
    <w:rsid w:val="007B05AE"/>
    <w:rsid w:val="007B0782"/>
    <w:rsid w:val="007B204A"/>
    <w:rsid w:val="007B2368"/>
    <w:rsid w:val="007B2415"/>
    <w:rsid w:val="007B2C13"/>
    <w:rsid w:val="007B4008"/>
    <w:rsid w:val="007B75C4"/>
    <w:rsid w:val="007C00D8"/>
    <w:rsid w:val="007C1E15"/>
    <w:rsid w:val="007C20A3"/>
    <w:rsid w:val="007C213F"/>
    <w:rsid w:val="007C3F97"/>
    <w:rsid w:val="007C44A0"/>
    <w:rsid w:val="007C61F7"/>
    <w:rsid w:val="007C6E4D"/>
    <w:rsid w:val="007D10FF"/>
    <w:rsid w:val="007D239E"/>
    <w:rsid w:val="007D2826"/>
    <w:rsid w:val="007D29C5"/>
    <w:rsid w:val="007D453B"/>
    <w:rsid w:val="007D45E1"/>
    <w:rsid w:val="007D535C"/>
    <w:rsid w:val="007D60C7"/>
    <w:rsid w:val="007D6E6D"/>
    <w:rsid w:val="007D71B1"/>
    <w:rsid w:val="007D79AF"/>
    <w:rsid w:val="007D7C17"/>
    <w:rsid w:val="007E0044"/>
    <w:rsid w:val="007E01D5"/>
    <w:rsid w:val="007E12AC"/>
    <w:rsid w:val="007E1353"/>
    <w:rsid w:val="007E13C2"/>
    <w:rsid w:val="007E2085"/>
    <w:rsid w:val="007E2F63"/>
    <w:rsid w:val="007E330E"/>
    <w:rsid w:val="007E3CB1"/>
    <w:rsid w:val="007E52C5"/>
    <w:rsid w:val="007E5374"/>
    <w:rsid w:val="007E6C10"/>
    <w:rsid w:val="007E6F31"/>
    <w:rsid w:val="007E6F91"/>
    <w:rsid w:val="007E7852"/>
    <w:rsid w:val="007E7B35"/>
    <w:rsid w:val="007E7BEE"/>
    <w:rsid w:val="007E7F0B"/>
    <w:rsid w:val="007F093C"/>
    <w:rsid w:val="007F1B73"/>
    <w:rsid w:val="007F2957"/>
    <w:rsid w:val="007F2F0E"/>
    <w:rsid w:val="007F2FEB"/>
    <w:rsid w:val="007F36F0"/>
    <w:rsid w:val="007F3EA0"/>
    <w:rsid w:val="007F55B1"/>
    <w:rsid w:val="007F666C"/>
    <w:rsid w:val="007F77F3"/>
    <w:rsid w:val="007F7B22"/>
    <w:rsid w:val="007F7C14"/>
    <w:rsid w:val="00800F00"/>
    <w:rsid w:val="008011B2"/>
    <w:rsid w:val="008015B6"/>
    <w:rsid w:val="00801F11"/>
    <w:rsid w:val="00801F94"/>
    <w:rsid w:val="008028F5"/>
    <w:rsid w:val="008049DB"/>
    <w:rsid w:val="008055C4"/>
    <w:rsid w:val="00805EF7"/>
    <w:rsid w:val="00807976"/>
    <w:rsid w:val="00807979"/>
    <w:rsid w:val="0081265A"/>
    <w:rsid w:val="00812AE8"/>
    <w:rsid w:val="008133FB"/>
    <w:rsid w:val="00814452"/>
    <w:rsid w:val="0081450B"/>
    <w:rsid w:val="00814E2D"/>
    <w:rsid w:val="0081674F"/>
    <w:rsid w:val="00820291"/>
    <w:rsid w:val="00820449"/>
    <w:rsid w:val="008206F3"/>
    <w:rsid w:val="00820EE5"/>
    <w:rsid w:val="008220DC"/>
    <w:rsid w:val="0082302C"/>
    <w:rsid w:val="008248EC"/>
    <w:rsid w:val="00825020"/>
    <w:rsid w:val="00825D15"/>
    <w:rsid w:val="00825F36"/>
    <w:rsid w:val="00827213"/>
    <w:rsid w:val="00827FC6"/>
    <w:rsid w:val="008300E8"/>
    <w:rsid w:val="008309E0"/>
    <w:rsid w:val="00830BA4"/>
    <w:rsid w:val="00831036"/>
    <w:rsid w:val="0083301F"/>
    <w:rsid w:val="00833231"/>
    <w:rsid w:val="00834B82"/>
    <w:rsid w:val="00835586"/>
    <w:rsid w:val="0083560A"/>
    <w:rsid w:val="00835C99"/>
    <w:rsid w:val="00835DEE"/>
    <w:rsid w:val="00835E98"/>
    <w:rsid w:val="00837C65"/>
    <w:rsid w:val="00837EDF"/>
    <w:rsid w:val="008404EA"/>
    <w:rsid w:val="00840BDD"/>
    <w:rsid w:val="00841386"/>
    <w:rsid w:val="00841500"/>
    <w:rsid w:val="008417F3"/>
    <w:rsid w:val="0084187D"/>
    <w:rsid w:val="0084193A"/>
    <w:rsid w:val="00842208"/>
    <w:rsid w:val="008428C1"/>
    <w:rsid w:val="00842A28"/>
    <w:rsid w:val="00842D1E"/>
    <w:rsid w:val="00842F19"/>
    <w:rsid w:val="008430B6"/>
    <w:rsid w:val="00844136"/>
    <w:rsid w:val="008447F4"/>
    <w:rsid w:val="00844939"/>
    <w:rsid w:val="008449C0"/>
    <w:rsid w:val="00845914"/>
    <w:rsid w:val="00845B5B"/>
    <w:rsid w:val="00845C47"/>
    <w:rsid w:val="00845ECD"/>
    <w:rsid w:val="00846045"/>
    <w:rsid w:val="0084673C"/>
    <w:rsid w:val="00847292"/>
    <w:rsid w:val="008476EB"/>
    <w:rsid w:val="008478DF"/>
    <w:rsid w:val="00847EFF"/>
    <w:rsid w:val="00851444"/>
    <w:rsid w:val="0085162A"/>
    <w:rsid w:val="00851F81"/>
    <w:rsid w:val="00854BF5"/>
    <w:rsid w:val="00855286"/>
    <w:rsid w:val="00855B36"/>
    <w:rsid w:val="00855D28"/>
    <w:rsid w:val="00860754"/>
    <w:rsid w:val="00862CC9"/>
    <w:rsid w:val="008630B7"/>
    <w:rsid w:val="008637F1"/>
    <w:rsid w:val="00864813"/>
    <w:rsid w:val="00864C10"/>
    <w:rsid w:val="00865546"/>
    <w:rsid w:val="008655BC"/>
    <w:rsid w:val="008657F2"/>
    <w:rsid w:val="00865E8A"/>
    <w:rsid w:val="00866FE6"/>
    <w:rsid w:val="00867BA0"/>
    <w:rsid w:val="008702BC"/>
    <w:rsid w:val="00870994"/>
    <w:rsid w:val="00870B27"/>
    <w:rsid w:val="00870BCD"/>
    <w:rsid w:val="008728F0"/>
    <w:rsid w:val="00873DC6"/>
    <w:rsid w:val="0087570D"/>
    <w:rsid w:val="008757DB"/>
    <w:rsid w:val="00875BC9"/>
    <w:rsid w:val="00875CEE"/>
    <w:rsid w:val="00876D6A"/>
    <w:rsid w:val="008776A8"/>
    <w:rsid w:val="0087793E"/>
    <w:rsid w:val="00880677"/>
    <w:rsid w:val="00882293"/>
    <w:rsid w:val="00882D62"/>
    <w:rsid w:val="008831CE"/>
    <w:rsid w:val="008834DB"/>
    <w:rsid w:val="00883693"/>
    <w:rsid w:val="00884C40"/>
    <w:rsid w:val="00885033"/>
    <w:rsid w:val="0088674B"/>
    <w:rsid w:val="0088677C"/>
    <w:rsid w:val="008874C6"/>
    <w:rsid w:val="00890A31"/>
    <w:rsid w:val="00890BF5"/>
    <w:rsid w:val="00890E83"/>
    <w:rsid w:val="00890EB0"/>
    <w:rsid w:val="008919AB"/>
    <w:rsid w:val="008927F6"/>
    <w:rsid w:val="008932C9"/>
    <w:rsid w:val="008934A3"/>
    <w:rsid w:val="008934CC"/>
    <w:rsid w:val="00894146"/>
    <w:rsid w:val="008948D8"/>
    <w:rsid w:val="00897139"/>
    <w:rsid w:val="00897B64"/>
    <w:rsid w:val="008A0282"/>
    <w:rsid w:val="008A094A"/>
    <w:rsid w:val="008A1206"/>
    <w:rsid w:val="008A1717"/>
    <w:rsid w:val="008A1D41"/>
    <w:rsid w:val="008A35AD"/>
    <w:rsid w:val="008A370B"/>
    <w:rsid w:val="008A49FE"/>
    <w:rsid w:val="008A4B6E"/>
    <w:rsid w:val="008A4C36"/>
    <w:rsid w:val="008A52FD"/>
    <w:rsid w:val="008A5CB3"/>
    <w:rsid w:val="008A60EA"/>
    <w:rsid w:val="008A6924"/>
    <w:rsid w:val="008A69F9"/>
    <w:rsid w:val="008A6C09"/>
    <w:rsid w:val="008A6E56"/>
    <w:rsid w:val="008A6E6F"/>
    <w:rsid w:val="008A70B3"/>
    <w:rsid w:val="008A75BE"/>
    <w:rsid w:val="008B0263"/>
    <w:rsid w:val="008B0584"/>
    <w:rsid w:val="008B080F"/>
    <w:rsid w:val="008B1EA3"/>
    <w:rsid w:val="008B2411"/>
    <w:rsid w:val="008B2949"/>
    <w:rsid w:val="008B437C"/>
    <w:rsid w:val="008B6A7C"/>
    <w:rsid w:val="008B7266"/>
    <w:rsid w:val="008B755C"/>
    <w:rsid w:val="008C3B98"/>
    <w:rsid w:val="008C404E"/>
    <w:rsid w:val="008C7BE0"/>
    <w:rsid w:val="008C7E1F"/>
    <w:rsid w:val="008D03C5"/>
    <w:rsid w:val="008D0A0D"/>
    <w:rsid w:val="008D0E81"/>
    <w:rsid w:val="008D10CA"/>
    <w:rsid w:val="008D1374"/>
    <w:rsid w:val="008D181E"/>
    <w:rsid w:val="008D1D51"/>
    <w:rsid w:val="008D24AB"/>
    <w:rsid w:val="008D272F"/>
    <w:rsid w:val="008D36B0"/>
    <w:rsid w:val="008D3D41"/>
    <w:rsid w:val="008D3F62"/>
    <w:rsid w:val="008D492B"/>
    <w:rsid w:val="008D4C58"/>
    <w:rsid w:val="008D5191"/>
    <w:rsid w:val="008D5CC9"/>
    <w:rsid w:val="008D6862"/>
    <w:rsid w:val="008D6DA0"/>
    <w:rsid w:val="008D73A2"/>
    <w:rsid w:val="008E00F7"/>
    <w:rsid w:val="008E0643"/>
    <w:rsid w:val="008E0B56"/>
    <w:rsid w:val="008E0BEF"/>
    <w:rsid w:val="008E191D"/>
    <w:rsid w:val="008E2238"/>
    <w:rsid w:val="008E2B90"/>
    <w:rsid w:val="008E2D5C"/>
    <w:rsid w:val="008E3326"/>
    <w:rsid w:val="008E501B"/>
    <w:rsid w:val="008E54BC"/>
    <w:rsid w:val="008E5CEA"/>
    <w:rsid w:val="008E63B3"/>
    <w:rsid w:val="008E6601"/>
    <w:rsid w:val="008E7133"/>
    <w:rsid w:val="008E7A5F"/>
    <w:rsid w:val="008F0C27"/>
    <w:rsid w:val="008F0C53"/>
    <w:rsid w:val="008F1338"/>
    <w:rsid w:val="008F1B5E"/>
    <w:rsid w:val="008F25F4"/>
    <w:rsid w:val="008F2AC7"/>
    <w:rsid w:val="008F2CEA"/>
    <w:rsid w:val="008F3596"/>
    <w:rsid w:val="008F4F4C"/>
    <w:rsid w:val="008F54EA"/>
    <w:rsid w:val="008F596E"/>
    <w:rsid w:val="008F5BD6"/>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07CC1"/>
    <w:rsid w:val="009107B6"/>
    <w:rsid w:val="00910CED"/>
    <w:rsid w:val="00911FB5"/>
    <w:rsid w:val="00913337"/>
    <w:rsid w:val="00913BBF"/>
    <w:rsid w:val="00913C82"/>
    <w:rsid w:val="00913F92"/>
    <w:rsid w:val="0091605A"/>
    <w:rsid w:val="009168B3"/>
    <w:rsid w:val="009170A8"/>
    <w:rsid w:val="00921B1B"/>
    <w:rsid w:val="00922341"/>
    <w:rsid w:val="00922CBC"/>
    <w:rsid w:val="00924E2B"/>
    <w:rsid w:val="00924E46"/>
    <w:rsid w:val="00925144"/>
    <w:rsid w:val="009262CE"/>
    <w:rsid w:val="00926CA1"/>
    <w:rsid w:val="00926F78"/>
    <w:rsid w:val="00927F48"/>
    <w:rsid w:val="00930139"/>
    <w:rsid w:val="00930631"/>
    <w:rsid w:val="00930B47"/>
    <w:rsid w:val="00930E34"/>
    <w:rsid w:val="00931783"/>
    <w:rsid w:val="00931E41"/>
    <w:rsid w:val="00931F86"/>
    <w:rsid w:val="00932087"/>
    <w:rsid w:val="00932158"/>
    <w:rsid w:val="00933BC2"/>
    <w:rsid w:val="00933F26"/>
    <w:rsid w:val="0093457C"/>
    <w:rsid w:val="00935097"/>
    <w:rsid w:val="00936EA7"/>
    <w:rsid w:val="009376DF"/>
    <w:rsid w:val="00940B69"/>
    <w:rsid w:val="00940CED"/>
    <w:rsid w:val="00941CDF"/>
    <w:rsid w:val="00942361"/>
    <w:rsid w:val="0094294C"/>
    <w:rsid w:val="00942B2B"/>
    <w:rsid w:val="00942CD9"/>
    <w:rsid w:val="00942DB8"/>
    <w:rsid w:val="00943051"/>
    <w:rsid w:val="00944E6B"/>
    <w:rsid w:val="00945B65"/>
    <w:rsid w:val="00945FB2"/>
    <w:rsid w:val="00947AFE"/>
    <w:rsid w:val="00947EB3"/>
    <w:rsid w:val="00947F19"/>
    <w:rsid w:val="009516C1"/>
    <w:rsid w:val="00951BE8"/>
    <w:rsid w:val="00953265"/>
    <w:rsid w:val="00953E16"/>
    <w:rsid w:val="00953E73"/>
    <w:rsid w:val="00954979"/>
    <w:rsid w:val="009549FA"/>
    <w:rsid w:val="0095543C"/>
    <w:rsid w:val="0095546A"/>
    <w:rsid w:val="0095565D"/>
    <w:rsid w:val="00956989"/>
    <w:rsid w:val="00956E90"/>
    <w:rsid w:val="009577CF"/>
    <w:rsid w:val="0095783D"/>
    <w:rsid w:val="0096077B"/>
    <w:rsid w:val="00960817"/>
    <w:rsid w:val="009650D8"/>
    <w:rsid w:val="00965710"/>
    <w:rsid w:val="009663E9"/>
    <w:rsid w:val="009704AC"/>
    <w:rsid w:val="0097131D"/>
    <w:rsid w:val="00971547"/>
    <w:rsid w:val="009716DF"/>
    <w:rsid w:val="009723D6"/>
    <w:rsid w:val="0097288C"/>
    <w:rsid w:val="009729E1"/>
    <w:rsid w:val="00973C24"/>
    <w:rsid w:val="0097500E"/>
    <w:rsid w:val="009759DA"/>
    <w:rsid w:val="009805C3"/>
    <w:rsid w:val="00980C90"/>
    <w:rsid w:val="00980F93"/>
    <w:rsid w:val="0098143B"/>
    <w:rsid w:val="009816DA"/>
    <w:rsid w:val="00981807"/>
    <w:rsid w:val="00981BF9"/>
    <w:rsid w:val="00983262"/>
    <w:rsid w:val="0098386D"/>
    <w:rsid w:val="00983DAD"/>
    <w:rsid w:val="009841AD"/>
    <w:rsid w:val="00984373"/>
    <w:rsid w:val="00984C58"/>
    <w:rsid w:val="00984F3B"/>
    <w:rsid w:val="0098555A"/>
    <w:rsid w:val="0098701E"/>
    <w:rsid w:val="0098769E"/>
    <w:rsid w:val="0099021D"/>
    <w:rsid w:val="00990925"/>
    <w:rsid w:val="00992A09"/>
    <w:rsid w:val="0099307A"/>
    <w:rsid w:val="0099407E"/>
    <w:rsid w:val="00995E17"/>
    <w:rsid w:val="009965B4"/>
    <w:rsid w:val="0099686A"/>
    <w:rsid w:val="009A09B0"/>
    <w:rsid w:val="009A0FAB"/>
    <w:rsid w:val="009A19CE"/>
    <w:rsid w:val="009A1C1F"/>
    <w:rsid w:val="009A1E98"/>
    <w:rsid w:val="009A42B0"/>
    <w:rsid w:val="009A521C"/>
    <w:rsid w:val="009A54FC"/>
    <w:rsid w:val="009A5518"/>
    <w:rsid w:val="009A69C2"/>
    <w:rsid w:val="009A7A8E"/>
    <w:rsid w:val="009A7CFE"/>
    <w:rsid w:val="009B0D96"/>
    <w:rsid w:val="009B115A"/>
    <w:rsid w:val="009B389C"/>
    <w:rsid w:val="009B4514"/>
    <w:rsid w:val="009B5ABF"/>
    <w:rsid w:val="009B5B37"/>
    <w:rsid w:val="009B6B66"/>
    <w:rsid w:val="009B6F64"/>
    <w:rsid w:val="009B6FC6"/>
    <w:rsid w:val="009B7EE9"/>
    <w:rsid w:val="009C0406"/>
    <w:rsid w:val="009C1303"/>
    <w:rsid w:val="009C13C0"/>
    <w:rsid w:val="009C19B6"/>
    <w:rsid w:val="009C1A75"/>
    <w:rsid w:val="009C525D"/>
    <w:rsid w:val="009C570C"/>
    <w:rsid w:val="009C66C4"/>
    <w:rsid w:val="009C66E4"/>
    <w:rsid w:val="009C6909"/>
    <w:rsid w:val="009C6979"/>
    <w:rsid w:val="009C6F90"/>
    <w:rsid w:val="009C7611"/>
    <w:rsid w:val="009D04E5"/>
    <w:rsid w:val="009D07C2"/>
    <w:rsid w:val="009D10B7"/>
    <w:rsid w:val="009D1AA5"/>
    <w:rsid w:val="009D2851"/>
    <w:rsid w:val="009D305F"/>
    <w:rsid w:val="009D3DC0"/>
    <w:rsid w:val="009D48F0"/>
    <w:rsid w:val="009D4D10"/>
    <w:rsid w:val="009D4DDB"/>
    <w:rsid w:val="009D56C4"/>
    <w:rsid w:val="009D5892"/>
    <w:rsid w:val="009D6EF1"/>
    <w:rsid w:val="009D75EE"/>
    <w:rsid w:val="009D76C3"/>
    <w:rsid w:val="009D7F12"/>
    <w:rsid w:val="009D7F3A"/>
    <w:rsid w:val="009E0382"/>
    <w:rsid w:val="009E0EA0"/>
    <w:rsid w:val="009E226A"/>
    <w:rsid w:val="009E2B46"/>
    <w:rsid w:val="009E325C"/>
    <w:rsid w:val="009E3B02"/>
    <w:rsid w:val="009E436E"/>
    <w:rsid w:val="009E57CF"/>
    <w:rsid w:val="009E5CF7"/>
    <w:rsid w:val="009E6B77"/>
    <w:rsid w:val="009E76CF"/>
    <w:rsid w:val="009E7721"/>
    <w:rsid w:val="009E7ABF"/>
    <w:rsid w:val="009F0409"/>
    <w:rsid w:val="009F0B52"/>
    <w:rsid w:val="009F0F73"/>
    <w:rsid w:val="009F15E8"/>
    <w:rsid w:val="009F1869"/>
    <w:rsid w:val="009F229C"/>
    <w:rsid w:val="009F3497"/>
    <w:rsid w:val="009F37C8"/>
    <w:rsid w:val="009F3DDA"/>
    <w:rsid w:val="009F593E"/>
    <w:rsid w:val="009F601F"/>
    <w:rsid w:val="009F6099"/>
    <w:rsid w:val="009F6C32"/>
    <w:rsid w:val="009F781E"/>
    <w:rsid w:val="00A005EF"/>
    <w:rsid w:val="00A00629"/>
    <w:rsid w:val="00A010B9"/>
    <w:rsid w:val="00A01150"/>
    <w:rsid w:val="00A01E49"/>
    <w:rsid w:val="00A020A4"/>
    <w:rsid w:val="00A02790"/>
    <w:rsid w:val="00A02C26"/>
    <w:rsid w:val="00A032B2"/>
    <w:rsid w:val="00A034AB"/>
    <w:rsid w:val="00A03934"/>
    <w:rsid w:val="00A04F71"/>
    <w:rsid w:val="00A05301"/>
    <w:rsid w:val="00A0552C"/>
    <w:rsid w:val="00A0643C"/>
    <w:rsid w:val="00A06471"/>
    <w:rsid w:val="00A07E1B"/>
    <w:rsid w:val="00A12372"/>
    <w:rsid w:val="00A1241A"/>
    <w:rsid w:val="00A12AC4"/>
    <w:rsid w:val="00A1586E"/>
    <w:rsid w:val="00A15984"/>
    <w:rsid w:val="00A16365"/>
    <w:rsid w:val="00A16957"/>
    <w:rsid w:val="00A169CF"/>
    <w:rsid w:val="00A16C64"/>
    <w:rsid w:val="00A17BDE"/>
    <w:rsid w:val="00A17BE3"/>
    <w:rsid w:val="00A20BB7"/>
    <w:rsid w:val="00A20F8C"/>
    <w:rsid w:val="00A21147"/>
    <w:rsid w:val="00A22487"/>
    <w:rsid w:val="00A234D6"/>
    <w:rsid w:val="00A23B3B"/>
    <w:rsid w:val="00A23CA5"/>
    <w:rsid w:val="00A24C8F"/>
    <w:rsid w:val="00A25BFD"/>
    <w:rsid w:val="00A2710C"/>
    <w:rsid w:val="00A27405"/>
    <w:rsid w:val="00A279CA"/>
    <w:rsid w:val="00A27CC5"/>
    <w:rsid w:val="00A30A2F"/>
    <w:rsid w:val="00A30AA5"/>
    <w:rsid w:val="00A31A19"/>
    <w:rsid w:val="00A31C5F"/>
    <w:rsid w:val="00A32074"/>
    <w:rsid w:val="00A332B2"/>
    <w:rsid w:val="00A34E61"/>
    <w:rsid w:val="00A355A6"/>
    <w:rsid w:val="00A36783"/>
    <w:rsid w:val="00A37153"/>
    <w:rsid w:val="00A37EE8"/>
    <w:rsid w:val="00A40066"/>
    <w:rsid w:val="00A42897"/>
    <w:rsid w:val="00A4339A"/>
    <w:rsid w:val="00A43A13"/>
    <w:rsid w:val="00A443DA"/>
    <w:rsid w:val="00A451FB"/>
    <w:rsid w:val="00A452BE"/>
    <w:rsid w:val="00A461D2"/>
    <w:rsid w:val="00A51139"/>
    <w:rsid w:val="00A511F8"/>
    <w:rsid w:val="00A51A02"/>
    <w:rsid w:val="00A52906"/>
    <w:rsid w:val="00A52B13"/>
    <w:rsid w:val="00A53013"/>
    <w:rsid w:val="00A5392B"/>
    <w:rsid w:val="00A53EF4"/>
    <w:rsid w:val="00A550B7"/>
    <w:rsid w:val="00A55445"/>
    <w:rsid w:val="00A55B45"/>
    <w:rsid w:val="00A56A55"/>
    <w:rsid w:val="00A575E3"/>
    <w:rsid w:val="00A57DC0"/>
    <w:rsid w:val="00A57FCB"/>
    <w:rsid w:val="00A609CC"/>
    <w:rsid w:val="00A612DC"/>
    <w:rsid w:val="00A62359"/>
    <w:rsid w:val="00A62A91"/>
    <w:rsid w:val="00A632E2"/>
    <w:rsid w:val="00A63FAF"/>
    <w:rsid w:val="00A649C4"/>
    <w:rsid w:val="00A65D46"/>
    <w:rsid w:val="00A65E55"/>
    <w:rsid w:val="00A670B9"/>
    <w:rsid w:val="00A70366"/>
    <w:rsid w:val="00A71957"/>
    <w:rsid w:val="00A71EC3"/>
    <w:rsid w:val="00A72791"/>
    <w:rsid w:val="00A730BA"/>
    <w:rsid w:val="00A7346B"/>
    <w:rsid w:val="00A73E9D"/>
    <w:rsid w:val="00A73F9D"/>
    <w:rsid w:val="00A74688"/>
    <w:rsid w:val="00A76AE7"/>
    <w:rsid w:val="00A80192"/>
    <w:rsid w:val="00A803E8"/>
    <w:rsid w:val="00A81A04"/>
    <w:rsid w:val="00A81DD9"/>
    <w:rsid w:val="00A8290B"/>
    <w:rsid w:val="00A84D16"/>
    <w:rsid w:val="00A8528A"/>
    <w:rsid w:val="00A85694"/>
    <w:rsid w:val="00A85810"/>
    <w:rsid w:val="00A8588B"/>
    <w:rsid w:val="00A85E81"/>
    <w:rsid w:val="00A86002"/>
    <w:rsid w:val="00A86BAF"/>
    <w:rsid w:val="00A92A89"/>
    <w:rsid w:val="00A93671"/>
    <w:rsid w:val="00A941DD"/>
    <w:rsid w:val="00A95AD0"/>
    <w:rsid w:val="00A96663"/>
    <w:rsid w:val="00AA137E"/>
    <w:rsid w:val="00AA147B"/>
    <w:rsid w:val="00AA1563"/>
    <w:rsid w:val="00AA3107"/>
    <w:rsid w:val="00AA4A1E"/>
    <w:rsid w:val="00AA52AF"/>
    <w:rsid w:val="00AA61A5"/>
    <w:rsid w:val="00AA632B"/>
    <w:rsid w:val="00AA641E"/>
    <w:rsid w:val="00AA7526"/>
    <w:rsid w:val="00AB02EF"/>
    <w:rsid w:val="00AB0517"/>
    <w:rsid w:val="00AB0C6B"/>
    <w:rsid w:val="00AB17BD"/>
    <w:rsid w:val="00AB19FD"/>
    <w:rsid w:val="00AB2393"/>
    <w:rsid w:val="00AB2860"/>
    <w:rsid w:val="00AB32E1"/>
    <w:rsid w:val="00AB339E"/>
    <w:rsid w:val="00AB39CC"/>
    <w:rsid w:val="00AB41A3"/>
    <w:rsid w:val="00AB441E"/>
    <w:rsid w:val="00AB45D2"/>
    <w:rsid w:val="00AB4DD6"/>
    <w:rsid w:val="00AB5E49"/>
    <w:rsid w:val="00AB68A2"/>
    <w:rsid w:val="00AB693C"/>
    <w:rsid w:val="00AB6BC8"/>
    <w:rsid w:val="00AB6E02"/>
    <w:rsid w:val="00AB7579"/>
    <w:rsid w:val="00AC045B"/>
    <w:rsid w:val="00AC14CF"/>
    <w:rsid w:val="00AC2068"/>
    <w:rsid w:val="00AC25FC"/>
    <w:rsid w:val="00AC2959"/>
    <w:rsid w:val="00AC2D53"/>
    <w:rsid w:val="00AC44BF"/>
    <w:rsid w:val="00AC758B"/>
    <w:rsid w:val="00AD2390"/>
    <w:rsid w:val="00AD375F"/>
    <w:rsid w:val="00AD3A36"/>
    <w:rsid w:val="00AD3D2E"/>
    <w:rsid w:val="00AD4516"/>
    <w:rsid w:val="00AD475E"/>
    <w:rsid w:val="00AD5A5E"/>
    <w:rsid w:val="00AD6CD0"/>
    <w:rsid w:val="00AD7428"/>
    <w:rsid w:val="00AD7EC0"/>
    <w:rsid w:val="00AE09B3"/>
    <w:rsid w:val="00AE2162"/>
    <w:rsid w:val="00AE2B6E"/>
    <w:rsid w:val="00AE2E8A"/>
    <w:rsid w:val="00AE3D4D"/>
    <w:rsid w:val="00AE4430"/>
    <w:rsid w:val="00AE48F9"/>
    <w:rsid w:val="00AE6A38"/>
    <w:rsid w:val="00AE74A8"/>
    <w:rsid w:val="00AF060B"/>
    <w:rsid w:val="00AF1380"/>
    <w:rsid w:val="00AF2613"/>
    <w:rsid w:val="00AF2AEE"/>
    <w:rsid w:val="00AF2B44"/>
    <w:rsid w:val="00AF3072"/>
    <w:rsid w:val="00AF31BE"/>
    <w:rsid w:val="00AF3665"/>
    <w:rsid w:val="00AF3868"/>
    <w:rsid w:val="00AF434C"/>
    <w:rsid w:val="00AF4C34"/>
    <w:rsid w:val="00AF4FA3"/>
    <w:rsid w:val="00AF4FEA"/>
    <w:rsid w:val="00AF5207"/>
    <w:rsid w:val="00AF67C9"/>
    <w:rsid w:val="00B0139D"/>
    <w:rsid w:val="00B016F3"/>
    <w:rsid w:val="00B02957"/>
    <w:rsid w:val="00B02DDC"/>
    <w:rsid w:val="00B035F7"/>
    <w:rsid w:val="00B0377D"/>
    <w:rsid w:val="00B03F99"/>
    <w:rsid w:val="00B04E07"/>
    <w:rsid w:val="00B05D2F"/>
    <w:rsid w:val="00B0764E"/>
    <w:rsid w:val="00B10700"/>
    <w:rsid w:val="00B10C34"/>
    <w:rsid w:val="00B11190"/>
    <w:rsid w:val="00B11AF8"/>
    <w:rsid w:val="00B125CE"/>
    <w:rsid w:val="00B129C4"/>
    <w:rsid w:val="00B12BE0"/>
    <w:rsid w:val="00B13079"/>
    <w:rsid w:val="00B138DA"/>
    <w:rsid w:val="00B14186"/>
    <w:rsid w:val="00B14929"/>
    <w:rsid w:val="00B15101"/>
    <w:rsid w:val="00B16457"/>
    <w:rsid w:val="00B167B9"/>
    <w:rsid w:val="00B16946"/>
    <w:rsid w:val="00B1753C"/>
    <w:rsid w:val="00B17671"/>
    <w:rsid w:val="00B177D4"/>
    <w:rsid w:val="00B203ED"/>
    <w:rsid w:val="00B20CFF"/>
    <w:rsid w:val="00B2187D"/>
    <w:rsid w:val="00B221A5"/>
    <w:rsid w:val="00B22338"/>
    <w:rsid w:val="00B23D15"/>
    <w:rsid w:val="00B25646"/>
    <w:rsid w:val="00B25832"/>
    <w:rsid w:val="00B26E86"/>
    <w:rsid w:val="00B27020"/>
    <w:rsid w:val="00B30B8A"/>
    <w:rsid w:val="00B30D84"/>
    <w:rsid w:val="00B32227"/>
    <w:rsid w:val="00B32C98"/>
    <w:rsid w:val="00B33CEC"/>
    <w:rsid w:val="00B34099"/>
    <w:rsid w:val="00B345BB"/>
    <w:rsid w:val="00B34C7F"/>
    <w:rsid w:val="00B353D4"/>
    <w:rsid w:val="00B357D0"/>
    <w:rsid w:val="00B37A1D"/>
    <w:rsid w:val="00B37B59"/>
    <w:rsid w:val="00B37C86"/>
    <w:rsid w:val="00B404BD"/>
    <w:rsid w:val="00B4273E"/>
    <w:rsid w:val="00B430F5"/>
    <w:rsid w:val="00B43414"/>
    <w:rsid w:val="00B45A2F"/>
    <w:rsid w:val="00B4774B"/>
    <w:rsid w:val="00B501FF"/>
    <w:rsid w:val="00B517D5"/>
    <w:rsid w:val="00B523BD"/>
    <w:rsid w:val="00B52AE0"/>
    <w:rsid w:val="00B53240"/>
    <w:rsid w:val="00B53580"/>
    <w:rsid w:val="00B5433C"/>
    <w:rsid w:val="00B54E43"/>
    <w:rsid w:val="00B551DD"/>
    <w:rsid w:val="00B55531"/>
    <w:rsid w:val="00B557AC"/>
    <w:rsid w:val="00B55826"/>
    <w:rsid w:val="00B56AFF"/>
    <w:rsid w:val="00B57450"/>
    <w:rsid w:val="00B579A0"/>
    <w:rsid w:val="00B57CE4"/>
    <w:rsid w:val="00B612FF"/>
    <w:rsid w:val="00B6215A"/>
    <w:rsid w:val="00B62369"/>
    <w:rsid w:val="00B62E32"/>
    <w:rsid w:val="00B63646"/>
    <w:rsid w:val="00B63839"/>
    <w:rsid w:val="00B63935"/>
    <w:rsid w:val="00B64F6E"/>
    <w:rsid w:val="00B651D9"/>
    <w:rsid w:val="00B66435"/>
    <w:rsid w:val="00B66813"/>
    <w:rsid w:val="00B66C27"/>
    <w:rsid w:val="00B67C7A"/>
    <w:rsid w:val="00B71015"/>
    <w:rsid w:val="00B71CA8"/>
    <w:rsid w:val="00B7222F"/>
    <w:rsid w:val="00B73565"/>
    <w:rsid w:val="00B74C4A"/>
    <w:rsid w:val="00B76856"/>
    <w:rsid w:val="00B76A9B"/>
    <w:rsid w:val="00B77123"/>
    <w:rsid w:val="00B7740A"/>
    <w:rsid w:val="00B77539"/>
    <w:rsid w:val="00B801A7"/>
    <w:rsid w:val="00B8043A"/>
    <w:rsid w:val="00B8159B"/>
    <w:rsid w:val="00B8262F"/>
    <w:rsid w:val="00B82D22"/>
    <w:rsid w:val="00B84205"/>
    <w:rsid w:val="00B85F4C"/>
    <w:rsid w:val="00B86D9A"/>
    <w:rsid w:val="00B9064B"/>
    <w:rsid w:val="00B90E87"/>
    <w:rsid w:val="00B91D44"/>
    <w:rsid w:val="00B92677"/>
    <w:rsid w:val="00B92B26"/>
    <w:rsid w:val="00B92E17"/>
    <w:rsid w:val="00B94F5B"/>
    <w:rsid w:val="00B951FA"/>
    <w:rsid w:val="00B968E7"/>
    <w:rsid w:val="00B97F6F"/>
    <w:rsid w:val="00BA02C5"/>
    <w:rsid w:val="00BA0B0F"/>
    <w:rsid w:val="00BA1FA7"/>
    <w:rsid w:val="00BA4491"/>
    <w:rsid w:val="00BA5E4D"/>
    <w:rsid w:val="00BA6115"/>
    <w:rsid w:val="00BA6ACD"/>
    <w:rsid w:val="00BA6F91"/>
    <w:rsid w:val="00BA706D"/>
    <w:rsid w:val="00BB0666"/>
    <w:rsid w:val="00BB1476"/>
    <w:rsid w:val="00BB19BC"/>
    <w:rsid w:val="00BB1A41"/>
    <w:rsid w:val="00BB1BC1"/>
    <w:rsid w:val="00BB2F69"/>
    <w:rsid w:val="00BB3F4A"/>
    <w:rsid w:val="00BB41A2"/>
    <w:rsid w:val="00BB4525"/>
    <w:rsid w:val="00BB45D0"/>
    <w:rsid w:val="00BB47F1"/>
    <w:rsid w:val="00BB5048"/>
    <w:rsid w:val="00BB65ED"/>
    <w:rsid w:val="00BB6711"/>
    <w:rsid w:val="00BB78F1"/>
    <w:rsid w:val="00BB7D82"/>
    <w:rsid w:val="00BB7E15"/>
    <w:rsid w:val="00BC00C1"/>
    <w:rsid w:val="00BC0735"/>
    <w:rsid w:val="00BC0995"/>
    <w:rsid w:val="00BC17EE"/>
    <w:rsid w:val="00BC462A"/>
    <w:rsid w:val="00BC5964"/>
    <w:rsid w:val="00BC5D75"/>
    <w:rsid w:val="00BC6470"/>
    <w:rsid w:val="00BC7198"/>
    <w:rsid w:val="00BD14D5"/>
    <w:rsid w:val="00BD16CA"/>
    <w:rsid w:val="00BD2255"/>
    <w:rsid w:val="00BD2956"/>
    <w:rsid w:val="00BD32CF"/>
    <w:rsid w:val="00BD4788"/>
    <w:rsid w:val="00BD5E93"/>
    <w:rsid w:val="00BD6400"/>
    <w:rsid w:val="00BD7189"/>
    <w:rsid w:val="00BD7CB4"/>
    <w:rsid w:val="00BE1617"/>
    <w:rsid w:val="00BE43E4"/>
    <w:rsid w:val="00BE4767"/>
    <w:rsid w:val="00BE57D4"/>
    <w:rsid w:val="00BE6259"/>
    <w:rsid w:val="00BE6831"/>
    <w:rsid w:val="00BE6930"/>
    <w:rsid w:val="00BE707B"/>
    <w:rsid w:val="00BE7463"/>
    <w:rsid w:val="00BE7799"/>
    <w:rsid w:val="00BF04CD"/>
    <w:rsid w:val="00BF0EEC"/>
    <w:rsid w:val="00BF10EF"/>
    <w:rsid w:val="00BF1B6D"/>
    <w:rsid w:val="00BF1D2F"/>
    <w:rsid w:val="00BF3AB5"/>
    <w:rsid w:val="00BF5440"/>
    <w:rsid w:val="00BF6592"/>
    <w:rsid w:val="00BF7B8A"/>
    <w:rsid w:val="00BF7F16"/>
    <w:rsid w:val="00BF7FCE"/>
    <w:rsid w:val="00C00C1D"/>
    <w:rsid w:val="00C0149B"/>
    <w:rsid w:val="00C01DA1"/>
    <w:rsid w:val="00C02886"/>
    <w:rsid w:val="00C03162"/>
    <w:rsid w:val="00C03662"/>
    <w:rsid w:val="00C0388A"/>
    <w:rsid w:val="00C03AFF"/>
    <w:rsid w:val="00C04A9A"/>
    <w:rsid w:val="00C04BFC"/>
    <w:rsid w:val="00C05670"/>
    <w:rsid w:val="00C05AFF"/>
    <w:rsid w:val="00C05DF3"/>
    <w:rsid w:val="00C05E1C"/>
    <w:rsid w:val="00C078DE"/>
    <w:rsid w:val="00C106B0"/>
    <w:rsid w:val="00C11D8E"/>
    <w:rsid w:val="00C12948"/>
    <w:rsid w:val="00C1295F"/>
    <w:rsid w:val="00C13302"/>
    <w:rsid w:val="00C16839"/>
    <w:rsid w:val="00C17440"/>
    <w:rsid w:val="00C1745C"/>
    <w:rsid w:val="00C20014"/>
    <w:rsid w:val="00C201B9"/>
    <w:rsid w:val="00C213AA"/>
    <w:rsid w:val="00C221C3"/>
    <w:rsid w:val="00C22961"/>
    <w:rsid w:val="00C2525D"/>
    <w:rsid w:val="00C31E51"/>
    <w:rsid w:val="00C31EE1"/>
    <w:rsid w:val="00C32083"/>
    <w:rsid w:val="00C32782"/>
    <w:rsid w:val="00C32BED"/>
    <w:rsid w:val="00C32D5D"/>
    <w:rsid w:val="00C3391C"/>
    <w:rsid w:val="00C33DB8"/>
    <w:rsid w:val="00C33E20"/>
    <w:rsid w:val="00C3553B"/>
    <w:rsid w:val="00C37091"/>
    <w:rsid w:val="00C3735C"/>
    <w:rsid w:val="00C3795A"/>
    <w:rsid w:val="00C37FEA"/>
    <w:rsid w:val="00C402C9"/>
    <w:rsid w:val="00C40E50"/>
    <w:rsid w:val="00C414E1"/>
    <w:rsid w:val="00C41B8C"/>
    <w:rsid w:val="00C41D92"/>
    <w:rsid w:val="00C42CFB"/>
    <w:rsid w:val="00C433E2"/>
    <w:rsid w:val="00C43634"/>
    <w:rsid w:val="00C44200"/>
    <w:rsid w:val="00C442F8"/>
    <w:rsid w:val="00C44654"/>
    <w:rsid w:val="00C45BCD"/>
    <w:rsid w:val="00C45C8D"/>
    <w:rsid w:val="00C47682"/>
    <w:rsid w:val="00C51226"/>
    <w:rsid w:val="00C51F28"/>
    <w:rsid w:val="00C52260"/>
    <w:rsid w:val="00C5226F"/>
    <w:rsid w:val="00C5337A"/>
    <w:rsid w:val="00C53426"/>
    <w:rsid w:val="00C548A4"/>
    <w:rsid w:val="00C54CCF"/>
    <w:rsid w:val="00C57C11"/>
    <w:rsid w:val="00C60062"/>
    <w:rsid w:val="00C6092D"/>
    <w:rsid w:val="00C60D9A"/>
    <w:rsid w:val="00C610CF"/>
    <w:rsid w:val="00C61263"/>
    <w:rsid w:val="00C614D7"/>
    <w:rsid w:val="00C62EEE"/>
    <w:rsid w:val="00C63296"/>
    <w:rsid w:val="00C639C6"/>
    <w:rsid w:val="00C643DD"/>
    <w:rsid w:val="00C64BF2"/>
    <w:rsid w:val="00C660C2"/>
    <w:rsid w:val="00C6676A"/>
    <w:rsid w:val="00C66C58"/>
    <w:rsid w:val="00C66D53"/>
    <w:rsid w:val="00C66F7A"/>
    <w:rsid w:val="00C67759"/>
    <w:rsid w:val="00C67AA0"/>
    <w:rsid w:val="00C67DED"/>
    <w:rsid w:val="00C71E38"/>
    <w:rsid w:val="00C71E6F"/>
    <w:rsid w:val="00C73DC9"/>
    <w:rsid w:val="00C74AA4"/>
    <w:rsid w:val="00C74B45"/>
    <w:rsid w:val="00C74C7D"/>
    <w:rsid w:val="00C75714"/>
    <w:rsid w:val="00C75723"/>
    <w:rsid w:val="00C7674B"/>
    <w:rsid w:val="00C76B44"/>
    <w:rsid w:val="00C76B6E"/>
    <w:rsid w:val="00C76F51"/>
    <w:rsid w:val="00C77CD3"/>
    <w:rsid w:val="00C802A6"/>
    <w:rsid w:val="00C80CAF"/>
    <w:rsid w:val="00C80CE5"/>
    <w:rsid w:val="00C80F4F"/>
    <w:rsid w:val="00C81843"/>
    <w:rsid w:val="00C8281C"/>
    <w:rsid w:val="00C82909"/>
    <w:rsid w:val="00C833D7"/>
    <w:rsid w:val="00C844DB"/>
    <w:rsid w:val="00C850D8"/>
    <w:rsid w:val="00C85255"/>
    <w:rsid w:val="00C855D7"/>
    <w:rsid w:val="00C85ED9"/>
    <w:rsid w:val="00C860B7"/>
    <w:rsid w:val="00C86455"/>
    <w:rsid w:val="00C86604"/>
    <w:rsid w:val="00C91B5A"/>
    <w:rsid w:val="00C923BA"/>
    <w:rsid w:val="00C9265F"/>
    <w:rsid w:val="00C9290C"/>
    <w:rsid w:val="00C9295B"/>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5A4"/>
    <w:rsid w:val="00CA4627"/>
    <w:rsid w:val="00CA4660"/>
    <w:rsid w:val="00CA4FF2"/>
    <w:rsid w:val="00CA5192"/>
    <w:rsid w:val="00CA611D"/>
    <w:rsid w:val="00CA6B3B"/>
    <w:rsid w:val="00CA7539"/>
    <w:rsid w:val="00CA7FB5"/>
    <w:rsid w:val="00CB017F"/>
    <w:rsid w:val="00CB07F3"/>
    <w:rsid w:val="00CB08BB"/>
    <w:rsid w:val="00CB12D1"/>
    <w:rsid w:val="00CB1A94"/>
    <w:rsid w:val="00CB43FA"/>
    <w:rsid w:val="00CB441C"/>
    <w:rsid w:val="00CB4DC4"/>
    <w:rsid w:val="00CB68E1"/>
    <w:rsid w:val="00CB6D4C"/>
    <w:rsid w:val="00CB7664"/>
    <w:rsid w:val="00CB7738"/>
    <w:rsid w:val="00CB7FFB"/>
    <w:rsid w:val="00CC0437"/>
    <w:rsid w:val="00CC19D1"/>
    <w:rsid w:val="00CC1E70"/>
    <w:rsid w:val="00CC218C"/>
    <w:rsid w:val="00CC295E"/>
    <w:rsid w:val="00CC3407"/>
    <w:rsid w:val="00CC3E62"/>
    <w:rsid w:val="00CC4BB0"/>
    <w:rsid w:val="00CC4CBF"/>
    <w:rsid w:val="00CC51D2"/>
    <w:rsid w:val="00CC63AB"/>
    <w:rsid w:val="00CC6A3C"/>
    <w:rsid w:val="00CC6DC7"/>
    <w:rsid w:val="00CC72AB"/>
    <w:rsid w:val="00CC754F"/>
    <w:rsid w:val="00CC7BD7"/>
    <w:rsid w:val="00CC7E16"/>
    <w:rsid w:val="00CD273B"/>
    <w:rsid w:val="00CD47D4"/>
    <w:rsid w:val="00CD5C11"/>
    <w:rsid w:val="00CD60C6"/>
    <w:rsid w:val="00CD61D5"/>
    <w:rsid w:val="00CD76CB"/>
    <w:rsid w:val="00CE0702"/>
    <w:rsid w:val="00CE2852"/>
    <w:rsid w:val="00CE2A9E"/>
    <w:rsid w:val="00CE2BDC"/>
    <w:rsid w:val="00CE4183"/>
    <w:rsid w:val="00CE5F77"/>
    <w:rsid w:val="00CE655D"/>
    <w:rsid w:val="00CF01B9"/>
    <w:rsid w:val="00CF0895"/>
    <w:rsid w:val="00CF0A91"/>
    <w:rsid w:val="00CF15BE"/>
    <w:rsid w:val="00CF2D7A"/>
    <w:rsid w:val="00CF3310"/>
    <w:rsid w:val="00CF3621"/>
    <w:rsid w:val="00CF3774"/>
    <w:rsid w:val="00CF41A3"/>
    <w:rsid w:val="00CF4452"/>
    <w:rsid w:val="00CF4D71"/>
    <w:rsid w:val="00CF4FFA"/>
    <w:rsid w:val="00CF5FD2"/>
    <w:rsid w:val="00CF62C9"/>
    <w:rsid w:val="00CF6669"/>
    <w:rsid w:val="00D00381"/>
    <w:rsid w:val="00D00AEA"/>
    <w:rsid w:val="00D01417"/>
    <w:rsid w:val="00D0148D"/>
    <w:rsid w:val="00D014DD"/>
    <w:rsid w:val="00D017A4"/>
    <w:rsid w:val="00D02900"/>
    <w:rsid w:val="00D04566"/>
    <w:rsid w:val="00D04C27"/>
    <w:rsid w:val="00D04C9A"/>
    <w:rsid w:val="00D0561E"/>
    <w:rsid w:val="00D05779"/>
    <w:rsid w:val="00D0666D"/>
    <w:rsid w:val="00D06BEB"/>
    <w:rsid w:val="00D06CC0"/>
    <w:rsid w:val="00D075BE"/>
    <w:rsid w:val="00D10784"/>
    <w:rsid w:val="00D10A28"/>
    <w:rsid w:val="00D10E9E"/>
    <w:rsid w:val="00D11329"/>
    <w:rsid w:val="00D124A8"/>
    <w:rsid w:val="00D124FB"/>
    <w:rsid w:val="00D133AA"/>
    <w:rsid w:val="00D13BF4"/>
    <w:rsid w:val="00D14BB1"/>
    <w:rsid w:val="00D14BDF"/>
    <w:rsid w:val="00D14E35"/>
    <w:rsid w:val="00D14E51"/>
    <w:rsid w:val="00D16C1E"/>
    <w:rsid w:val="00D17A98"/>
    <w:rsid w:val="00D17D59"/>
    <w:rsid w:val="00D17F1C"/>
    <w:rsid w:val="00D20810"/>
    <w:rsid w:val="00D20A80"/>
    <w:rsid w:val="00D20AEE"/>
    <w:rsid w:val="00D21464"/>
    <w:rsid w:val="00D218D0"/>
    <w:rsid w:val="00D224FB"/>
    <w:rsid w:val="00D2269C"/>
    <w:rsid w:val="00D227C2"/>
    <w:rsid w:val="00D22A3A"/>
    <w:rsid w:val="00D22BDA"/>
    <w:rsid w:val="00D23064"/>
    <w:rsid w:val="00D248F6"/>
    <w:rsid w:val="00D25011"/>
    <w:rsid w:val="00D259A1"/>
    <w:rsid w:val="00D269E1"/>
    <w:rsid w:val="00D26CA8"/>
    <w:rsid w:val="00D26F27"/>
    <w:rsid w:val="00D27301"/>
    <w:rsid w:val="00D30F54"/>
    <w:rsid w:val="00D32C2D"/>
    <w:rsid w:val="00D33476"/>
    <w:rsid w:val="00D337E6"/>
    <w:rsid w:val="00D33B0A"/>
    <w:rsid w:val="00D33DED"/>
    <w:rsid w:val="00D33E19"/>
    <w:rsid w:val="00D34FC0"/>
    <w:rsid w:val="00D36349"/>
    <w:rsid w:val="00D366A1"/>
    <w:rsid w:val="00D36860"/>
    <w:rsid w:val="00D36DF9"/>
    <w:rsid w:val="00D40798"/>
    <w:rsid w:val="00D40832"/>
    <w:rsid w:val="00D40FDA"/>
    <w:rsid w:val="00D41206"/>
    <w:rsid w:val="00D41429"/>
    <w:rsid w:val="00D41577"/>
    <w:rsid w:val="00D44335"/>
    <w:rsid w:val="00D4488B"/>
    <w:rsid w:val="00D45813"/>
    <w:rsid w:val="00D467FC"/>
    <w:rsid w:val="00D46D23"/>
    <w:rsid w:val="00D47266"/>
    <w:rsid w:val="00D50032"/>
    <w:rsid w:val="00D502BF"/>
    <w:rsid w:val="00D50A1C"/>
    <w:rsid w:val="00D52245"/>
    <w:rsid w:val="00D52A81"/>
    <w:rsid w:val="00D53A8D"/>
    <w:rsid w:val="00D53DD1"/>
    <w:rsid w:val="00D53E11"/>
    <w:rsid w:val="00D53F95"/>
    <w:rsid w:val="00D5445C"/>
    <w:rsid w:val="00D548E6"/>
    <w:rsid w:val="00D553C4"/>
    <w:rsid w:val="00D558FD"/>
    <w:rsid w:val="00D571DA"/>
    <w:rsid w:val="00D571E1"/>
    <w:rsid w:val="00D57A6F"/>
    <w:rsid w:val="00D57E50"/>
    <w:rsid w:val="00D60DDB"/>
    <w:rsid w:val="00D60FFC"/>
    <w:rsid w:val="00D61580"/>
    <w:rsid w:val="00D654D0"/>
    <w:rsid w:val="00D66928"/>
    <w:rsid w:val="00D66B92"/>
    <w:rsid w:val="00D67149"/>
    <w:rsid w:val="00D709F9"/>
    <w:rsid w:val="00D715CA"/>
    <w:rsid w:val="00D729BF"/>
    <w:rsid w:val="00D7375D"/>
    <w:rsid w:val="00D73CD4"/>
    <w:rsid w:val="00D75337"/>
    <w:rsid w:val="00D75741"/>
    <w:rsid w:val="00D773BF"/>
    <w:rsid w:val="00D81BBD"/>
    <w:rsid w:val="00D81F50"/>
    <w:rsid w:val="00D823D3"/>
    <w:rsid w:val="00D829B4"/>
    <w:rsid w:val="00D832E4"/>
    <w:rsid w:val="00D83EDF"/>
    <w:rsid w:val="00D84E34"/>
    <w:rsid w:val="00D85009"/>
    <w:rsid w:val="00D8537D"/>
    <w:rsid w:val="00D85EE1"/>
    <w:rsid w:val="00D86883"/>
    <w:rsid w:val="00D8761D"/>
    <w:rsid w:val="00D8767B"/>
    <w:rsid w:val="00D90251"/>
    <w:rsid w:val="00D90863"/>
    <w:rsid w:val="00D90B46"/>
    <w:rsid w:val="00D90DB2"/>
    <w:rsid w:val="00D91035"/>
    <w:rsid w:val="00D9241A"/>
    <w:rsid w:val="00D92486"/>
    <w:rsid w:val="00D93551"/>
    <w:rsid w:val="00D93ADB"/>
    <w:rsid w:val="00D93DC6"/>
    <w:rsid w:val="00D94F16"/>
    <w:rsid w:val="00D95799"/>
    <w:rsid w:val="00D96620"/>
    <w:rsid w:val="00D969E1"/>
    <w:rsid w:val="00D96EC8"/>
    <w:rsid w:val="00D976BF"/>
    <w:rsid w:val="00D97F1A"/>
    <w:rsid w:val="00DA065C"/>
    <w:rsid w:val="00DA0A81"/>
    <w:rsid w:val="00DA1C45"/>
    <w:rsid w:val="00DA1CBC"/>
    <w:rsid w:val="00DA2343"/>
    <w:rsid w:val="00DA23B4"/>
    <w:rsid w:val="00DA259C"/>
    <w:rsid w:val="00DA27BE"/>
    <w:rsid w:val="00DA2B71"/>
    <w:rsid w:val="00DA3D64"/>
    <w:rsid w:val="00DA3F8B"/>
    <w:rsid w:val="00DA4372"/>
    <w:rsid w:val="00DA586E"/>
    <w:rsid w:val="00DA6D8D"/>
    <w:rsid w:val="00DB1DB7"/>
    <w:rsid w:val="00DB2B79"/>
    <w:rsid w:val="00DB5940"/>
    <w:rsid w:val="00DB7206"/>
    <w:rsid w:val="00DB756A"/>
    <w:rsid w:val="00DC0B7F"/>
    <w:rsid w:val="00DC0CF9"/>
    <w:rsid w:val="00DC17B8"/>
    <w:rsid w:val="00DC1D2B"/>
    <w:rsid w:val="00DC1DC1"/>
    <w:rsid w:val="00DC2479"/>
    <w:rsid w:val="00DC3754"/>
    <w:rsid w:val="00DC50D0"/>
    <w:rsid w:val="00DC577F"/>
    <w:rsid w:val="00DC6C65"/>
    <w:rsid w:val="00DC77D7"/>
    <w:rsid w:val="00DC7D79"/>
    <w:rsid w:val="00DD0DFC"/>
    <w:rsid w:val="00DD1956"/>
    <w:rsid w:val="00DD2572"/>
    <w:rsid w:val="00DD29AE"/>
    <w:rsid w:val="00DD4311"/>
    <w:rsid w:val="00DD441A"/>
    <w:rsid w:val="00DD459B"/>
    <w:rsid w:val="00DD45E6"/>
    <w:rsid w:val="00DD5498"/>
    <w:rsid w:val="00DD595D"/>
    <w:rsid w:val="00DD5EF4"/>
    <w:rsid w:val="00DD6410"/>
    <w:rsid w:val="00DD7080"/>
    <w:rsid w:val="00DD7E12"/>
    <w:rsid w:val="00DE031A"/>
    <w:rsid w:val="00DE0C46"/>
    <w:rsid w:val="00DE16E1"/>
    <w:rsid w:val="00DE1D04"/>
    <w:rsid w:val="00DE20EE"/>
    <w:rsid w:val="00DE3412"/>
    <w:rsid w:val="00DE36F6"/>
    <w:rsid w:val="00DE3844"/>
    <w:rsid w:val="00DE3979"/>
    <w:rsid w:val="00DE4AA2"/>
    <w:rsid w:val="00DE4D99"/>
    <w:rsid w:val="00DE5593"/>
    <w:rsid w:val="00DE6264"/>
    <w:rsid w:val="00DE66FB"/>
    <w:rsid w:val="00DE688B"/>
    <w:rsid w:val="00DE791B"/>
    <w:rsid w:val="00DF0D05"/>
    <w:rsid w:val="00DF1423"/>
    <w:rsid w:val="00DF198C"/>
    <w:rsid w:val="00DF1F18"/>
    <w:rsid w:val="00DF2224"/>
    <w:rsid w:val="00DF312C"/>
    <w:rsid w:val="00DF323D"/>
    <w:rsid w:val="00DF44D1"/>
    <w:rsid w:val="00DF5279"/>
    <w:rsid w:val="00DF553F"/>
    <w:rsid w:val="00DF570A"/>
    <w:rsid w:val="00DF5A11"/>
    <w:rsid w:val="00DF634D"/>
    <w:rsid w:val="00DF6369"/>
    <w:rsid w:val="00DF6787"/>
    <w:rsid w:val="00E00237"/>
    <w:rsid w:val="00E006C3"/>
    <w:rsid w:val="00E0160E"/>
    <w:rsid w:val="00E02A9E"/>
    <w:rsid w:val="00E03B48"/>
    <w:rsid w:val="00E03C32"/>
    <w:rsid w:val="00E04E88"/>
    <w:rsid w:val="00E052AF"/>
    <w:rsid w:val="00E0617F"/>
    <w:rsid w:val="00E06B06"/>
    <w:rsid w:val="00E06BFA"/>
    <w:rsid w:val="00E06CCE"/>
    <w:rsid w:val="00E06EC2"/>
    <w:rsid w:val="00E074BC"/>
    <w:rsid w:val="00E123CD"/>
    <w:rsid w:val="00E13310"/>
    <w:rsid w:val="00E13507"/>
    <w:rsid w:val="00E14491"/>
    <w:rsid w:val="00E15064"/>
    <w:rsid w:val="00E15AB1"/>
    <w:rsid w:val="00E15CDB"/>
    <w:rsid w:val="00E161C3"/>
    <w:rsid w:val="00E16909"/>
    <w:rsid w:val="00E17204"/>
    <w:rsid w:val="00E20072"/>
    <w:rsid w:val="00E20542"/>
    <w:rsid w:val="00E21029"/>
    <w:rsid w:val="00E214F6"/>
    <w:rsid w:val="00E246CE"/>
    <w:rsid w:val="00E26055"/>
    <w:rsid w:val="00E266BD"/>
    <w:rsid w:val="00E26803"/>
    <w:rsid w:val="00E26832"/>
    <w:rsid w:val="00E27331"/>
    <w:rsid w:val="00E27AAD"/>
    <w:rsid w:val="00E27BAA"/>
    <w:rsid w:val="00E327A0"/>
    <w:rsid w:val="00E33621"/>
    <w:rsid w:val="00E341C8"/>
    <w:rsid w:val="00E34BEC"/>
    <w:rsid w:val="00E35EBE"/>
    <w:rsid w:val="00E36A48"/>
    <w:rsid w:val="00E36C7B"/>
    <w:rsid w:val="00E37505"/>
    <w:rsid w:val="00E37E09"/>
    <w:rsid w:val="00E4138A"/>
    <w:rsid w:val="00E41B87"/>
    <w:rsid w:val="00E435B3"/>
    <w:rsid w:val="00E44078"/>
    <w:rsid w:val="00E44249"/>
    <w:rsid w:val="00E44785"/>
    <w:rsid w:val="00E44CC6"/>
    <w:rsid w:val="00E44FDC"/>
    <w:rsid w:val="00E458CB"/>
    <w:rsid w:val="00E459DE"/>
    <w:rsid w:val="00E45B14"/>
    <w:rsid w:val="00E45FE2"/>
    <w:rsid w:val="00E471C7"/>
    <w:rsid w:val="00E472AF"/>
    <w:rsid w:val="00E47593"/>
    <w:rsid w:val="00E47A3A"/>
    <w:rsid w:val="00E47C0E"/>
    <w:rsid w:val="00E511F3"/>
    <w:rsid w:val="00E5191E"/>
    <w:rsid w:val="00E52174"/>
    <w:rsid w:val="00E523F8"/>
    <w:rsid w:val="00E52C35"/>
    <w:rsid w:val="00E53397"/>
    <w:rsid w:val="00E559EE"/>
    <w:rsid w:val="00E56750"/>
    <w:rsid w:val="00E616B0"/>
    <w:rsid w:val="00E62FA1"/>
    <w:rsid w:val="00E6506D"/>
    <w:rsid w:val="00E655E6"/>
    <w:rsid w:val="00E6596E"/>
    <w:rsid w:val="00E65F49"/>
    <w:rsid w:val="00E663EA"/>
    <w:rsid w:val="00E66F4B"/>
    <w:rsid w:val="00E724FC"/>
    <w:rsid w:val="00E726BA"/>
    <w:rsid w:val="00E737AF"/>
    <w:rsid w:val="00E737EA"/>
    <w:rsid w:val="00E73968"/>
    <w:rsid w:val="00E73D55"/>
    <w:rsid w:val="00E74634"/>
    <w:rsid w:val="00E747DB"/>
    <w:rsid w:val="00E74A86"/>
    <w:rsid w:val="00E75DD7"/>
    <w:rsid w:val="00E75F4B"/>
    <w:rsid w:val="00E76505"/>
    <w:rsid w:val="00E771A2"/>
    <w:rsid w:val="00E77998"/>
    <w:rsid w:val="00E802EC"/>
    <w:rsid w:val="00E80CBC"/>
    <w:rsid w:val="00E80E53"/>
    <w:rsid w:val="00E810D8"/>
    <w:rsid w:val="00E82B36"/>
    <w:rsid w:val="00E82BA1"/>
    <w:rsid w:val="00E83172"/>
    <w:rsid w:val="00E8363E"/>
    <w:rsid w:val="00E839F5"/>
    <w:rsid w:val="00E84693"/>
    <w:rsid w:val="00E846ED"/>
    <w:rsid w:val="00E8500D"/>
    <w:rsid w:val="00E85FF9"/>
    <w:rsid w:val="00E87743"/>
    <w:rsid w:val="00E918D5"/>
    <w:rsid w:val="00E924C6"/>
    <w:rsid w:val="00E92632"/>
    <w:rsid w:val="00E92967"/>
    <w:rsid w:val="00E948A1"/>
    <w:rsid w:val="00E95F7D"/>
    <w:rsid w:val="00E96017"/>
    <w:rsid w:val="00E96463"/>
    <w:rsid w:val="00E96728"/>
    <w:rsid w:val="00E970DD"/>
    <w:rsid w:val="00E97148"/>
    <w:rsid w:val="00E97822"/>
    <w:rsid w:val="00EA0372"/>
    <w:rsid w:val="00EA1999"/>
    <w:rsid w:val="00EA1A7D"/>
    <w:rsid w:val="00EA20BA"/>
    <w:rsid w:val="00EA2543"/>
    <w:rsid w:val="00EA2AD7"/>
    <w:rsid w:val="00EA3782"/>
    <w:rsid w:val="00EA3F31"/>
    <w:rsid w:val="00EA402C"/>
    <w:rsid w:val="00EA5108"/>
    <w:rsid w:val="00EA74DA"/>
    <w:rsid w:val="00EB0212"/>
    <w:rsid w:val="00EB0720"/>
    <w:rsid w:val="00EB2C60"/>
    <w:rsid w:val="00EB45C5"/>
    <w:rsid w:val="00EB5236"/>
    <w:rsid w:val="00EB609D"/>
    <w:rsid w:val="00EB620E"/>
    <w:rsid w:val="00EB64C8"/>
    <w:rsid w:val="00EB68F9"/>
    <w:rsid w:val="00EC094D"/>
    <w:rsid w:val="00EC096C"/>
    <w:rsid w:val="00EC15E9"/>
    <w:rsid w:val="00EC20D5"/>
    <w:rsid w:val="00EC3044"/>
    <w:rsid w:val="00EC34A7"/>
    <w:rsid w:val="00EC3E20"/>
    <w:rsid w:val="00EC4E80"/>
    <w:rsid w:val="00EC5440"/>
    <w:rsid w:val="00EC5C1C"/>
    <w:rsid w:val="00EC74EF"/>
    <w:rsid w:val="00EC7681"/>
    <w:rsid w:val="00EC7AA8"/>
    <w:rsid w:val="00ED0286"/>
    <w:rsid w:val="00ED1D58"/>
    <w:rsid w:val="00ED2825"/>
    <w:rsid w:val="00ED28C1"/>
    <w:rsid w:val="00ED2DEE"/>
    <w:rsid w:val="00ED2F18"/>
    <w:rsid w:val="00ED2F77"/>
    <w:rsid w:val="00ED38CE"/>
    <w:rsid w:val="00ED3EAD"/>
    <w:rsid w:val="00ED4DFE"/>
    <w:rsid w:val="00ED52FD"/>
    <w:rsid w:val="00ED56FD"/>
    <w:rsid w:val="00ED68AF"/>
    <w:rsid w:val="00ED6D23"/>
    <w:rsid w:val="00ED726D"/>
    <w:rsid w:val="00EE07F0"/>
    <w:rsid w:val="00EE099B"/>
    <w:rsid w:val="00EE13B2"/>
    <w:rsid w:val="00EE14F2"/>
    <w:rsid w:val="00EE181C"/>
    <w:rsid w:val="00EE38EB"/>
    <w:rsid w:val="00EE42D2"/>
    <w:rsid w:val="00EE456A"/>
    <w:rsid w:val="00EE5E64"/>
    <w:rsid w:val="00EE6012"/>
    <w:rsid w:val="00EE6735"/>
    <w:rsid w:val="00EE6E44"/>
    <w:rsid w:val="00EE70E8"/>
    <w:rsid w:val="00EE7799"/>
    <w:rsid w:val="00EE7D58"/>
    <w:rsid w:val="00EF002B"/>
    <w:rsid w:val="00EF0A5C"/>
    <w:rsid w:val="00EF2209"/>
    <w:rsid w:val="00EF2DBC"/>
    <w:rsid w:val="00EF3663"/>
    <w:rsid w:val="00EF3BD9"/>
    <w:rsid w:val="00EF3D81"/>
    <w:rsid w:val="00EF50D4"/>
    <w:rsid w:val="00EF5800"/>
    <w:rsid w:val="00EF5972"/>
    <w:rsid w:val="00F0122C"/>
    <w:rsid w:val="00F02229"/>
    <w:rsid w:val="00F0256F"/>
    <w:rsid w:val="00F02B65"/>
    <w:rsid w:val="00F0360C"/>
    <w:rsid w:val="00F045C5"/>
    <w:rsid w:val="00F0513D"/>
    <w:rsid w:val="00F05429"/>
    <w:rsid w:val="00F056E2"/>
    <w:rsid w:val="00F05BF8"/>
    <w:rsid w:val="00F05EA0"/>
    <w:rsid w:val="00F10EF3"/>
    <w:rsid w:val="00F11038"/>
    <w:rsid w:val="00F116E3"/>
    <w:rsid w:val="00F119B9"/>
    <w:rsid w:val="00F121A0"/>
    <w:rsid w:val="00F1382E"/>
    <w:rsid w:val="00F14BE5"/>
    <w:rsid w:val="00F153C6"/>
    <w:rsid w:val="00F2078E"/>
    <w:rsid w:val="00F22F46"/>
    <w:rsid w:val="00F234C9"/>
    <w:rsid w:val="00F23D0C"/>
    <w:rsid w:val="00F254BC"/>
    <w:rsid w:val="00F2569B"/>
    <w:rsid w:val="00F27F14"/>
    <w:rsid w:val="00F30076"/>
    <w:rsid w:val="00F30750"/>
    <w:rsid w:val="00F30AD3"/>
    <w:rsid w:val="00F3184E"/>
    <w:rsid w:val="00F31A23"/>
    <w:rsid w:val="00F32B3D"/>
    <w:rsid w:val="00F3312F"/>
    <w:rsid w:val="00F36F25"/>
    <w:rsid w:val="00F37871"/>
    <w:rsid w:val="00F37D36"/>
    <w:rsid w:val="00F40475"/>
    <w:rsid w:val="00F4094E"/>
    <w:rsid w:val="00F41486"/>
    <w:rsid w:val="00F4236D"/>
    <w:rsid w:val="00F42426"/>
    <w:rsid w:val="00F42DEB"/>
    <w:rsid w:val="00F43379"/>
    <w:rsid w:val="00F43E4C"/>
    <w:rsid w:val="00F45302"/>
    <w:rsid w:val="00F474B1"/>
    <w:rsid w:val="00F47980"/>
    <w:rsid w:val="00F505D0"/>
    <w:rsid w:val="00F51345"/>
    <w:rsid w:val="00F51723"/>
    <w:rsid w:val="00F51945"/>
    <w:rsid w:val="00F51E30"/>
    <w:rsid w:val="00F52ABC"/>
    <w:rsid w:val="00F53EEE"/>
    <w:rsid w:val="00F549BB"/>
    <w:rsid w:val="00F56792"/>
    <w:rsid w:val="00F5760A"/>
    <w:rsid w:val="00F623AD"/>
    <w:rsid w:val="00F62EEA"/>
    <w:rsid w:val="00F63221"/>
    <w:rsid w:val="00F64EE7"/>
    <w:rsid w:val="00F64EE8"/>
    <w:rsid w:val="00F64FDE"/>
    <w:rsid w:val="00F65887"/>
    <w:rsid w:val="00F65977"/>
    <w:rsid w:val="00F66F0C"/>
    <w:rsid w:val="00F66F7F"/>
    <w:rsid w:val="00F6742D"/>
    <w:rsid w:val="00F67E8D"/>
    <w:rsid w:val="00F7022C"/>
    <w:rsid w:val="00F71334"/>
    <w:rsid w:val="00F71659"/>
    <w:rsid w:val="00F71C57"/>
    <w:rsid w:val="00F730B6"/>
    <w:rsid w:val="00F7321F"/>
    <w:rsid w:val="00F742F2"/>
    <w:rsid w:val="00F750F5"/>
    <w:rsid w:val="00F76DD4"/>
    <w:rsid w:val="00F82E19"/>
    <w:rsid w:val="00F82F6C"/>
    <w:rsid w:val="00F859FD"/>
    <w:rsid w:val="00F85C20"/>
    <w:rsid w:val="00F86EC9"/>
    <w:rsid w:val="00F87856"/>
    <w:rsid w:val="00F87F67"/>
    <w:rsid w:val="00F9010B"/>
    <w:rsid w:val="00F91EAC"/>
    <w:rsid w:val="00F9247B"/>
    <w:rsid w:val="00F92A06"/>
    <w:rsid w:val="00F92DAA"/>
    <w:rsid w:val="00F94A1C"/>
    <w:rsid w:val="00F96D3E"/>
    <w:rsid w:val="00F96EA0"/>
    <w:rsid w:val="00F97509"/>
    <w:rsid w:val="00F97651"/>
    <w:rsid w:val="00F97FD3"/>
    <w:rsid w:val="00FA0518"/>
    <w:rsid w:val="00FA1161"/>
    <w:rsid w:val="00FA1C28"/>
    <w:rsid w:val="00FA2088"/>
    <w:rsid w:val="00FA2307"/>
    <w:rsid w:val="00FA2BF6"/>
    <w:rsid w:val="00FA375E"/>
    <w:rsid w:val="00FA3D0B"/>
    <w:rsid w:val="00FA47B9"/>
    <w:rsid w:val="00FA5CC3"/>
    <w:rsid w:val="00FA5E41"/>
    <w:rsid w:val="00FA6F60"/>
    <w:rsid w:val="00FA7850"/>
    <w:rsid w:val="00FB007F"/>
    <w:rsid w:val="00FB0212"/>
    <w:rsid w:val="00FB0423"/>
    <w:rsid w:val="00FB04E4"/>
    <w:rsid w:val="00FB126A"/>
    <w:rsid w:val="00FB2304"/>
    <w:rsid w:val="00FB2DF5"/>
    <w:rsid w:val="00FB316E"/>
    <w:rsid w:val="00FB326C"/>
    <w:rsid w:val="00FB3E65"/>
    <w:rsid w:val="00FB4901"/>
    <w:rsid w:val="00FB58C0"/>
    <w:rsid w:val="00FB5D6B"/>
    <w:rsid w:val="00FB62DC"/>
    <w:rsid w:val="00FB6BC7"/>
    <w:rsid w:val="00FC0659"/>
    <w:rsid w:val="00FC179A"/>
    <w:rsid w:val="00FC17AC"/>
    <w:rsid w:val="00FC1D2E"/>
    <w:rsid w:val="00FC23D9"/>
    <w:rsid w:val="00FC283E"/>
    <w:rsid w:val="00FC2985"/>
    <w:rsid w:val="00FC2CAE"/>
    <w:rsid w:val="00FC2E85"/>
    <w:rsid w:val="00FC2FC4"/>
    <w:rsid w:val="00FC3BB3"/>
    <w:rsid w:val="00FC4567"/>
    <w:rsid w:val="00FC4681"/>
    <w:rsid w:val="00FC5D6A"/>
    <w:rsid w:val="00FC6F6E"/>
    <w:rsid w:val="00FC7090"/>
    <w:rsid w:val="00FD2A7D"/>
    <w:rsid w:val="00FD2BC3"/>
    <w:rsid w:val="00FD2D59"/>
    <w:rsid w:val="00FD36B7"/>
    <w:rsid w:val="00FD3B12"/>
    <w:rsid w:val="00FD449E"/>
    <w:rsid w:val="00FD476B"/>
    <w:rsid w:val="00FD6155"/>
    <w:rsid w:val="00FD71E1"/>
    <w:rsid w:val="00FD7C64"/>
    <w:rsid w:val="00FD7C80"/>
    <w:rsid w:val="00FD7DAC"/>
    <w:rsid w:val="00FE0325"/>
    <w:rsid w:val="00FE0BBC"/>
    <w:rsid w:val="00FE0C00"/>
    <w:rsid w:val="00FE1612"/>
    <w:rsid w:val="00FE1A5A"/>
    <w:rsid w:val="00FE2433"/>
    <w:rsid w:val="00FE24A0"/>
    <w:rsid w:val="00FE25D0"/>
    <w:rsid w:val="00FE2F9A"/>
    <w:rsid w:val="00FE2FD8"/>
    <w:rsid w:val="00FE36B4"/>
    <w:rsid w:val="00FE3A8B"/>
    <w:rsid w:val="00FE5D6A"/>
    <w:rsid w:val="00FE5F14"/>
    <w:rsid w:val="00FE6969"/>
    <w:rsid w:val="00FE6E67"/>
    <w:rsid w:val="00FE714A"/>
    <w:rsid w:val="00FF05F4"/>
    <w:rsid w:val="00FF1455"/>
    <w:rsid w:val="00FF1E5B"/>
    <w:rsid w:val="00FF1E79"/>
    <w:rsid w:val="00FF35B8"/>
    <w:rsid w:val="00FF392F"/>
    <w:rsid w:val="00FF3E92"/>
    <w:rsid w:val="00FF51FD"/>
    <w:rsid w:val="00FF58AA"/>
    <w:rsid w:val="00FF5D94"/>
    <w:rsid w:val="00FF5EC5"/>
    <w:rsid w:val="00FF6251"/>
    <w:rsid w:val="00FF793D"/>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ECA01557-B926-4C7F-A4EC-56FD431E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4634"/>
    <w:pPr>
      <w:autoSpaceDE w:val="0"/>
      <w:autoSpaceDN w:val="0"/>
      <w:adjustRightInd w:val="0"/>
      <w:snapToGrid w:val="0"/>
      <w:spacing w:before="120"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ED2DEE"/>
    <w:pPr>
      <w:keepNext/>
      <w:numPr>
        <w:ilvl w:val="1"/>
        <w:numId w:val="1"/>
      </w:numPr>
      <w:tabs>
        <w:tab w:val="left" w:pos="431"/>
      </w:tabs>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A2710C"/>
    <w:pPr>
      <w:keepNext/>
      <w:numPr>
        <w:ilvl w:val="2"/>
        <w:numId w:val="1"/>
      </w:numPr>
      <w:tabs>
        <w:tab w:val="left" w:pos="827"/>
        <w:tab w:val="left" w:pos="1289"/>
      </w:tabs>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ED2DEE"/>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A2710C"/>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iPriority w:val="99"/>
    <w:semiHidden/>
    <w:unhideWhenUsed/>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PlaceholderText">
    <w:name w:val="Placeholder Text"/>
    <w:basedOn w:val="DefaultParagraphFont"/>
    <w:uiPriority w:val="99"/>
    <w:semiHidden/>
    <w:rsid w:val="006D6AB2"/>
    <w:rPr>
      <w:color w:val="808080"/>
    </w:rPr>
  </w:style>
  <w:style w:type="character" w:customStyle="1" w:styleId="nickname">
    <w:name w:val="nickname"/>
    <w:basedOn w:val="DefaultParagraphFont"/>
    <w:rsid w:val="00F045C5"/>
  </w:style>
  <w:style w:type="character" w:customStyle="1" w:styleId="nicktime">
    <w:name w:val="nicktime"/>
    <w:basedOn w:val="DefaultParagraphFont"/>
    <w:rsid w:val="00F045C5"/>
  </w:style>
  <w:style w:type="paragraph" w:customStyle="1" w:styleId="B2">
    <w:name w:val="B2"/>
    <w:basedOn w:val="Normal"/>
    <w:link w:val="B2Char"/>
    <w:qFormat/>
    <w:rsid w:val="004B7406"/>
    <w:pPr>
      <w:autoSpaceDE/>
      <w:autoSpaceDN/>
      <w:adjustRightInd/>
      <w:snapToGrid/>
      <w:spacing w:before="0" w:after="180"/>
      <w:ind w:left="851" w:hanging="284"/>
      <w:jc w:val="left"/>
    </w:pPr>
    <w:rPr>
      <w:sz w:val="20"/>
      <w:szCs w:val="20"/>
      <w:lang w:val="en-GB"/>
    </w:rPr>
  </w:style>
  <w:style w:type="character" w:customStyle="1" w:styleId="B2Char">
    <w:name w:val="B2 Char"/>
    <w:link w:val="B2"/>
    <w:qFormat/>
    <w:locked/>
    <w:rsid w:val="004B7406"/>
    <w:rPr>
      <w:rFonts w:ascii="Times New Roman" w:eastAsia="SimSun" w:hAnsi="Times New Roman" w:cs="Times New Roman"/>
      <w:kern w:val="0"/>
      <w:sz w:val="20"/>
      <w:szCs w:val="20"/>
      <w:lang w:val="en-GB" w:eastAsia="en-US"/>
    </w:rPr>
  </w:style>
  <w:style w:type="character" w:customStyle="1" w:styleId="B1Zchn">
    <w:name w:val="B1 Zchn"/>
    <w:qFormat/>
    <w:rsid w:val="003623E9"/>
    <w:rPr>
      <w:rFonts w:ascii="Times New Roman" w:hAnsi="Times New Roman"/>
      <w:lang w:val="en-GB" w:eastAsia="en-US"/>
    </w:rPr>
  </w:style>
  <w:style w:type="paragraph" w:customStyle="1" w:styleId="TH">
    <w:name w:val="TH"/>
    <w:basedOn w:val="Normal"/>
    <w:link w:val="THChar"/>
    <w:qFormat/>
    <w:rsid w:val="00496F3D"/>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496F3D"/>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7348676">
      <w:bodyDiv w:val="1"/>
      <w:marLeft w:val="0"/>
      <w:marRight w:val="0"/>
      <w:marTop w:val="0"/>
      <w:marBottom w:val="0"/>
      <w:divBdr>
        <w:top w:val="none" w:sz="0" w:space="0" w:color="auto"/>
        <w:left w:val="none" w:sz="0" w:space="0" w:color="auto"/>
        <w:bottom w:val="none" w:sz="0" w:space="0" w:color="auto"/>
        <w:right w:val="none" w:sz="0" w:space="0" w:color="auto"/>
      </w:divBdr>
      <w:divsChild>
        <w:div w:id="1930699912">
          <w:marLeft w:val="0"/>
          <w:marRight w:val="0"/>
          <w:marTop w:val="0"/>
          <w:marBottom w:val="0"/>
          <w:divBdr>
            <w:top w:val="none" w:sz="0" w:space="0" w:color="auto"/>
            <w:left w:val="none" w:sz="0" w:space="0" w:color="auto"/>
            <w:bottom w:val="none" w:sz="0" w:space="0" w:color="auto"/>
            <w:right w:val="none" w:sz="0" w:space="0" w:color="auto"/>
          </w:divBdr>
          <w:divsChild>
            <w:div w:id="694379233">
              <w:marLeft w:val="0"/>
              <w:marRight w:val="0"/>
              <w:marTop w:val="0"/>
              <w:marBottom w:val="0"/>
              <w:divBdr>
                <w:top w:val="none" w:sz="0" w:space="0" w:color="auto"/>
                <w:left w:val="none" w:sz="0" w:space="0" w:color="auto"/>
                <w:bottom w:val="none" w:sz="0" w:space="0" w:color="auto"/>
                <w:right w:val="none" w:sz="0" w:space="0" w:color="auto"/>
              </w:divBdr>
              <w:divsChild>
                <w:div w:id="1408191511">
                  <w:marLeft w:val="0"/>
                  <w:marRight w:val="0"/>
                  <w:marTop w:val="0"/>
                  <w:marBottom w:val="0"/>
                  <w:divBdr>
                    <w:top w:val="none" w:sz="0" w:space="0" w:color="auto"/>
                    <w:left w:val="none" w:sz="0" w:space="0" w:color="auto"/>
                    <w:bottom w:val="none" w:sz="0" w:space="0" w:color="auto"/>
                    <w:right w:val="none" w:sz="0" w:space="0" w:color="auto"/>
                  </w:divBdr>
                  <w:divsChild>
                    <w:div w:id="610282871">
                      <w:marLeft w:val="0"/>
                      <w:marRight w:val="0"/>
                      <w:marTop w:val="0"/>
                      <w:marBottom w:val="0"/>
                      <w:divBdr>
                        <w:top w:val="none" w:sz="0" w:space="0" w:color="auto"/>
                        <w:left w:val="none" w:sz="0" w:space="0" w:color="auto"/>
                        <w:bottom w:val="none" w:sz="0" w:space="0" w:color="auto"/>
                        <w:right w:val="none" w:sz="0" w:space="0" w:color="auto"/>
                      </w:divBdr>
                      <w:divsChild>
                        <w:div w:id="915821468">
                          <w:marLeft w:val="0"/>
                          <w:marRight w:val="0"/>
                          <w:marTop w:val="0"/>
                          <w:marBottom w:val="0"/>
                          <w:divBdr>
                            <w:top w:val="none" w:sz="0" w:space="0" w:color="auto"/>
                            <w:left w:val="none" w:sz="0" w:space="0" w:color="auto"/>
                            <w:bottom w:val="none" w:sz="0" w:space="0" w:color="auto"/>
                            <w:right w:val="none" w:sz="0" w:space="0" w:color="auto"/>
                          </w:divBdr>
                          <w:divsChild>
                            <w:div w:id="1712342219">
                              <w:marLeft w:val="0"/>
                              <w:marRight w:val="0"/>
                              <w:marTop w:val="0"/>
                              <w:marBottom w:val="0"/>
                              <w:divBdr>
                                <w:top w:val="none" w:sz="0" w:space="0" w:color="auto"/>
                                <w:left w:val="none" w:sz="0" w:space="0" w:color="auto"/>
                                <w:bottom w:val="none" w:sz="0" w:space="0" w:color="auto"/>
                                <w:right w:val="none" w:sz="0" w:space="0" w:color="auto"/>
                              </w:divBdr>
                              <w:divsChild>
                                <w:div w:id="51972141">
                                  <w:marLeft w:val="0"/>
                                  <w:marRight w:val="0"/>
                                  <w:marTop w:val="0"/>
                                  <w:marBottom w:val="210"/>
                                  <w:divBdr>
                                    <w:top w:val="none" w:sz="0" w:space="0" w:color="auto"/>
                                    <w:left w:val="none" w:sz="0" w:space="0" w:color="auto"/>
                                    <w:bottom w:val="none" w:sz="0" w:space="0" w:color="auto"/>
                                    <w:right w:val="none" w:sz="0" w:space="0" w:color="auto"/>
                                  </w:divBdr>
                                  <w:divsChild>
                                    <w:div w:id="88158061">
                                      <w:marLeft w:val="0"/>
                                      <w:marRight w:val="0"/>
                                      <w:marTop w:val="90"/>
                                      <w:marBottom w:val="0"/>
                                      <w:divBdr>
                                        <w:top w:val="none" w:sz="0" w:space="0" w:color="auto"/>
                                        <w:left w:val="none" w:sz="0" w:space="0" w:color="auto"/>
                                        <w:bottom w:val="none" w:sz="0" w:space="0" w:color="auto"/>
                                        <w:right w:val="none" w:sz="0" w:space="0" w:color="auto"/>
                                      </w:divBdr>
                                    </w:div>
                                    <w:div w:id="443547705">
                                      <w:marLeft w:val="0"/>
                                      <w:marRight w:val="0"/>
                                      <w:marTop w:val="0"/>
                                      <w:marBottom w:val="0"/>
                                      <w:divBdr>
                                        <w:top w:val="none" w:sz="0" w:space="0" w:color="auto"/>
                                        <w:left w:val="none" w:sz="0" w:space="0" w:color="auto"/>
                                        <w:bottom w:val="none" w:sz="0" w:space="0" w:color="auto"/>
                                        <w:right w:val="none" w:sz="0" w:space="0" w:color="auto"/>
                                      </w:divBdr>
                                    </w:div>
                                  </w:divsChild>
                                </w:div>
                                <w:div w:id="77992865">
                                  <w:marLeft w:val="0"/>
                                  <w:marRight w:val="0"/>
                                  <w:marTop w:val="0"/>
                                  <w:marBottom w:val="210"/>
                                  <w:divBdr>
                                    <w:top w:val="none" w:sz="0" w:space="0" w:color="auto"/>
                                    <w:left w:val="none" w:sz="0" w:space="0" w:color="auto"/>
                                    <w:bottom w:val="none" w:sz="0" w:space="0" w:color="auto"/>
                                    <w:right w:val="none" w:sz="0" w:space="0" w:color="auto"/>
                                  </w:divBdr>
                                  <w:divsChild>
                                    <w:div w:id="904024877">
                                      <w:marLeft w:val="0"/>
                                      <w:marRight w:val="0"/>
                                      <w:marTop w:val="90"/>
                                      <w:marBottom w:val="0"/>
                                      <w:divBdr>
                                        <w:top w:val="none" w:sz="0" w:space="0" w:color="auto"/>
                                        <w:left w:val="none" w:sz="0" w:space="0" w:color="auto"/>
                                        <w:bottom w:val="none" w:sz="0" w:space="0" w:color="auto"/>
                                        <w:right w:val="none" w:sz="0" w:space="0" w:color="auto"/>
                                      </w:divBdr>
                                    </w:div>
                                    <w:div w:id="1680694076">
                                      <w:marLeft w:val="0"/>
                                      <w:marRight w:val="0"/>
                                      <w:marTop w:val="0"/>
                                      <w:marBottom w:val="0"/>
                                      <w:divBdr>
                                        <w:top w:val="none" w:sz="0" w:space="0" w:color="auto"/>
                                        <w:left w:val="none" w:sz="0" w:space="0" w:color="auto"/>
                                        <w:bottom w:val="none" w:sz="0" w:space="0" w:color="auto"/>
                                        <w:right w:val="none" w:sz="0" w:space="0" w:color="auto"/>
                                      </w:divBdr>
                                    </w:div>
                                  </w:divsChild>
                                </w:div>
                                <w:div w:id="84154523">
                                  <w:marLeft w:val="0"/>
                                  <w:marRight w:val="0"/>
                                  <w:marTop w:val="0"/>
                                  <w:marBottom w:val="210"/>
                                  <w:divBdr>
                                    <w:top w:val="none" w:sz="0" w:space="0" w:color="auto"/>
                                    <w:left w:val="none" w:sz="0" w:space="0" w:color="auto"/>
                                    <w:bottom w:val="none" w:sz="0" w:space="0" w:color="auto"/>
                                    <w:right w:val="none" w:sz="0" w:space="0" w:color="auto"/>
                                  </w:divBdr>
                                  <w:divsChild>
                                    <w:div w:id="848642630">
                                      <w:marLeft w:val="0"/>
                                      <w:marRight w:val="0"/>
                                      <w:marTop w:val="90"/>
                                      <w:marBottom w:val="0"/>
                                      <w:divBdr>
                                        <w:top w:val="none" w:sz="0" w:space="0" w:color="auto"/>
                                        <w:left w:val="none" w:sz="0" w:space="0" w:color="auto"/>
                                        <w:bottom w:val="none" w:sz="0" w:space="0" w:color="auto"/>
                                        <w:right w:val="none" w:sz="0" w:space="0" w:color="auto"/>
                                      </w:divBdr>
                                    </w:div>
                                    <w:div w:id="2038461840">
                                      <w:marLeft w:val="0"/>
                                      <w:marRight w:val="0"/>
                                      <w:marTop w:val="0"/>
                                      <w:marBottom w:val="0"/>
                                      <w:divBdr>
                                        <w:top w:val="none" w:sz="0" w:space="0" w:color="auto"/>
                                        <w:left w:val="none" w:sz="0" w:space="0" w:color="auto"/>
                                        <w:bottom w:val="none" w:sz="0" w:space="0" w:color="auto"/>
                                        <w:right w:val="none" w:sz="0" w:space="0" w:color="auto"/>
                                      </w:divBdr>
                                    </w:div>
                                  </w:divsChild>
                                </w:div>
                                <w:div w:id="122624909">
                                  <w:marLeft w:val="0"/>
                                  <w:marRight w:val="0"/>
                                  <w:marTop w:val="0"/>
                                  <w:marBottom w:val="210"/>
                                  <w:divBdr>
                                    <w:top w:val="none" w:sz="0" w:space="0" w:color="auto"/>
                                    <w:left w:val="none" w:sz="0" w:space="0" w:color="auto"/>
                                    <w:bottom w:val="none" w:sz="0" w:space="0" w:color="auto"/>
                                    <w:right w:val="none" w:sz="0" w:space="0" w:color="auto"/>
                                  </w:divBdr>
                                  <w:divsChild>
                                    <w:div w:id="1864905328">
                                      <w:marLeft w:val="0"/>
                                      <w:marRight w:val="0"/>
                                      <w:marTop w:val="90"/>
                                      <w:marBottom w:val="0"/>
                                      <w:divBdr>
                                        <w:top w:val="none" w:sz="0" w:space="0" w:color="auto"/>
                                        <w:left w:val="none" w:sz="0" w:space="0" w:color="auto"/>
                                        <w:bottom w:val="none" w:sz="0" w:space="0" w:color="auto"/>
                                        <w:right w:val="none" w:sz="0" w:space="0" w:color="auto"/>
                                      </w:divBdr>
                                    </w:div>
                                    <w:div w:id="2125029179">
                                      <w:marLeft w:val="0"/>
                                      <w:marRight w:val="0"/>
                                      <w:marTop w:val="0"/>
                                      <w:marBottom w:val="0"/>
                                      <w:divBdr>
                                        <w:top w:val="none" w:sz="0" w:space="0" w:color="auto"/>
                                        <w:left w:val="none" w:sz="0" w:space="0" w:color="auto"/>
                                        <w:bottom w:val="none" w:sz="0" w:space="0" w:color="auto"/>
                                        <w:right w:val="none" w:sz="0" w:space="0" w:color="auto"/>
                                      </w:divBdr>
                                    </w:div>
                                  </w:divsChild>
                                </w:div>
                                <w:div w:id="149949303">
                                  <w:marLeft w:val="0"/>
                                  <w:marRight w:val="0"/>
                                  <w:marTop w:val="0"/>
                                  <w:marBottom w:val="210"/>
                                  <w:divBdr>
                                    <w:top w:val="none" w:sz="0" w:space="0" w:color="auto"/>
                                    <w:left w:val="none" w:sz="0" w:space="0" w:color="auto"/>
                                    <w:bottom w:val="none" w:sz="0" w:space="0" w:color="auto"/>
                                    <w:right w:val="none" w:sz="0" w:space="0" w:color="auto"/>
                                  </w:divBdr>
                                  <w:divsChild>
                                    <w:div w:id="861820048">
                                      <w:marLeft w:val="0"/>
                                      <w:marRight w:val="0"/>
                                      <w:marTop w:val="0"/>
                                      <w:marBottom w:val="0"/>
                                      <w:divBdr>
                                        <w:top w:val="none" w:sz="0" w:space="0" w:color="auto"/>
                                        <w:left w:val="none" w:sz="0" w:space="0" w:color="auto"/>
                                        <w:bottom w:val="none" w:sz="0" w:space="0" w:color="auto"/>
                                        <w:right w:val="none" w:sz="0" w:space="0" w:color="auto"/>
                                      </w:divBdr>
                                    </w:div>
                                    <w:div w:id="1053769479">
                                      <w:marLeft w:val="0"/>
                                      <w:marRight w:val="0"/>
                                      <w:marTop w:val="90"/>
                                      <w:marBottom w:val="0"/>
                                      <w:divBdr>
                                        <w:top w:val="none" w:sz="0" w:space="0" w:color="auto"/>
                                        <w:left w:val="none" w:sz="0" w:space="0" w:color="auto"/>
                                        <w:bottom w:val="none" w:sz="0" w:space="0" w:color="auto"/>
                                        <w:right w:val="none" w:sz="0" w:space="0" w:color="auto"/>
                                      </w:divBdr>
                                    </w:div>
                                  </w:divsChild>
                                </w:div>
                                <w:div w:id="211385652">
                                  <w:marLeft w:val="0"/>
                                  <w:marRight w:val="0"/>
                                  <w:marTop w:val="0"/>
                                  <w:marBottom w:val="210"/>
                                  <w:divBdr>
                                    <w:top w:val="none" w:sz="0" w:space="0" w:color="auto"/>
                                    <w:left w:val="none" w:sz="0" w:space="0" w:color="auto"/>
                                    <w:bottom w:val="none" w:sz="0" w:space="0" w:color="auto"/>
                                    <w:right w:val="none" w:sz="0" w:space="0" w:color="auto"/>
                                  </w:divBdr>
                                  <w:divsChild>
                                    <w:div w:id="220796446">
                                      <w:marLeft w:val="0"/>
                                      <w:marRight w:val="0"/>
                                      <w:marTop w:val="90"/>
                                      <w:marBottom w:val="0"/>
                                      <w:divBdr>
                                        <w:top w:val="none" w:sz="0" w:space="0" w:color="auto"/>
                                        <w:left w:val="none" w:sz="0" w:space="0" w:color="auto"/>
                                        <w:bottom w:val="none" w:sz="0" w:space="0" w:color="auto"/>
                                        <w:right w:val="none" w:sz="0" w:space="0" w:color="auto"/>
                                      </w:divBdr>
                                    </w:div>
                                    <w:div w:id="1110851735">
                                      <w:marLeft w:val="0"/>
                                      <w:marRight w:val="0"/>
                                      <w:marTop w:val="0"/>
                                      <w:marBottom w:val="0"/>
                                      <w:divBdr>
                                        <w:top w:val="none" w:sz="0" w:space="0" w:color="auto"/>
                                        <w:left w:val="none" w:sz="0" w:space="0" w:color="auto"/>
                                        <w:bottom w:val="none" w:sz="0" w:space="0" w:color="auto"/>
                                        <w:right w:val="none" w:sz="0" w:space="0" w:color="auto"/>
                                      </w:divBdr>
                                    </w:div>
                                  </w:divsChild>
                                </w:div>
                                <w:div w:id="355547032">
                                  <w:marLeft w:val="0"/>
                                  <w:marRight w:val="0"/>
                                  <w:marTop w:val="0"/>
                                  <w:marBottom w:val="210"/>
                                  <w:divBdr>
                                    <w:top w:val="none" w:sz="0" w:space="0" w:color="auto"/>
                                    <w:left w:val="none" w:sz="0" w:space="0" w:color="auto"/>
                                    <w:bottom w:val="none" w:sz="0" w:space="0" w:color="auto"/>
                                    <w:right w:val="none" w:sz="0" w:space="0" w:color="auto"/>
                                  </w:divBdr>
                                  <w:divsChild>
                                    <w:div w:id="402068242">
                                      <w:marLeft w:val="0"/>
                                      <w:marRight w:val="0"/>
                                      <w:marTop w:val="90"/>
                                      <w:marBottom w:val="0"/>
                                      <w:divBdr>
                                        <w:top w:val="none" w:sz="0" w:space="0" w:color="auto"/>
                                        <w:left w:val="none" w:sz="0" w:space="0" w:color="auto"/>
                                        <w:bottom w:val="none" w:sz="0" w:space="0" w:color="auto"/>
                                        <w:right w:val="none" w:sz="0" w:space="0" w:color="auto"/>
                                      </w:divBdr>
                                    </w:div>
                                    <w:div w:id="1692608315">
                                      <w:marLeft w:val="0"/>
                                      <w:marRight w:val="0"/>
                                      <w:marTop w:val="0"/>
                                      <w:marBottom w:val="0"/>
                                      <w:divBdr>
                                        <w:top w:val="none" w:sz="0" w:space="0" w:color="auto"/>
                                        <w:left w:val="none" w:sz="0" w:space="0" w:color="auto"/>
                                        <w:bottom w:val="none" w:sz="0" w:space="0" w:color="auto"/>
                                        <w:right w:val="none" w:sz="0" w:space="0" w:color="auto"/>
                                      </w:divBdr>
                                    </w:div>
                                  </w:divsChild>
                                </w:div>
                                <w:div w:id="371923701">
                                  <w:marLeft w:val="0"/>
                                  <w:marRight w:val="0"/>
                                  <w:marTop w:val="0"/>
                                  <w:marBottom w:val="210"/>
                                  <w:divBdr>
                                    <w:top w:val="none" w:sz="0" w:space="0" w:color="auto"/>
                                    <w:left w:val="none" w:sz="0" w:space="0" w:color="auto"/>
                                    <w:bottom w:val="none" w:sz="0" w:space="0" w:color="auto"/>
                                    <w:right w:val="none" w:sz="0" w:space="0" w:color="auto"/>
                                  </w:divBdr>
                                  <w:divsChild>
                                    <w:div w:id="19018716">
                                      <w:marLeft w:val="0"/>
                                      <w:marRight w:val="0"/>
                                      <w:marTop w:val="90"/>
                                      <w:marBottom w:val="0"/>
                                      <w:divBdr>
                                        <w:top w:val="none" w:sz="0" w:space="0" w:color="auto"/>
                                        <w:left w:val="none" w:sz="0" w:space="0" w:color="auto"/>
                                        <w:bottom w:val="none" w:sz="0" w:space="0" w:color="auto"/>
                                        <w:right w:val="none" w:sz="0" w:space="0" w:color="auto"/>
                                      </w:divBdr>
                                    </w:div>
                                    <w:div w:id="658078105">
                                      <w:marLeft w:val="0"/>
                                      <w:marRight w:val="0"/>
                                      <w:marTop w:val="0"/>
                                      <w:marBottom w:val="0"/>
                                      <w:divBdr>
                                        <w:top w:val="none" w:sz="0" w:space="0" w:color="auto"/>
                                        <w:left w:val="none" w:sz="0" w:space="0" w:color="auto"/>
                                        <w:bottom w:val="none" w:sz="0" w:space="0" w:color="auto"/>
                                        <w:right w:val="none" w:sz="0" w:space="0" w:color="auto"/>
                                      </w:divBdr>
                                    </w:div>
                                  </w:divsChild>
                                </w:div>
                                <w:div w:id="372924429">
                                  <w:marLeft w:val="0"/>
                                  <w:marRight w:val="0"/>
                                  <w:marTop w:val="0"/>
                                  <w:marBottom w:val="210"/>
                                  <w:divBdr>
                                    <w:top w:val="none" w:sz="0" w:space="0" w:color="auto"/>
                                    <w:left w:val="none" w:sz="0" w:space="0" w:color="auto"/>
                                    <w:bottom w:val="none" w:sz="0" w:space="0" w:color="auto"/>
                                    <w:right w:val="none" w:sz="0" w:space="0" w:color="auto"/>
                                  </w:divBdr>
                                  <w:divsChild>
                                    <w:div w:id="971907949">
                                      <w:marLeft w:val="0"/>
                                      <w:marRight w:val="0"/>
                                      <w:marTop w:val="90"/>
                                      <w:marBottom w:val="0"/>
                                      <w:divBdr>
                                        <w:top w:val="none" w:sz="0" w:space="0" w:color="auto"/>
                                        <w:left w:val="none" w:sz="0" w:space="0" w:color="auto"/>
                                        <w:bottom w:val="none" w:sz="0" w:space="0" w:color="auto"/>
                                        <w:right w:val="none" w:sz="0" w:space="0" w:color="auto"/>
                                      </w:divBdr>
                                    </w:div>
                                    <w:div w:id="1404715941">
                                      <w:marLeft w:val="0"/>
                                      <w:marRight w:val="0"/>
                                      <w:marTop w:val="0"/>
                                      <w:marBottom w:val="0"/>
                                      <w:divBdr>
                                        <w:top w:val="none" w:sz="0" w:space="0" w:color="auto"/>
                                        <w:left w:val="none" w:sz="0" w:space="0" w:color="auto"/>
                                        <w:bottom w:val="none" w:sz="0" w:space="0" w:color="auto"/>
                                        <w:right w:val="none" w:sz="0" w:space="0" w:color="auto"/>
                                      </w:divBdr>
                                    </w:div>
                                  </w:divsChild>
                                </w:div>
                                <w:div w:id="387148535">
                                  <w:marLeft w:val="0"/>
                                  <w:marRight w:val="0"/>
                                  <w:marTop w:val="0"/>
                                  <w:marBottom w:val="210"/>
                                  <w:divBdr>
                                    <w:top w:val="none" w:sz="0" w:space="0" w:color="auto"/>
                                    <w:left w:val="none" w:sz="0" w:space="0" w:color="auto"/>
                                    <w:bottom w:val="none" w:sz="0" w:space="0" w:color="auto"/>
                                    <w:right w:val="none" w:sz="0" w:space="0" w:color="auto"/>
                                  </w:divBdr>
                                  <w:divsChild>
                                    <w:div w:id="1205286871">
                                      <w:marLeft w:val="0"/>
                                      <w:marRight w:val="0"/>
                                      <w:marTop w:val="0"/>
                                      <w:marBottom w:val="0"/>
                                      <w:divBdr>
                                        <w:top w:val="none" w:sz="0" w:space="0" w:color="auto"/>
                                        <w:left w:val="none" w:sz="0" w:space="0" w:color="auto"/>
                                        <w:bottom w:val="none" w:sz="0" w:space="0" w:color="auto"/>
                                        <w:right w:val="none" w:sz="0" w:space="0" w:color="auto"/>
                                      </w:divBdr>
                                    </w:div>
                                    <w:div w:id="1549149687">
                                      <w:marLeft w:val="0"/>
                                      <w:marRight w:val="0"/>
                                      <w:marTop w:val="90"/>
                                      <w:marBottom w:val="0"/>
                                      <w:divBdr>
                                        <w:top w:val="none" w:sz="0" w:space="0" w:color="auto"/>
                                        <w:left w:val="none" w:sz="0" w:space="0" w:color="auto"/>
                                        <w:bottom w:val="none" w:sz="0" w:space="0" w:color="auto"/>
                                        <w:right w:val="none" w:sz="0" w:space="0" w:color="auto"/>
                                      </w:divBdr>
                                    </w:div>
                                  </w:divsChild>
                                </w:div>
                                <w:div w:id="498429411">
                                  <w:marLeft w:val="0"/>
                                  <w:marRight w:val="0"/>
                                  <w:marTop w:val="0"/>
                                  <w:marBottom w:val="210"/>
                                  <w:divBdr>
                                    <w:top w:val="none" w:sz="0" w:space="0" w:color="auto"/>
                                    <w:left w:val="none" w:sz="0" w:space="0" w:color="auto"/>
                                    <w:bottom w:val="none" w:sz="0" w:space="0" w:color="auto"/>
                                    <w:right w:val="none" w:sz="0" w:space="0" w:color="auto"/>
                                  </w:divBdr>
                                  <w:divsChild>
                                    <w:div w:id="1122380138">
                                      <w:marLeft w:val="0"/>
                                      <w:marRight w:val="0"/>
                                      <w:marTop w:val="0"/>
                                      <w:marBottom w:val="0"/>
                                      <w:divBdr>
                                        <w:top w:val="none" w:sz="0" w:space="0" w:color="auto"/>
                                        <w:left w:val="none" w:sz="0" w:space="0" w:color="auto"/>
                                        <w:bottom w:val="none" w:sz="0" w:space="0" w:color="auto"/>
                                        <w:right w:val="none" w:sz="0" w:space="0" w:color="auto"/>
                                      </w:divBdr>
                                    </w:div>
                                    <w:div w:id="1761828251">
                                      <w:marLeft w:val="0"/>
                                      <w:marRight w:val="0"/>
                                      <w:marTop w:val="90"/>
                                      <w:marBottom w:val="0"/>
                                      <w:divBdr>
                                        <w:top w:val="none" w:sz="0" w:space="0" w:color="auto"/>
                                        <w:left w:val="none" w:sz="0" w:space="0" w:color="auto"/>
                                        <w:bottom w:val="none" w:sz="0" w:space="0" w:color="auto"/>
                                        <w:right w:val="none" w:sz="0" w:space="0" w:color="auto"/>
                                      </w:divBdr>
                                    </w:div>
                                  </w:divsChild>
                                </w:div>
                                <w:div w:id="507065738">
                                  <w:marLeft w:val="0"/>
                                  <w:marRight w:val="0"/>
                                  <w:marTop w:val="0"/>
                                  <w:marBottom w:val="210"/>
                                  <w:divBdr>
                                    <w:top w:val="none" w:sz="0" w:space="0" w:color="auto"/>
                                    <w:left w:val="none" w:sz="0" w:space="0" w:color="auto"/>
                                    <w:bottom w:val="none" w:sz="0" w:space="0" w:color="auto"/>
                                    <w:right w:val="none" w:sz="0" w:space="0" w:color="auto"/>
                                  </w:divBdr>
                                  <w:divsChild>
                                    <w:div w:id="1506751766">
                                      <w:marLeft w:val="0"/>
                                      <w:marRight w:val="0"/>
                                      <w:marTop w:val="90"/>
                                      <w:marBottom w:val="0"/>
                                      <w:divBdr>
                                        <w:top w:val="none" w:sz="0" w:space="0" w:color="auto"/>
                                        <w:left w:val="none" w:sz="0" w:space="0" w:color="auto"/>
                                        <w:bottom w:val="none" w:sz="0" w:space="0" w:color="auto"/>
                                        <w:right w:val="none" w:sz="0" w:space="0" w:color="auto"/>
                                      </w:divBdr>
                                    </w:div>
                                    <w:div w:id="1634168542">
                                      <w:marLeft w:val="0"/>
                                      <w:marRight w:val="0"/>
                                      <w:marTop w:val="0"/>
                                      <w:marBottom w:val="0"/>
                                      <w:divBdr>
                                        <w:top w:val="none" w:sz="0" w:space="0" w:color="auto"/>
                                        <w:left w:val="none" w:sz="0" w:space="0" w:color="auto"/>
                                        <w:bottom w:val="none" w:sz="0" w:space="0" w:color="auto"/>
                                        <w:right w:val="none" w:sz="0" w:space="0" w:color="auto"/>
                                      </w:divBdr>
                                    </w:div>
                                  </w:divsChild>
                                </w:div>
                                <w:div w:id="519394329">
                                  <w:marLeft w:val="0"/>
                                  <w:marRight w:val="0"/>
                                  <w:marTop w:val="0"/>
                                  <w:marBottom w:val="210"/>
                                  <w:divBdr>
                                    <w:top w:val="none" w:sz="0" w:space="0" w:color="auto"/>
                                    <w:left w:val="none" w:sz="0" w:space="0" w:color="auto"/>
                                    <w:bottom w:val="none" w:sz="0" w:space="0" w:color="auto"/>
                                    <w:right w:val="none" w:sz="0" w:space="0" w:color="auto"/>
                                  </w:divBdr>
                                  <w:divsChild>
                                    <w:div w:id="301229119">
                                      <w:marLeft w:val="0"/>
                                      <w:marRight w:val="0"/>
                                      <w:marTop w:val="0"/>
                                      <w:marBottom w:val="0"/>
                                      <w:divBdr>
                                        <w:top w:val="none" w:sz="0" w:space="0" w:color="auto"/>
                                        <w:left w:val="none" w:sz="0" w:space="0" w:color="auto"/>
                                        <w:bottom w:val="none" w:sz="0" w:space="0" w:color="auto"/>
                                        <w:right w:val="none" w:sz="0" w:space="0" w:color="auto"/>
                                      </w:divBdr>
                                    </w:div>
                                    <w:div w:id="1546335150">
                                      <w:marLeft w:val="0"/>
                                      <w:marRight w:val="0"/>
                                      <w:marTop w:val="90"/>
                                      <w:marBottom w:val="0"/>
                                      <w:divBdr>
                                        <w:top w:val="none" w:sz="0" w:space="0" w:color="auto"/>
                                        <w:left w:val="none" w:sz="0" w:space="0" w:color="auto"/>
                                        <w:bottom w:val="none" w:sz="0" w:space="0" w:color="auto"/>
                                        <w:right w:val="none" w:sz="0" w:space="0" w:color="auto"/>
                                      </w:divBdr>
                                    </w:div>
                                  </w:divsChild>
                                </w:div>
                                <w:div w:id="597521584">
                                  <w:marLeft w:val="0"/>
                                  <w:marRight w:val="0"/>
                                  <w:marTop w:val="0"/>
                                  <w:marBottom w:val="210"/>
                                  <w:divBdr>
                                    <w:top w:val="none" w:sz="0" w:space="0" w:color="auto"/>
                                    <w:left w:val="none" w:sz="0" w:space="0" w:color="auto"/>
                                    <w:bottom w:val="none" w:sz="0" w:space="0" w:color="auto"/>
                                    <w:right w:val="none" w:sz="0" w:space="0" w:color="auto"/>
                                  </w:divBdr>
                                  <w:divsChild>
                                    <w:div w:id="857427392">
                                      <w:marLeft w:val="0"/>
                                      <w:marRight w:val="0"/>
                                      <w:marTop w:val="0"/>
                                      <w:marBottom w:val="0"/>
                                      <w:divBdr>
                                        <w:top w:val="none" w:sz="0" w:space="0" w:color="auto"/>
                                        <w:left w:val="none" w:sz="0" w:space="0" w:color="auto"/>
                                        <w:bottom w:val="none" w:sz="0" w:space="0" w:color="auto"/>
                                        <w:right w:val="none" w:sz="0" w:space="0" w:color="auto"/>
                                      </w:divBdr>
                                    </w:div>
                                    <w:div w:id="1832521436">
                                      <w:marLeft w:val="0"/>
                                      <w:marRight w:val="0"/>
                                      <w:marTop w:val="90"/>
                                      <w:marBottom w:val="0"/>
                                      <w:divBdr>
                                        <w:top w:val="none" w:sz="0" w:space="0" w:color="auto"/>
                                        <w:left w:val="none" w:sz="0" w:space="0" w:color="auto"/>
                                        <w:bottom w:val="none" w:sz="0" w:space="0" w:color="auto"/>
                                        <w:right w:val="none" w:sz="0" w:space="0" w:color="auto"/>
                                      </w:divBdr>
                                    </w:div>
                                  </w:divsChild>
                                </w:div>
                                <w:div w:id="626935619">
                                  <w:marLeft w:val="0"/>
                                  <w:marRight w:val="0"/>
                                  <w:marTop w:val="0"/>
                                  <w:marBottom w:val="210"/>
                                  <w:divBdr>
                                    <w:top w:val="none" w:sz="0" w:space="0" w:color="auto"/>
                                    <w:left w:val="none" w:sz="0" w:space="0" w:color="auto"/>
                                    <w:bottom w:val="none" w:sz="0" w:space="0" w:color="auto"/>
                                    <w:right w:val="none" w:sz="0" w:space="0" w:color="auto"/>
                                  </w:divBdr>
                                  <w:divsChild>
                                    <w:div w:id="190386486">
                                      <w:marLeft w:val="0"/>
                                      <w:marRight w:val="0"/>
                                      <w:marTop w:val="0"/>
                                      <w:marBottom w:val="0"/>
                                      <w:divBdr>
                                        <w:top w:val="none" w:sz="0" w:space="0" w:color="auto"/>
                                        <w:left w:val="none" w:sz="0" w:space="0" w:color="auto"/>
                                        <w:bottom w:val="none" w:sz="0" w:space="0" w:color="auto"/>
                                        <w:right w:val="none" w:sz="0" w:space="0" w:color="auto"/>
                                      </w:divBdr>
                                    </w:div>
                                    <w:div w:id="1594700384">
                                      <w:marLeft w:val="0"/>
                                      <w:marRight w:val="0"/>
                                      <w:marTop w:val="90"/>
                                      <w:marBottom w:val="0"/>
                                      <w:divBdr>
                                        <w:top w:val="none" w:sz="0" w:space="0" w:color="auto"/>
                                        <w:left w:val="none" w:sz="0" w:space="0" w:color="auto"/>
                                        <w:bottom w:val="none" w:sz="0" w:space="0" w:color="auto"/>
                                        <w:right w:val="none" w:sz="0" w:space="0" w:color="auto"/>
                                      </w:divBdr>
                                    </w:div>
                                  </w:divsChild>
                                </w:div>
                                <w:div w:id="645621933">
                                  <w:marLeft w:val="0"/>
                                  <w:marRight w:val="0"/>
                                  <w:marTop w:val="0"/>
                                  <w:marBottom w:val="210"/>
                                  <w:divBdr>
                                    <w:top w:val="none" w:sz="0" w:space="0" w:color="auto"/>
                                    <w:left w:val="none" w:sz="0" w:space="0" w:color="auto"/>
                                    <w:bottom w:val="none" w:sz="0" w:space="0" w:color="auto"/>
                                    <w:right w:val="none" w:sz="0" w:space="0" w:color="auto"/>
                                  </w:divBdr>
                                  <w:divsChild>
                                    <w:div w:id="62724379">
                                      <w:marLeft w:val="0"/>
                                      <w:marRight w:val="0"/>
                                      <w:marTop w:val="0"/>
                                      <w:marBottom w:val="0"/>
                                      <w:divBdr>
                                        <w:top w:val="none" w:sz="0" w:space="0" w:color="auto"/>
                                        <w:left w:val="none" w:sz="0" w:space="0" w:color="auto"/>
                                        <w:bottom w:val="none" w:sz="0" w:space="0" w:color="auto"/>
                                        <w:right w:val="none" w:sz="0" w:space="0" w:color="auto"/>
                                      </w:divBdr>
                                    </w:div>
                                    <w:div w:id="873539995">
                                      <w:marLeft w:val="0"/>
                                      <w:marRight w:val="0"/>
                                      <w:marTop w:val="90"/>
                                      <w:marBottom w:val="0"/>
                                      <w:divBdr>
                                        <w:top w:val="none" w:sz="0" w:space="0" w:color="auto"/>
                                        <w:left w:val="none" w:sz="0" w:space="0" w:color="auto"/>
                                        <w:bottom w:val="none" w:sz="0" w:space="0" w:color="auto"/>
                                        <w:right w:val="none" w:sz="0" w:space="0" w:color="auto"/>
                                      </w:divBdr>
                                    </w:div>
                                  </w:divsChild>
                                </w:div>
                                <w:div w:id="664474260">
                                  <w:marLeft w:val="0"/>
                                  <w:marRight w:val="0"/>
                                  <w:marTop w:val="0"/>
                                  <w:marBottom w:val="210"/>
                                  <w:divBdr>
                                    <w:top w:val="none" w:sz="0" w:space="0" w:color="auto"/>
                                    <w:left w:val="none" w:sz="0" w:space="0" w:color="auto"/>
                                    <w:bottom w:val="none" w:sz="0" w:space="0" w:color="auto"/>
                                    <w:right w:val="none" w:sz="0" w:space="0" w:color="auto"/>
                                  </w:divBdr>
                                  <w:divsChild>
                                    <w:div w:id="1583182537">
                                      <w:marLeft w:val="0"/>
                                      <w:marRight w:val="0"/>
                                      <w:marTop w:val="90"/>
                                      <w:marBottom w:val="0"/>
                                      <w:divBdr>
                                        <w:top w:val="none" w:sz="0" w:space="0" w:color="auto"/>
                                        <w:left w:val="none" w:sz="0" w:space="0" w:color="auto"/>
                                        <w:bottom w:val="none" w:sz="0" w:space="0" w:color="auto"/>
                                        <w:right w:val="none" w:sz="0" w:space="0" w:color="auto"/>
                                      </w:divBdr>
                                      <w:divsChild>
                                        <w:div w:id="1911845538">
                                          <w:marLeft w:val="0"/>
                                          <w:marRight w:val="0"/>
                                          <w:marTop w:val="0"/>
                                          <w:marBottom w:val="0"/>
                                          <w:divBdr>
                                            <w:top w:val="none" w:sz="0" w:space="0" w:color="auto"/>
                                            <w:left w:val="none" w:sz="0" w:space="0" w:color="auto"/>
                                            <w:bottom w:val="none" w:sz="0" w:space="0" w:color="auto"/>
                                            <w:right w:val="none" w:sz="0" w:space="0" w:color="auto"/>
                                          </w:divBdr>
                                        </w:div>
                                      </w:divsChild>
                                    </w:div>
                                    <w:div w:id="1954751123">
                                      <w:marLeft w:val="0"/>
                                      <w:marRight w:val="0"/>
                                      <w:marTop w:val="0"/>
                                      <w:marBottom w:val="0"/>
                                      <w:divBdr>
                                        <w:top w:val="none" w:sz="0" w:space="0" w:color="auto"/>
                                        <w:left w:val="none" w:sz="0" w:space="0" w:color="auto"/>
                                        <w:bottom w:val="none" w:sz="0" w:space="0" w:color="auto"/>
                                        <w:right w:val="none" w:sz="0" w:space="0" w:color="auto"/>
                                      </w:divBdr>
                                    </w:div>
                                  </w:divsChild>
                                </w:div>
                                <w:div w:id="668290302">
                                  <w:marLeft w:val="0"/>
                                  <w:marRight w:val="0"/>
                                  <w:marTop w:val="0"/>
                                  <w:marBottom w:val="210"/>
                                  <w:divBdr>
                                    <w:top w:val="none" w:sz="0" w:space="0" w:color="auto"/>
                                    <w:left w:val="none" w:sz="0" w:space="0" w:color="auto"/>
                                    <w:bottom w:val="none" w:sz="0" w:space="0" w:color="auto"/>
                                    <w:right w:val="none" w:sz="0" w:space="0" w:color="auto"/>
                                  </w:divBdr>
                                  <w:divsChild>
                                    <w:div w:id="364598446">
                                      <w:marLeft w:val="0"/>
                                      <w:marRight w:val="0"/>
                                      <w:marTop w:val="90"/>
                                      <w:marBottom w:val="0"/>
                                      <w:divBdr>
                                        <w:top w:val="none" w:sz="0" w:space="0" w:color="auto"/>
                                        <w:left w:val="none" w:sz="0" w:space="0" w:color="auto"/>
                                        <w:bottom w:val="none" w:sz="0" w:space="0" w:color="auto"/>
                                        <w:right w:val="none" w:sz="0" w:space="0" w:color="auto"/>
                                      </w:divBdr>
                                    </w:div>
                                    <w:div w:id="518811056">
                                      <w:marLeft w:val="0"/>
                                      <w:marRight w:val="0"/>
                                      <w:marTop w:val="0"/>
                                      <w:marBottom w:val="0"/>
                                      <w:divBdr>
                                        <w:top w:val="none" w:sz="0" w:space="0" w:color="auto"/>
                                        <w:left w:val="none" w:sz="0" w:space="0" w:color="auto"/>
                                        <w:bottom w:val="none" w:sz="0" w:space="0" w:color="auto"/>
                                        <w:right w:val="none" w:sz="0" w:space="0" w:color="auto"/>
                                      </w:divBdr>
                                    </w:div>
                                  </w:divsChild>
                                </w:div>
                                <w:div w:id="806122019">
                                  <w:marLeft w:val="0"/>
                                  <w:marRight w:val="0"/>
                                  <w:marTop w:val="0"/>
                                  <w:marBottom w:val="210"/>
                                  <w:divBdr>
                                    <w:top w:val="none" w:sz="0" w:space="0" w:color="auto"/>
                                    <w:left w:val="none" w:sz="0" w:space="0" w:color="auto"/>
                                    <w:bottom w:val="none" w:sz="0" w:space="0" w:color="auto"/>
                                    <w:right w:val="none" w:sz="0" w:space="0" w:color="auto"/>
                                  </w:divBdr>
                                  <w:divsChild>
                                    <w:div w:id="1250849533">
                                      <w:marLeft w:val="0"/>
                                      <w:marRight w:val="0"/>
                                      <w:marTop w:val="0"/>
                                      <w:marBottom w:val="0"/>
                                      <w:divBdr>
                                        <w:top w:val="none" w:sz="0" w:space="0" w:color="auto"/>
                                        <w:left w:val="none" w:sz="0" w:space="0" w:color="auto"/>
                                        <w:bottom w:val="none" w:sz="0" w:space="0" w:color="auto"/>
                                        <w:right w:val="none" w:sz="0" w:space="0" w:color="auto"/>
                                      </w:divBdr>
                                    </w:div>
                                    <w:div w:id="2124642027">
                                      <w:marLeft w:val="0"/>
                                      <w:marRight w:val="0"/>
                                      <w:marTop w:val="90"/>
                                      <w:marBottom w:val="0"/>
                                      <w:divBdr>
                                        <w:top w:val="none" w:sz="0" w:space="0" w:color="auto"/>
                                        <w:left w:val="none" w:sz="0" w:space="0" w:color="auto"/>
                                        <w:bottom w:val="none" w:sz="0" w:space="0" w:color="auto"/>
                                        <w:right w:val="none" w:sz="0" w:space="0" w:color="auto"/>
                                      </w:divBdr>
                                    </w:div>
                                  </w:divsChild>
                                </w:div>
                                <w:div w:id="840702326">
                                  <w:marLeft w:val="0"/>
                                  <w:marRight w:val="0"/>
                                  <w:marTop w:val="0"/>
                                  <w:marBottom w:val="210"/>
                                  <w:divBdr>
                                    <w:top w:val="none" w:sz="0" w:space="0" w:color="auto"/>
                                    <w:left w:val="none" w:sz="0" w:space="0" w:color="auto"/>
                                    <w:bottom w:val="none" w:sz="0" w:space="0" w:color="auto"/>
                                    <w:right w:val="none" w:sz="0" w:space="0" w:color="auto"/>
                                  </w:divBdr>
                                  <w:divsChild>
                                    <w:div w:id="1344476029">
                                      <w:marLeft w:val="0"/>
                                      <w:marRight w:val="0"/>
                                      <w:marTop w:val="90"/>
                                      <w:marBottom w:val="0"/>
                                      <w:divBdr>
                                        <w:top w:val="none" w:sz="0" w:space="0" w:color="auto"/>
                                        <w:left w:val="none" w:sz="0" w:space="0" w:color="auto"/>
                                        <w:bottom w:val="none" w:sz="0" w:space="0" w:color="auto"/>
                                        <w:right w:val="none" w:sz="0" w:space="0" w:color="auto"/>
                                      </w:divBdr>
                                    </w:div>
                                    <w:div w:id="1831673169">
                                      <w:marLeft w:val="0"/>
                                      <w:marRight w:val="0"/>
                                      <w:marTop w:val="0"/>
                                      <w:marBottom w:val="0"/>
                                      <w:divBdr>
                                        <w:top w:val="none" w:sz="0" w:space="0" w:color="auto"/>
                                        <w:left w:val="none" w:sz="0" w:space="0" w:color="auto"/>
                                        <w:bottom w:val="none" w:sz="0" w:space="0" w:color="auto"/>
                                        <w:right w:val="none" w:sz="0" w:space="0" w:color="auto"/>
                                      </w:divBdr>
                                    </w:div>
                                  </w:divsChild>
                                </w:div>
                                <w:div w:id="951016819">
                                  <w:marLeft w:val="0"/>
                                  <w:marRight w:val="0"/>
                                  <w:marTop w:val="0"/>
                                  <w:marBottom w:val="210"/>
                                  <w:divBdr>
                                    <w:top w:val="none" w:sz="0" w:space="0" w:color="auto"/>
                                    <w:left w:val="none" w:sz="0" w:space="0" w:color="auto"/>
                                    <w:bottom w:val="none" w:sz="0" w:space="0" w:color="auto"/>
                                    <w:right w:val="none" w:sz="0" w:space="0" w:color="auto"/>
                                  </w:divBdr>
                                  <w:divsChild>
                                    <w:div w:id="3823116">
                                      <w:marLeft w:val="0"/>
                                      <w:marRight w:val="0"/>
                                      <w:marTop w:val="90"/>
                                      <w:marBottom w:val="0"/>
                                      <w:divBdr>
                                        <w:top w:val="none" w:sz="0" w:space="0" w:color="auto"/>
                                        <w:left w:val="none" w:sz="0" w:space="0" w:color="auto"/>
                                        <w:bottom w:val="none" w:sz="0" w:space="0" w:color="auto"/>
                                        <w:right w:val="none" w:sz="0" w:space="0" w:color="auto"/>
                                      </w:divBdr>
                                    </w:div>
                                    <w:div w:id="277419553">
                                      <w:marLeft w:val="0"/>
                                      <w:marRight w:val="0"/>
                                      <w:marTop w:val="0"/>
                                      <w:marBottom w:val="0"/>
                                      <w:divBdr>
                                        <w:top w:val="none" w:sz="0" w:space="0" w:color="auto"/>
                                        <w:left w:val="none" w:sz="0" w:space="0" w:color="auto"/>
                                        <w:bottom w:val="none" w:sz="0" w:space="0" w:color="auto"/>
                                        <w:right w:val="none" w:sz="0" w:space="0" w:color="auto"/>
                                      </w:divBdr>
                                    </w:div>
                                  </w:divsChild>
                                </w:div>
                                <w:div w:id="977995407">
                                  <w:marLeft w:val="0"/>
                                  <w:marRight w:val="0"/>
                                  <w:marTop w:val="0"/>
                                  <w:marBottom w:val="0"/>
                                  <w:divBdr>
                                    <w:top w:val="none" w:sz="0" w:space="0" w:color="auto"/>
                                    <w:left w:val="none" w:sz="0" w:space="0" w:color="auto"/>
                                    <w:bottom w:val="none" w:sz="0" w:space="0" w:color="auto"/>
                                    <w:right w:val="none" w:sz="0" w:space="0" w:color="auto"/>
                                  </w:divBdr>
                                </w:div>
                                <w:div w:id="1075737001">
                                  <w:marLeft w:val="0"/>
                                  <w:marRight w:val="0"/>
                                  <w:marTop w:val="0"/>
                                  <w:marBottom w:val="210"/>
                                  <w:divBdr>
                                    <w:top w:val="none" w:sz="0" w:space="0" w:color="auto"/>
                                    <w:left w:val="none" w:sz="0" w:space="0" w:color="auto"/>
                                    <w:bottom w:val="none" w:sz="0" w:space="0" w:color="auto"/>
                                    <w:right w:val="none" w:sz="0" w:space="0" w:color="auto"/>
                                  </w:divBdr>
                                  <w:divsChild>
                                    <w:div w:id="664747134">
                                      <w:marLeft w:val="0"/>
                                      <w:marRight w:val="0"/>
                                      <w:marTop w:val="90"/>
                                      <w:marBottom w:val="0"/>
                                      <w:divBdr>
                                        <w:top w:val="none" w:sz="0" w:space="0" w:color="auto"/>
                                        <w:left w:val="none" w:sz="0" w:space="0" w:color="auto"/>
                                        <w:bottom w:val="none" w:sz="0" w:space="0" w:color="auto"/>
                                        <w:right w:val="none" w:sz="0" w:space="0" w:color="auto"/>
                                      </w:divBdr>
                                    </w:div>
                                    <w:div w:id="998774363">
                                      <w:marLeft w:val="0"/>
                                      <w:marRight w:val="0"/>
                                      <w:marTop w:val="0"/>
                                      <w:marBottom w:val="0"/>
                                      <w:divBdr>
                                        <w:top w:val="none" w:sz="0" w:space="0" w:color="auto"/>
                                        <w:left w:val="none" w:sz="0" w:space="0" w:color="auto"/>
                                        <w:bottom w:val="none" w:sz="0" w:space="0" w:color="auto"/>
                                        <w:right w:val="none" w:sz="0" w:space="0" w:color="auto"/>
                                      </w:divBdr>
                                    </w:div>
                                  </w:divsChild>
                                </w:div>
                                <w:div w:id="1097405625">
                                  <w:marLeft w:val="0"/>
                                  <w:marRight w:val="0"/>
                                  <w:marTop w:val="0"/>
                                  <w:marBottom w:val="210"/>
                                  <w:divBdr>
                                    <w:top w:val="none" w:sz="0" w:space="0" w:color="auto"/>
                                    <w:left w:val="none" w:sz="0" w:space="0" w:color="auto"/>
                                    <w:bottom w:val="none" w:sz="0" w:space="0" w:color="auto"/>
                                    <w:right w:val="none" w:sz="0" w:space="0" w:color="auto"/>
                                  </w:divBdr>
                                  <w:divsChild>
                                    <w:div w:id="277873899">
                                      <w:marLeft w:val="0"/>
                                      <w:marRight w:val="0"/>
                                      <w:marTop w:val="90"/>
                                      <w:marBottom w:val="0"/>
                                      <w:divBdr>
                                        <w:top w:val="none" w:sz="0" w:space="0" w:color="auto"/>
                                        <w:left w:val="none" w:sz="0" w:space="0" w:color="auto"/>
                                        <w:bottom w:val="none" w:sz="0" w:space="0" w:color="auto"/>
                                        <w:right w:val="none" w:sz="0" w:space="0" w:color="auto"/>
                                      </w:divBdr>
                                    </w:div>
                                    <w:div w:id="2136216314">
                                      <w:marLeft w:val="0"/>
                                      <w:marRight w:val="0"/>
                                      <w:marTop w:val="0"/>
                                      <w:marBottom w:val="0"/>
                                      <w:divBdr>
                                        <w:top w:val="none" w:sz="0" w:space="0" w:color="auto"/>
                                        <w:left w:val="none" w:sz="0" w:space="0" w:color="auto"/>
                                        <w:bottom w:val="none" w:sz="0" w:space="0" w:color="auto"/>
                                        <w:right w:val="none" w:sz="0" w:space="0" w:color="auto"/>
                                      </w:divBdr>
                                    </w:div>
                                  </w:divsChild>
                                </w:div>
                                <w:div w:id="1110247891">
                                  <w:marLeft w:val="0"/>
                                  <w:marRight w:val="0"/>
                                  <w:marTop w:val="0"/>
                                  <w:marBottom w:val="210"/>
                                  <w:divBdr>
                                    <w:top w:val="none" w:sz="0" w:space="0" w:color="auto"/>
                                    <w:left w:val="none" w:sz="0" w:space="0" w:color="auto"/>
                                    <w:bottom w:val="none" w:sz="0" w:space="0" w:color="auto"/>
                                    <w:right w:val="none" w:sz="0" w:space="0" w:color="auto"/>
                                  </w:divBdr>
                                  <w:divsChild>
                                    <w:div w:id="764426774">
                                      <w:marLeft w:val="0"/>
                                      <w:marRight w:val="0"/>
                                      <w:marTop w:val="0"/>
                                      <w:marBottom w:val="0"/>
                                      <w:divBdr>
                                        <w:top w:val="none" w:sz="0" w:space="0" w:color="auto"/>
                                        <w:left w:val="none" w:sz="0" w:space="0" w:color="auto"/>
                                        <w:bottom w:val="none" w:sz="0" w:space="0" w:color="auto"/>
                                        <w:right w:val="none" w:sz="0" w:space="0" w:color="auto"/>
                                      </w:divBdr>
                                    </w:div>
                                    <w:div w:id="1832483630">
                                      <w:marLeft w:val="0"/>
                                      <w:marRight w:val="0"/>
                                      <w:marTop w:val="90"/>
                                      <w:marBottom w:val="0"/>
                                      <w:divBdr>
                                        <w:top w:val="none" w:sz="0" w:space="0" w:color="auto"/>
                                        <w:left w:val="none" w:sz="0" w:space="0" w:color="auto"/>
                                        <w:bottom w:val="none" w:sz="0" w:space="0" w:color="auto"/>
                                        <w:right w:val="none" w:sz="0" w:space="0" w:color="auto"/>
                                      </w:divBdr>
                                    </w:div>
                                  </w:divsChild>
                                </w:div>
                                <w:div w:id="1210334832">
                                  <w:marLeft w:val="0"/>
                                  <w:marRight w:val="0"/>
                                  <w:marTop w:val="0"/>
                                  <w:marBottom w:val="210"/>
                                  <w:divBdr>
                                    <w:top w:val="none" w:sz="0" w:space="0" w:color="auto"/>
                                    <w:left w:val="none" w:sz="0" w:space="0" w:color="auto"/>
                                    <w:bottom w:val="none" w:sz="0" w:space="0" w:color="auto"/>
                                    <w:right w:val="none" w:sz="0" w:space="0" w:color="auto"/>
                                  </w:divBdr>
                                  <w:divsChild>
                                    <w:div w:id="1260144137">
                                      <w:marLeft w:val="0"/>
                                      <w:marRight w:val="0"/>
                                      <w:marTop w:val="0"/>
                                      <w:marBottom w:val="0"/>
                                      <w:divBdr>
                                        <w:top w:val="none" w:sz="0" w:space="0" w:color="auto"/>
                                        <w:left w:val="none" w:sz="0" w:space="0" w:color="auto"/>
                                        <w:bottom w:val="none" w:sz="0" w:space="0" w:color="auto"/>
                                        <w:right w:val="none" w:sz="0" w:space="0" w:color="auto"/>
                                      </w:divBdr>
                                    </w:div>
                                    <w:div w:id="1406025474">
                                      <w:marLeft w:val="0"/>
                                      <w:marRight w:val="0"/>
                                      <w:marTop w:val="90"/>
                                      <w:marBottom w:val="0"/>
                                      <w:divBdr>
                                        <w:top w:val="none" w:sz="0" w:space="0" w:color="auto"/>
                                        <w:left w:val="none" w:sz="0" w:space="0" w:color="auto"/>
                                        <w:bottom w:val="none" w:sz="0" w:space="0" w:color="auto"/>
                                        <w:right w:val="none" w:sz="0" w:space="0" w:color="auto"/>
                                      </w:divBdr>
                                    </w:div>
                                  </w:divsChild>
                                </w:div>
                                <w:div w:id="1256673026">
                                  <w:marLeft w:val="0"/>
                                  <w:marRight w:val="0"/>
                                  <w:marTop w:val="0"/>
                                  <w:marBottom w:val="210"/>
                                  <w:divBdr>
                                    <w:top w:val="none" w:sz="0" w:space="0" w:color="auto"/>
                                    <w:left w:val="none" w:sz="0" w:space="0" w:color="auto"/>
                                    <w:bottom w:val="none" w:sz="0" w:space="0" w:color="auto"/>
                                    <w:right w:val="none" w:sz="0" w:space="0" w:color="auto"/>
                                  </w:divBdr>
                                  <w:divsChild>
                                    <w:div w:id="1334526085">
                                      <w:marLeft w:val="0"/>
                                      <w:marRight w:val="0"/>
                                      <w:marTop w:val="90"/>
                                      <w:marBottom w:val="0"/>
                                      <w:divBdr>
                                        <w:top w:val="none" w:sz="0" w:space="0" w:color="auto"/>
                                        <w:left w:val="none" w:sz="0" w:space="0" w:color="auto"/>
                                        <w:bottom w:val="none" w:sz="0" w:space="0" w:color="auto"/>
                                        <w:right w:val="none" w:sz="0" w:space="0" w:color="auto"/>
                                      </w:divBdr>
                                    </w:div>
                                    <w:div w:id="1889339471">
                                      <w:marLeft w:val="0"/>
                                      <w:marRight w:val="0"/>
                                      <w:marTop w:val="0"/>
                                      <w:marBottom w:val="0"/>
                                      <w:divBdr>
                                        <w:top w:val="none" w:sz="0" w:space="0" w:color="auto"/>
                                        <w:left w:val="none" w:sz="0" w:space="0" w:color="auto"/>
                                        <w:bottom w:val="none" w:sz="0" w:space="0" w:color="auto"/>
                                        <w:right w:val="none" w:sz="0" w:space="0" w:color="auto"/>
                                      </w:divBdr>
                                    </w:div>
                                  </w:divsChild>
                                </w:div>
                                <w:div w:id="1329092771">
                                  <w:marLeft w:val="0"/>
                                  <w:marRight w:val="0"/>
                                  <w:marTop w:val="0"/>
                                  <w:marBottom w:val="210"/>
                                  <w:divBdr>
                                    <w:top w:val="none" w:sz="0" w:space="0" w:color="auto"/>
                                    <w:left w:val="none" w:sz="0" w:space="0" w:color="auto"/>
                                    <w:bottom w:val="none" w:sz="0" w:space="0" w:color="auto"/>
                                    <w:right w:val="none" w:sz="0" w:space="0" w:color="auto"/>
                                  </w:divBdr>
                                  <w:divsChild>
                                    <w:div w:id="819690623">
                                      <w:marLeft w:val="0"/>
                                      <w:marRight w:val="0"/>
                                      <w:marTop w:val="90"/>
                                      <w:marBottom w:val="0"/>
                                      <w:divBdr>
                                        <w:top w:val="none" w:sz="0" w:space="0" w:color="auto"/>
                                        <w:left w:val="none" w:sz="0" w:space="0" w:color="auto"/>
                                        <w:bottom w:val="none" w:sz="0" w:space="0" w:color="auto"/>
                                        <w:right w:val="none" w:sz="0" w:space="0" w:color="auto"/>
                                      </w:divBdr>
                                    </w:div>
                                    <w:div w:id="997733010">
                                      <w:marLeft w:val="0"/>
                                      <w:marRight w:val="0"/>
                                      <w:marTop w:val="0"/>
                                      <w:marBottom w:val="0"/>
                                      <w:divBdr>
                                        <w:top w:val="none" w:sz="0" w:space="0" w:color="auto"/>
                                        <w:left w:val="none" w:sz="0" w:space="0" w:color="auto"/>
                                        <w:bottom w:val="none" w:sz="0" w:space="0" w:color="auto"/>
                                        <w:right w:val="none" w:sz="0" w:space="0" w:color="auto"/>
                                      </w:divBdr>
                                    </w:div>
                                  </w:divsChild>
                                </w:div>
                                <w:div w:id="1329284281">
                                  <w:marLeft w:val="0"/>
                                  <w:marRight w:val="0"/>
                                  <w:marTop w:val="0"/>
                                  <w:marBottom w:val="210"/>
                                  <w:divBdr>
                                    <w:top w:val="none" w:sz="0" w:space="0" w:color="auto"/>
                                    <w:left w:val="none" w:sz="0" w:space="0" w:color="auto"/>
                                    <w:bottom w:val="none" w:sz="0" w:space="0" w:color="auto"/>
                                    <w:right w:val="none" w:sz="0" w:space="0" w:color="auto"/>
                                  </w:divBdr>
                                  <w:divsChild>
                                    <w:div w:id="318191495">
                                      <w:marLeft w:val="0"/>
                                      <w:marRight w:val="0"/>
                                      <w:marTop w:val="90"/>
                                      <w:marBottom w:val="0"/>
                                      <w:divBdr>
                                        <w:top w:val="none" w:sz="0" w:space="0" w:color="auto"/>
                                        <w:left w:val="none" w:sz="0" w:space="0" w:color="auto"/>
                                        <w:bottom w:val="none" w:sz="0" w:space="0" w:color="auto"/>
                                        <w:right w:val="none" w:sz="0" w:space="0" w:color="auto"/>
                                      </w:divBdr>
                                    </w:div>
                                    <w:div w:id="739400828">
                                      <w:marLeft w:val="0"/>
                                      <w:marRight w:val="0"/>
                                      <w:marTop w:val="0"/>
                                      <w:marBottom w:val="0"/>
                                      <w:divBdr>
                                        <w:top w:val="none" w:sz="0" w:space="0" w:color="auto"/>
                                        <w:left w:val="none" w:sz="0" w:space="0" w:color="auto"/>
                                        <w:bottom w:val="none" w:sz="0" w:space="0" w:color="auto"/>
                                        <w:right w:val="none" w:sz="0" w:space="0" w:color="auto"/>
                                      </w:divBdr>
                                    </w:div>
                                  </w:divsChild>
                                </w:div>
                                <w:div w:id="1331519408">
                                  <w:marLeft w:val="0"/>
                                  <w:marRight w:val="0"/>
                                  <w:marTop w:val="0"/>
                                  <w:marBottom w:val="210"/>
                                  <w:divBdr>
                                    <w:top w:val="none" w:sz="0" w:space="0" w:color="auto"/>
                                    <w:left w:val="none" w:sz="0" w:space="0" w:color="auto"/>
                                    <w:bottom w:val="none" w:sz="0" w:space="0" w:color="auto"/>
                                    <w:right w:val="none" w:sz="0" w:space="0" w:color="auto"/>
                                  </w:divBdr>
                                  <w:divsChild>
                                    <w:div w:id="596213524">
                                      <w:marLeft w:val="0"/>
                                      <w:marRight w:val="0"/>
                                      <w:marTop w:val="90"/>
                                      <w:marBottom w:val="0"/>
                                      <w:divBdr>
                                        <w:top w:val="none" w:sz="0" w:space="0" w:color="auto"/>
                                        <w:left w:val="none" w:sz="0" w:space="0" w:color="auto"/>
                                        <w:bottom w:val="none" w:sz="0" w:space="0" w:color="auto"/>
                                        <w:right w:val="none" w:sz="0" w:space="0" w:color="auto"/>
                                      </w:divBdr>
                                    </w:div>
                                    <w:div w:id="1842700806">
                                      <w:marLeft w:val="0"/>
                                      <w:marRight w:val="0"/>
                                      <w:marTop w:val="0"/>
                                      <w:marBottom w:val="0"/>
                                      <w:divBdr>
                                        <w:top w:val="none" w:sz="0" w:space="0" w:color="auto"/>
                                        <w:left w:val="none" w:sz="0" w:space="0" w:color="auto"/>
                                        <w:bottom w:val="none" w:sz="0" w:space="0" w:color="auto"/>
                                        <w:right w:val="none" w:sz="0" w:space="0" w:color="auto"/>
                                      </w:divBdr>
                                    </w:div>
                                  </w:divsChild>
                                </w:div>
                                <w:div w:id="1373653115">
                                  <w:marLeft w:val="0"/>
                                  <w:marRight w:val="0"/>
                                  <w:marTop w:val="0"/>
                                  <w:marBottom w:val="210"/>
                                  <w:divBdr>
                                    <w:top w:val="none" w:sz="0" w:space="0" w:color="auto"/>
                                    <w:left w:val="none" w:sz="0" w:space="0" w:color="auto"/>
                                    <w:bottom w:val="none" w:sz="0" w:space="0" w:color="auto"/>
                                    <w:right w:val="none" w:sz="0" w:space="0" w:color="auto"/>
                                  </w:divBdr>
                                  <w:divsChild>
                                    <w:div w:id="742265148">
                                      <w:marLeft w:val="0"/>
                                      <w:marRight w:val="0"/>
                                      <w:marTop w:val="0"/>
                                      <w:marBottom w:val="0"/>
                                      <w:divBdr>
                                        <w:top w:val="none" w:sz="0" w:space="0" w:color="auto"/>
                                        <w:left w:val="none" w:sz="0" w:space="0" w:color="auto"/>
                                        <w:bottom w:val="none" w:sz="0" w:space="0" w:color="auto"/>
                                        <w:right w:val="none" w:sz="0" w:space="0" w:color="auto"/>
                                      </w:divBdr>
                                    </w:div>
                                    <w:div w:id="1038970256">
                                      <w:marLeft w:val="0"/>
                                      <w:marRight w:val="0"/>
                                      <w:marTop w:val="90"/>
                                      <w:marBottom w:val="0"/>
                                      <w:divBdr>
                                        <w:top w:val="none" w:sz="0" w:space="0" w:color="auto"/>
                                        <w:left w:val="none" w:sz="0" w:space="0" w:color="auto"/>
                                        <w:bottom w:val="none" w:sz="0" w:space="0" w:color="auto"/>
                                        <w:right w:val="none" w:sz="0" w:space="0" w:color="auto"/>
                                      </w:divBdr>
                                    </w:div>
                                  </w:divsChild>
                                </w:div>
                                <w:div w:id="1380125097">
                                  <w:marLeft w:val="0"/>
                                  <w:marRight w:val="0"/>
                                  <w:marTop w:val="0"/>
                                  <w:marBottom w:val="210"/>
                                  <w:divBdr>
                                    <w:top w:val="none" w:sz="0" w:space="0" w:color="auto"/>
                                    <w:left w:val="none" w:sz="0" w:space="0" w:color="auto"/>
                                    <w:bottom w:val="none" w:sz="0" w:space="0" w:color="auto"/>
                                    <w:right w:val="none" w:sz="0" w:space="0" w:color="auto"/>
                                  </w:divBdr>
                                  <w:divsChild>
                                    <w:div w:id="1164205451">
                                      <w:marLeft w:val="0"/>
                                      <w:marRight w:val="0"/>
                                      <w:marTop w:val="0"/>
                                      <w:marBottom w:val="0"/>
                                      <w:divBdr>
                                        <w:top w:val="none" w:sz="0" w:space="0" w:color="auto"/>
                                        <w:left w:val="none" w:sz="0" w:space="0" w:color="auto"/>
                                        <w:bottom w:val="none" w:sz="0" w:space="0" w:color="auto"/>
                                        <w:right w:val="none" w:sz="0" w:space="0" w:color="auto"/>
                                      </w:divBdr>
                                    </w:div>
                                    <w:div w:id="1248537795">
                                      <w:marLeft w:val="0"/>
                                      <w:marRight w:val="0"/>
                                      <w:marTop w:val="90"/>
                                      <w:marBottom w:val="0"/>
                                      <w:divBdr>
                                        <w:top w:val="none" w:sz="0" w:space="0" w:color="auto"/>
                                        <w:left w:val="none" w:sz="0" w:space="0" w:color="auto"/>
                                        <w:bottom w:val="none" w:sz="0" w:space="0" w:color="auto"/>
                                        <w:right w:val="none" w:sz="0" w:space="0" w:color="auto"/>
                                      </w:divBdr>
                                    </w:div>
                                  </w:divsChild>
                                </w:div>
                                <w:div w:id="1473131431">
                                  <w:marLeft w:val="0"/>
                                  <w:marRight w:val="0"/>
                                  <w:marTop w:val="0"/>
                                  <w:marBottom w:val="210"/>
                                  <w:divBdr>
                                    <w:top w:val="none" w:sz="0" w:space="0" w:color="auto"/>
                                    <w:left w:val="none" w:sz="0" w:space="0" w:color="auto"/>
                                    <w:bottom w:val="none" w:sz="0" w:space="0" w:color="auto"/>
                                    <w:right w:val="none" w:sz="0" w:space="0" w:color="auto"/>
                                  </w:divBdr>
                                  <w:divsChild>
                                    <w:div w:id="562065275">
                                      <w:marLeft w:val="0"/>
                                      <w:marRight w:val="0"/>
                                      <w:marTop w:val="0"/>
                                      <w:marBottom w:val="0"/>
                                      <w:divBdr>
                                        <w:top w:val="none" w:sz="0" w:space="0" w:color="auto"/>
                                        <w:left w:val="none" w:sz="0" w:space="0" w:color="auto"/>
                                        <w:bottom w:val="none" w:sz="0" w:space="0" w:color="auto"/>
                                        <w:right w:val="none" w:sz="0" w:space="0" w:color="auto"/>
                                      </w:divBdr>
                                    </w:div>
                                    <w:div w:id="1884710888">
                                      <w:marLeft w:val="0"/>
                                      <w:marRight w:val="0"/>
                                      <w:marTop w:val="90"/>
                                      <w:marBottom w:val="0"/>
                                      <w:divBdr>
                                        <w:top w:val="none" w:sz="0" w:space="0" w:color="auto"/>
                                        <w:left w:val="none" w:sz="0" w:space="0" w:color="auto"/>
                                        <w:bottom w:val="none" w:sz="0" w:space="0" w:color="auto"/>
                                        <w:right w:val="none" w:sz="0" w:space="0" w:color="auto"/>
                                      </w:divBdr>
                                    </w:div>
                                  </w:divsChild>
                                </w:div>
                                <w:div w:id="1487085865">
                                  <w:marLeft w:val="0"/>
                                  <w:marRight w:val="0"/>
                                  <w:marTop w:val="0"/>
                                  <w:marBottom w:val="210"/>
                                  <w:divBdr>
                                    <w:top w:val="none" w:sz="0" w:space="0" w:color="auto"/>
                                    <w:left w:val="none" w:sz="0" w:space="0" w:color="auto"/>
                                    <w:bottom w:val="none" w:sz="0" w:space="0" w:color="auto"/>
                                    <w:right w:val="none" w:sz="0" w:space="0" w:color="auto"/>
                                  </w:divBdr>
                                  <w:divsChild>
                                    <w:div w:id="800878956">
                                      <w:marLeft w:val="0"/>
                                      <w:marRight w:val="0"/>
                                      <w:marTop w:val="0"/>
                                      <w:marBottom w:val="0"/>
                                      <w:divBdr>
                                        <w:top w:val="none" w:sz="0" w:space="0" w:color="auto"/>
                                        <w:left w:val="none" w:sz="0" w:space="0" w:color="auto"/>
                                        <w:bottom w:val="none" w:sz="0" w:space="0" w:color="auto"/>
                                        <w:right w:val="none" w:sz="0" w:space="0" w:color="auto"/>
                                      </w:divBdr>
                                    </w:div>
                                    <w:div w:id="1453479694">
                                      <w:marLeft w:val="0"/>
                                      <w:marRight w:val="0"/>
                                      <w:marTop w:val="90"/>
                                      <w:marBottom w:val="0"/>
                                      <w:divBdr>
                                        <w:top w:val="none" w:sz="0" w:space="0" w:color="auto"/>
                                        <w:left w:val="none" w:sz="0" w:space="0" w:color="auto"/>
                                        <w:bottom w:val="none" w:sz="0" w:space="0" w:color="auto"/>
                                        <w:right w:val="none" w:sz="0" w:space="0" w:color="auto"/>
                                      </w:divBdr>
                                    </w:div>
                                  </w:divsChild>
                                </w:div>
                                <w:div w:id="1540583198">
                                  <w:marLeft w:val="0"/>
                                  <w:marRight w:val="0"/>
                                  <w:marTop w:val="0"/>
                                  <w:marBottom w:val="210"/>
                                  <w:divBdr>
                                    <w:top w:val="none" w:sz="0" w:space="0" w:color="auto"/>
                                    <w:left w:val="none" w:sz="0" w:space="0" w:color="auto"/>
                                    <w:bottom w:val="none" w:sz="0" w:space="0" w:color="auto"/>
                                    <w:right w:val="none" w:sz="0" w:space="0" w:color="auto"/>
                                  </w:divBdr>
                                  <w:divsChild>
                                    <w:div w:id="1382755224">
                                      <w:marLeft w:val="0"/>
                                      <w:marRight w:val="0"/>
                                      <w:marTop w:val="0"/>
                                      <w:marBottom w:val="0"/>
                                      <w:divBdr>
                                        <w:top w:val="none" w:sz="0" w:space="0" w:color="auto"/>
                                        <w:left w:val="none" w:sz="0" w:space="0" w:color="auto"/>
                                        <w:bottom w:val="none" w:sz="0" w:space="0" w:color="auto"/>
                                        <w:right w:val="none" w:sz="0" w:space="0" w:color="auto"/>
                                      </w:divBdr>
                                    </w:div>
                                    <w:div w:id="2134128296">
                                      <w:marLeft w:val="0"/>
                                      <w:marRight w:val="0"/>
                                      <w:marTop w:val="90"/>
                                      <w:marBottom w:val="0"/>
                                      <w:divBdr>
                                        <w:top w:val="none" w:sz="0" w:space="0" w:color="auto"/>
                                        <w:left w:val="none" w:sz="0" w:space="0" w:color="auto"/>
                                        <w:bottom w:val="none" w:sz="0" w:space="0" w:color="auto"/>
                                        <w:right w:val="none" w:sz="0" w:space="0" w:color="auto"/>
                                      </w:divBdr>
                                    </w:div>
                                  </w:divsChild>
                                </w:div>
                                <w:div w:id="1588224148">
                                  <w:marLeft w:val="0"/>
                                  <w:marRight w:val="0"/>
                                  <w:marTop w:val="0"/>
                                  <w:marBottom w:val="210"/>
                                  <w:divBdr>
                                    <w:top w:val="none" w:sz="0" w:space="0" w:color="auto"/>
                                    <w:left w:val="none" w:sz="0" w:space="0" w:color="auto"/>
                                    <w:bottom w:val="none" w:sz="0" w:space="0" w:color="auto"/>
                                    <w:right w:val="none" w:sz="0" w:space="0" w:color="auto"/>
                                  </w:divBdr>
                                  <w:divsChild>
                                    <w:div w:id="953052847">
                                      <w:marLeft w:val="0"/>
                                      <w:marRight w:val="0"/>
                                      <w:marTop w:val="0"/>
                                      <w:marBottom w:val="0"/>
                                      <w:divBdr>
                                        <w:top w:val="none" w:sz="0" w:space="0" w:color="auto"/>
                                        <w:left w:val="none" w:sz="0" w:space="0" w:color="auto"/>
                                        <w:bottom w:val="none" w:sz="0" w:space="0" w:color="auto"/>
                                        <w:right w:val="none" w:sz="0" w:space="0" w:color="auto"/>
                                      </w:divBdr>
                                    </w:div>
                                    <w:div w:id="1469319308">
                                      <w:marLeft w:val="0"/>
                                      <w:marRight w:val="0"/>
                                      <w:marTop w:val="90"/>
                                      <w:marBottom w:val="0"/>
                                      <w:divBdr>
                                        <w:top w:val="none" w:sz="0" w:space="0" w:color="auto"/>
                                        <w:left w:val="none" w:sz="0" w:space="0" w:color="auto"/>
                                        <w:bottom w:val="none" w:sz="0" w:space="0" w:color="auto"/>
                                        <w:right w:val="none" w:sz="0" w:space="0" w:color="auto"/>
                                      </w:divBdr>
                                    </w:div>
                                  </w:divsChild>
                                </w:div>
                                <w:div w:id="1595506537">
                                  <w:marLeft w:val="0"/>
                                  <w:marRight w:val="0"/>
                                  <w:marTop w:val="0"/>
                                  <w:marBottom w:val="210"/>
                                  <w:divBdr>
                                    <w:top w:val="none" w:sz="0" w:space="0" w:color="auto"/>
                                    <w:left w:val="none" w:sz="0" w:space="0" w:color="auto"/>
                                    <w:bottom w:val="none" w:sz="0" w:space="0" w:color="auto"/>
                                    <w:right w:val="none" w:sz="0" w:space="0" w:color="auto"/>
                                  </w:divBdr>
                                  <w:divsChild>
                                    <w:div w:id="813332511">
                                      <w:marLeft w:val="0"/>
                                      <w:marRight w:val="0"/>
                                      <w:marTop w:val="90"/>
                                      <w:marBottom w:val="0"/>
                                      <w:divBdr>
                                        <w:top w:val="none" w:sz="0" w:space="0" w:color="auto"/>
                                        <w:left w:val="none" w:sz="0" w:space="0" w:color="auto"/>
                                        <w:bottom w:val="none" w:sz="0" w:space="0" w:color="auto"/>
                                        <w:right w:val="none" w:sz="0" w:space="0" w:color="auto"/>
                                      </w:divBdr>
                                    </w:div>
                                    <w:div w:id="830828446">
                                      <w:marLeft w:val="0"/>
                                      <w:marRight w:val="0"/>
                                      <w:marTop w:val="0"/>
                                      <w:marBottom w:val="0"/>
                                      <w:divBdr>
                                        <w:top w:val="none" w:sz="0" w:space="0" w:color="auto"/>
                                        <w:left w:val="none" w:sz="0" w:space="0" w:color="auto"/>
                                        <w:bottom w:val="none" w:sz="0" w:space="0" w:color="auto"/>
                                        <w:right w:val="none" w:sz="0" w:space="0" w:color="auto"/>
                                      </w:divBdr>
                                    </w:div>
                                  </w:divsChild>
                                </w:div>
                                <w:div w:id="1748572868">
                                  <w:marLeft w:val="0"/>
                                  <w:marRight w:val="0"/>
                                  <w:marTop w:val="0"/>
                                  <w:marBottom w:val="210"/>
                                  <w:divBdr>
                                    <w:top w:val="none" w:sz="0" w:space="0" w:color="auto"/>
                                    <w:left w:val="none" w:sz="0" w:space="0" w:color="auto"/>
                                    <w:bottom w:val="none" w:sz="0" w:space="0" w:color="auto"/>
                                    <w:right w:val="none" w:sz="0" w:space="0" w:color="auto"/>
                                  </w:divBdr>
                                  <w:divsChild>
                                    <w:div w:id="16589544">
                                      <w:marLeft w:val="0"/>
                                      <w:marRight w:val="0"/>
                                      <w:marTop w:val="0"/>
                                      <w:marBottom w:val="0"/>
                                      <w:divBdr>
                                        <w:top w:val="none" w:sz="0" w:space="0" w:color="auto"/>
                                        <w:left w:val="none" w:sz="0" w:space="0" w:color="auto"/>
                                        <w:bottom w:val="none" w:sz="0" w:space="0" w:color="auto"/>
                                        <w:right w:val="none" w:sz="0" w:space="0" w:color="auto"/>
                                      </w:divBdr>
                                    </w:div>
                                    <w:div w:id="886916841">
                                      <w:marLeft w:val="0"/>
                                      <w:marRight w:val="0"/>
                                      <w:marTop w:val="90"/>
                                      <w:marBottom w:val="0"/>
                                      <w:divBdr>
                                        <w:top w:val="none" w:sz="0" w:space="0" w:color="auto"/>
                                        <w:left w:val="none" w:sz="0" w:space="0" w:color="auto"/>
                                        <w:bottom w:val="none" w:sz="0" w:space="0" w:color="auto"/>
                                        <w:right w:val="none" w:sz="0" w:space="0" w:color="auto"/>
                                      </w:divBdr>
                                    </w:div>
                                  </w:divsChild>
                                </w:div>
                                <w:div w:id="1750148577">
                                  <w:marLeft w:val="0"/>
                                  <w:marRight w:val="0"/>
                                  <w:marTop w:val="0"/>
                                  <w:marBottom w:val="210"/>
                                  <w:divBdr>
                                    <w:top w:val="none" w:sz="0" w:space="0" w:color="auto"/>
                                    <w:left w:val="none" w:sz="0" w:space="0" w:color="auto"/>
                                    <w:bottom w:val="none" w:sz="0" w:space="0" w:color="auto"/>
                                    <w:right w:val="none" w:sz="0" w:space="0" w:color="auto"/>
                                  </w:divBdr>
                                  <w:divsChild>
                                    <w:div w:id="31614086">
                                      <w:marLeft w:val="0"/>
                                      <w:marRight w:val="0"/>
                                      <w:marTop w:val="0"/>
                                      <w:marBottom w:val="0"/>
                                      <w:divBdr>
                                        <w:top w:val="none" w:sz="0" w:space="0" w:color="auto"/>
                                        <w:left w:val="none" w:sz="0" w:space="0" w:color="auto"/>
                                        <w:bottom w:val="none" w:sz="0" w:space="0" w:color="auto"/>
                                        <w:right w:val="none" w:sz="0" w:space="0" w:color="auto"/>
                                      </w:divBdr>
                                    </w:div>
                                    <w:div w:id="190460394">
                                      <w:marLeft w:val="0"/>
                                      <w:marRight w:val="0"/>
                                      <w:marTop w:val="90"/>
                                      <w:marBottom w:val="0"/>
                                      <w:divBdr>
                                        <w:top w:val="none" w:sz="0" w:space="0" w:color="auto"/>
                                        <w:left w:val="none" w:sz="0" w:space="0" w:color="auto"/>
                                        <w:bottom w:val="none" w:sz="0" w:space="0" w:color="auto"/>
                                        <w:right w:val="none" w:sz="0" w:space="0" w:color="auto"/>
                                      </w:divBdr>
                                    </w:div>
                                  </w:divsChild>
                                </w:div>
                                <w:div w:id="1824587876">
                                  <w:marLeft w:val="0"/>
                                  <w:marRight w:val="0"/>
                                  <w:marTop w:val="0"/>
                                  <w:marBottom w:val="210"/>
                                  <w:divBdr>
                                    <w:top w:val="none" w:sz="0" w:space="0" w:color="auto"/>
                                    <w:left w:val="none" w:sz="0" w:space="0" w:color="auto"/>
                                    <w:bottom w:val="none" w:sz="0" w:space="0" w:color="auto"/>
                                    <w:right w:val="none" w:sz="0" w:space="0" w:color="auto"/>
                                  </w:divBdr>
                                  <w:divsChild>
                                    <w:div w:id="974792942">
                                      <w:marLeft w:val="0"/>
                                      <w:marRight w:val="0"/>
                                      <w:marTop w:val="0"/>
                                      <w:marBottom w:val="0"/>
                                      <w:divBdr>
                                        <w:top w:val="none" w:sz="0" w:space="0" w:color="auto"/>
                                        <w:left w:val="none" w:sz="0" w:space="0" w:color="auto"/>
                                        <w:bottom w:val="none" w:sz="0" w:space="0" w:color="auto"/>
                                        <w:right w:val="none" w:sz="0" w:space="0" w:color="auto"/>
                                      </w:divBdr>
                                    </w:div>
                                    <w:div w:id="1121925043">
                                      <w:marLeft w:val="0"/>
                                      <w:marRight w:val="0"/>
                                      <w:marTop w:val="90"/>
                                      <w:marBottom w:val="0"/>
                                      <w:divBdr>
                                        <w:top w:val="none" w:sz="0" w:space="0" w:color="auto"/>
                                        <w:left w:val="none" w:sz="0" w:space="0" w:color="auto"/>
                                        <w:bottom w:val="none" w:sz="0" w:space="0" w:color="auto"/>
                                        <w:right w:val="none" w:sz="0" w:space="0" w:color="auto"/>
                                      </w:divBdr>
                                    </w:div>
                                  </w:divsChild>
                                </w:div>
                                <w:div w:id="1831411127">
                                  <w:marLeft w:val="0"/>
                                  <w:marRight w:val="0"/>
                                  <w:marTop w:val="0"/>
                                  <w:marBottom w:val="210"/>
                                  <w:divBdr>
                                    <w:top w:val="none" w:sz="0" w:space="0" w:color="auto"/>
                                    <w:left w:val="none" w:sz="0" w:space="0" w:color="auto"/>
                                    <w:bottom w:val="none" w:sz="0" w:space="0" w:color="auto"/>
                                    <w:right w:val="none" w:sz="0" w:space="0" w:color="auto"/>
                                  </w:divBdr>
                                  <w:divsChild>
                                    <w:div w:id="953974685">
                                      <w:marLeft w:val="0"/>
                                      <w:marRight w:val="0"/>
                                      <w:marTop w:val="0"/>
                                      <w:marBottom w:val="0"/>
                                      <w:divBdr>
                                        <w:top w:val="none" w:sz="0" w:space="0" w:color="auto"/>
                                        <w:left w:val="none" w:sz="0" w:space="0" w:color="auto"/>
                                        <w:bottom w:val="none" w:sz="0" w:space="0" w:color="auto"/>
                                        <w:right w:val="none" w:sz="0" w:space="0" w:color="auto"/>
                                      </w:divBdr>
                                    </w:div>
                                    <w:div w:id="1713923993">
                                      <w:marLeft w:val="0"/>
                                      <w:marRight w:val="0"/>
                                      <w:marTop w:val="90"/>
                                      <w:marBottom w:val="0"/>
                                      <w:divBdr>
                                        <w:top w:val="none" w:sz="0" w:space="0" w:color="auto"/>
                                        <w:left w:val="none" w:sz="0" w:space="0" w:color="auto"/>
                                        <w:bottom w:val="none" w:sz="0" w:space="0" w:color="auto"/>
                                        <w:right w:val="none" w:sz="0" w:space="0" w:color="auto"/>
                                      </w:divBdr>
                                    </w:div>
                                  </w:divsChild>
                                </w:div>
                                <w:div w:id="1888027159">
                                  <w:marLeft w:val="0"/>
                                  <w:marRight w:val="0"/>
                                  <w:marTop w:val="0"/>
                                  <w:marBottom w:val="210"/>
                                  <w:divBdr>
                                    <w:top w:val="none" w:sz="0" w:space="0" w:color="auto"/>
                                    <w:left w:val="none" w:sz="0" w:space="0" w:color="auto"/>
                                    <w:bottom w:val="none" w:sz="0" w:space="0" w:color="auto"/>
                                    <w:right w:val="none" w:sz="0" w:space="0" w:color="auto"/>
                                  </w:divBdr>
                                  <w:divsChild>
                                    <w:div w:id="1730688066">
                                      <w:marLeft w:val="0"/>
                                      <w:marRight w:val="0"/>
                                      <w:marTop w:val="90"/>
                                      <w:marBottom w:val="0"/>
                                      <w:divBdr>
                                        <w:top w:val="none" w:sz="0" w:space="0" w:color="auto"/>
                                        <w:left w:val="none" w:sz="0" w:space="0" w:color="auto"/>
                                        <w:bottom w:val="none" w:sz="0" w:space="0" w:color="auto"/>
                                        <w:right w:val="none" w:sz="0" w:space="0" w:color="auto"/>
                                      </w:divBdr>
                                    </w:div>
                                    <w:div w:id="1891069052">
                                      <w:marLeft w:val="0"/>
                                      <w:marRight w:val="0"/>
                                      <w:marTop w:val="0"/>
                                      <w:marBottom w:val="0"/>
                                      <w:divBdr>
                                        <w:top w:val="none" w:sz="0" w:space="0" w:color="auto"/>
                                        <w:left w:val="none" w:sz="0" w:space="0" w:color="auto"/>
                                        <w:bottom w:val="none" w:sz="0" w:space="0" w:color="auto"/>
                                        <w:right w:val="none" w:sz="0" w:space="0" w:color="auto"/>
                                      </w:divBdr>
                                    </w:div>
                                  </w:divsChild>
                                </w:div>
                                <w:div w:id="1908610746">
                                  <w:marLeft w:val="0"/>
                                  <w:marRight w:val="0"/>
                                  <w:marTop w:val="0"/>
                                  <w:marBottom w:val="210"/>
                                  <w:divBdr>
                                    <w:top w:val="none" w:sz="0" w:space="0" w:color="auto"/>
                                    <w:left w:val="none" w:sz="0" w:space="0" w:color="auto"/>
                                    <w:bottom w:val="none" w:sz="0" w:space="0" w:color="auto"/>
                                    <w:right w:val="none" w:sz="0" w:space="0" w:color="auto"/>
                                  </w:divBdr>
                                  <w:divsChild>
                                    <w:div w:id="619383139">
                                      <w:marLeft w:val="0"/>
                                      <w:marRight w:val="0"/>
                                      <w:marTop w:val="0"/>
                                      <w:marBottom w:val="0"/>
                                      <w:divBdr>
                                        <w:top w:val="none" w:sz="0" w:space="0" w:color="auto"/>
                                        <w:left w:val="none" w:sz="0" w:space="0" w:color="auto"/>
                                        <w:bottom w:val="none" w:sz="0" w:space="0" w:color="auto"/>
                                        <w:right w:val="none" w:sz="0" w:space="0" w:color="auto"/>
                                      </w:divBdr>
                                    </w:div>
                                  </w:divsChild>
                                </w:div>
                                <w:div w:id="1929802199">
                                  <w:marLeft w:val="0"/>
                                  <w:marRight w:val="0"/>
                                  <w:marTop w:val="0"/>
                                  <w:marBottom w:val="210"/>
                                  <w:divBdr>
                                    <w:top w:val="none" w:sz="0" w:space="0" w:color="auto"/>
                                    <w:left w:val="none" w:sz="0" w:space="0" w:color="auto"/>
                                    <w:bottom w:val="none" w:sz="0" w:space="0" w:color="auto"/>
                                    <w:right w:val="none" w:sz="0" w:space="0" w:color="auto"/>
                                  </w:divBdr>
                                  <w:divsChild>
                                    <w:div w:id="22483154">
                                      <w:marLeft w:val="0"/>
                                      <w:marRight w:val="0"/>
                                      <w:marTop w:val="0"/>
                                      <w:marBottom w:val="0"/>
                                      <w:divBdr>
                                        <w:top w:val="none" w:sz="0" w:space="0" w:color="auto"/>
                                        <w:left w:val="none" w:sz="0" w:space="0" w:color="auto"/>
                                        <w:bottom w:val="none" w:sz="0" w:space="0" w:color="auto"/>
                                        <w:right w:val="none" w:sz="0" w:space="0" w:color="auto"/>
                                      </w:divBdr>
                                    </w:div>
                                    <w:div w:id="1385367162">
                                      <w:marLeft w:val="0"/>
                                      <w:marRight w:val="0"/>
                                      <w:marTop w:val="90"/>
                                      <w:marBottom w:val="0"/>
                                      <w:divBdr>
                                        <w:top w:val="none" w:sz="0" w:space="0" w:color="auto"/>
                                        <w:left w:val="none" w:sz="0" w:space="0" w:color="auto"/>
                                        <w:bottom w:val="none" w:sz="0" w:space="0" w:color="auto"/>
                                        <w:right w:val="none" w:sz="0" w:space="0" w:color="auto"/>
                                      </w:divBdr>
                                    </w:div>
                                  </w:divsChild>
                                </w:div>
                                <w:div w:id="1945991033">
                                  <w:marLeft w:val="0"/>
                                  <w:marRight w:val="0"/>
                                  <w:marTop w:val="0"/>
                                  <w:marBottom w:val="210"/>
                                  <w:divBdr>
                                    <w:top w:val="none" w:sz="0" w:space="0" w:color="auto"/>
                                    <w:left w:val="none" w:sz="0" w:space="0" w:color="auto"/>
                                    <w:bottom w:val="none" w:sz="0" w:space="0" w:color="auto"/>
                                    <w:right w:val="none" w:sz="0" w:space="0" w:color="auto"/>
                                  </w:divBdr>
                                  <w:divsChild>
                                    <w:div w:id="135034357">
                                      <w:marLeft w:val="0"/>
                                      <w:marRight w:val="0"/>
                                      <w:marTop w:val="90"/>
                                      <w:marBottom w:val="0"/>
                                      <w:divBdr>
                                        <w:top w:val="none" w:sz="0" w:space="0" w:color="auto"/>
                                        <w:left w:val="none" w:sz="0" w:space="0" w:color="auto"/>
                                        <w:bottom w:val="none" w:sz="0" w:space="0" w:color="auto"/>
                                        <w:right w:val="none" w:sz="0" w:space="0" w:color="auto"/>
                                      </w:divBdr>
                                    </w:div>
                                    <w:div w:id="1831288139">
                                      <w:marLeft w:val="0"/>
                                      <w:marRight w:val="0"/>
                                      <w:marTop w:val="0"/>
                                      <w:marBottom w:val="0"/>
                                      <w:divBdr>
                                        <w:top w:val="none" w:sz="0" w:space="0" w:color="auto"/>
                                        <w:left w:val="none" w:sz="0" w:space="0" w:color="auto"/>
                                        <w:bottom w:val="none" w:sz="0" w:space="0" w:color="auto"/>
                                        <w:right w:val="none" w:sz="0" w:space="0" w:color="auto"/>
                                      </w:divBdr>
                                    </w:div>
                                  </w:divsChild>
                                </w:div>
                                <w:div w:id="2001956009">
                                  <w:marLeft w:val="0"/>
                                  <w:marRight w:val="0"/>
                                  <w:marTop w:val="0"/>
                                  <w:marBottom w:val="210"/>
                                  <w:divBdr>
                                    <w:top w:val="none" w:sz="0" w:space="0" w:color="auto"/>
                                    <w:left w:val="none" w:sz="0" w:space="0" w:color="auto"/>
                                    <w:bottom w:val="none" w:sz="0" w:space="0" w:color="auto"/>
                                    <w:right w:val="none" w:sz="0" w:space="0" w:color="auto"/>
                                  </w:divBdr>
                                  <w:divsChild>
                                    <w:div w:id="1507792454">
                                      <w:marLeft w:val="0"/>
                                      <w:marRight w:val="0"/>
                                      <w:marTop w:val="90"/>
                                      <w:marBottom w:val="0"/>
                                      <w:divBdr>
                                        <w:top w:val="none" w:sz="0" w:space="0" w:color="auto"/>
                                        <w:left w:val="none" w:sz="0" w:space="0" w:color="auto"/>
                                        <w:bottom w:val="none" w:sz="0" w:space="0" w:color="auto"/>
                                        <w:right w:val="none" w:sz="0" w:space="0" w:color="auto"/>
                                      </w:divBdr>
                                    </w:div>
                                    <w:div w:id="2139646055">
                                      <w:marLeft w:val="0"/>
                                      <w:marRight w:val="0"/>
                                      <w:marTop w:val="0"/>
                                      <w:marBottom w:val="0"/>
                                      <w:divBdr>
                                        <w:top w:val="none" w:sz="0" w:space="0" w:color="auto"/>
                                        <w:left w:val="none" w:sz="0" w:space="0" w:color="auto"/>
                                        <w:bottom w:val="none" w:sz="0" w:space="0" w:color="auto"/>
                                        <w:right w:val="none" w:sz="0" w:space="0" w:color="auto"/>
                                      </w:divBdr>
                                    </w:div>
                                  </w:divsChild>
                                </w:div>
                                <w:div w:id="2033068169">
                                  <w:marLeft w:val="0"/>
                                  <w:marRight w:val="0"/>
                                  <w:marTop w:val="0"/>
                                  <w:marBottom w:val="210"/>
                                  <w:divBdr>
                                    <w:top w:val="none" w:sz="0" w:space="0" w:color="auto"/>
                                    <w:left w:val="none" w:sz="0" w:space="0" w:color="auto"/>
                                    <w:bottom w:val="none" w:sz="0" w:space="0" w:color="auto"/>
                                    <w:right w:val="none" w:sz="0" w:space="0" w:color="auto"/>
                                  </w:divBdr>
                                  <w:divsChild>
                                    <w:div w:id="509678456">
                                      <w:marLeft w:val="0"/>
                                      <w:marRight w:val="0"/>
                                      <w:marTop w:val="90"/>
                                      <w:marBottom w:val="0"/>
                                      <w:divBdr>
                                        <w:top w:val="none" w:sz="0" w:space="0" w:color="auto"/>
                                        <w:left w:val="none" w:sz="0" w:space="0" w:color="auto"/>
                                        <w:bottom w:val="none" w:sz="0" w:space="0" w:color="auto"/>
                                        <w:right w:val="none" w:sz="0" w:space="0" w:color="auto"/>
                                      </w:divBdr>
                                      <w:divsChild>
                                        <w:div w:id="161166207">
                                          <w:marLeft w:val="0"/>
                                          <w:marRight w:val="0"/>
                                          <w:marTop w:val="0"/>
                                          <w:marBottom w:val="0"/>
                                          <w:divBdr>
                                            <w:top w:val="none" w:sz="0" w:space="0" w:color="auto"/>
                                            <w:left w:val="none" w:sz="0" w:space="0" w:color="auto"/>
                                            <w:bottom w:val="none" w:sz="0" w:space="0" w:color="auto"/>
                                            <w:right w:val="none" w:sz="0" w:space="0" w:color="auto"/>
                                          </w:divBdr>
                                        </w:div>
                                      </w:divsChild>
                                    </w:div>
                                    <w:div w:id="2109040564">
                                      <w:marLeft w:val="0"/>
                                      <w:marRight w:val="0"/>
                                      <w:marTop w:val="0"/>
                                      <w:marBottom w:val="0"/>
                                      <w:divBdr>
                                        <w:top w:val="none" w:sz="0" w:space="0" w:color="auto"/>
                                        <w:left w:val="none" w:sz="0" w:space="0" w:color="auto"/>
                                        <w:bottom w:val="none" w:sz="0" w:space="0" w:color="auto"/>
                                        <w:right w:val="none" w:sz="0" w:space="0" w:color="auto"/>
                                      </w:divBdr>
                                    </w:div>
                                  </w:divsChild>
                                </w:div>
                                <w:div w:id="2047829136">
                                  <w:marLeft w:val="0"/>
                                  <w:marRight w:val="0"/>
                                  <w:marTop w:val="0"/>
                                  <w:marBottom w:val="210"/>
                                  <w:divBdr>
                                    <w:top w:val="none" w:sz="0" w:space="0" w:color="auto"/>
                                    <w:left w:val="none" w:sz="0" w:space="0" w:color="auto"/>
                                    <w:bottom w:val="none" w:sz="0" w:space="0" w:color="auto"/>
                                    <w:right w:val="none" w:sz="0" w:space="0" w:color="auto"/>
                                  </w:divBdr>
                                  <w:divsChild>
                                    <w:div w:id="822283213">
                                      <w:marLeft w:val="0"/>
                                      <w:marRight w:val="0"/>
                                      <w:marTop w:val="0"/>
                                      <w:marBottom w:val="0"/>
                                      <w:divBdr>
                                        <w:top w:val="none" w:sz="0" w:space="0" w:color="auto"/>
                                        <w:left w:val="none" w:sz="0" w:space="0" w:color="auto"/>
                                        <w:bottom w:val="none" w:sz="0" w:space="0" w:color="auto"/>
                                        <w:right w:val="none" w:sz="0" w:space="0" w:color="auto"/>
                                      </w:divBdr>
                                    </w:div>
                                    <w:div w:id="1079325459">
                                      <w:marLeft w:val="0"/>
                                      <w:marRight w:val="0"/>
                                      <w:marTop w:val="90"/>
                                      <w:marBottom w:val="0"/>
                                      <w:divBdr>
                                        <w:top w:val="none" w:sz="0" w:space="0" w:color="auto"/>
                                        <w:left w:val="none" w:sz="0" w:space="0" w:color="auto"/>
                                        <w:bottom w:val="none" w:sz="0" w:space="0" w:color="auto"/>
                                        <w:right w:val="none" w:sz="0" w:space="0" w:color="auto"/>
                                      </w:divBdr>
                                    </w:div>
                                  </w:divsChild>
                                </w:div>
                                <w:div w:id="2056005326">
                                  <w:marLeft w:val="0"/>
                                  <w:marRight w:val="0"/>
                                  <w:marTop w:val="0"/>
                                  <w:marBottom w:val="210"/>
                                  <w:divBdr>
                                    <w:top w:val="none" w:sz="0" w:space="0" w:color="auto"/>
                                    <w:left w:val="none" w:sz="0" w:space="0" w:color="auto"/>
                                    <w:bottom w:val="none" w:sz="0" w:space="0" w:color="auto"/>
                                    <w:right w:val="none" w:sz="0" w:space="0" w:color="auto"/>
                                  </w:divBdr>
                                  <w:divsChild>
                                    <w:div w:id="190383651">
                                      <w:marLeft w:val="0"/>
                                      <w:marRight w:val="0"/>
                                      <w:marTop w:val="90"/>
                                      <w:marBottom w:val="0"/>
                                      <w:divBdr>
                                        <w:top w:val="none" w:sz="0" w:space="0" w:color="auto"/>
                                        <w:left w:val="none" w:sz="0" w:space="0" w:color="auto"/>
                                        <w:bottom w:val="none" w:sz="0" w:space="0" w:color="auto"/>
                                        <w:right w:val="none" w:sz="0" w:space="0" w:color="auto"/>
                                      </w:divBdr>
                                    </w:div>
                                    <w:div w:id="1783184662">
                                      <w:marLeft w:val="0"/>
                                      <w:marRight w:val="0"/>
                                      <w:marTop w:val="0"/>
                                      <w:marBottom w:val="0"/>
                                      <w:divBdr>
                                        <w:top w:val="none" w:sz="0" w:space="0" w:color="auto"/>
                                        <w:left w:val="none" w:sz="0" w:space="0" w:color="auto"/>
                                        <w:bottom w:val="none" w:sz="0" w:space="0" w:color="auto"/>
                                        <w:right w:val="none" w:sz="0" w:space="0" w:color="auto"/>
                                      </w:divBdr>
                                    </w:div>
                                  </w:divsChild>
                                </w:div>
                                <w:div w:id="2092697068">
                                  <w:marLeft w:val="0"/>
                                  <w:marRight w:val="0"/>
                                  <w:marTop w:val="0"/>
                                  <w:marBottom w:val="210"/>
                                  <w:divBdr>
                                    <w:top w:val="none" w:sz="0" w:space="0" w:color="auto"/>
                                    <w:left w:val="none" w:sz="0" w:space="0" w:color="auto"/>
                                    <w:bottom w:val="none" w:sz="0" w:space="0" w:color="auto"/>
                                    <w:right w:val="none" w:sz="0" w:space="0" w:color="auto"/>
                                  </w:divBdr>
                                  <w:divsChild>
                                    <w:div w:id="431778233">
                                      <w:marLeft w:val="0"/>
                                      <w:marRight w:val="0"/>
                                      <w:marTop w:val="90"/>
                                      <w:marBottom w:val="0"/>
                                      <w:divBdr>
                                        <w:top w:val="none" w:sz="0" w:space="0" w:color="auto"/>
                                        <w:left w:val="none" w:sz="0" w:space="0" w:color="auto"/>
                                        <w:bottom w:val="none" w:sz="0" w:space="0" w:color="auto"/>
                                        <w:right w:val="none" w:sz="0" w:space="0" w:color="auto"/>
                                      </w:divBdr>
                                    </w:div>
                                    <w:div w:id="472187014">
                                      <w:marLeft w:val="0"/>
                                      <w:marRight w:val="0"/>
                                      <w:marTop w:val="0"/>
                                      <w:marBottom w:val="0"/>
                                      <w:divBdr>
                                        <w:top w:val="none" w:sz="0" w:space="0" w:color="auto"/>
                                        <w:left w:val="none" w:sz="0" w:space="0" w:color="auto"/>
                                        <w:bottom w:val="none" w:sz="0" w:space="0" w:color="auto"/>
                                        <w:right w:val="none" w:sz="0" w:space="0" w:color="auto"/>
                                      </w:divBdr>
                                    </w:div>
                                  </w:divsChild>
                                </w:div>
                                <w:div w:id="2140874041">
                                  <w:marLeft w:val="0"/>
                                  <w:marRight w:val="0"/>
                                  <w:marTop w:val="0"/>
                                  <w:marBottom w:val="210"/>
                                  <w:divBdr>
                                    <w:top w:val="none" w:sz="0" w:space="0" w:color="auto"/>
                                    <w:left w:val="none" w:sz="0" w:space="0" w:color="auto"/>
                                    <w:bottom w:val="none" w:sz="0" w:space="0" w:color="auto"/>
                                    <w:right w:val="none" w:sz="0" w:space="0" w:color="auto"/>
                                  </w:divBdr>
                                  <w:divsChild>
                                    <w:div w:id="154733188">
                                      <w:marLeft w:val="0"/>
                                      <w:marRight w:val="0"/>
                                      <w:marTop w:val="0"/>
                                      <w:marBottom w:val="0"/>
                                      <w:divBdr>
                                        <w:top w:val="none" w:sz="0" w:space="0" w:color="auto"/>
                                        <w:left w:val="none" w:sz="0" w:space="0" w:color="auto"/>
                                        <w:bottom w:val="none" w:sz="0" w:space="0" w:color="auto"/>
                                        <w:right w:val="none" w:sz="0" w:space="0" w:color="auto"/>
                                      </w:divBdr>
                                    </w:div>
                                    <w:div w:id="18489051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157740">
          <w:marLeft w:val="0"/>
          <w:marRight w:val="0"/>
          <w:marTop w:val="0"/>
          <w:marBottom w:val="0"/>
          <w:divBdr>
            <w:top w:val="none" w:sz="0" w:space="0" w:color="auto"/>
            <w:left w:val="none" w:sz="0" w:space="0" w:color="auto"/>
            <w:bottom w:val="none" w:sz="0" w:space="0" w:color="auto"/>
            <w:right w:val="none" w:sz="0" w:space="0" w:color="auto"/>
          </w:divBdr>
          <w:divsChild>
            <w:div w:id="4025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7153553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56231815">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32902226">
      <w:bodyDiv w:val="1"/>
      <w:marLeft w:val="0"/>
      <w:marRight w:val="0"/>
      <w:marTop w:val="0"/>
      <w:marBottom w:val="0"/>
      <w:divBdr>
        <w:top w:val="none" w:sz="0" w:space="0" w:color="auto"/>
        <w:left w:val="none" w:sz="0" w:space="0" w:color="auto"/>
        <w:bottom w:val="none" w:sz="0" w:space="0" w:color="auto"/>
        <w:right w:val="none" w:sz="0" w:space="0" w:color="auto"/>
      </w:divBdr>
      <w:divsChild>
        <w:div w:id="1273589284">
          <w:marLeft w:val="0"/>
          <w:marRight w:val="0"/>
          <w:marTop w:val="0"/>
          <w:marBottom w:val="0"/>
          <w:divBdr>
            <w:top w:val="none" w:sz="0" w:space="0" w:color="auto"/>
            <w:left w:val="none" w:sz="0" w:space="0" w:color="auto"/>
            <w:bottom w:val="none" w:sz="0" w:space="0" w:color="auto"/>
            <w:right w:val="none" w:sz="0" w:space="0" w:color="auto"/>
          </w:divBdr>
        </w:div>
      </w:divsChild>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69AC2-A5BE-4B4B-8DC9-F890D332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25</cp:revision>
  <dcterms:created xsi:type="dcterms:W3CDTF">2023-09-28T08:05:00Z</dcterms:created>
  <dcterms:modified xsi:type="dcterms:W3CDTF">2023-09-28T17:28:00Z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(3)FGAZ+anP9tLJWMNXhoJ372nHEY5jLr4M4ok6ZB6JxMHLKAxQhouG7Jn6hqWRVDuvXUpzqYJU
a0A+pWhUeKf0p9+I9VoxRVgyiqlynDKUOVSlQOp7oQt0WkH994VyJ5cGtXG8hOzML+MkPL1a
A+t8FF2vK9iYw0I0JaDIUJyVbO+Ssbhb1IAhhuxlzTBX2qYVEzMSpujsZP4Rvh+G7o4cZkA1
3nc4qPvmJ1UTPaJV8C</vt:lpwstr>
  </property>
  <property fmtid="{D5CDD505-2E9C-101B-9397-08002B2CF9AE}" pid="3" name="_2015_ms_pID_7253431">
    <vt:lpwstr>K0akUve4Opk7aepJojjM8AXVSqHouLGA0HLnIosPG2nt/3Ca+lkuMZ
CePNRzA0yLKkV7M+jKWIWsQrb2IPuTL7kBFtSAR+YMJeE1UjC3C8M4IASS0m4r/+S6OHhM3p
uYX3dNaXEp8+ukdd92GmgNHAbEG7eitbSdFjEKQoUBEwXXn6xRd1dNRsX/jNlDhANnln4vZg
KeBdf3uNMTmH6lSpP+V3lCCDU6yovgE9iRhM</vt:lpwstr>
  </property>
  <property fmtid="{D5CDD505-2E9C-101B-9397-08002B2CF9AE}" pid="4" name="_2015_ms_pID_7253432">
    <vt:lpwstr>WeU/bBGWT/D8pJJjcXG2UFE=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1695713915</vt:lpwstr>
  </property>
</Properties>
</file>