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400" w14:textId="77777777" w:rsidR="00B95B3E" w:rsidRDefault="00BE3965">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0B762420" w14:textId="77777777" w:rsidR="00B95B3E" w:rsidRDefault="00BE3965">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B762421" w14:textId="77777777" w:rsidR="00B95B3E" w:rsidRDefault="00BE3965">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w:t>
            </w:r>
            <w:proofErr w:type="gramStart"/>
            <w:r>
              <w:rPr>
                <w:lang w:val="en-US"/>
              </w:rPr>
              <w:t>in order to</w:t>
            </w:r>
            <w:proofErr w:type="gramEnd"/>
            <w:r>
              <w:rPr>
                <w:lang w:val="en-US"/>
              </w:rPr>
              <w:t xml:space="preserve"> have the same peak rate.</w:t>
            </w:r>
          </w:p>
          <w:p w14:paraId="0B762423" w14:textId="77777777" w:rsidR="00B95B3E" w:rsidRDefault="00BE3965">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B76243A"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游明朝"/>
                <w:lang w:val="en-US" w:eastAsia="ja-JP"/>
              </w:rPr>
            </w:pPr>
            <w:r>
              <w:rPr>
                <w:rFonts w:eastAsia="游明朝"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游明朝"/>
                <w:lang w:val="en-US" w:eastAsia="ja-JP"/>
              </w:rPr>
            </w:pPr>
            <w:proofErr w:type="spellStart"/>
            <w:r>
              <w:rPr>
                <w:rFonts w:eastAsia="游明朝" w:hint="eastAsia"/>
                <w:lang w:val="en-US" w:eastAsia="ja-JP"/>
              </w:rPr>
              <w:t>C</w:t>
            </w:r>
            <w:r>
              <w:rPr>
                <w:rFonts w:eastAsia="游明朝"/>
                <w:lang w:val="en-US" w:eastAsia="ja-JP"/>
              </w:rPr>
              <w:t>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游明朝"/>
                <w:lang w:val="en-US" w:eastAsia="ja-JP"/>
              </w:rPr>
            </w:pPr>
            <w:r>
              <w:rPr>
                <w:rFonts w:eastAsia="游明朝"/>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游明朝"/>
                <w:lang w:eastAsia="ja-JP"/>
              </w:rPr>
            </w:pPr>
            <w:proofErr w:type="spellStart"/>
            <w:r w:rsidRPr="005767F6">
              <w:rPr>
                <w:rFonts w:eastAsia="游明朝"/>
                <w:lang w:val="en-US" w:eastAsia="ja-JP"/>
              </w:rPr>
              <w:t>S</w:t>
            </w:r>
            <w:r w:rsidRPr="005767F6">
              <w:rPr>
                <w:rFonts w:eastAsia="游明朝" w:hint="eastAsia"/>
                <w:lang w:val="en-US" w:eastAsia="ja-JP"/>
              </w:rPr>
              <w:t>pread</w:t>
            </w:r>
            <w:r w:rsidRPr="005767F6">
              <w:rPr>
                <w:rFonts w:eastAsia="游明朝"/>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8FAB3A6" w14:textId="1906F7E8" w:rsidR="005767F6" w:rsidRPr="005767F6" w:rsidRDefault="00000000">
            <w:pPr>
              <w:spacing w:after="0"/>
              <w:jc w:val="center"/>
              <w:rPr>
                <w:rFonts w:eastAsiaTheme="minorEastAsia"/>
                <w:lang w:val="en-US" w:eastAsia="zh-CN"/>
              </w:rPr>
            </w:pPr>
            <w:hyperlink r:id="rId12" w:history="1">
              <w:r w:rsidR="00D87C83" w:rsidRPr="003C64FA">
                <w:rPr>
                  <w:rStyle w:val="afa"/>
                  <w:rFonts w:eastAsiaTheme="minorEastAsia"/>
                  <w:lang w:val="en-US" w:eastAsia="zh-CN"/>
                </w:rPr>
                <w:t>Sicong.zhao@unisoc.com</w:t>
              </w:r>
            </w:hyperlink>
          </w:p>
        </w:tc>
      </w:tr>
      <w:tr w:rsidR="00D87C83" w14:paraId="4B2A8A09" w14:textId="77777777">
        <w:tc>
          <w:tcPr>
            <w:tcW w:w="2518" w:type="dxa"/>
            <w:tcBorders>
              <w:top w:val="single" w:sz="4" w:space="0" w:color="auto"/>
              <w:left w:val="single" w:sz="4" w:space="0" w:color="auto"/>
              <w:bottom w:val="single" w:sz="4" w:space="0" w:color="auto"/>
              <w:right w:val="single" w:sz="4" w:space="0" w:color="auto"/>
            </w:tcBorders>
          </w:tcPr>
          <w:p w14:paraId="71AB1A6B" w14:textId="325E17AD" w:rsidR="00D87C83" w:rsidRPr="005767F6" w:rsidRDefault="00D87C83" w:rsidP="00D87C83">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4C217813" w14:textId="5EBF116D" w:rsidR="00D87C83" w:rsidRDefault="00D87C83" w:rsidP="00D87C83">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3B085ED3" w14:textId="630C6AAC" w:rsidR="00D87C83" w:rsidRDefault="00D87C83" w:rsidP="00D87C83">
            <w:pPr>
              <w:spacing w:after="0"/>
              <w:jc w:val="center"/>
              <w:rPr>
                <w:rFonts w:eastAsiaTheme="minorEastAsia"/>
                <w:lang w:val="en-US" w:eastAsia="zh-CN"/>
              </w:rPr>
            </w:pPr>
            <w:r>
              <w:rPr>
                <w:rFonts w:eastAsia="PMingLiU"/>
                <w:lang w:val="en-US" w:eastAsia="zh-TW"/>
              </w:rPr>
              <w:t>vipul.desai@futurewei.com</w:t>
            </w:r>
          </w:p>
        </w:tc>
      </w:tr>
      <w:tr w:rsidR="006929D8" w14:paraId="6596A88D" w14:textId="77777777">
        <w:tc>
          <w:tcPr>
            <w:tcW w:w="2518" w:type="dxa"/>
            <w:tcBorders>
              <w:top w:val="single" w:sz="4" w:space="0" w:color="auto"/>
              <w:left w:val="single" w:sz="4" w:space="0" w:color="auto"/>
              <w:bottom w:val="single" w:sz="4" w:space="0" w:color="auto"/>
              <w:right w:val="single" w:sz="4" w:space="0" w:color="auto"/>
            </w:tcBorders>
          </w:tcPr>
          <w:p w14:paraId="1C89D948" w14:textId="1F002494" w:rsidR="006929D8" w:rsidRDefault="006929D8" w:rsidP="006929D8">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F617073" w14:textId="63880E6A" w:rsidR="006929D8" w:rsidRDefault="006929D8" w:rsidP="006929D8">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823EF0E" w14:textId="759DF1BD" w:rsidR="006929D8" w:rsidRDefault="006929D8" w:rsidP="006929D8">
            <w:pPr>
              <w:spacing w:after="0"/>
              <w:jc w:val="center"/>
              <w:rPr>
                <w:rFonts w:eastAsia="PMingLiU"/>
                <w:lang w:val="en-US" w:eastAsia="zh-TW"/>
              </w:rPr>
            </w:pPr>
            <w:r>
              <w:rPr>
                <w:rFonts w:eastAsia="游明朝"/>
                <w:lang w:val="en-US" w:eastAsia="ja-JP"/>
              </w:rPr>
              <w:t>mayuko.okano.ca@nttdocomo.com</w:t>
            </w:r>
          </w:p>
        </w:tc>
      </w:tr>
    </w:tbl>
    <w:p w14:paraId="0B762450" w14:textId="77777777" w:rsidR="00B95B3E" w:rsidRDefault="00B95B3E">
      <w:pPr>
        <w:rPr>
          <w:szCs w:val="22"/>
          <w:highlight w:val="magenta"/>
          <w:lang w:val="en-US"/>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5C" w14:textId="77777777" w:rsidR="00B95B3E" w:rsidRDefault="00BE3965">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0B76249C" w14:textId="77777777" w:rsidR="00B95B3E" w:rsidRDefault="00BE3965">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ＭＳ Ｐゴシック" w:hAnsi="Times"/>
                <w:szCs w:val="24"/>
                <w:lang w:val="en-US" w:eastAsia="ja-JP"/>
              </w:rPr>
              <w:t xml:space="preserve">The UE receives the RAR and correspondingly transmits Msg3 if the TDRA for Msg3 in UL grant </w:t>
            </w:r>
            <w:r>
              <w:rPr>
                <w:rFonts w:ascii="Times" w:eastAsia="ＭＳ Ｐゴシック" w:hAnsi="Times"/>
                <w:szCs w:val="24"/>
                <w:lang w:val="en-US" w:eastAsia="ja-JP"/>
              </w:rPr>
              <w:lastRenderedPageBreak/>
              <w:t>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0B76249E" w14:textId="77777777" w:rsidR="00B95B3E" w:rsidRDefault="00BE3965">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X = 1/0.5 ms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0B7624AB" w14:textId="77777777" w:rsidR="00B95B3E" w:rsidRDefault="00BE3965">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RedCap UEs is configured, Rel-18 </w:t>
            </w:r>
            <w:proofErr w:type="spellStart"/>
            <w:r>
              <w:rPr>
                <w:lang w:val="en-US"/>
              </w:rPr>
              <w:t>eRedCap</w:t>
            </w:r>
            <w:proofErr w:type="spellEnd"/>
            <w:r>
              <w:rPr>
                <w:lang w:val="en-US"/>
              </w:rPr>
              <w:t xml:space="preserve">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RedCap UEs based on Msg3 of Rel-18 </w:t>
            </w:r>
            <w:proofErr w:type="spellStart"/>
            <w:r>
              <w:rPr>
                <w:lang w:val="en-US"/>
              </w:rPr>
              <w:t>eRedCap</w:t>
            </w:r>
            <w:proofErr w:type="spellEnd"/>
            <w:r>
              <w:rPr>
                <w:lang w:val="en-US"/>
              </w:rPr>
              <w:t xml:space="preserve"> UEs.</w:t>
            </w:r>
          </w:p>
          <w:p w14:paraId="0B7624AE" w14:textId="77777777" w:rsidR="00B95B3E" w:rsidRDefault="00BE3965">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B7624BE"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C4" w14:textId="77777777" w:rsidR="00B95B3E" w:rsidRDefault="00BE3965">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0B7624C5"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0B7624C6" w14:textId="77777777" w:rsidR="00B95B3E" w:rsidRDefault="00BE3965">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B7624C8"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B7624C9"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lastRenderedPageBreak/>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D2"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C" w14:textId="77777777" w:rsidR="00B95B3E" w:rsidRDefault="00BE3965">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B7624E8"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afe"/>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e"/>
        <w:numPr>
          <w:ilvl w:val="0"/>
          <w:numId w:val="22"/>
        </w:numPr>
        <w:jc w:val="left"/>
        <w:rPr>
          <w:sz w:val="20"/>
          <w:szCs w:val="20"/>
          <w:lang w:val="en-US"/>
        </w:rPr>
      </w:pPr>
      <w:r>
        <w:rPr>
          <w:sz w:val="20"/>
          <w:szCs w:val="20"/>
          <w:lang w:val="en-US"/>
        </w:rPr>
        <w:lastRenderedPageBreak/>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8F86FB" w14:textId="787CC1CD" w:rsidR="00D13DD7" w:rsidRPr="00D13DD7" w:rsidRDefault="00D13DD7" w:rsidP="00FE13C9">
            <w:pPr>
              <w:tabs>
                <w:tab w:val="left" w:pos="551"/>
              </w:tabs>
              <w:jc w:val="left"/>
              <w:rPr>
                <w:rFonts w:eastAsia="游明朝"/>
                <w:lang w:val="en-US" w:eastAsia="ja-JP"/>
              </w:rPr>
            </w:pPr>
            <w:r>
              <w:rPr>
                <w:rFonts w:eastAsia="游明朝"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7E23B4A6" w14:textId="27A41C7F" w:rsidR="005B6EAE" w:rsidRDefault="005B6EAE" w:rsidP="00FE13C9">
            <w:pPr>
              <w:tabs>
                <w:tab w:val="left" w:pos="551"/>
              </w:tabs>
              <w:jc w:val="left"/>
              <w:rPr>
                <w:rFonts w:eastAsia="游明朝"/>
                <w:lang w:val="en-US" w:eastAsia="ja-JP"/>
              </w:rPr>
            </w:pPr>
            <w:r>
              <w:rPr>
                <w:rFonts w:eastAsia="游明朝"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905F926" w14:textId="061A9E60" w:rsidR="005767F6" w:rsidRPr="005767F6" w:rsidRDefault="005767F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r w:rsidR="006929D8" w14:paraId="445A2F65" w14:textId="77777777">
        <w:tc>
          <w:tcPr>
            <w:tcW w:w="1479" w:type="dxa"/>
          </w:tcPr>
          <w:p w14:paraId="3CF5C1DC" w14:textId="6FD67081" w:rsidR="006929D8" w:rsidRPr="006929D8" w:rsidRDefault="006929D8" w:rsidP="00FE13C9">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B1ADF67" w14:textId="10A6F46F" w:rsidR="006929D8" w:rsidRPr="006929D8" w:rsidRDefault="006929D8" w:rsidP="00FE13C9">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0F93B07" w14:textId="77777777" w:rsidR="006929D8" w:rsidRDefault="006929D8" w:rsidP="00FE13C9">
            <w:pPr>
              <w:jc w:val="left"/>
              <w:rPr>
                <w:rFonts w:eastAsiaTheme="minorEastAsia"/>
                <w:lang w:val="en-US" w:eastAsia="zh-CN"/>
              </w:rPr>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B95B3E" w14:paraId="0B76250A" w14:textId="77777777">
        <w:tc>
          <w:tcPr>
            <w:tcW w:w="1479" w:type="dxa"/>
          </w:tcPr>
          <w:p w14:paraId="0B762507" w14:textId="77777777" w:rsidR="00B95B3E" w:rsidRDefault="00B95B3E">
            <w:pPr>
              <w:jc w:val="left"/>
              <w:rPr>
                <w:rFonts w:eastAsiaTheme="minorEastAsia"/>
                <w:lang w:val="en-US" w:eastAsia="zh-CN"/>
              </w:rPr>
            </w:pPr>
          </w:p>
        </w:tc>
        <w:tc>
          <w:tcPr>
            <w:tcW w:w="1372" w:type="dxa"/>
          </w:tcPr>
          <w:p w14:paraId="0B762508" w14:textId="77777777" w:rsidR="00B95B3E" w:rsidRDefault="00B95B3E">
            <w:pPr>
              <w:tabs>
                <w:tab w:val="left" w:pos="551"/>
              </w:tabs>
              <w:jc w:val="left"/>
              <w:rPr>
                <w:rFonts w:eastAsiaTheme="minorEastAsia"/>
                <w:lang w:val="en-US" w:eastAsia="zh-CN"/>
              </w:rPr>
            </w:pPr>
          </w:p>
        </w:tc>
        <w:tc>
          <w:tcPr>
            <w:tcW w:w="6780" w:type="dxa"/>
          </w:tcPr>
          <w:p w14:paraId="0B762509" w14:textId="77777777" w:rsidR="00B95B3E" w:rsidRDefault="00B95B3E">
            <w:pPr>
              <w:jc w:val="left"/>
              <w:rPr>
                <w:rFonts w:eastAsiaTheme="minorEastAsia"/>
                <w:lang w:val="en-US" w:eastAsia="zh-CN"/>
              </w:rPr>
            </w:pP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519"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51C" w14:textId="77777777" w:rsidR="00B95B3E" w:rsidRDefault="00B95B3E">
            <w:pPr>
              <w:spacing w:after="0" w:line="240" w:lineRule="auto"/>
              <w:jc w:val="left"/>
              <w:rPr>
                <w:rFonts w:eastAsia="DengXian"/>
                <w:lang w:val="en-US" w:eastAsia="zh-CN"/>
              </w:rPr>
            </w:pPr>
          </w:p>
        </w:tc>
      </w:tr>
    </w:tbl>
    <w:p w14:paraId="0B76251E" w14:textId="77777777" w:rsidR="00B95B3E" w:rsidRDefault="00BE3965">
      <w:pPr>
        <w:spacing w:afterLines="50" w:after="120"/>
        <w:rPr>
          <w:rFonts w:eastAsia="ＭＳ 明朝"/>
          <w:bCs/>
          <w:lang w:val="en-US"/>
        </w:rPr>
      </w:pPr>
      <w:r>
        <w:rPr>
          <w:rFonts w:eastAsia="ＭＳ 明朝"/>
          <w:bCs/>
          <w:lang w:val="en-US"/>
        </w:rPr>
        <w:lastRenderedPageBreak/>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0B76252F" w14:textId="77777777" w:rsidR="00B95B3E" w:rsidRDefault="00BE3965">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0B762530" w14:textId="77777777" w:rsidR="00B95B3E" w:rsidRDefault="00BE3965">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0B762531" w14:textId="77777777" w:rsidR="00B95B3E" w:rsidRDefault="00BE3965">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w:t>
            </w:r>
            <w:proofErr w:type="gramStart"/>
            <w:r>
              <w:rPr>
                <w:rFonts w:eastAsiaTheme="minorEastAsia" w:hint="eastAsia"/>
                <w:lang w:val="en-US" w:eastAsia="zh-CN"/>
              </w:rPr>
              <w:t xml:space="preserve">for  </w:t>
            </w:r>
            <w:r>
              <w:rPr>
                <w:rFonts w:eastAsiaTheme="minorEastAsia"/>
                <w:lang w:eastAsia="zh-CN"/>
              </w:rPr>
              <w:t>contention</w:t>
            </w:r>
            <w:proofErr w:type="gramEnd"/>
            <w:r>
              <w:rPr>
                <w:rFonts w:eastAsiaTheme="minorEastAsia"/>
                <w:lang w:eastAsia="zh-CN"/>
              </w:rPr>
              <w:t>-based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w:t>
            </w:r>
            <w:proofErr w:type="gramStart"/>
            <w:r w:rsidR="00155829">
              <w:rPr>
                <w:rFonts w:eastAsiaTheme="minorEastAsia"/>
                <w:lang w:val="en-US" w:eastAsia="zh-CN"/>
              </w:rPr>
              <w:t>specify, if</w:t>
            </w:r>
            <w:proofErr w:type="gramEnd"/>
            <w:r w:rsidR="00155829">
              <w:rPr>
                <w:rFonts w:eastAsiaTheme="minorEastAsia"/>
                <w:lang w:val="en-US" w:eastAsia="zh-CN"/>
              </w:rPr>
              <w:t xml:space="preserve">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w:t>
            </w:r>
            <w:r>
              <w:rPr>
                <w:rFonts w:eastAsiaTheme="minorEastAsia" w:hint="eastAsia"/>
                <w:lang w:val="en-US" w:eastAsia="zh-CN"/>
              </w:rPr>
              <w:lastRenderedPageBreak/>
              <w:t xml:space="preserve">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w:t>
            </w:r>
            <w:proofErr w:type="gramStart"/>
            <w:r>
              <w:rPr>
                <w:rFonts w:eastAsiaTheme="minorEastAsia" w:hint="eastAsia"/>
                <w:lang w:val="en-US" w:eastAsia="zh-CN"/>
              </w:rPr>
              <w:t>i.e.</w:t>
            </w:r>
            <w:proofErr w:type="gramEnd"/>
            <w:r>
              <w:rPr>
                <w:rFonts w:eastAsiaTheme="minorEastAsia" w:hint="eastAsia"/>
                <w:lang w:val="en-US" w:eastAsia="zh-CN"/>
              </w:rPr>
              <w:t xml:space="preserv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 xml:space="preserve">t need one for </w:t>
            </w:r>
            <w:proofErr w:type="spellStart"/>
            <w:r>
              <w:rPr>
                <w:rFonts w:eastAsiaTheme="minorEastAsia" w:hint="eastAsia"/>
                <w:lang w:val="en-US" w:eastAsia="zh-CN"/>
              </w:rPr>
              <w:t>eRedCap</w:t>
            </w:r>
            <w:proofErr w:type="spellEnd"/>
            <w:r>
              <w:rPr>
                <w:rFonts w:eastAsiaTheme="minorEastAsia" w:hint="eastAsia"/>
                <w:lang w:val="en-US" w:eastAsia="zh-CN"/>
              </w:rPr>
              <w:t>, either.</w:t>
            </w:r>
          </w:p>
        </w:tc>
      </w:tr>
      <w:tr w:rsidR="005767F6" w14:paraId="51B639C3" w14:textId="77777777">
        <w:tc>
          <w:tcPr>
            <w:tcW w:w="1479" w:type="dxa"/>
          </w:tcPr>
          <w:p w14:paraId="6F8DDE64" w14:textId="604186E2" w:rsidR="005767F6" w:rsidRDefault="005767F6" w:rsidP="005767F6">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09986F5" w14:textId="4CE07D2B" w:rsidR="005767F6" w:rsidRDefault="005767F6" w:rsidP="005767F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lang w:val="en-US" w:eastAsia="zh-CN"/>
              </w:rPr>
            </w:pPr>
          </w:p>
        </w:tc>
      </w:tr>
      <w:tr w:rsidR="006929D8" w14:paraId="673381F8" w14:textId="77777777">
        <w:tc>
          <w:tcPr>
            <w:tcW w:w="1479" w:type="dxa"/>
          </w:tcPr>
          <w:p w14:paraId="722AD4DC" w14:textId="097203DF" w:rsidR="006929D8" w:rsidRPr="006929D8" w:rsidRDefault="006929D8" w:rsidP="005767F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034F3E1" w14:textId="760B26B9" w:rsidR="006929D8" w:rsidRPr="006929D8" w:rsidRDefault="006929D8" w:rsidP="005767F6">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A7CF799" w14:textId="77777777" w:rsidR="006929D8" w:rsidRDefault="006929D8" w:rsidP="005767F6">
            <w:pPr>
              <w:jc w:val="left"/>
              <w:rPr>
                <w:rFonts w:eastAsiaTheme="minorEastAsia"/>
                <w:lang w:val="en-US" w:eastAsia="zh-CN"/>
              </w:rPr>
            </w:pP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540" w14:textId="77777777" w:rsidR="00B95B3E" w:rsidRDefault="00BE3965">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e"/>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e"/>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e"/>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e"/>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afe"/>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afe"/>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afe"/>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e"/>
        <w:numPr>
          <w:ilvl w:val="1"/>
          <w:numId w:val="25"/>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e"/>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e"/>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afe"/>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e"/>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e"/>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e"/>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e"/>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e"/>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e"/>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e"/>
        <w:numPr>
          <w:ilvl w:val="0"/>
          <w:numId w:val="25"/>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lastRenderedPageBreak/>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lastRenderedPageBreak/>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游明朝"/>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游明朝"/>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游明朝"/>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游明朝"/>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游明朝"/>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游明朝"/>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r w:rsidR="00D87C83" w14:paraId="2BB2A09F" w14:textId="77777777">
        <w:tc>
          <w:tcPr>
            <w:tcW w:w="1479" w:type="dxa"/>
          </w:tcPr>
          <w:p w14:paraId="0E1F40DE" w14:textId="1E79322E" w:rsidR="00D87C83" w:rsidRDefault="00D87C83" w:rsidP="00D87C83">
            <w:pPr>
              <w:jc w:val="left"/>
              <w:rPr>
                <w:rFonts w:eastAsiaTheme="minorEastAsia"/>
                <w:lang w:val="en-US" w:eastAsia="zh-CN"/>
              </w:rPr>
            </w:pPr>
            <w:r>
              <w:rPr>
                <w:rFonts w:eastAsiaTheme="minorEastAsia"/>
                <w:lang w:val="en-US" w:eastAsia="zh-CN"/>
              </w:rPr>
              <w:t>FUTUREWEI</w:t>
            </w:r>
          </w:p>
        </w:tc>
        <w:tc>
          <w:tcPr>
            <w:tcW w:w="526" w:type="dxa"/>
          </w:tcPr>
          <w:p w14:paraId="60083F9E" w14:textId="31084823"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377D685D" w14:textId="2FED339B"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6" w:type="dxa"/>
          </w:tcPr>
          <w:p w14:paraId="61199B10" w14:textId="39E194C8"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525" w:type="dxa"/>
          </w:tcPr>
          <w:p w14:paraId="2E5EA881" w14:textId="1E157D79"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5" w:type="dxa"/>
          </w:tcPr>
          <w:p w14:paraId="007321BA" w14:textId="397B4301"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6" w:type="dxa"/>
          </w:tcPr>
          <w:p w14:paraId="5BE18D46" w14:textId="48C6521B" w:rsidR="00D87C83" w:rsidRDefault="00D87C83" w:rsidP="00D87C83">
            <w:pPr>
              <w:tabs>
                <w:tab w:val="left" w:pos="551"/>
              </w:tabs>
              <w:jc w:val="left"/>
              <w:rPr>
                <w:rFonts w:eastAsiaTheme="minorEastAsia"/>
                <w:lang w:val="en-US" w:eastAsia="zh-CN"/>
              </w:rPr>
            </w:pPr>
            <w:r>
              <w:rPr>
                <w:rFonts w:eastAsiaTheme="minorEastAsia"/>
                <w:lang w:val="en-US" w:eastAsia="zh-CN"/>
              </w:rPr>
              <w:t>-1</w:t>
            </w:r>
          </w:p>
        </w:tc>
        <w:tc>
          <w:tcPr>
            <w:tcW w:w="527" w:type="dxa"/>
          </w:tcPr>
          <w:p w14:paraId="76F592D0" w14:textId="7B48C05A" w:rsidR="00D87C83" w:rsidRDefault="00D87C83" w:rsidP="00D87C83">
            <w:pPr>
              <w:tabs>
                <w:tab w:val="left" w:pos="551"/>
              </w:tabs>
              <w:jc w:val="left"/>
              <w:rPr>
                <w:rFonts w:eastAsiaTheme="minorEastAsia"/>
                <w:lang w:val="en-US" w:eastAsia="zh-CN"/>
              </w:rPr>
            </w:pPr>
            <w:r>
              <w:rPr>
                <w:rFonts w:eastAsiaTheme="minorEastAsia"/>
                <w:lang w:val="en-US" w:eastAsia="zh-CN"/>
              </w:rPr>
              <w:t>0</w:t>
            </w:r>
          </w:p>
        </w:tc>
        <w:tc>
          <w:tcPr>
            <w:tcW w:w="4475" w:type="dxa"/>
          </w:tcPr>
          <w:p w14:paraId="460E3FCE" w14:textId="77777777" w:rsidR="00D87C83" w:rsidRDefault="00D87C83" w:rsidP="00D87C83">
            <w:pPr>
              <w:jc w:val="left"/>
              <w:rPr>
                <w:rFonts w:eastAsiaTheme="minorEastAsia"/>
                <w:lang w:val="en-US" w:eastAsia="zh-CN"/>
              </w:rPr>
            </w:pPr>
          </w:p>
        </w:tc>
      </w:tr>
      <w:tr w:rsidR="006929D8" w14:paraId="1CA103A2" w14:textId="77777777">
        <w:tc>
          <w:tcPr>
            <w:tcW w:w="1479" w:type="dxa"/>
          </w:tcPr>
          <w:p w14:paraId="2D13D07B" w14:textId="3231AB33" w:rsidR="006929D8" w:rsidRDefault="006929D8" w:rsidP="006929D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6C31B84D" w14:textId="3681A05D" w:rsidR="006929D8" w:rsidRDefault="006929D8" w:rsidP="006929D8">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A7855F6" w14:textId="25F1EBA6"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05869F1A" w14:textId="4CEA0D4E"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18926F08" w14:textId="4A0D468C" w:rsidR="006929D8" w:rsidRDefault="006929D8" w:rsidP="006929D8">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4BA3D6E" w14:textId="7A584132"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37D36F4A" w14:textId="26CA214A"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45614AEA" w14:textId="336BCCC1" w:rsidR="006929D8" w:rsidRDefault="006929D8" w:rsidP="006929D8">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499ADCC8" w14:textId="77777777" w:rsidR="006929D8" w:rsidRDefault="006929D8" w:rsidP="006929D8">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4083D577" w14:textId="5514C83C" w:rsidR="006929D8" w:rsidRDefault="006929D8" w:rsidP="006929D8">
            <w:pPr>
              <w:jc w:val="left"/>
              <w:rPr>
                <w:rFonts w:eastAsiaTheme="minorEastAsia"/>
                <w:lang w:val="en-US" w:eastAsia="zh-CN"/>
              </w:rPr>
            </w:pPr>
            <w:r>
              <w:rPr>
                <w:rFonts w:eastAsia="游明朝"/>
                <w:lang w:val="en-US" w:eastAsia="ja-JP"/>
              </w:rPr>
              <w:t xml:space="preserve">On the other hand, for option 4a and possibly for option 4b, it is not allowed that unicast PDSCH is scheduled in </w:t>
            </w:r>
            <w:proofErr w:type="spellStart"/>
            <w:r>
              <w:rPr>
                <w:rFonts w:eastAsia="游明朝"/>
                <w:lang w:val="en-US" w:eastAsia="ja-JP"/>
              </w:rPr>
              <w:t>FDMed</w:t>
            </w:r>
            <w:proofErr w:type="spellEnd"/>
            <w:r>
              <w:rPr>
                <w:rFonts w:eastAsia="游明朝"/>
                <w:lang w:val="en-US" w:eastAsia="ja-JP"/>
              </w:rPr>
              <w:t xml:space="preserve"> resource with SI PDSCH.</w:t>
            </w: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w:t>
      </w:r>
      <w:proofErr w:type="spellStart"/>
      <w:r>
        <w:t>MsgB</w:t>
      </w:r>
      <w:proofErr w:type="spellEnd"/>
      <w:r>
        <w:t xml:space="preserve"> reception</w:t>
      </w:r>
    </w:p>
    <w:p w14:paraId="0B76259D" w14:textId="77777777" w:rsidR="00B95B3E" w:rsidRDefault="00BE3965">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e"/>
              <w:numPr>
                <w:ilvl w:val="0"/>
                <w:numId w:val="27"/>
              </w:numPr>
              <w:jc w:val="left"/>
              <w:rPr>
                <w:rFonts w:eastAsiaTheme="minorEastAsia"/>
                <w:b/>
                <w:lang w:val="en-US" w:eastAsia="zh-CN"/>
              </w:rPr>
            </w:pPr>
            <w:r>
              <w:rPr>
                <w:rFonts w:ascii="Times New Roman" w:hAnsi="Times New Roman" w:cs="Times New Roman"/>
                <w:b/>
                <w:sz w:val="20"/>
                <w:szCs w:val="20"/>
              </w:rPr>
              <w:lastRenderedPageBreak/>
              <w:t xml:space="preserve">in the same slot (i.e., slot n) if the PDSCH scheduled with RA-RNTI or MSGB-RNTI is </w:t>
            </w:r>
            <w:r>
              <w:rPr>
                <w:rFonts w:ascii="Times New Roman" w:hAnsi="Times New Roman" w:cs="Times New Roman"/>
                <w:b/>
                <w:color w:val="C00000"/>
                <w:sz w:val="20"/>
                <w:szCs w:val="20"/>
                <w:u w:val="single"/>
              </w:rPr>
              <w:t>partially or fully overlap in time</w:t>
            </w:r>
            <w:r>
              <w:rPr>
                <w:rFonts w:ascii="Times New Roman" w:hAnsi="Times New Roman" w:cs="Times New Roman"/>
                <w:b/>
                <w:sz w:val="20"/>
                <w:szCs w:val="20"/>
              </w:rPr>
              <w:t xml:space="preserve"> </w:t>
            </w:r>
            <w:r>
              <w:rPr>
                <w:rFonts w:ascii="Times New Roman" w:hAnsi="Times New Roman" w:cs="Times New Roman"/>
                <w:b/>
                <w:strike/>
                <w:color w:val="C00000"/>
                <w:sz w:val="20"/>
                <w:szCs w:val="20"/>
              </w:rPr>
              <w:t>not greater than 25/12 PRBs with 15/30kHz SCS</w:t>
            </w:r>
            <w:r>
              <w:rPr>
                <w:rFonts w:ascii="Times New Roman" w:hAnsi="Times New Roman" w:cs="Times New Roman"/>
                <w:b/>
                <w:sz w:val="20"/>
                <w:szCs w:val="20"/>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r w:rsidR="00D87C83" w14:paraId="60E4FF9F" w14:textId="77777777">
        <w:tc>
          <w:tcPr>
            <w:tcW w:w="1479" w:type="dxa"/>
          </w:tcPr>
          <w:p w14:paraId="7B46F185" w14:textId="65055C64"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6BAC821C" w14:textId="77777777" w:rsidR="00D87C83" w:rsidRDefault="00D87C83" w:rsidP="00D87C83">
            <w:pPr>
              <w:tabs>
                <w:tab w:val="left" w:pos="551"/>
              </w:tabs>
              <w:jc w:val="left"/>
              <w:rPr>
                <w:rFonts w:eastAsiaTheme="minorEastAsia"/>
                <w:lang w:val="en-US" w:eastAsia="zh-CN"/>
              </w:rPr>
            </w:pPr>
          </w:p>
        </w:tc>
        <w:tc>
          <w:tcPr>
            <w:tcW w:w="6780" w:type="dxa"/>
          </w:tcPr>
          <w:p w14:paraId="19B65FD7" w14:textId="77777777" w:rsidR="00D87C83" w:rsidRDefault="00D87C83" w:rsidP="00D87C83">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04878A15" w14:textId="77777777" w:rsidR="00D87C83" w:rsidRDefault="00D87C83" w:rsidP="00D87C83">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EC90C56" w14:textId="77777777" w:rsidR="00D87C83" w:rsidRDefault="00D87C83" w:rsidP="00D87C83">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sidRPr="001E0E20">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540863AE" w14:textId="61EB2EBC" w:rsidR="00D87C83" w:rsidRDefault="00D87C83" w:rsidP="00D87C83">
            <w:pPr>
              <w:jc w:val="left"/>
              <w:rPr>
                <w:rFonts w:eastAsiaTheme="minorEastAsia"/>
                <w:lang w:val="en-US" w:eastAsia="zh-CN"/>
              </w:rPr>
            </w:pPr>
            <w:r>
              <w:t>in slot</w:t>
            </w:r>
            <w:r w:rsidRPr="001E0E20">
              <w:rPr>
                <w:strike/>
                <w:color w:val="FF0000"/>
              </w:rPr>
              <w:t>s n and</w:t>
            </w:r>
            <w:r>
              <w:t xml:space="preserve"> n+1 if the PDSCH scheduled with RA-RANTI or MSGB-RNTI is greater than 25/12 PRBs with 15/30kHz SCS.</w:t>
            </w:r>
          </w:p>
        </w:tc>
      </w:tr>
      <w:tr w:rsidR="006929D8" w14:paraId="6FE2CED3" w14:textId="77777777">
        <w:tc>
          <w:tcPr>
            <w:tcW w:w="1479" w:type="dxa"/>
          </w:tcPr>
          <w:p w14:paraId="43F64B5A" w14:textId="32989B61" w:rsidR="006929D8" w:rsidRDefault="006929D8" w:rsidP="006929D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B58E6A" w14:textId="238D9ED3" w:rsidR="006929D8" w:rsidRDefault="006929D8" w:rsidP="006929D8">
            <w:pPr>
              <w:tabs>
                <w:tab w:val="left" w:pos="551"/>
              </w:tabs>
              <w:jc w:val="left"/>
              <w:rPr>
                <w:rFonts w:eastAsiaTheme="minorEastAsia"/>
                <w:lang w:val="en-US" w:eastAsia="zh-CN"/>
              </w:rPr>
            </w:pPr>
            <w:r>
              <w:rPr>
                <w:rFonts w:eastAsiaTheme="minorEastAsia"/>
                <w:lang w:val="en-US" w:eastAsia="zh-CN"/>
              </w:rPr>
              <w:t>N</w:t>
            </w:r>
          </w:p>
        </w:tc>
        <w:tc>
          <w:tcPr>
            <w:tcW w:w="6780" w:type="dxa"/>
          </w:tcPr>
          <w:p w14:paraId="0B12BC2E" w14:textId="77777777" w:rsidR="006929D8" w:rsidRDefault="006929D8" w:rsidP="006929D8">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6929D8" w14:paraId="21F0D1E2" w14:textId="77777777" w:rsidTr="003C53A7">
              <w:tc>
                <w:tcPr>
                  <w:tcW w:w="6554" w:type="dxa"/>
                </w:tcPr>
                <w:p w14:paraId="68C9D4AD" w14:textId="31C26A85" w:rsidR="006929D8" w:rsidRDefault="00307985" w:rsidP="006929D8">
                  <w:pPr>
                    <w:jc w:val="left"/>
                    <w:rPr>
                      <w:rFonts w:eastAsia="游明朝"/>
                      <w:lang w:val="en-US" w:eastAsia="ja-JP"/>
                    </w:rPr>
                  </w:pPr>
                  <w:r w:rsidRPr="00307985">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2EB08732" w14:textId="77777777" w:rsidR="006929D8" w:rsidRDefault="006929D8" w:rsidP="006929D8">
            <w:pPr>
              <w:jc w:val="left"/>
              <w:rPr>
                <w:rFonts w:eastAsia="游明朝"/>
                <w:lang w:val="en-US" w:eastAsia="ja-JP"/>
              </w:rPr>
            </w:pPr>
          </w:p>
          <w:p w14:paraId="022566BB" w14:textId="453F5691" w:rsidR="006929D8" w:rsidRDefault="006929D8" w:rsidP="006929D8">
            <w:pPr>
              <w:jc w:val="left"/>
              <w:rPr>
                <w:rFonts w:eastAsiaTheme="minorEastAsia"/>
                <w:lang w:val="en-US" w:eastAsia="zh-CN"/>
              </w:rPr>
            </w:pPr>
            <w:r>
              <w:rPr>
                <w:rFonts w:eastAsia="游明朝"/>
                <w:lang w:val="en-US" w:eastAsia="ja-JP"/>
              </w:rPr>
              <w:t xml:space="preserve">The processing time of RAR PDSCH would be extended when the number of PRBs for the PDSCH exceed 5MHz and not tight. Thus, we don’t see the need to </w:t>
            </w:r>
            <w:r>
              <w:rPr>
                <w:rFonts w:eastAsia="游明朝"/>
                <w:lang w:val="en-US" w:eastAsia="ja-JP"/>
              </w:rPr>
              <w:lastRenderedPageBreak/>
              <w:t>restrict the scheduling in n+1 slot.</w:t>
            </w: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 xml:space="preserve">On high level, we think reception of MBS PDSCH + unicast PDSCH is </w:t>
            </w:r>
            <w:proofErr w:type="gramStart"/>
            <w:r>
              <w:rPr>
                <w:rFonts w:eastAsiaTheme="minorEastAsia"/>
                <w:lang w:val="en-US" w:eastAsia="zh-CN"/>
              </w:rPr>
              <w:t>similar to</w:t>
            </w:r>
            <w:proofErr w:type="gramEnd"/>
            <w:r>
              <w:rPr>
                <w:rFonts w:eastAsiaTheme="minorEastAsia"/>
                <w:lang w:val="en-US" w:eastAsia="zh-CN"/>
              </w:rPr>
              <w:t xml:space="preserve">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3DF4B175" w:rsidR="00B95B3E" w:rsidRPr="00307985" w:rsidRDefault="00307985">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0104969F" w:rsidR="00B95B3E" w:rsidRPr="00307985" w:rsidRDefault="00307985">
            <w:pPr>
              <w:jc w:val="left"/>
              <w:rPr>
                <w:rFonts w:eastAsia="游明朝" w:hint="eastAsia"/>
                <w:lang w:val="en-US" w:eastAsia="ja-JP"/>
              </w:rPr>
            </w:pPr>
            <w:r>
              <w:rPr>
                <w:rFonts w:eastAsia="游明朝"/>
                <w:lang w:val="en-US" w:eastAsia="ja-JP"/>
              </w:rPr>
              <w:t xml:space="preserve">Need clarification </w:t>
            </w:r>
            <w:r w:rsidR="001B3A0A">
              <w:rPr>
                <w:rFonts w:eastAsia="游明朝"/>
                <w:lang w:val="en-US" w:eastAsia="ja-JP"/>
              </w:rPr>
              <w:t xml:space="preserve">whether/how to support </w:t>
            </w:r>
            <w:r>
              <w:rPr>
                <w:rFonts w:eastAsia="游明朝"/>
                <w:lang w:val="en-US" w:eastAsia="ja-JP"/>
              </w:rPr>
              <w:t>but can be discussed after the progress in section 2.4.</w:t>
            </w:r>
          </w:p>
        </w:tc>
      </w:tr>
      <w:tr w:rsidR="00B95B3E" w14:paraId="0B7625C5" w14:textId="77777777">
        <w:tc>
          <w:tcPr>
            <w:tcW w:w="1479" w:type="dxa"/>
          </w:tcPr>
          <w:p w14:paraId="0B7625C2" w14:textId="77777777" w:rsidR="00B95B3E" w:rsidRDefault="00B95B3E">
            <w:pPr>
              <w:jc w:val="left"/>
              <w:rPr>
                <w:rFonts w:eastAsiaTheme="minorEastAsia"/>
                <w:lang w:val="en-US" w:eastAsia="zh-CN"/>
              </w:rPr>
            </w:pPr>
          </w:p>
        </w:tc>
        <w:tc>
          <w:tcPr>
            <w:tcW w:w="1372" w:type="dxa"/>
          </w:tcPr>
          <w:p w14:paraId="0B7625C3" w14:textId="77777777" w:rsidR="00B95B3E" w:rsidRDefault="00B95B3E">
            <w:pPr>
              <w:tabs>
                <w:tab w:val="left" w:pos="551"/>
              </w:tabs>
              <w:jc w:val="left"/>
              <w:rPr>
                <w:rFonts w:eastAsiaTheme="minorEastAsia"/>
                <w:lang w:val="en-US" w:eastAsia="zh-CN"/>
              </w:rPr>
            </w:pPr>
          </w:p>
        </w:tc>
        <w:tc>
          <w:tcPr>
            <w:tcW w:w="6780" w:type="dxa"/>
          </w:tcPr>
          <w:p w14:paraId="0B7625C4" w14:textId="77777777" w:rsidR="00B95B3E" w:rsidRDefault="00B95B3E">
            <w:pPr>
              <w:jc w:val="left"/>
              <w:rPr>
                <w:rFonts w:eastAsiaTheme="minorEastAsia"/>
                <w:lang w:val="en-US" w:eastAsia="zh-CN"/>
              </w:rPr>
            </w:pP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0B7625C8" w14:textId="77777777" w:rsidR="00B95B3E" w:rsidRDefault="00BE3965">
      <w:r>
        <w:rPr>
          <w:rFonts w:eastAsia="SimSun"/>
        </w:rPr>
        <w:t xml:space="preserve">Contributions [17, 21, 22, 23, 28, 29, 32, 31] discuss what the UE behaviour should be </w:t>
      </w:r>
      <w:r>
        <w:t>if Msg3/</w:t>
      </w:r>
      <w:proofErr w:type="spellStart"/>
      <w:r>
        <w:t>MsgA</w:t>
      </w:r>
      <w:proofErr w:type="spellEnd"/>
      <w:r>
        <w:t xml:space="preserve">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xml:space="preserve">: Companies are invited to express their preference regarding the UE behavior for the potential case that </w:t>
      </w:r>
      <w:proofErr w:type="spellStart"/>
      <w:r>
        <w:rPr>
          <w:b/>
          <w:lang w:val="en-US"/>
        </w:rPr>
        <w:t>MsgA</w:t>
      </w:r>
      <w:proofErr w:type="spellEnd"/>
      <w:r>
        <w:rPr>
          <w:b/>
          <w:lang w:val="en-US"/>
        </w:rPr>
        <w:t xml:space="preserve"> PUSCH is scheduled with more than 25 PRBs for 15 kHz SCS or more than 12 PRBs for 30 kHz SCS.</w:t>
      </w:r>
    </w:p>
    <w:p w14:paraId="0B7625CA"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The UE occupies a portion of PRBs within one legacy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occasion.</w:t>
      </w:r>
    </w:p>
    <w:p w14:paraId="0B7625CB"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The UE has a separate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frequency domain resource configuration.</w:t>
      </w:r>
    </w:p>
    <w:p w14:paraId="0B7625CC"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 xml:space="preserve">This question focuses on </w:t>
      </w:r>
      <w:proofErr w:type="spellStart"/>
      <w:r>
        <w:rPr>
          <w:b/>
          <w:lang w:val="en-US"/>
        </w:rPr>
        <w:t>MsgA</w:t>
      </w:r>
      <w:proofErr w:type="spellEnd"/>
      <w:r>
        <w:rPr>
          <w:b/>
          <w:lang w:val="en-US"/>
        </w:rPr>
        <w:t xml:space="preserve">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It was agreed PR3 UE’s UL PUSCH cannot exceed 5Mhz. It is NW’s responsibility to make sure the scheduled/configured Msg3/</w:t>
            </w:r>
            <w:proofErr w:type="spellStart"/>
            <w:r w:rsidRPr="007664F2">
              <w:t>MsgA</w:t>
            </w:r>
            <w:proofErr w:type="spellEnd"/>
            <w:r w:rsidRPr="007664F2">
              <w:t xml:space="preserve">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r w:rsidR="00307985" w14:paraId="15BA3447" w14:textId="77777777">
        <w:tc>
          <w:tcPr>
            <w:tcW w:w="1479" w:type="dxa"/>
          </w:tcPr>
          <w:p w14:paraId="6614A813" w14:textId="7DEDD706" w:rsidR="00307985" w:rsidRDefault="00307985" w:rsidP="00307985">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80DB7C" w14:textId="285EFB9D" w:rsidR="00307985" w:rsidRDefault="00307985" w:rsidP="00307985">
            <w:pPr>
              <w:tabs>
                <w:tab w:val="left" w:pos="551"/>
              </w:tabs>
              <w:jc w:val="left"/>
              <w:rPr>
                <w:rFonts w:eastAsiaTheme="minorEastAsia" w:hint="eastAsia"/>
                <w:lang w:val="en-US" w:eastAsia="zh-CN"/>
              </w:rPr>
            </w:pPr>
            <w:r>
              <w:rPr>
                <w:rFonts w:eastAsia="游明朝"/>
                <w:lang w:val="en-US" w:eastAsia="ja-JP"/>
              </w:rPr>
              <w:t>Opt.4</w:t>
            </w:r>
          </w:p>
        </w:tc>
        <w:tc>
          <w:tcPr>
            <w:tcW w:w="6780" w:type="dxa"/>
          </w:tcPr>
          <w:p w14:paraId="0771042F" w14:textId="7AD9DC8F" w:rsidR="00307985" w:rsidRDefault="00307985" w:rsidP="00307985">
            <w:pPr>
              <w:jc w:val="left"/>
              <w:rPr>
                <w:rFonts w:eastAsiaTheme="minorEastAsia"/>
                <w:lang w:val="en-US" w:eastAsia="zh-CN"/>
              </w:rPr>
            </w:pPr>
            <w:r>
              <w:rPr>
                <w:rFonts w:eastAsia="游明朝"/>
                <w:lang w:val="en-US" w:eastAsia="ja-JP"/>
              </w:rPr>
              <w:t xml:space="preserve">Similar view with vivo. </w:t>
            </w:r>
            <w:proofErr w:type="spellStart"/>
            <w:r>
              <w:rPr>
                <w:rFonts w:eastAsia="游明朝"/>
                <w:lang w:val="en-US" w:eastAsia="ja-JP"/>
              </w:rPr>
              <w:t>eRedCap</w:t>
            </w:r>
            <w:proofErr w:type="spellEnd"/>
            <w:r>
              <w:rPr>
                <w:rFonts w:eastAsia="游明朝"/>
                <w:lang w:val="en-US" w:eastAsia="ja-JP"/>
              </w:rPr>
              <w:t xml:space="preserve"> UE does not expect that </w:t>
            </w:r>
            <w:proofErr w:type="spellStart"/>
            <w:r>
              <w:rPr>
                <w:rFonts w:eastAsia="游明朝"/>
                <w:lang w:val="en-US" w:eastAsia="ja-JP"/>
              </w:rPr>
              <w:t>MsgA</w:t>
            </w:r>
            <w:proofErr w:type="spellEnd"/>
            <w:r>
              <w:rPr>
                <w:rFonts w:eastAsia="游明朝"/>
                <w:lang w:val="en-US" w:eastAsia="ja-JP"/>
              </w:rPr>
              <w:t xml:space="preserve"> is scheduled </w:t>
            </w:r>
            <w:r>
              <w:rPr>
                <w:rFonts w:eastAsia="游明朝"/>
                <w:lang w:val="en-US" w:eastAsia="ja-JP"/>
              </w:rPr>
              <w:lastRenderedPageBreak/>
              <w:t xml:space="preserve">with larger BW than 5MHz. </w:t>
            </w:r>
            <w:r w:rsidR="001B3A0A">
              <w:rPr>
                <w:rFonts w:eastAsia="游明朝"/>
                <w:lang w:val="en-US" w:eastAsia="ja-JP"/>
              </w:rPr>
              <w:t>B</w:t>
            </w:r>
            <w:r>
              <w:rPr>
                <w:rFonts w:eastAsia="游明朝"/>
                <w:lang w:val="en-US" w:eastAsia="ja-JP"/>
              </w:rPr>
              <w:t>ut we are open to discuss other options.</w:t>
            </w:r>
          </w:p>
        </w:tc>
      </w:tr>
    </w:tbl>
    <w:p w14:paraId="0B7625DF" w14:textId="77777777" w:rsidR="00B95B3E"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xml:space="preserve">: Companies are invited to comment on whether the UE should support that the following cases are scheduled in DCI with </w:t>
      </w:r>
      <w:proofErr w:type="gramStart"/>
      <w:r>
        <w:rPr>
          <w:b/>
          <w:lang w:val="en-US"/>
        </w:rPr>
        <w:t>a number of</w:t>
      </w:r>
      <w:proofErr w:type="gramEnd"/>
      <w:r>
        <w:rPr>
          <w:b/>
          <w:lang w:val="en-US"/>
        </w:rPr>
        <w:t xml:space="preserve"> PRBs larger than 25 PRBs for 15 kHz SCS and 12 PRBs for 30 kHz SCS.</w:t>
      </w:r>
    </w:p>
    <w:p w14:paraId="0B7625E3" w14:textId="77777777" w:rsidR="00B95B3E" w:rsidRDefault="00BE3965">
      <w:pPr>
        <w:pStyle w:val="afe"/>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e"/>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e"/>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e"/>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w:t>
            </w:r>
            <w:proofErr w:type="gramStart"/>
            <w:r>
              <w:rPr>
                <w:rFonts w:eastAsiaTheme="minorEastAsia"/>
                <w:lang w:val="en-US" w:eastAsia="zh-CN"/>
              </w:rPr>
              <w:t>similar to</w:t>
            </w:r>
            <w:proofErr w:type="gramEnd"/>
            <w:r>
              <w:rPr>
                <w:rFonts w:eastAsiaTheme="minorEastAsia"/>
                <w:lang w:val="en-US" w:eastAsia="zh-CN"/>
              </w:rPr>
              <w:t xml:space="preserve">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Case 2b: N,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able to feedback with legacy PUCCH timeline, but we cannot extend timeline in this case). </w:t>
            </w:r>
          </w:p>
        </w:tc>
      </w:tr>
      <w:tr w:rsidR="00D87C83" w14:paraId="5BD477B6" w14:textId="77777777">
        <w:tc>
          <w:tcPr>
            <w:tcW w:w="1479" w:type="dxa"/>
          </w:tcPr>
          <w:p w14:paraId="7FBEB526" w14:textId="6F153FB3" w:rsidR="00D87C83" w:rsidRDefault="00D87C83" w:rsidP="00D87C83">
            <w:pPr>
              <w:jc w:val="left"/>
              <w:rPr>
                <w:rFonts w:eastAsiaTheme="minorEastAsia"/>
                <w:lang w:val="en-US" w:eastAsia="zh-CN"/>
              </w:rPr>
            </w:pPr>
            <w:r>
              <w:rPr>
                <w:rFonts w:eastAsiaTheme="minorEastAsia"/>
                <w:lang w:val="en-US" w:eastAsia="zh-CN"/>
              </w:rPr>
              <w:t>FUTUREWEI</w:t>
            </w:r>
          </w:p>
        </w:tc>
        <w:tc>
          <w:tcPr>
            <w:tcW w:w="8155" w:type="dxa"/>
          </w:tcPr>
          <w:p w14:paraId="1D39B3D6" w14:textId="77777777" w:rsidR="00D87C83" w:rsidRDefault="00D87C83" w:rsidP="00D87C83">
            <w:pPr>
              <w:jc w:val="left"/>
              <w:rPr>
                <w:rFonts w:eastAsiaTheme="minorEastAsia"/>
                <w:lang w:val="en-US" w:eastAsia="zh-CN"/>
              </w:rPr>
            </w:pPr>
            <w:r w:rsidRPr="0001717A">
              <w:rPr>
                <w:rFonts w:eastAsiaTheme="minorEastAsia"/>
                <w:lang w:val="en-US" w:eastAsia="zh-CN"/>
              </w:rPr>
              <w:t>R17 redcap UE can indicate support of MBS, by default R18 redcap can also do so</w:t>
            </w:r>
          </w:p>
          <w:p w14:paraId="52387B06" w14:textId="49B4CB52" w:rsidR="00D87C83" w:rsidRDefault="00D87C83" w:rsidP="00D87C83">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w:t>
            </w:r>
            <w:r w:rsidRPr="00131718">
              <w:rPr>
                <w:rFonts w:eastAsiaTheme="minorEastAsia"/>
                <w:lang w:val="en-US" w:eastAsia="zh-CN"/>
              </w:rPr>
              <w:t xml:space="preserve"># </w:t>
            </w:r>
            <w:r w:rsidRPr="00131718">
              <w:rPr>
                <w:lang w:val="en-US"/>
              </w:rPr>
              <w:t xml:space="preserve">PRBs </w:t>
            </w:r>
            <w:r w:rsidRPr="00131718">
              <w:rPr>
                <w:lang w:val="en-US"/>
              </w:rPr>
              <w:lastRenderedPageBreak/>
              <w:t>can</w:t>
            </w:r>
            <w:r>
              <w:rPr>
                <w:lang w:val="en-US"/>
              </w:rPr>
              <w:t>not</w:t>
            </w:r>
            <w:r w:rsidRPr="00131718">
              <w:rPr>
                <w:lang w:val="en-US"/>
              </w:rPr>
              <w:t xml:space="preserve"> be larger than 25 PRBs for 15 kHz SCS and 12 PRBs for 30 kHz SCS</w:t>
            </w:r>
          </w:p>
        </w:tc>
      </w:tr>
      <w:tr w:rsidR="00307985" w14:paraId="17FBCE80" w14:textId="77777777">
        <w:tc>
          <w:tcPr>
            <w:tcW w:w="1479" w:type="dxa"/>
          </w:tcPr>
          <w:p w14:paraId="64EAB6C6" w14:textId="7236AB30" w:rsidR="00307985" w:rsidRDefault="00307985" w:rsidP="00307985">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155" w:type="dxa"/>
          </w:tcPr>
          <w:p w14:paraId="36523704" w14:textId="77777777" w:rsidR="00307985" w:rsidRDefault="00307985" w:rsidP="00307985">
            <w:pPr>
              <w:jc w:val="left"/>
              <w:rPr>
                <w:rFonts w:eastAsia="游明朝"/>
                <w:lang w:val="en-US" w:eastAsia="ja-JP"/>
              </w:rPr>
            </w:pPr>
            <w:r>
              <w:rPr>
                <w:rFonts w:eastAsia="游明朝"/>
                <w:lang w:val="en-US" w:eastAsia="ja-JP"/>
              </w:rPr>
              <w:t xml:space="preserve">Case 1: Yes. RNTI which schedules broadcast MBS PDSCH would be shared with legacy UEs and </w:t>
            </w:r>
            <w:proofErr w:type="spellStart"/>
            <w:r>
              <w:rPr>
                <w:rFonts w:eastAsia="游明朝"/>
                <w:lang w:val="en-US" w:eastAsia="ja-JP"/>
              </w:rPr>
              <w:t>thereis</w:t>
            </w:r>
            <w:proofErr w:type="spellEnd"/>
            <w:r>
              <w:rPr>
                <w:rFonts w:eastAsia="游明朝"/>
                <w:lang w:val="en-US" w:eastAsia="ja-JP"/>
              </w:rPr>
              <w:t xml:space="preserve"> no corresponding UL transmission for the PDSCH. Therefore, the same principle as SI PDSCH or paging PDSCH can be applied.</w:t>
            </w:r>
          </w:p>
          <w:p w14:paraId="1B72A39F" w14:textId="0B15618F" w:rsidR="00307985" w:rsidRPr="0001717A" w:rsidRDefault="00307985" w:rsidP="00307985">
            <w:pPr>
              <w:jc w:val="left"/>
              <w:rPr>
                <w:rFonts w:eastAsiaTheme="minorEastAsia"/>
                <w:lang w:val="en-US" w:eastAsia="zh-CN"/>
              </w:rPr>
            </w:pPr>
            <w:r>
              <w:rPr>
                <w:rFonts w:eastAsia="游明朝" w:hint="eastAsia"/>
                <w:lang w:val="en-US" w:eastAsia="ja-JP"/>
              </w:rPr>
              <w:t>C</w:t>
            </w:r>
            <w:r>
              <w:rPr>
                <w:rFonts w:eastAsia="游明朝"/>
                <w:lang w:val="en-US" w:eastAsia="ja-JP"/>
              </w:rPr>
              <w:t xml:space="preserve">ase 2: No. G-RNTI and G-CS-RNTI can be configured separately between legacy UEs and </w:t>
            </w:r>
            <w:proofErr w:type="spellStart"/>
            <w:r>
              <w:rPr>
                <w:rFonts w:eastAsia="游明朝"/>
                <w:lang w:val="en-US" w:eastAsia="ja-JP"/>
              </w:rPr>
              <w:t>eRedCap</w:t>
            </w:r>
            <w:proofErr w:type="spellEnd"/>
            <w:r>
              <w:rPr>
                <w:rFonts w:eastAsia="游明朝"/>
                <w:lang w:val="en-US" w:eastAsia="ja-JP"/>
              </w:rPr>
              <w:t xml:space="preserve"> UEs. Therefore, even if the number of PRB is restricted for </w:t>
            </w:r>
            <w:proofErr w:type="spellStart"/>
            <w:r>
              <w:rPr>
                <w:rFonts w:eastAsia="游明朝"/>
                <w:lang w:val="en-US" w:eastAsia="ja-JP"/>
              </w:rPr>
              <w:t>eRedCap</w:t>
            </w:r>
            <w:proofErr w:type="spellEnd"/>
            <w:r>
              <w:rPr>
                <w:rFonts w:eastAsia="游明朝"/>
                <w:lang w:val="en-US" w:eastAsia="ja-JP"/>
              </w:rPr>
              <w:t>,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sidRPr="00FC3BD5">
              <w:rPr>
                <w:rFonts w:eastAsia="游明朝"/>
                <w:vertAlign w:val="subscript"/>
                <w:lang w:val="en-US" w:eastAsia="ja-JP"/>
              </w:rPr>
              <w:t>proc,1</w:t>
            </w:r>
            <w:r>
              <w:rPr>
                <w:rFonts w:eastAsia="游明朝"/>
                <w:lang w:val="en-US" w:eastAsia="ja-JP"/>
              </w:rPr>
              <w:t xml:space="preserve">, i.e., there is processing time requirement even when the HARQ feedback is disabled. Therefore, if larger number of PRB allocation than 5MHz is allowed, this processing time requirement needs to be extended </w:t>
            </w:r>
            <w:proofErr w:type="gramStart"/>
            <w:r>
              <w:rPr>
                <w:rFonts w:eastAsia="游明朝"/>
                <w:lang w:val="en-US" w:eastAsia="ja-JP"/>
              </w:rPr>
              <w:t>similar to</w:t>
            </w:r>
            <w:proofErr w:type="gramEnd"/>
            <w:r>
              <w:rPr>
                <w:rFonts w:eastAsia="游明朝"/>
                <w:lang w:val="en-US" w:eastAsia="ja-JP"/>
              </w:rPr>
              <w:t xml:space="preserve"> RAR PDSCH processing.</w:t>
            </w:r>
          </w:p>
        </w:tc>
      </w:tr>
    </w:tbl>
    <w:p w14:paraId="0B7625F6" w14:textId="77777777" w:rsidR="00B95B3E"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0B762612" w14:textId="77777777" w:rsidR="00B95B3E" w:rsidRDefault="00BE3965">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0B762613" w14:textId="77777777" w:rsidR="00B95B3E" w:rsidRDefault="00BE3965">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lastRenderedPageBreak/>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w:t>
            </w:r>
            <w:proofErr w:type="gramStart"/>
            <w:r>
              <w:rPr>
                <w:lang w:val="en-US"/>
              </w:rPr>
              <w:t>in order to</w:t>
            </w:r>
            <w:proofErr w:type="gramEnd"/>
            <w:r>
              <w:rPr>
                <w:lang w:val="en-US"/>
              </w:rPr>
              <w:t xml:space="preserve"> have the same peak rate.</w:t>
            </w:r>
          </w:p>
          <w:p w14:paraId="0B762615" w14:textId="77777777" w:rsidR="00B95B3E" w:rsidRDefault="00BE3965">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B762618" w14:textId="77777777" w:rsidR="00B95B3E" w:rsidRDefault="00BE3965">
      <w:pPr>
        <w:rPr>
          <w:lang w:val="en-US"/>
        </w:rPr>
      </w:pPr>
      <w:r>
        <w:rPr>
          <w:lang w:val="en-US"/>
        </w:rPr>
        <w:lastRenderedPageBreak/>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762621"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 xml:space="preserve">Several contributions [11, 12, 16, 18, 21, 30] express that since the peak data rate is fixed, some or </w:t>
      </w:r>
      <w:proofErr w:type="gramStart"/>
      <w:r>
        <w:rPr>
          <w:rFonts w:ascii="Times New Roman" w:hAnsi="Times New Roman" w:cs="Times New Roman"/>
          <w:bCs/>
          <w:sz w:val="20"/>
          <w:szCs w:val="20"/>
          <w:lang w:val="en-US"/>
        </w:rPr>
        <w:t>all of</w:t>
      </w:r>
      <w:proofErr w:type="gramEnd"/>
      <w:r>
        <w:rPr>
          <w:rFonts w:ascii="Times New Roman" w:hAnsi="Times New Roman" w:cs="Times New Roman"/>
          <w:bCs/>
          <w:sz w:val="20"/>
          <w:szCs w:val="20"/>
          <w:lang w:val="en-US"/>
        </w:rPr>
        <w:t xml:space="preserve">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w:t>
            </w:r>
            <w:proofErr w:type="gramStart"/>
            <w:r>
              <w:rPr>
                <w:rFonts w:eastAsiaTheme="minorEastAsia" w:hint="eastAsia"/>
                <w:lang w:val="en-US" w:eastAsia="zh-CN"/>
              </w:rPr>
              <w:t>and also</w:t>
            </w:r>
            <w:proofErr w:type="gramEnd"/>
            <w:r>
              <w:rPr>
                <w:rFonts w:eastAsiaTheme="minorEastAsia" w:hint="eastAsia"/>
                <w:lang w:val="en-US" w:eastAsia="zh-CN"/>
              </w:rPr>
              <w:t xml:space="preserve">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sidR="00793899">
              <w:rPr>
                <w:b/>
                <w:bCs/>
                <w:i/>
                <w:iCs/>
                <w:lang w:val="en-US"/>
              </w:rPr>
              <w:t xml:space="preserve"> </w:t>
            </w:r>
            <w:r w:rsidR="00793899" w:rsidRPr="00D2710D">
              <w:rPr>
                <w:rFonts w:eastAsiaTheme="minorEastAsia"/>
                <w:lang w:val="en-US" w:eastAsia="zh-CN"/>
              </w:rPr>
              <w:t>for</w:t>
            </w:r>
            <w:proofErr w:type="gramEnd"/>
            <w:r w:rsidR="00793899">
              <w:rPr>
                <w:b/>
                <w:bCs/>
                <w:i/>
                <w:iCs/>
                <w:lang w:val="en-US"/>
              </w:rPr>
              <w:t xml:space="preserve"> </w:t>
            </w:r>
            <w:proofErr w:type="spellStart"/>
            <w:r w:rsidR="00793899" w:rsidRPr="00793899">
              <w:rPr>
                <w:rFonts w:eastAsiaTheme="minorEastAsia"/>
                <w:lang w:val="en-US" w:eastAsia="zh-CN"/>
              </w:rPr>
              <w:t>eRedCap</w:t>
            </w:r>
            <w:proofErr w:type="spellEnd"/>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w:t>
            </w:r>
            <w:proofErr w:type="spellStart"/>
            <w:r w:rsidR="00AF7D6B">
              <w:rPr>
                <w:rFonts w:eastAsiaTheme="minorEastAsia"/>
                <w:lang w:val="en-US" w:eastAsia="zh-CN"/>
              </w:rPr>
              <w:t>eRedcap</w:t>
            </w:r>
            <w:proofErr w:type="spellEnd"/>
            <w:r w:rsidR="00AF7D6B">
              <w:rPr>
                <w:rFonts w:eastAsiaTheme="minorEastAsia"/>
                <w:lang w:val="en-US" w:eastAsia="zh-CN"/>
              </w:rPr>
              <w:t xml:space="preserve">.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 xml:space="preserve">A new f=0.375 can be introduced for </w:t>
            </w:r>
            <w:proofErr w:type="spellStart"/>
            <w:r w:rsidRPr="009C6FB0">
              <w:rPr>
                <w:rFonts w:eastAsiaTheme="minorEastAsia"/>
                <w:lang w:val="en-US" w:eastAsia="zh-CN"/>
              </w:rPr>
              <w:t>vLayers</w:t>
            </w:r>
            <w:proofErr w:type="spellEnd"/>
            <w:r w:rsidRPr="009C6FB0">
              <w:rPr>
                <w:rFonts w:eastAsiaTheme="minorEastAsia"/>
                <w:lang w:val="en-US" w:eastAsia="zh-CN"/>
              </w:rPr>
              <w:t xml:space="preserve">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f</w:t>
            </w:r>
            <w:r>
              <w:rPr>
                <w:rFonts w:eastAsia="游明朝"/>
                <w:lang w:val="en-US" w:eastAsia="ja-JP"/>
              </w:rPr>
              <w:t xml:space="preserve"> </w:t>
            </w:r>
            <w:proofErr w:type="gramStart"/>
            <w:r>
              <w:rPr>
                <w:rFonts w:eastAsia="游明朝"/>
                <w:lang w:val="en-US" w:eastAsia="ja-JP"/>
              </w:rPr>
              <w:t>are</w:t>
            </w:r>
            <w:proofErr w:type="gramEnd"/>
            <w:r>
              <w:rPr>
                <w:rFonts w:eastAsia="游明朝"/>
                <w:lang w:val="en-US" w:eastAsia="ja-JP"/>
              </w:rPr>
              <w:t xml:space="preserv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游明朝"/>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游明朝"/>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w:t>
            </w:r>
            <w:proofErr w:type="gramStart"/>
            <w:r>
              <w:rPr>
                <w:rFonts w:eastAsiaTheme="minorEastAsia"/>
                <w:lang w:val="en-US" w:eastAsia="zh-CN"/>
              </w:rPr>
              <w:t>in order to</w:t>
            </w:r>
            <w:proofErr w:type="gramEnd"/>
            <w:r>
              <w:rPr>
                <w:rFonts w:eastAsiaTheme="minorEastAsia"/>
                <w:lang w:val="en-US" w:eastAsia="zh-CN"/>
              </w:rPr>
              <w:t xml:space="preserve">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01C8CC" w14:textId="45ED0875" w:rsidR="005767F6" w:rsidRDefault="005767F6" w:rsidP="005767F6">
            <w:pPr>
              <w:tabs>
                <w:tab w:val="left" w:pos="551"/>
              </w:tabs>
              <w:jc w:val="left"/>
              <w:rPr>
                <w:rFonts w:eastAsia="游明朝"/>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proofErr w:type="spellStart"/>
            <w:r w:rsidRPr="009C6FB0">
              <w:rPr>
                <w:b/>
                <w:bCs/>
                <w:i/>
                <w:iCs/>
                <w:lang w:val="en-US"/>
              </w:rPr>
              <w:t>v</w:t>
            </w:r>
            <w:r w:rsidRPr="009C6FB0">
              <w:rPr>
                <w:b/>
                <w:bCs/>
                <w:i/>
                <w:iCs/>
                <w:vertAlign w:val="subscript"/>
                <w:lang w:val="en-US"/>
              </w:rPr>
              <w:t>Layers</w:t>
            </w:r>
            <w:proofErr w:type="spellEnd"/>
            <w:r w:rsidRPr="009C6FB0">
              <w:rPr>
                <w:b/>
                <w:bCs/>
                <w:i/>
                <w:iCs/>
                <w:lang w:val="en-US"/>
              </w:rPr>
              <w:t xml:space="preserve">, </w:t>
            </w:r>
            <w:proofErr w:type="spellStart"/>
            <w:r w:rsidRPr="009C6FB0">
              <w:rPr>
                <w:b/>
                <w:bCs/>
                <w:i/>
                <w:iCs/>
                <w:lang w:val="en-US"/>
              </w:rPr>
              <w:t>Q</w:t>
            </w:r>
            <w:r w:rsidRPr="009C6FB0">
              <w:rPr>
                <w:b/>
                <w:bCs/>
                <w:i/>
                <w:iCs/>
                <w:vertAlign w:val="subscript"/>
                <w:lang w:val="en-US"/>
              </w:rPr>
              <w:t>m</w:t>
            </w:r>
            <w:proofErr w:type="spellEnd"/>
            <w:r w:rsidRPr="009C6FB0">
              <w:rPr>
                <w:b/>
                <w:bCs/>
                <w:i/>
                <w:iCs/>
                <w:lang w:val="en-US"/>
              </w:rPr>
              <w:t xml:space="preserve">, f. </w:t>
            </w:r>
          </w:p>
        </w:tc>
      </w:tr>
      <w:tr w:rsidR="00D87C83" w14:paraId="400E1AED" w14:textId="77777777">
        <w:tc>
          <w:tcPr>
            <w:tcW w:w="1479" w:type="dxa"/>
          </w:tcPr>
          <w:p w14:paraId="1E8F77FE" w14:textId="4C49C2DB"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0FB01FA" w14:textId="77777777" w:rsidR="00D87C83" w:rsidRPr="009C6FB0" w:rsidRDefault="00D87C83" w:rsidP="00D87C83">
            <w:pPr>
              <w:tabs>
                <w:tab w:val="left" w:pos="551"/>
              </w:tabs>
              <w:jc w:val="left"/>
              <w:rPr>
                <w:rFonts w:eastAsiaTheme="minorEastAsia"/>
                <w:lang w:val="en-US" w:eastAsia="zh-CN"/>
              </w:rPr>
            </w:pPr>
          </w:p>
        </w:tc>
        <w:tc>
          <w:tcPr>
            <w:tcW w:w="6780" w:type="dxa"/>
          </w:tcPr>
          <w:p w14:paraId="388777DD" w14:textId="44C536A2" w:rsidR="00D87C83" w:rsidRPr="009C6FB0" w:rsidRDefault="00D87C83" w:rsidP="00D87C83">
            <w:pPr>
              <w:jc w:val="left"/>
              <w:rPr>
                <w:rFonts w:eastAsiaTheme="minorEastAsia"/>
                <w:lang w:val="en-US" w:eastAsia="zh-CN"/>
              </w:rPr>
            </w:pPr>
            <w:r>
              <w:rPr>
                <w:rFonts w:eastAsiaTheme="minorEastAsia"/>
                <w:lang w:val="en-US" w:eastAsia="zh-CN"/>
              </w:rPr>
              <w:t xml:space="preserve">We understand the spirit of the </w:t>
            </w:r>
            <w:proofErr w:type="gramStart"/>
            <w:r>
              <w:rPr>
                <w:rFonts w:eastAsiaTheme="minorEastAsia"/>
                <w:lang w:val="en-US" w:eastAsia="zh-CN"/>
              </w:rPr>
              <w:t>proposal</w:t>
            </w:r>
            <w:proofErr w:type="gramEnd"/>
            <w:r>
              <w:rPr>
                <w:rFonts w:eastAsiaTheme="minorEastAsia"/>
                <w:lang w:val="en-US" w:eastAsia="zh-CN"/>
              </w:rPr>
              <w:t xml:space="preserve"> but we would like to avoid changing legacy signaling from the RAN1 perspective.</w:t>
            </w:r>
          </w:p>
        </w:tc>
      </w:tr>
      <w:tr w:rsidR="00307985" w14:paraId="2FD289A2" w14:textId="77777777">
        <w:tc>
          <w:tcPr>
            <w:tcW w:w="1479" w:type="dxa"/>
          </w:tcPr>
          <w:p w14:paraId="5C448233" w14:textId="46228B2F"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B43B658" w14:textId="77777777" w:rsidR="00307985" w:rsidRPr="009C6FB0" w:rsidRDefault="00307985" w:rsidP="00307985">
            <w:pPr>
              <w:tabs>
                <w:tab w:val="left" w:pos="551"/>
              </w:tabs>
              <w:jc w:val="left"/>
              <w:rPr>
                <w:rFonts w:eastAsiaTheme="minorEastAsia"/>
                <w:lang w:val="en-US" w:eastAsia="zh-CN"/>
              </w:rPr>
            </w:pPr>
          </w:p>
        </w:tc>
        <w:tc>
          <w:tcPr>
            <w:tcW w:w="6780" w:type="dxa"/>
          </w:tcPr>
          <w:p w14:paraId="7FB7234F" w14:textId="364261AB" w:rsidR="00307985" w:rsidRDefault="00307985" w:rsidP="00307985">
            <w:pPr>
              <w:jc w:val="left"/>
              <w:rPr>
                <w:rFonts w:eastAsiaTheme="minorEastAsia"/>
                <w:lang w:val="en-US" w:eastAsia="zh-CN"/>
              </w:rPr>
            </w:pPr>
            <w:r>
              <w:rPr>
                <w:rFonts w:eastAsia="游明朝"/>
                <w:lang w:val="en-US" w:eastAsia="ja-JP"/>
              </w:rPr>
              <w:t xml:space="preserve">It should be clarified how the NW can know the exact peak rate of an </w:t>
            </w:r>
            <w:proofErr w:type="spellStart"/>
            <w:r>
              <w:rPr>
                <w:rFonts w:eastAsia="游明朝"/>
                <w:lang w:val="en-US" w:eastAsia="ja-JP"/>
              </w:rPr>
              <w:t>eRedCap</w:t>
            </w:r>
            <w:proofErr w:type="spellEnd"/>
            <w:r>
              <w:rPr>
                <w:rFonts w:eastAsia="游明朝"/>
                <w:lang w:val="en-US" w:eastAsia="ja-JP"/>
              </w:rPr>
              <w:t xml:space="preserve"> UE without reporting </w:t>
            </w:r>
            <w:proofErr w:type="spellStart"/>
            <w:r w:rsidRPr="005451D8">
              <w:rPr>
                <w:rFonts w:eastAsia="游明朝"/>
                <w:i/>
                <w:iCs/>
                <w:lang w:val="en-US" w:eastAsia="ja-JP"/>
              </w:rPr>
              <w:t>Q</w:t>
            </w:r>
            <w:r w:rsidRPr="005451D8">
              <w:rPr>
                <w:rFonts w:eastAsia="游明朝"/>
                <w:i/>
                <w:iCs/>
                <w:vertAlign w:val="subscript"/>
                <w:lang w:val="en-US" w:eastAsia="ja-JP"/>
              </w:rPr>
              <w:t>m</w:t>
            </w:r>
            <w:proofErr w:type="spellEnd"/>
            <w:r w:rsidRPr="005451D8">
              <w:rPr>
                <w:rFonts w:eastAsia="游明朝"/>
                <w:i/>
                <w:iCs/>
                <w:lang w:val="en-US" w:eastAsia="ja-JP"/>
              </w:rPr>
              <w:t xml:space="preserve"> </w:t>
            </w:r>
            <w:r>
              <w:rPr>
                <w:rFonts w:eastAsia="游明朝"/>
                <w:lang w:val="en-US" w:eastAsia="ja-JP"/>
              </w:rPr>
              <w:t xml:space="preserve">and </w:t>
            </w:r>
            <w:r w:rsidRPr="005451D8">
              <w:rPr>
                <w:rFonts w:eastAsia="游明朝"/>
                <w:i/>
                <w:iCs/>
                <w:lang w:val="en-US" w:eastAsia="ja-JP"/>
              </w:rPr>
              <w:t>f</w:t>
            </w:r>
            <w:r>
              <w:rPr>
                <w:rFonts w:eastAsia="游明朝"/>
                <w:lang w:val="en-US" w:eastAsia="ja-JP"/>
              </w:rPr>
              <w:t xml:space="preserve">. is the peak rate would be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游明朝"/>
                <w:lang w:val="en-US" w:eastAsia="ja-JP"/>
              </w:rPr>
              <w:t xml:space="preserve"> is 0.75 for UE without BB BW reduction and the value when </w:t>
            </w:r>
            <w:proofErr w:type="spellStart"/>
            <w:r w:rsidRPr="00092D06">
              <w:rPr>
                <w:bCs/>
                <w:i/>
                <w:iCs/>
                <w:lang w:val="en-US"/>
              </w:rPr>
              <w:t>v</w:t>
            </w:r>
            <w:r w:rsidRPr="00092D06">
              <w:rPr>
                <w:bCs/>
                <w:i/>
                <w:iCs/>
                <w:vertAlign w:val="subscript"/>
                <w:lang w:val="en-US"/>
              </w:rPr>
              <w:t>Layers</w:t>
            </w:r>
            <w:proofErr w:type="spellEnd"/>
            <w:r w:rsidRPr="00092D06">
              <w:rPr>
                <w:bCs/>
                <w:i/>
                <w:iCs/>
                <w:lang w:val="en-US"/>
              </w:rPr>
              <w:t xml:space="preserve">, </w:t>
            </w:r>
            <w:proofErr w:type="spellStart"/>
            <w:r w:rsidRPr="00092D06">
              <w:rPr>
                <w:bCs/>
                <w:i/>
                <w:iCs/>
                <w:lang w:val="en-US"/>
              </w:rPr>
              <w:t>Q</w:t>
            </w:r>
            <w:r w:rsidRPr="00092D06">
              <w:rPr>
                <w:bCs/>
                <w:i/>
                <w:iCs/>
                <w:vertAlign w:val="subscript"/>
                <w:lang w:val="en-US"/>
              </w:rPr>
              <w:t>m</w:t>
            </w:r>
            <w:proofErr w:type="spellEnd"/>
            <w:r w:rsidRPr="00092D06">
              <w:rPr>
                <w:bCs/>
                <w:i/>
                <w:iCs/>
                <w:lang w:val="en-US"/>
              </w:rPr>
              <w:t>, f</w:t>
            </w:r>
            <w:r>
              <w:rPr>
                <w:rFonts w:eastAsia="游明朝"/>
                <w:lang w:val="en-US" w:eastAsia="ja-JP"/>
              </w:rPr>
              <w:t xml:space="preserve"> is 3.2 for UE with BB BW reduction?</w:t>
            </w: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xml:space="preserve">: Which ones (if any) of the following features should Rel-18 </w:t>
      </w:r>
      <w:proofErr w:type="spellStart"/>
      <w:r>
        <w:rPr>
          <w:b/>
          <w:lang w:val="en-US"/>
        </w:rPr>
        <w:t>eRedCap</w:t>
      </w:r>
      <w:proofErr w:type="spellEnd"/>
      <w:r>
        <w:rPr>
          <w:b/>
          <w:lang w:val="en-US"/>
        </w:rPr>
        <w:t xml:space="preserve"> UEs be able to support as optional features?</w:t>
      </w:r>
    </w:p>
    <w:p w14:paraId="0B762639"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afe"/>
              <w:numPr>
                <w:ilvl w:val="0"/>
                <w:numId w:val="36"/>
              </w:numPr>
              <w:spacing w:after="0" w:line="240" w:lineRule="auto"/>
              <w:contextualSpacing w:val="0"/>
              <w:jc w:val="left"/>
              <w:rPr>
                <w:rFonts w:eastAsia="Times New Roman"/>
                <w:sz w:val="20"/>
                <w:szCs w:val="20"/>
                <w:lang w:val="en-US"/>
              </w:rPr>
            </w:pPr>
            <w:r w:rsidRPr="001C5A3C">
              <w:rPr>
                <w:sz w:val="20"/>
                <w:szCs w:val="20"/>
              </w:rPr>
              <w:t xml:space="preserve">2Rx can support same data rate with lower SNR (3dB Rx combining gain), so there is clear benefit of 2 Rx. </w:t>
            </w:r>
          </w:p>
          <w:p w14:paraId="6137A4EC" w14:textId="77777777" w:rsidR="001C5A3C" w:rsidRPr="001C5A3C" w:rsidRDefault="001C5A3C" w:rsidP="001C5A3C">
            <w:pPr>
              <w:pStyle w:val="afe"/>
              <w:numPr>
                <w:ilvl w:val="0"/>
                <w:numId w:val="36"/>
              </w:numPr>
              <w:spacing w:after="0" w:line="240" w:lineRule="auto"/>
              <w:contextualSpacing w:val="0"/>
              <w:jc w:val="left"/>
              <w:rPr>
                <w:sz w:val="20"/>
                <w:szCs w:val="20"/>
              </w:rPr>
            </w:pPr>
            <w:r w:rsidRPr="001C5A3C">
              <w:rPr>
                <w:sz w:val="20"/>
                <w:szCs w:val="20"/>
              </w:rPr>
              <w:t xml:space="preserve">In terms of peak rate (or any data rate), 2L MIMO can support it with half bandwidth (by doubling spectrum efficiency). 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w:t>
            </w:r>
            <w:proofErr w:type="spellStart"/>
            <w:r w:rsidRPr="001C5A3C">
              <w:rPr>
                <w:rFonts w:eastAsiaTheme="minorEastAsia"/>
                <w:lang w:val="en-US" w:eastAsia="zh-CN"/>
              </w:rPr>
              <w:t>eRedcap</w:t>
            </w:r>
            <w:proofErr w:type="spellEnd"/>
            <w:r w:rsidRPr="001C5A3C">
              <w:rPr>
                <w:rFonts w:eastAsiaTheme="minorEastAsia"/>
                <w:lang w:val="en-US" w:eastAsia="zh-CN"/>
              </w:rPr>
              <w:t xml:space="preserve"> UE’s MIMO capability </w:t>
            </w:r>
            <w:proofErr w:type="gramStart"/>
            <w:r w:rsidRPr="001C5A3C">
              <w:rPr>
                <w:rFonts w:eastAsiaTheme="minorEastAsia"/>
                <w:lang w:val="en-US" w:eastAsia="zh-CN"/>
              </w:rPr>
              <w:t>reporting, if</w:t>
            </w:r>
            <w:proofErr w:type="gramEnd"/>
            <w:r w:rsidRPr="001C5A3C">
              <w:rPr>
                <w:rFonts w:eastAsiaTheme="minorEastAsia"/>
                <w:lang w:val="en-US" w:eastAsia="zh-CN"/>
              </w:rPr>
              <w:t xml:space="preserve"> a UE can support 2L MIMO. Similar view on high mod order 256 QAM. Optional feature 1 and 3 </w:t>
            </w:r>
            <w:r w:rsidRPr="001C5A3C">
              <w:rPr>
                <w:rFonts w:eastAsiaTheme="minorEastAsia"/>
                <w:lang w:val="en-US" w:eastAsia="zh-CN"/>
              </w:rPr>
              <w:lastRenderedPageBreak/>
              <w:t xml:space="preserve">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游明朝"/>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73D62DC" w14:textId="00B142A2" w:rsidR="005767F6" w:rsidRPr="005767F6" w:rsidRDefault="005767F6" w:rsidP="005767F6">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9068264" w14:textId="77777777" w:rsidR="005767F6" w:rsidRDefault="005767F6" w:rsidP="00D813D4">
            <w:pPr>
              <w:jc w:val="left"/>
              <w:rPr>
                <w:rFonts w:eastAsia="游明朝"/>
                <w:lang w:val="en-US" w:eastAsia="ja-JP"/>
              </w:rPr>
            </w:pPr>
          </w:p>
        </w:tc>
      </w:tr>
      <w:tr w:rsidR="00D87C83" w14:paraId="0A83E02F" w14:textId="77777777" w:rsidTr="001C5A3C">
        <w:tc>
          <w:tcPr>
            <w:tcW w:w="1479" w:type="dxa"/>
          </w:tcPr>
          <w:p w14:paraId="65F1DCD3" w14:textId="350BA62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AB16B17" w14:textId="77777777" w:rsidR="00D87C83" w:rsidRDefault="00D87C83" w:rsidP="00D87C83">
            <w:pPr>
              <w:tabs>
                <w:tab w:val="left" w:pos="551"/>
              </w:tabs>
              <w:jc w:val="left"/>
              <w:rPr>
                <w:rFonts w:eastAsiaTheme="minorEastAsia"/>
                <w:lang w:val="en-US" w:eastAsia="zh-CN"/>
              </w:rPr>
            </w:pPr>
          </w:p>
        </w:tc>
        <w:tc>
          <w:tcPr>
            <w:tcW w:w="6780" w:type="dxa"/>
          </w:tcPr>
          <w:p w14:paraId="5365FC10" w14:textId="1AF1B0E3" w:rsidR="00D87C83" w:rsidRDefault="00D87C83" w:rsidP="00D87C83">
            <w:pPr>
              <w:jc w:val="left"/>
              <w:rPr>
                <w:rFonts w:eastAsia="游明朝"/>
                <w:lang w:val="en-US" w:eastAsia="ja-JP"/>
              </w:rPr>
            </w:pPr>
            <w:r w:rsidRPr="0001717A">
              <w:rPr>
                <w:rFonts w:eastAsiaTheme="minorEastAsia"/>
                <w:lang w:val="en-US" w:eastAsia="zh-CN"/>
              </w:rPr>
              <w:t>The entire proposal is ill phrased. We do not need a positive agreement for</w:t>
            </w:r>
            <w:r>
              <w:rPr>
                <w:rFonts w:eastAsiaTheme="minorEastAsia"/>
                <w:lang w:val="en-US" w:eastAsia="zh-CN"/>
              </w:rPr>
              <w:t xml:space="preserve"> </w:t>
            </w:r>
            <w:proofErr w:type="spellStart"/>
            <w:r>
              <w:rPr>
                <w:rFonts w:eastAsiaTheme="minorEastAsia"/>
                <w:lang w:val="en-US" w:eastAsia="zh-CN"/>
              </w:rPr>
              <w:t>Opts</w:t>
            </w:r>
            <w:proofErr w:type="spellEnd"/>
            <w:r>
              <w:rPr>
                <w:rFonts w:eastAsiaTheme="minorEastAsia"/>
                <w:lang w:val="en-US" w:eastAsia="zh-CN"/>
              </w:rPr>
              <w:t xml:space="preserve">. </w:t>
            </w:r>
            <w:r w:rsidRPr="0001717A">
              <w:rPr>
                <w:rFonts w:eastAsiaTheme="minorEastAsia"/>
                <w:lang w:val="en-US" w:eastAsia="zh-CN"/>
              </w:rPr>
              <w:t xml:space="preserve">1 and 3 to continue to be optionally supported, that is already there by default. </w:t>
            </w:r>
            <w:r>
              <w:rPr>
                <w:rFonts w:eastAsiaTheme="minorEastAsia"/>
                <w:lang w:val="en-US" w:eastAsia="zh-CN"/>
              </w:rPr>
              <w:t xml:space="preserve">Opt. </w:t>
            </w:r>
            <w:r w:rsidRPr="0001717A">
              <w:rPr>
                <w:rFonts w:eastAsiaTheme="minorEastAsia"/>
                <w:lang w:val="en-US" w:eastAsia="zh-CN"/>
              </w:rPr>
              <w:t>2 on the other hand is a different behavior from rel-17 and we do not support it.</w:t>
            </w:r>
          </w:p>
        </w:tc>
      </w:tr>
      <w:tr w:rsidR="00307985" w14:paraId="6D6151E8" w14:textId="77777777" w:rsidTr="001C5A3C">
        <w:tc>
          <w:tcPr>
            <w:tcW w:w="1479" w:type="dxa"/>
          </w:tcPr>
          <w:p w14:paraId="3E21C9AB" w14:textId="37E8F802" w:rsidR="00307985" w:rsidRDefault="00307985" w:rsidP="0030798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1427572" w14:textId="7F7F2F34" w:rsidR="00307985" w:rsidRDefault="00307985" w:rsidP="00307985">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5DA06576" w14:textId="77777777" w:rsidR="00307985" w:rsidRPr="0001717A" w:rsidRDefault="00307985" w:rsidP="00307985">
            <w:pPr>
              <w:jc w:val="left"/>
              <w:rPr>
                <w:rFonts w:eastAsiaTheme="minorEastAsia"/>
                <w:lang w:val="en-US" w:eastAsia="zh-CN"/>
              </w:rPr>
            </w:pP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Default="00BE3965">
      <w:pPr>
        <w:pStyle w:val="afe"/>
        <w:numPr>
          <w:ilvl w:val="0"/>
          <w:numId w:val="33"/>
        </w:numPr>
        <w:jc w:val="left"/>
        <w:rPr>
          <w:b/>
          <w:sz w:val="20"/>
          <w:szCs w:val="22"/>
        </w:rPr>
      </w:pPr>
      <w:r>
        <w:rPr>
          <w:b/>
          <w:sz w:val="20"/>
          <w:szCs w:val="22"/>
          <w:lang w:val="en-US"/>
        </w:rPr>
        <w:t>Contribution [</w:t>
      </w:r>
      <w:hyperlink r:id="rId14" w:history="1">
        <w:r>
          <w:rPr>
            <w:rStyle w:val="afa"/>
            <w:b/>
            <w:sz w:val="20"/>
            <w:szCs w:val="22"/>
          </w:rPr>
          <w:t>9</w:t>
        </w:r>
      </w:hyperlink>
      <w:r>
        <w:rPr>
          <w:b/>
          <w:sz w:val="20"/>
          <w:szCs w:val="22"/>
          <w:lang w:val="en-US"/>
        </w:rPr>
        <w:t>] proposes to revert</w:t>
      </w:r>
      <w:r>
        <w:rPr>
          <w:b/>
          <w:sz w:val="20"/>
          <w:szCs w:val="22"/>
        </w:rPr>
        <w:t xml:space="preserve">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D87C83" w14:paraId="0B762658" w14:textId="77777777">
        <w:tc>
          <w:tcPr>
            <w:tcW w:w="1479" w:type="dxa"/>
          </w:tcPr>
          <w:p w14:paraId="0B762655" w14:textId="15D4E6FE"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56" w14:textId="23AE4E14" w:rsidR="00D87C83" w:rsidRDefault="00D87C83" w:rsidP="00D87C83">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57" w14:textId="50B48F2C" w:rsidR="00D87C83" w:rsidRDefault="00D87C83" w:rsidP="00D87C83">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Default="00BE3965">
      <w:pPr>
        <w:pStyle w:val="afe"/>
        <w:numPr>
          <w:ilvl w:val="0"/>
          <w:numId w:val="33"/>
        </w:numPr>
        <w:jc w:val="left"/>
        <w:rPr>
          <w:b/>
          <w:sz w:val="20"/>
          <w:szCs w:val="22"/>
        </w:rPr>
      </w:pPr>
      <w:r>
        <w:rPr>
          <w:b/>
          <w:sz w:val="20"/>
          <w:szCs w:val="22"/>
          <w:lang w:val="en-US"/>
        </w:rPr>
        <w:t>Contribution [</w:t>
      </w:r>
      <w:hyperlink r:id="rId15" w:history="1">
        <w:r>
          <w:rPr>
            <w:rStyle w:val="afa"/>
            <w:b/>
            <w:sz w:val="20"/>
            <w:szCs w:val="22"/>
          </w:rPr>
          <w:t>24</w:t>
        </w:r>
      </w:hyperlink>
      <w:r>
        <w:rPr>
          <w:b/>
          <w:sz w:val="20"/>
          <w:szCs w:val="22"/>
          <w:lang w:val="en-US"/>
        </w:rPr>
        <w:t xml:space="preserve">] proposes to </w:t>
      </w:r>
      <w:r>
        <w:rPr>
          <w:b/>
          <w:sz w:val="20"/>
          <w:szCs w:val="22"/>
        </w:rPr>
        <w:t xml:space="preserve">specify </w:t>
      </w:r>
      <w:r>
        <w:rPr>
          <w:b/>
          <w:sz w:val="20"/>
          <w:szCs w:val="22"/>
          <w:lang w:val="en-US"/>
        </w:rPr>
        <w:t xml:space="preserve">in 38.214 </w:t>
      </w:r>
      <w:r>
        <w:rPr>
          <w:b/>
          <w:sz w:val="20"/>
          <w:szCs w:val="22"/>
        </w:rPr>
        <w:t>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D87C83" w14:paraId="0B76266B" w14:textId="77777777">
        <w:tc>
          <w:tcPr>
            <w:tcW w:w="1479" w:type="dxa"/>
          </w:tcPr>
          <w:p w14:paraId="0B762668" w14:textId="752ACA75" w:rsidR="00D87C83" w:rsidRDefault="00D87C83" w:rsidP="00D87C83">
            <w:pPr>
              <w:jc w:val="left"/>
              <w:rPr>
                <w:rFonts w:eastAsiaTheme="minorEastAsia"/>
                <w:lang w:val="en-US" w:eastAsia="zh-CN"/>
              </w:rPr>
            </w:pPr>
            <w:r>
              <w:rPr>
                <w:rFonts w:eastAsiaTheme="minorEastAsia"/>
                <w:lang w:val="en-US" w:eastAsia="zh-CN"/>
              </w:rPr>
              <w:t>FUTUREWEI</w:t>
            </w:r>
          </w:p>
        </w:tc>
        <w:tc>
          <w:tcPr>
            <w:tcW w:w="1372" w:type="dxa"/>
          </w:tcPr>
          <w:p w14:paraId="0B762669" w14:textId="77777777" w:rsidR="00D87C83" w:rsidRDefault="00D87C83" w:rsidP="00D87C83">
            <w:pPr>
              <w:tabs>
                <w:tab w:val="left" w:pos="551"/>
              </w:tabs>
              <w:jc w:val="left"/>
              <w:rPr>
                <w:rFonts w:eastAsiaTheme="minorEastAsia"/>
                <w:lang w:val="en-US" w:eastAsia="zh-CN"/>
              </w:rPr>
            </w:pPr>
          </w:p>
        </w:tc>
        <w:tc>
          <w:tcPr>
            <w:tcW w:w="6780" w:type="dxa"/>
          </w:tcPr>
          <w:p w14:paraId="0B76266A" w14:textId="05A5DE6C" w:rsidR="00D87C83" w:rsidRDefault="00D87C83" w:rsidP="00D87C83">
            <w:pPr>
              <w:jc w:val="left"/>
              <w:rPr>
                <w:rFonts w:eastAsiaTheme="minorEastAsia"/>
                <w:lang w:val="en-US" w:eastAsia="zh-CN"/>
              </w:rPr>
            </w:pPr>
            <w:r>
              <w:rPr>
                <w:rFonts w:eastAsiaTheme="minorEastAsia"/>
                <w:lang w:val="en-US" w:eastAsia="zh-CN"/>
              </w:rPr>
              <w:t xml:space="preserve">We would like to avoid duplicating specifications </w:t>
            </w: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lastRenderedPageBreak/>
        <w:t>FL1 Low Priority Question 4-3a</w:t>
      </w:r>
      <w:r>
        <w:rPr>
          <w:b/>
          <w:lang w:val="en-US"/>
        </w:rPr>
        <w:t>: Should the following proposal be treated in this meeting?</w:t>
      </w:r>
    </w:p>
    <w:p w14:paraId="0B762676" w14:textId="77777777" w:rsidR="00B95B3E" w:rsidRDefault="00BE3965">
      <w:pPr>
        <w:pStyle w:val="afe"/>
        <w:numPr>
          <w:ilvl w:val="0"/>
          <w:numId w:val="33"/>
        </w:numPr>
        <w:jc w:val="left"/>
        <w:rPr>
          <w:b/>
          <w:sz w:val="20"/>
          <w:szCs w:val="22"/>
        </w:rPr>
      </w:pPr>
      <w:r>
        <w:rPr>
          <w:b/>
          <w:sz w:val="20"/>
          <w:szCs w:val="22"/>
          <w:lang w:val="en-US"/>
        </w:rPr>
        <w:t>Contribution [</w:t>
      </w:r>
      <w:hyperlink r:id="rId16" w:history="1">
        <w:r>
          <w:rPr>
            <w:rStyle w:val="afa"/>
            <w:b/>
            <w:sz w:val="20"/>
            <w:szCs w:val="22"/>
          </w:rPr>
          <w:t>31</w:t>
        </w:r>
      </w:hyperlink>
      <w:r>
        <w:rPr>
          <w:b/>
          <w:sz w:val="20"/>
          <w:szCs w:val="22"/>
          <w:lang w:val="en-US"/>
        </w:rPr>
        <w:t>] provides a</w:t>
      </w:r>
      <w:r>
        <w:rPr>
          <w:b/>
          <w:sz w:val="20"/>
          <w:szCs w:val="22"/>
        </w:rPr>
        <w:t xml:space="preserve"> 38.213 TP for clarification of </w:t>
      </w:r>
      <w:r>
        <w:rPr>
          <w:b/>
          <w:sz w:val="20"/>
          <w:szCs w:val="22"/>
          <w:lang w:val="en-US"/>
        </w:rPr>
        <w:t xml:space="preserve">the random access timeline relaxation’s (i.e., </w:t>
      </w:r>
      <w:r>
        <w:rPr>
          <w:b/>
          <w:sz w:val="20"/>
          <w:szCs w:val="22"/>
        </w:rPr>
        <w:t>X’s</w:t>
      </w:r>
      <w:r>
        <w:rPr>
          <w:b/>
          <w:sz w:val="20"/>
          <w:szCs w:val="22"/>
          <w:lang w:val="en-US"/>
        </w:rPr>
        <w:t>)</w:t>
      </w:r>
      <w:r>
        <w:rPr>
          <w:b/>
          <w:sz w:val="20"/>
          <w:szCs w:val="22"/>
        </w:rPr>
        <w:t xml:space="preserve"> dependency on </w:t>
      </w:r>
      <w:r>
        <w:rPr>
          <w:b/>
          <w:sz w:val="20"/>
          <w:szCs w:val="22"/>
          <w:lang w:val="en-US"/>
        </w:rPr>
        <w:t xml:space="preserve">the </w:t>
      </w:r>
      <w:r>
        <w:rPr>
          <w:b/>
          <w:sz w:val="20"/>
          <w:szCs w:val="22"/>
        </w:rPr>
        <w:t>S</w:t>
      </w:r>
      <w:r>
        <w:rPr>
          <w:b/>
          <w:sz w:val="20"/>
          <w:szCs w:val="22"/>
          <w:lang w:val="en-US"/>
        </w:rPr>
        <w:t>C</w:t>
      </w:r>
      <w:r>
        <w:rPr>
          <w:b/>
          <w:sz w:val="20"/>
          <w:szCs w:val="22"/>
        </w:rPr>
        <w:t>S.</w:t>
      </w:r>
    </w:p>
    <w:tbl>
      <w:tblPr>
        <w:tblStyle w:val="af7"/>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77777777" w:rsidR="00B95B3E" w:rsidRDefault="00B95B3E">
            <w:pPr>
              <w:jc w:val="left"/>
              <w:rPr>
                <w:rFonts w:eastAsiaTheme="minorEastAsia"/>
                <w:lang w:val="en-US" w:eastAsia="zh-CN"/>
              </w:rPr>
            </w:pPr>
          </w:p>
        </w:tc>
        <w:tc>
          <w:tcPr>
            <w:tcW w:w="1372" w:type="dxa"/>
          </w:tcPr>
          <w:p w14:paraId="0B762680" w14:textId="77777777" w:rsidR="00B95B3E" w:rsidRDefault="00B95B3E">
            <w:pPr>
              <w:tabs>
                <w:tab w:val="left" w:pos="551"/>
              </w:tabs>
              <w:jc w:val="left"/>
              <w:rPr>
                <w:rFonts w:eastAsiaTheme="minorEastAsia"/>
                <w:lang w:val="en-US" w:eastAsia="zh-CN"/>
              </w:rPr>
            </w:pPr>
          </w:p>
        </w:tc>
        <w:tc>
          <w:tcPr>
            <w:tcW w:w="6780" w:type="dxa"/>
          </w:tcPr>
          <w:p w14:paraId="0B762681" w14:textId="77777777" w:rsidR="00B95B3E" w:rsidRDefault="00B95B3E">
            <w:pPr>
              <w:jc w:val="left"/>
              <w:rPr>
                <w:rFonts w:eastAsiaTheme="minorEastAsia"/>
                <w:lang w:val="en-US" w:eastAsia="zh-CN"/>
              </w:rPr>
            </w:pPr>
          </w:p>
        </w:tc>
      </w:tr>
      <w:tr w:rsidR="00B95B3E" w14:paraId="0B762686" w14:textId="77777777">
        <w:tc>
          <w:tcPr>
            <w:tcW w:w="1479" w:type="dxa"/>
          </w:tcPr>
          <w:p w14:paraId="0B762683" w14:textId="77777777" w:rsidR="00B95B3E" w:rsidRDefault="00B95B3E">
            <w:pPr>
              <w:jc w:val="left"/>
              <w:rPr>
                <w:rFonts w:eastAsiaTheme="minorEastAsia"/>
                <w:lang w:val="en-US" w:eastAsia="zh-CN"/>
              </w:rPr>
            </w:pPr>
          </w:p>
        </w:tc>
        <w:tc>
          <w:tcPr>
            <w:tcW w:w="1372" w:type="dxa"/>
          </w:tcPr>
          <w:p w14:paraId="0B762684" w14:textId="77777777" w:rsidR="00B95B3E" w:rsidRDefault="00B95B3E">
            <w:pPr>
              <w:tabs>
                <w:tab w:val="left" w:pos="551"/>
              </w:tabs>
              <w:jc w:val="left"/>
              <w:rPr>
                <w:rFonts w:eastAsiaTheme="minorEastAsia"/>
                <w:lang w:val="en-US" w:eastAsia="zh-CN"/>
              </w:rPr>
            </w:pPr>
          </w:p>
        </w:tc>
        <w:tc>
          <w:tcPr>
            <w:tcW w:w="6780" w:type="dxa"/>
          </w:tcPr>
          <w:p w14:paraId="0B762685" w14:textId="77777777" w:rsidR="00B95B3E" w:rsidRDefault="00B95B3E">
            <w:pPr>
              <w:jc w:val="left"/>
              <w:rPr>
                <w:rFonts w:eastAsiaTheme="minorEastAsia"/>
                <w:lang w:val="en-US" w:eastAsia="zh-CN"/>
              </w:rPr>
            </w:pPr>
          </w:p>
        </w:tc>
      </w:tr>
    </w:tbl>
    <w:p w14:paraId="0B762687" w14:textId="77777777" w:rsidR="00B95B3E" w:rsidRDefault="00B95B3E"/>
    <w:p w14:paraId="0B762688" w14:textId="77777777" w:rsidR="00B95B3E" w:rsidRDefault="00BE3965">
      <w:pPr>
        <w:pStyle w:val="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e"/>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afe"/>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e"/>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e"/>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e"/>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e"/>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e"/>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e"/>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e"/>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e"/>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afe"/>
        <w:numPr>
          <w:ilvl w:val="0"/>
          <w:numId w:val="34"/>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w:t>
      </w:r>
      <w:proofErr w:type="spellStart"/>
      <w:r>
        <w:rPr>
          <w:sz w:val="20"/>
          <w:szCs w:val="22"/>
          <w:lang w:val="en-US"/>
        </w:rPr>
        <w:t>eRedCap</w:t>
      </w:r>
      <w:proofErr w:type="spellEnd"/>
      <w:r>
        <w:rPr>
          <w:sz w:val="20"/>
          <w:szCs w:val="22"/>
          <w:lang w:val="en-US"/>
        </w:rPr>
        <w:t xml:space="preserve"> UEs [12, 23].</w:t>
      </w:r>
    </w:p>
    <w:p w14:paraId="0B76269B" w14:textId="77777777" w:rsidR="00B95B3E" w:rsidRDefault="00BE3965">
      <w:pPr>
        <w:pStyle w:val="afe"/>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307985" w14:paraId="304E41DD" w14:textId="77777777">
        <w:tc>
          <w:tcPr>
            <w:tcW w:w="1479" w:type="dxa"/>
          </w:tcPr>
          <w:p w14:paraId="3B7CAD53" w14:textId="7FF79384" w:rsidR="00307985" w:rsidRDefault="00307985" w:rsidP="00307985">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91219B3" w14:textId="57E31B60" w:rsidR="00307985" w:rsidRDefault="00307985" w:rsidP="00307985">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0670CBFC" w14:textId="3E9E056C" w:rsidR="00307985" w:rsidRDefault="00307985" w:rsidP="00307985">
            <w:pPr>
              <w:jc w:val="left"/>
              <w:rPr>
                <w:rFonts w:eastAsiaTheme="minorEastAsia" w:hint="eastAsia"/>
                <w:lang w:val="en-US" w:eastAsia="zh-CN"/>
              </w:rPr>
            </w:pPr>
            <w:r>
              <w:rPr>
                <w:rFonts w:eastAsia="游明朝"/>
                <w:lang w:val="en-US" w:eastAsia="ja-JP"/>
              </w:rPr>
              <w:t>We prefer to consider common PUCCH capacity enhancement. The easiest way to ensure the common PUCCH capacity for non-</w:t>
            </w:r>
            <w:proofErr w:type="spellStart"/>
            <w:r>
              <w:rPr>
                <w:rFonts w:eastAsia="游明朝"/>
                <w:lang w:val="en-US" w:eastAsia="ja-JP"/>
              </w:rPr>
              <w:t>RedCap</w:t>
            </w:r>
            <w:proofErr w:type="spellEnd"/>
            <w:r>
              <w:rPr>
                <w:rFonts w:eastAsia="游明朝"/>
                <w:lang w:val="en-US" w:eastAsia="ja-JP"/>
              </w:rPr>
              <w:t xml:space="preserve">, Rel-17 </w:t>
            </w:r>
            <w:proofErr w:type="spellStart"/>
            <w:proofErr w:type="gramStart"/>
            <w:r>
              <w:rPr>
                <w:rFonts w:eastAsia="游明朝"/>
                <w:lang w:val="en-US" w:eastAsia="ja-JP"/>
              </w:rPr>
              <w:t>RedCap</w:t>
            </w:r>
            <w:proofErr w:type="spellEnd"/>
            <w:proofErr w:type="gramEnd"/>
            <w:r>
              <w:rPr>
                <w:rFonts w:eastAsia="游明朝"/>
                <w:lang w:val="en-US" w:eastAsia="ja-JP"/>
              </w:rPr>
              <w:t xml:space="preserve"> and Rel-18 </w:t>
            </w:r>
            <w:proofErr w:type="spellStart"/>
            <w:r>
              <w:rPr>
                <w:rFonts w:eastAsia="游明朝"/>
                <w:lang w:val="en-US" w:eastAsia="ja-JP"/>
              </w:rPr>
              <w:t>eRedCap</w:t>
            </w:r>
            <w:proofErr w:type="spellEnd"/>
            <w:r>
              <w:rPr>
                <w:rFonts w:eastAsia="游明朝"/>
                <w:lang w:val="en-US" w:eastAsia="ja-JP"/>
              </w:rPr>
              <w:t xml:space="preserve"> is to introduce additional PRB offset specific to Rel-18 </w:t>
            </w:r>
            <w:proofErr w:type="spellStart"/>
            <w:r>
              <w:rPr>
                <w:rFonts w:eastAsia="游明朝"/>
                <w:lang w:val="en-US" w:eastAsia="ja-JP"/>
              </w:rPr>
              <w:t>eRedCap</w:t>
            </w:r>
            <w:proofErr w:type="spellEnd"/>
            <w:r>
              <w:rPr>
                <w:rFonts w:eastAsia="游明朝"/>
                <w:lang w:val="en-US" w:eastAsia="ja-JP"/>
              </w:rPr>
              <w:t>. However, it would cause PUSCH peak rate degradation for legacy UEs. Therefore, we prefer to consider two sequence generation without FH which can enables multiplexing with CS with non-</w:t>
            </w:r>
            <w:proofErr w:type="spellStart"/>
            <w:r>
              <w:rPr>
                <w:rFonts w:eastAsia="游明朝"/>
                <w:lang w:val="en-US" w:eastAsia="ja-JP"/>
              </w:rPr>
              <w:t>RedCap</w:t>
            </w:r>
            <w:proofErr w:type="spellEnd"/>
            <w:r>
              <w:rPr>
                <w:rFonts w:eastAsia="游明朝"/>
                <w:lang w:val="en-US" w:eastAsia="ja-JP"/>
              </w:rPr>
              <w:t xml:space="preserve"> UEs.</w:t>
            </w:r>
          </w:p>
        </w:tc>
      </w:tr>
    </w:tbl>
    <w:p w14:paraId="0B7626AE" w14:textId="77777777" w:rsidR="00B95B3E" w:rsidRDefault="00B95B3E">
      <w:pPr>
        <w:rPr>
          <w:szCs w:val="22"/>
          <w:lang w:val="en-US"/>
        </w:rPr>
      </w:pPr>
    </w:p>
    <w:p w14:paraId="0B7626AF" w14:textId="77777777" w:rsidR="00B95B3E" w:rsidRDefault="00BE3965">
      <w:pPr>
        <w:pStyle w:val="1"/>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5"/>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000000">
            <w:pPr>
              <w:jc w:val="left"/>
              <w:rPr>
                <w:color w:val="0000FF"/>
                <w:u w:val="single"/>
                <w:lang w:val="en-US"/>
              </w:rPr>
            </w:pPr>
            <w:hyperlink r:id="rId17" w:history="1">
              <w:r w:rsidR="00BE3965">
                <w:rPr>
                  <w:rStyle w:val="afa"/>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000000">
            <w:pPr>
              <w:jc w:val="left"/>
              <w:rPr>
                <w:rFonts w:eastAsia="Calibri"/>
                <w:color w:val="0000FF"/>
                <w:u w:val="single"/>
                <w:lang w:val="en-US"/>
              </w:rPr>
            </w:pPr>
            <w:hyperlink r:id="rId18" w:history="1">
              <w:r w:rsidR="00BE3965">
                <w:rPr>
                  <w:rStyle w:val="afa"/>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000000">
            <w:pPr>
              <w:jc w:val="left"/>
              <w:rPr>
                <w:rStyle w:val="afa"/>
                <w:color w:val="0000FF"/>
                <w:lang w:val="en-US"/>
              </w:rPr>
            </w:pPr>
            <w:hyperlink r:id="rId19" w:history="1">
              <w:r w:rsidR="00BE3965">
                <w:rPr>
                  <w:rStyle w:val="afa"/>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000000">
            <w:pPr>
              <w:jc w:val="left"/>
              <w:rPr>
                <w:rStyle w:val="afa"/>
                <w:color w:val="0000FF"/>
                <w:lang w:val="en-US"/>
              </w:rPr>
            </w:pPr>
            <w:hyperlink r:id="rId20" w:history="1">
              <w:r w:rsidR="00BE3965">
                <w:rPr>
                  <w:rStyle w:val="afa"/>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000000">
            <w:pPr>
              <w:jc w:val="left"/>
              <w:rPr>
                <w:rStyle w:val="afa"/>
                <w:color w:val="0000FF"/>
                <w:lang w:val="en-US"/>
              </w:rPr>
            </w:pPr>
            <w:hyperlink r:id="rId21" w:history="1">
              <w:r w:rsidR="00BE3965">
                <w:rPr>
                  <w:rStyle w:val="afa"/>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000000">
            <w:pPr>
              <w:jc w:val="left"/>
              <w:rPr>
                <w:rStyle w:val="afa"/>
                <w:color w:val="0000FF"/>
                <w:lang w:val="en-US"/>
              </w:rPr>
            </w:pPr>
            <w:hyperlink r:id="rId22"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000000">
            <w:pPr>
              <w:jc w:val="left"/>
              <w:rPr>
                <w:rStyle w:val="afa"/>
                <w:color w:val="0000FF"/>
                <w:lang w:val="en-US" w:eastAsia="sv-SE"/>
              </w:rPr>
            </w:pPr>
            <w:hyperlink r:id="rId23" w:history="1">
              <w:r w:rsidR="00BE3965">
                <w:rPr>
                  <w:rStyle w:val="afa"/>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 xml:space="preserve">Moderator summary #2 on Rel-18 </w:t>
            </w:r>
            <w:proofErr w:type="spellStart"/>
            <w:r>
              <w:rPr>
                <w:lang w:val="en-US"/>
              </w:rPr>
              <w:t>eRedCap</w:t>
            </w:r>
            <w:proofErr w:type="spellEnd"/>
            <w:r>
              <w:rPr>
                <w:lang w:val="en-US"/>
              </w:rPr>
              <w:t xml:space="preserve">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000000">
            <w:pPr>
              <w:jc w:val="left"/>
              <w:rPr>
                <w:rStyle w:val="afa"/>
                <w:color w:val="0000FF"/>
                <w:lang w:val="en-US" w:eastAsia="sv-SE"/>
              </w:rPr>
            </w:pPr>
            <w:hyperlink r:id="rId24" w:history="1">
              <w:r w:rsidR="00BE3965">
                <w:rPr>
                  <w:rStyle w:val="afa"/>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000000">
            <w:pPr>
              <w:jc w:val="left"/>
              <w:rPr>
                <w:rStyle w:val="afa"/>
                <w:color w:val="0000FF"/>
                <w:lang w:val="en-US" w:eastAsia="sv-SE"/>
              </w:rPr>
            </w:pPr>
            <w:hyperlink r:id="rId25" w:history="1">
              <w:r w:rsidR="00BE3965">
                <w:rPr>
                  <w:rStyle w:val="afa"/>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000000">
            <w:pPr>
              <w:jc w:val="left"/>
              <w:rPr>
                <w:rStyle w:val="afa"/>
                <w:color w:val="0000FF"/>
                <w:lang w:val="en-US" w:eastAsia="sv-SE"/>
              </w:rPr>
            </w:pPr>
            <w:hyperlink r:id="rId26" w:history="1">
              <w:r w:rsidR="00BE3965">
                <w:rPr>
                  <w:rStyle w:val="afa"/>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000000">
            <w:pPr>
              <w:jc w:val="left"/>
              <w:rPr>
                <w:rStyle w:val="afa"/>
                <w:color w:val="0000FF"/>
                <w:lang w:val="en-US" w:eastAsia="sv-SE"/>
              </w:rPr>
            </w:pPr>
            <w:hyperlink r:id="rId27" w:history="1">
              <w:r w:rsidR="00BE3965">
                <w:rPr>
                  <w:rStyle w:val="afa"/>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proofErr w:type="spellStart"/>
            <w:r>
              <w:t>Spreadtrum</w:t>
            </w:r>
            <w:proofErr w:type="spellEnd"/>
            <w:r>
              <w:t xml:space="preserve">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000000">
            <w:pPr>
              <w:jc w:val="left"/>
              <w:rPr>
                <w:rStyle w:val="afa"/>
                <w:color w:val="0000FF"/>
                <w:lang w:val="en-US" w:eastAsia="sv-SE"/>
              </w:rPr>
            </w:pPr>
            <w:hyperlink r:id="rId28" w:history="1">
              <w:r w:rsidR="00BE3965">
                <w:rPr>
                  <w:rStyle w:val="afa"/>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000000">
            <w:pPr>
              <w:jc w:val="left"/>
              <w:rPr>
                <w:rStyle w:val="afa"/>
                <w:color w:val="0000FF"/>
                <w:lang w:val="en-US" w:eastAsia="sv-SE"/>
              </w:rPr>
            </w:pPr>
            <w:hyperlink r:id="rId29" w:history="1">
              <w:r w:rsidR="00BE3965">
                <w:rPr>
                  <w:rStyle w:val="afa"/>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000000">
            <w:pPr>
              <w:jc w:val="left"/>
              <w:rPr>
                <w:rStyle w:val="afa"/>
                <w:color w:val="0000FF"/>
                <w:lang w:val="en-US" w:eastAsia="sv-SE"/>
              </w:rPr>
            </w:pPr>
            <w:hyperlink r:id="rId30" w:history="1">
              <w:r w:rsidR="00BE3965">
                <w:rPr>
                  <w:rStyle w:val="afa"/>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000000">
            <w:pPr>
              <w:jc w:val="left"/>
              <w:rPr>
                <w:rStyle w:val="afa"/>
                <w:color w:val="0000FF"/>
                <w:lang w:val="en-US" w:eastAsia="sv-SE"/>
              </w:rPr>
            </w:pPr>
            <w:hyperlink r:id="rId31" w:history="1">
              <w:r w:rsidR="00BE3965">
                <w:rPr>
                  <w:rStyle w:val="afa"/>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000000">
            <w:pPr>
              <w:jc w:val="left"/>
              <w:rPr>
                <w:rStyle w:val="afa"/>
                <w:color w:val="0000FF"/>
                <w:lang w:val="en-US" w:eastAsia="sv-SE"/>
              </w:rPr>
            </w:pPr>
            <w:hyperlink r:id="rId32" w:history="1">
              <w:r w:rsidR="00BE3965">
                <w:rPr>
                  <w:rStyle w:val="afa"/>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000000">
            <w:pPr>
              <w:jc w:val="left"/>
              <w:rPr>
                <w:rStyle w:val="afa"/>
                <w:color w:val="0000FF"/>
                <w:lang w:val="en-US" w:eastAsia="sv-SE"/>
              </w:rPr>
            </w:pPr>
            <w:hyperlink r:id="rId33" w:history="1">
              <w:r w:rsidR="00BE3965">
                <w:rPr>
                  <w:rStyle w:val="afa"/>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000000">
            <w:pPr>
              <w:jc w:val="left"/>
              <w:rPr>
                <w:rStyle w:val="afa"/>
                <w:color w:val="0000FF"/>
                <w:lang w:val="en-US" w:eastAsia="sv-SE"/>
              </w:rPr>
            </w:pPr>
            <w:hyperlink r:id="rId34" w:history="1">
              <w:r w:rsidR="00BE3965">
                <w:rPr>
                  <w:rStyle w:val="afa"/>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 xml:space="preserve">ZTE, </w:t>
            </w:r>
            <w:proofErr w:type="spellStart"/>
            <w:r>
              <w:t>Sanechips</w:t>
            </w:r>
            <w:proofErr w:type="spellEnd"/>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000000">
            <w:pPr>
              <w:jc w:val="left"/>
              <w:rPr>
                <w:rStyle w:val="afa"/>
                <w:color w:val="0000FF"/>
                <w:lang w:val="en-US" w:eastAsia="sv-SE"/>
              </w:rPr>
            </w:pPr>
            <w:hyperlink r:id="rId35" w:history="1">
              <w:r w:rsidR="00BE3965">
                <w:rPr>
                  <w:rStyle w:val="afa"/>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000000">
            <w:pPr>
              <w:jc w:val="left"/>
              <w:rPr>
                <w:rStyle w:val="afa"/>
                <w:color w:val="0000FF"/>
                <w:lang w:val="en-US" w:eastAsia="sv-SE"/>
              </w:rPr>
            </w:pPr>
            <w:hyperlink r:id="rId36" w:history="1">
              <w:r w:rsidR="00BE3965">
                <w:rPr>
                  <w:rStyle w:val="afa"/>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000000">
            <w:pPr>
              <w:jc w:val="left"/>
              <w:rPr>
                <w:rStyle w:val="afa"/>
                <w:color w:val="0000FF"/>
                <w:lang w:val="en-US" w:eastAsia="sv-SE"/>
              </w:rPr>
            </w:pPr>
            <w:hyperlink r:id="rId37" w:history="1">
              <w:r w:rsidR="00BE3965">
                <w:rPr>
                  <w:rStyle w:val="afa"/>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lastRenderedPageBreak/>
              <w:t>[22]</w:t>
            </w:r>
          </w:p>
        </w:tc>
        <w:tc>
          <w:tcPr>
            <w:tcW w:w="1456" w:type="dxa"/>
            <w:tcMar>
              <w:top w:w="0" w:type="dxa"/>
              <w:left w:w="70" w:type="dxa"/>
              <w:bottom w:w="0" w:type="dxa"/>
              <w:right w:w="70" w:type="dxa"/>
            </w:tcMar>
          </w:tcPr>
          <w:p w14:paraId="0B76271A" w14:textId="77777777" w:rsidR="00B95B3E" w:rsidRDefault="00000000">
            <w:pPr>
              <w:jc w:val="left"/>
              <w:rPr>
                <w:rStyle w:val="afa"/>
                <w:color w:val="0000FF"/>
                <w:lang w:val="en-US" w:eastAsia="sv-SE"/>
              </w:rPr>
            </w:pPr>
            <w:hyperlink r:id="rId38" w:history="1">
              <w:r w:rsidR="00BE3965">
                <w:rPr>
                  <w:rStyle w:val="afa"/>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000000">
            <w:pPr>
              <w:jc w:val="left"/>
              <w:rPr>
                <w:rStyle w:val="afa"/>
                <w:color w:val="0000FF"/>
                <w:lang w:val="en-US" w:eastAsia="sv-SE"/>
              </w:rPr>
            </w:pPr>
            <w:hyperlink r:id="rId39" w:history="1">
              <w:r w:rsidR="00BE3965">
                <w:rPr>
                  <w:rStyle w:val="afa"/>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000000">
            <w:pPr>
              <w:jc w:val="left"/>
              <w:rPr>
                <w:rStyle w:val="afa"/>
                <w:color w:val="0000FF"/>
                <w:lang w:val="en-US" w:eastAsia="sv-SE"/>
              </w:rPr>
            </w:pPr>
            <w:hyperlink r:id="rId40" w:history="1">
              <w:r w:rsidR="00BE3965">
                <w:rPr>
                  <w:rStyle w:val="afa"/>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000000">
            <w:pPr>
              <w:jc w:val="left"/>
              <w:rPr>
                <w:rStyle w:val="afa"/>
                <w:color w:val="0000FF"/>
                <w:lang w:val="en-US" w:eastAsia="sv-SE"/>
              </w:rPr>
            </w:pPr>
            <w:hyperlink r:id="rId41" w:history="1">
              <w:r w:rsidR="00BE3965">
                <w:rPr>
                  <w:rStyle w:val="afa"/>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000000">
            <w:pPr>
              <w:jc w:val="left"/>
              <w:rPr>
                <w:rStyle w:val="afa"/>
                <w:color w:val="0000FF"/>
                <w:lang w:val="en-US" w:eastAsia="sv-SE"/>
              </w:rPr>
            </w:pPr>
            <w:hyperlink r:id="rId42" w:history="1">
              <w:r w:rsidR="00BE3965">
                <w:rPr>
                  <w:rStyle w:val="afa"/>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000000">
            <w:pPr>
              <w:jc w:val="left"/>
              <w:rPr>
                <w:rStyle w:val="afa"/>
                <w:color w:val="0000FF"/>
                <w:lang w:val="en-US" w:eastAsia="sv-SE"/>
              </w:rPr>
            </w:pPr>
            <w:hyperlink r:id="rId43" w:history="1">
              <w:r w:rsidR="00BE3965">
                <w:rPr>
                  <w:rStyle w:val="afa"/>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000000">
            <w:pPr>
              <w:jc w:val="left"/>
              <w:rPr>
                <w:rStyle w:val="afa"/>
                <w:color w:val="0000FF"/>
                <w:lang w:val="en-US" w:eastAsia="sv-SE"/>
              </w:rPr>
            </w:pPr>
            <w:hyperlink r:id="rId44" w:history="1">
              <w:r w:rsidR="00BE3965">
                <w:rPr>
                  <w:rStyle w:val="afa"/>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proofErr w:type="spellStart"/>
            <w:r>
              <w:t>Transsion</w:t>
            </w:r>
            <w:proofErr w:type="spellEnd"/>
            <w:r>
              <w:t xml:space="preserve">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000000">
            <w:pPr>
              <w:jc w:val="left"/>
              <w:rPr>
                <w:rStyle w:val="afa"/>
                <w:color w:val="0000FF"/>
                <w:lang w:val="en-US" w:eastAsia="sv-SE"/>
              </w:rPr>
            </w:pPr>
            <w:hyperlink r:id="rId45" w:history="1">
              <w:r w:rsidR="00BE3965">
                <w:rPr>
                  <w:rStyle w:val="afa"/>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000000">
            <w:pPr>
              <w:jc w:val="left"/>
              <w:rPr>
                <w:rStyle w:val="afa"/>
                <w:color w:val="0000FF"/>
                <w:lang w:val="en-US" w:eastAsia="sv-SE"/>
              </w:rPr>
            </w:pPr>
            <w:hyperlink r:id="rId46" w:history="1">
              <w:r w:rsidR="00BE3965">
                <w:rPr>
                  <w:rStyle w:val="afa"/>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proofErr w:type="spellStart"/>
            <w:r>
              <w:t>Semtech</w:t>
            </w:r>
            <w:proofErr w:type="spellEnd"/>
            <w:r>
              <w:t xml:space="preserve">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000000">
            <w:pPr>
              <w:jc w:val="left"/>
              <w:rPr>
                <w:rStyle w:val="afa"/>
                <w:color w:val="0000FF"/>
                <w:lang w:val="en-US" w:eastAsia="sv-SE"/>
              </w:rPr>
            </w:pPr>
            <w:hyperlink r:id="rId47" w:history="1">
              <w:r w:rsidR="00BE3965">
                <w:rPr>
                  <w:rStyle w:val="afa"/>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000000">
            <w:pPr>
              <w:jc w:val="left"/>
              <w:rPr>
                <w:rStyle w:val="afa"/>
                <w:color w:val="0000FF"/>
                <w:lang w:val="en-US" w:eastAsia="sv-SE"/>
              </w:rPr>
            </w:pPr>
            <w:hyperlink r:id="rId48" w:history="1">
              <w:r w:rsidR="00BE3965">
                <w:rPr>
                  <w:rStyle w:val="afa"/>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000000">
            <w:pPr>
              <w:jc w:val="left"/>
              <w:rPr>
                <w:color w:val="000000"/>
                <w:lang w:val="en-US"/>
              </w:rPr>
            </w:pPr>
            <w:hyperlink r:id="rId49" w:history="1">
              <w:r w:rsidR="00BE3965">
                <w:rPr>
                  <w:rStyle w:val="afa"/>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000000">
            <w:pPr>
              <w:jc w:val="left"/>
              <w:rPr>
                <w:color w:val="000000"/>
                <w:lang w:val="en-US"/>
              </w:rPr>
            </w:pPr>
            <w:hyperlink r:id="rId50" w:history="1">
              <w:r w:rsidR="00BE3965">
                <w:rPr>
                  <w:rStyle w:val="afa"/>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 xml:space="preserve">On </w:t>
            </w:r>
            <w:proofErr w:type="spellStart"/>
            <w:r>
              <w:t>eRedCap</w:t>
            </w:r>
            <w:proofErr w:type="spellEnd"/>
            <w:r>
              <w:t xml:space="preserve">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42BC" w14:textId="77777777" w:rsidR="005673B7" w:rsidRDefault="005673B7">
      <w:pPr>
        <w:spacing w:line="240" w:lineRule="auto"/>
      </w:pPr>
      <w:r>
        <w:separator/>
      </w:r>
    </w:p>
  </w:endnote>
  <w:endnote w:type="continuationSeparator" w:id="0">
    <w:p w14:paraId="62BAEAF8" w14:textId="77777777" w:rsidR="005673B7" w:rsidRDefault="00567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E149" w14:textId="77777777" w:rsidR="005673B7" w:rsidRDefault="005673B7">
      <w:pPr>
        <w:spacing w:after="0"/>
      </w:pPr>
      <w:r>
        <w:separator/>
      </w:r>
    </w:p>
  </w:footnote>
  <w:footnote w:type="continuationSeparator" w:id="0">
    <w:p w14:paraId="52EB1959" w14:textId="77777777" w:rsidR="005673B7" w:rsidRDefault="005673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289817202">
    <w:abstractNumId w:val="11"/>
  </w:num>
  <w:num w:numId="2" w16cid:durableId="1750494061">
    <w:abstractNumId w:val="1"/>
  </w:num>
  <w:num w:numId="3" w16cid:durableId="1864126250">
    <w:abstractNumId w:val="0"/>
  </w:num>
  <w:num w:numId="4" w16cid:durableId="1291984003">
    <w:abstractNumId w:val="15"/>
  </w:num>
  <w:num w:numId="5" w16cid:durableId="1654792462">
    <w:abstractNumId w:val="20"/>
    <w:lvlOverride w:ilvl="0">
      <w:startOverride w:val="1"/>
    </w:lvlOverride>
  </w:num>
  <w:num w:numId="6" w16cid:durableId="1982222328">
    <w:abstractNumId w:val="21"/>
  </w:num>
  <w:num w:numId="7" w16cid:durableId="165556798">
    <w:abstractNumId w:val="25"/>
  </w:num>
  <w:num w:numId="8" w16cid:durableId="1461146891">
    <w:abstractNumId w:val="30"/>
  </w:num>
  <w:num w:numId="9" w16cid:durableId="1167212053">
    <w:abstractNumId w:val="6"/>
  </w:num>
  <w:num w:numId="10" w16cid:durableId="1992322279">
    <w:abstractNumId w:val="34"/>
  </w:num>
  <w:num w:numId="11" w16cid:durableId="928388179">
    <w:abstractNumId w:val="26"/>
  </w:num>
  <w:num w:numId="12" w16cid:durableId="1739747989">
    <w:abstractNumId w:val="18"/>
  </w:num>
  <w:num w:numId="13" w16cid:durableId="1088233037">
    <w:abstractNumId w:val="17"/>
  </w:num>
  <w:num w:numId="14" w16cid:durableId="1862282255">
    <w:abstractNumId w:val="12"/>
  </w:num>
  <w:num w:numId="15" w16cid:durableId="1382287581">
    <w:abstractNumId w:val="28"/>
  </w:num>
  <w:num w:numId="16" w16cid:durableId="1925532649">
    <w:abstractNumId w:val="3"/>
  </w:num>
  <w:num w:numId="17" w16cid:durableId="1559782352">
    <w:abstractNumId w:val="13"/>
  </w:num>
  <w:num w:numId="18" w16cid:durableId="1304965029">
    <w:abstractNumId w:val="10"/>
  </w:num>
  <w:num w:numId="19" w16cid:durableId="1231421982">
    <w:abstractNumId w:val="23"/>
  </w:num>
  <w:num w:numId="20" w16cid:durableId="1352799760">
    <w:abstractNumId w:val="5"/>
  </w:num>
  <w:num w:numId="21" w16cid:durableId="1026105327">
    <w:abstractNumId w:val="32"/>
  </w:num>
  <w:num w:numId="22" w16cid:durableId="535777290">
    <w:abstractNumId w:val="2"/>
  </w:num>
  <w:num w:numId="23" w16cid:durableId="738597149">
    <w:abstractNumId w:val="24"/>
  </w:num>
  <w:num w:numId="24" w16cid:durableId="556014225">
    <w:abstractNumId w:val="27"/>
  </w:num>
  <w:num w:numId="25" w16cid:durableId="1651906106">
    <w:abstractNumId w:val="16"/>
  </w:num>
  <w:num w:numId="26" w16cid:durableId="1492284852">
    <w:abstractNumId w:val="7"/>
  </w:num>
  <w:num w:numId="27" w16cid:durableId="1432776546">
    <w:abstractNumId w:val="31"/>
  </w:num>
  <w:num w:numId="28" w16cid:durableId="762259663">
    <w:abstractNumId w:val="19"/>
  </w:num>
  <w:num w:numId="29" w16cid:durableId="789015132">
    <w:abstractNumId w:val="22"/>
  </w:num>
  <w:num w:numId="30" w16cid:durableId="775323534">
    <w:abstractNumId w:val="35"/>
  </w:num>
  <w:num w:numId="31" w16cid:durableId="67271005">
    <w:abstractNumId w:val="33"/>
  </w:num>
  <w:num w:numId="32" w16cid:durableId="194733606">
    <w:abstractNumId w:val="8"/>
  </w:num>
  <w:num w:numId="33" w16cid:durableId="1443576546">
    <w:abstractNumId w:val="29"/>
  </w:num>
  <w:num w:numId="34" w16cid:durableId="823861708">
    <w:abstractNumId w:val="9"/>
  </w:num>
  <w:num w:numId="35" w16cid:durableId="1601765487">
    <w:abstractNumId w:val="14"/>
  </w:num>
  <w:num w:numId="36" w16cid:durableId="93062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styleId="aff0">
    <w:name w:val="Unresolved Mention"/>
    <w:basedOn w:val="a1"/>
    <w:uiPriority w:val="99"/>
    <w:semiHidden/>
    <w:unhideWhenUsed/>
    <w:rsid w:val="00D8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Docs/R1-2306529.zip" TargetMode="External"/><Relationship Id="rId39" Type="http://schemas.openxmlformats.org/officeDocument/2006/relationships/hyperlink" Target="https://www.3gpp.org/ftp/TSG_RAN/WG1_RL1/TSGR1_114/Docs/R1-230748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4/Docs/R1-2307138.zip" TargetMode="External"/><Relationship Id="rId42" Type="http://schemas.openxmlformats.org/officeDocument/2006/relationships/hyperlink" Target="https://www.3gpp.org/ftp/TSG_RAN/WG1_RL1/TSGR1_114/Docs/R1-2307689.zip" TargetMode="External"/><Relationship Id="rId47" Type="http://schemas.openxmlformats.org/officeDocument/2006/relationships/hyperlink" Target="https://www.3gpp.org/ftp/TSG_RAN/WG1_RL1/TSGR1_114/Docs/R1-2307855.zip" TargetMode="External"/><Relationship Id="rId50" Type="http://schemas.openxmlformats.org/officeDocument/2006/relationships/hyperlink" Target="https://www.3gpp.org/ftp/TSG_RAN/WG1_RL1/TSGR1_114/Docs/R1-230803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7855.zip" TargetMode="External"/><Relationship Id="rId29" Type="http://schemas.openxmlformats.org/officeDocument/2006/relationships/hyperlink" Target="https://www.3gpp.org/ftp/TSG_RAN/WG1_RL1/TSGR1_114/Docs/R1-2306761.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390.zip" TargetMode="External"/><Relationship Id="rId32" Type="http://schemas.openxmlformats.org/officeDocument/2006/relationships/hyperlink" Target="https://www.3gpp.org/ftp/TSG_RAN/WG1_RL1/TSGR1_114/Docs/R1-2307002.zip" TargetMode="External"/><Relationship Id="rId37" Type="http://schemas.openxmlformats.org/officeDocument/2006/relationships/hyperlink" Target="https://www.3gpp.org/ftp/TSG_RAN/WG1_RL1/TSGR1_114/Docs/R1-2307395.zip" TargetMode="External"/><Relationship Id="rId40" Type="http://schemas.openxmlformats.org/officeDocument/2006/relationships/hyperlink" Target="https://www.3gpp.org/ftp/TSG_RAN/WG1_RL1/TSGR1_114/Docs/R1-2307554.zip" TargetMode="External"/><Relationship Id="rId45" Type="http://schemas.openxmlformats.org/officeDocument/2006/relationships/hyperlink" Target="https://www.3gpp.org/ftp/TSG_RAN/WG1_RL1/TSGR1_114/Docs/R1-230779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554.zip" TargetMode="External"/><Relationship Id="rId23" Type="http://schemas.openxmlformats.org/officeDocument/2006/relationships/hyperlink" Target="https://www.3gpp.org/ftp/tsg_ran/TSG_RAN/TSGR_100/Docs/RP-231488.zip" TargetMode="External"/><Relationship Id="rId28" Type="http://schemas.openxmlformats.org/officeDocument/2006/relationships/hyperlink" Target="https://www.3gpp.org/ftp/TSG_RAN/WG1_RL1/TSGR1_114/Docs/R1-2306683.zip" TargetMode="External"/><Relationship Id="rId36" Type="http://schemas.openxmlformats.org/officeDocument/2006/relationships/hyperlink" Target="https://www.3gpp.org/ftp/TSG_RAN/WG1_RL1/TSGR1_114/Docs/R1-2307289.zip" TargetMode="External"/><Relationship Id="rId49"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5959.zip" TargetMode="External"/><Relationship Id="rId31" Type="http://schemas.openxmlformats.org/officeDocument/2006/relationships/hyperlink" Target="https://www.3gpp.org/ftp/TSG_RAN/WG1_RL1/TSGR1_114/Docs/R1-2306996.zip" TargetMode="External"/><Relationship Id="rId44" Type="http://schemas.openxmlformats.org/officeDocument/2006/relationships/hyperlink" Target="https://www.3gpp.org/ftp/TSG_RAN/WG1_RL1/TSGR1_114/Docs/R1-230776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6435.zip"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4/Docs/R1-2306656.zip" TargetMode="External"/><Relationship Id="rId30" Type="http://schemas.openxmlformats.org/officeDocument/2006/relationships/hyperlink" Target="https://www.3gpp.org/ftp/TSG_RAN/WG1_RL1/TSGR1_114/Docs/R1-2306917.zip" TargetMode="External"/><Relationship Id="rId35" Type="http://schemas.openxmlformats.org/officeDocument/2006/relationships/hyperlink" Target="https://www.3gpp.org/ftp/TSG_RAN/WG1_RL1/TSGR1_114/Docs/R1-2307206.zip" TargetMode="External"/><Relationship Id="rId43" Type="http://schemas.openxmlformats.org/officeDocument/2006/relationships/hyperlink" Target="https://www.3gpp.org/ftp/TSG_RAN/WG1_RL1/TSGR1_114/Docs/R1-2307757.zip" TargetMode="External"/><Relationship Id="rId48"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Sicong.zhao@unisoc.com"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4/Docs/R1-2306435.zip" TargetMode="External"/><Relationship Id="rId33" Type="http://schemas.openxmlformats.org/officeDocument/2006/relationships/hyperlink" Target="https://www.3gpp.org/ftp/TSG_RAN/WG1_RL1/TSGR1_114/Docs/R1-2307098.zip" TargetMode="External"/><Relationship Id="rId38" Type="http://schemas.openxmlformats.org/officeDocument/2006/relationships/hyperlink" Target="https://www.3gpp.org/ftp/TSG_RAN/WG1_RL1/TSGR1_114/Docs/R1-2307417.zip" TargetMode="External"/><Relationship Id="rId46" Type="http://schemas.openxmlformats.org/officeDocument/2006/relationships/hyperlink" Target="https://www.3gpp.org/ftp/TSG_RAN/WG1_RL1/TSGR1_114/Docs/R1-2307841.zip" TargetMode="External"/><Relationship Id="rId20" Type="http://schemas.openxmlformats.org/officeDocument/2006/relationships/hyperlink" Target="https://www.3gpp.org/ftp/tsg_ran/WG1_RL1/TSGR1_113/Docs/R1-2306261.zip" TargetMode="External"/><Relationship Id="rId41" Type="http://schemas.openxmlformats.org/officeDocument/2006/relationships/hyperlink" Target="https://www.3gpp.org/ftp/TSG_RAN/WG1_RL1/TSGR1_114/Docs/R1-2307622.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99FB75E3-D25C-4DD0-9577-4CB431B1164F}">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8115</Words>
  <Characters>46258</Characters>
  <Application>Microsoft Office Word</Application>
  <DocSecurity>0</DocSecurity>
  <Lines>385</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3</cp:revision>
  <dcterms:created xsi:type="dcterms:W3CDTF">2023-08-21T09:43:00Z</dcterms:created>
  <dcterms:modified xsi:type="dcterms:W3CDTF">2023-08-21T09:43:00Z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