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1977EA26" w:rsidR="008F2770" w:rsidRPr="007B519D" w:rsidRDefault="008F2770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112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-bis-e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</w:t>
      </w:r>
      <w:r w:rsidR="00150184" w:rsidRPr="0015018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R1-2303815</w:t>
      </w:r>
    </w:p>
    <w:p w14:paraId="14B9DD3B" w14:textId="0EB7AE9C" w:rsidR="00C05AC4" w:rsidRDefault="0074172C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proofErr w:type="gramStart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e-Meeting</w:t>
      </w:r>
      <w:proofErr w:type="gramEnd"/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April 1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="00327900"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April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26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1A46D608" w14:textId="77777777" w:rsidR="00E627D2" w:rsidRPr="009D7AA5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592BCE1B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</w:p>
    <w:p w14:paraId="091A1AD7" w14:textId="026AB6D2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RAN1 Considerations for Cell DTX and DRX</w:t>
      </w:r>
    </w:p>
    <w:p w14:paraId="49846B98" w14:textId="0090C373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proofErr w:type="spellStart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Fraunhofer</w:t>
      </w:r>
      <w:proofErr w:type="spellEnd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proofErr w:type="spellStart"/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Fraunhofer</w:t>
      </w:r>
      <w:proofErr w:type="spellEnd"/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Heading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5AAA5B72" w:rsidR="00E136D8" w:rsidRPr="003D4522" w:rsidRDefault="00B82810" w:rsidP="00C05AC4">
      <w:pPr>
        <w:pStyle w:val="3GPPNormalText"/>
        <w:rPr>
          <w:sz w:val="24"/>
        </w:rPr>
      </w:pPr>
      <w:r w:rsidRPr="003D4522">
        <w:rPr>
          <w:sz w:val="24"/>
        </w:rPr>
        <w:t xml:space="preserve">The </w:t>
      </w:r>
      <w:r w:rsidR="0091553A">
        <w:rPr>
          <w:sz w:val="24"/>
        </w:rPr>
        <w:t xml:space="preserve">WI </w:t>
      </w:r>
      <w:r w:rsidRPr="003D4522">
        <w:rPr>
          <w:sz w:val="24"/>
        </w:rPr>
        <w:t xml:space="preserve">for </w:t>
      </w:r>
      <w:r w:rsidR="00B6066F">
        <w:rPr>
          <w:sz w:val="24"/>
        </w:rPr>
        <w:t xml:space="preserve">Network Energy Saving was approved </w:t>
      </w:r>
      <w:r w:rsidRPr="003D4522">
        <w:rPr>
          <w:sz w:val="24"/>
        </w:rPr>
        <w:t>in RAN#</w:t>
      </w:r>
      <w:r w:rsidR="00327900" w:rsidRPr="003D4522">
        <w:rPr>
          <w:sz w:val="24"/>
        </w:rPr>
        <w:t>98</w:t>
      </w:r>
      <w:r w:rsidR="002E7BF5">
        <w:rPr>
          <w:sz w:val="24"/>
        </w:rPr>
        <w:t>-</w:t>
      </w:r>
      <w:r w:rsidR="00327900" w:rsidRPr="003D4522">
        <w:rPr>
          <w:sz w:val="24"/>
        </w:rPr>
        <w:t xml:space="preserve">e </w:t>
      </w:r>
      <w:r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 w:rsidR="00A32904" w:rsidRPr="003D4522">
        <w:rPr>
          <w:sz w:val="24"/>
        </w:rPr>
        <w:t>its</w:t>
      </w:r>
      <w:r w:rsidR="002D58AE" w:rsidRPr="003D4522">
        <w:rPr>
          <w:sz w:val="24"/>
        </w:rPr>
        <w:t xml:space="preserve"> objectives is to specify solutions for </w:t>
      </w:r>
      <w:r w:rsidR="00E1444D">
        <w:rPr>
          <w:sz w:val="24"/>
        </w:rPr>
        <w:t>c</w:t>
      </w:r>
      <w:r w:rsidR="00BA16C3">
        <w:rPr>
          <w:sz w:val="24"/>
        </w:rPr>
        <w:t xml:space="preserve">ell DTX and </w:t>
      </w:r>
      <w:r w:rsidR="00E1444D">
        <w:rPr>
          <w:sz w:val="24"/>
        </w:rPr>
        <w:t>c</w:t>
      </w:r>
      <w:r w:rsidR="00BA16C3">
        <w:rPr>
          <w:sz w:val="24"/>
        </w:rPr>
        <w:t>ell DRX</w:t>
      </w:r>
      <w:r w:rsidR="00A32904" w:rsidRPr="003D4522">
        <w:rPr>
          <w:sz w:val="24"/>
        </w:rPr>
        <w:t>,</w:t>
      </w:r>
      <w:r w:rsidR="002D58AE" w:rsidRPr="003D4522">
        <w:rPr>
          <w:sz w:val="24"/>
        </w:rPr>
        <w:t xml:space="preserve"> </w:t>
      </w:r>
      <w:r w:rsidR="00A32904" w:rsidRPr="003D4522">
        <w:rPr>
          <w:sz w:val="24"/>
        </w:rPr>
        <w:t>which</w:t>
      </w:r>
      <w:r w:rsidR="00327900" w:rsidRPr="003D4522">
        <w:rPr>
          <w:sz w:val="24"/>
        </w:rPr>
        <w:t xml:space="preserve"> has been approved for </w:t>
      </w:r>
      <w:r w:rsidR="0091553A">
        <w:rPr>
          <w:sz w:val="24"/>
        </w:rPr>
        <w:t xml:space="preserve">3GPP </w:t>
      </w:r>
      <w:r w:rsidR="00327900" w:rsidRPr="003D4522">
        <w:rPr>
          <w:sz w:val="24"/>
        </w:rPr>
        <w:t>R</w:t>
      </w:r>
      <w:r w:rsidR="0091553A">
        <w:rPr>
          <w:sz w:val="24"/>
        </w:rPr>
        <w:t>el-</w:t>
      </w:r>
      <w:r w:rsidR="009E4957" w:rsidRPr="003D4522">
        <w:rPr>
          <w:sz w:val="24"/>
        </w:rPr>
        <w:t>18</w:t>
      </w:r>
      <w:r w:rsidR="00327900" w:rsidRPr="003D4522">
        <w:rPr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FDAAA0C" w14:textId="7B76B5B9" w:rsidR="00BA16C3" w:rsidRPr="00F71D45" w:rsidRDefault="00BA16C3" w:rsidP="00B747C9">
            <w:pPr>
              <w:pStyle w:val="ListParagraph"/>
              <w:numPr>
                <w:ilvl w:val="0"/>
                <w:numId w:val="75"/>
              </w:numPr>
              <w:ind w:left="360"/>
              <w:rPr>
                <w:rFonts w:ascii="Times New Roman" w:hAnsi="Times New Roman"/>
                <w:bCs/>
              </w:rPr>
            </w:pPr>
            <w:bookmarkStart w:id="0" w:name="_Hlk89917254"/>
            <w:r w:rsidRPr="00F71D45">
              <w:rPr>
                <w:rFonts w:ascii="Times New Roman" w:hAnsi="Times New Roman"/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32BA8678" w14:textId="77777777" w:rsidR="00BA16C3" w:rsidRPr="00F71D45" w:rsidRDefault="00BA16C3" w:rsidP="00B747C9">
            <w:pPr>
              <w:numPr>
                <w:ilvl w:val="0"/>
                <w:numId w:val="73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F71D45">
              <w:rPr>
                <w:bCs/>
                <w:sz w:val="22"/>
                <w:szCs w:val="22"/>
                <w:lang w:val="en-US" w:eastAsia="zh-CN"/>
              </w:rPr>
              <w:t>Note: No change for SSB transmission due to cell DTX/DRX.</w:t>
            </w:r>
          </w:p>
          <w:p w14:paraId="38C58A07" w14:textId="77777777" w:rsidR="00BA16C3" w:rsidRPr="00F71D45" w:rsidRDefault="00BA16C3" w:rsidP="00B747C9">
            <w:pPr>
              <w:numPr>
                <w:ilvl w:val="0"/>
                <w:numId w:val="73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F71D45">
              <w:rPr>
                <w:bCs/>
                <w:sz w:val="22"/>
                <w:szCs w:val="22"/>
                <w:lang w:val="en-US" w:eastAsia="zh-CN"/>
              </w:rPr>
              <w:t>Note: The impact to IDLE/INACTIVE UEs due to the above enhancement should be avoided.</w:t>
            </w:r>
          </w:p>
          <w:bookmarkEnd w:id="0"/>
          <w:p w14:paraId="7C51282D" w14:textId="150B4706" w:rsidR="007061BC" w:rsidRPr="00FE1D3B" w:rsidRDefault="007061BC" w:rsidP="00E220CA">
            <w:pPr>
              <w:overflowPunct/>
              <w:autoSpaceDE/>
              <w:autoSpaceDN/>
              <w:adjustRightInd/>
              <w:spacing w:before="60" w:after="60"/>
              <w:ind w:left="1440"/>
              <w:textAlignment w:val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01D66324" w14:textId="77777777" w:rsidR="00A50B84" w:rsidRDefault="00A50B84" w:rsidP="00A50B84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7C2D0939" w14:textId="5C67806A" w:rsidR="005951A6" w:rsidRDefault="00315887" w:rsidP="00510A4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4838D5">
        <w:rPr>
          <w:sz w:val="24"/>
          <w:szCs w:val="24"/>
        </w:rPr>
        <w:t>s</w:t>
      </w:r>
      <w:r>
        <w:rPr>
          <w:sz w:val="24"/>
          <w:szCs w:val="24"/>
        </w:rPr>
        <w:t xml:space="preserve"> noted during the study phase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_Ref127449194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2855B3">
        <w:rPr>
          <w:sz w:val="24"/>
          <w:szCs w:val="24"/>
        </w:rPr>
        <w:t>[2]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in legacy systems, </w:t>
      </w:r>
      <w:r w:rsidRPr="00315887">
        <w:rPr>
          <w:sz w:val="24"/>
          <w:szCs w:val="24"/>
        </w:rPr>
        <w:t xml:space="preserve">the </w:t>
      </w:r>
      <w:proofErr w:type="spellStart"/>
      <w:r w:rsidRPr="00315887">
        <w:rPr>
          <w:sz w:val="24"/>
          <w:szCs w:val="24"/>
        </w:rPr>
        <w:t>gNB</w:t>
      </w:r>
      <w:proofErr w:type="spellEnd"/>
      <w:r w:rsidRPr="00315887">
        <w:rPr>
          <w:sz w:val="24"/>
          <w:szCs w:val="24"/>
        </w:rPr>
        <w:t xml:space="preserve"> can use reduced downlink transmission/uplink reception activity </w:t>
      </w:r>
      <w:r>
        <w:rPr>
          <w:sz w:val="24"/>
          <w:szCs w:val="24"/>
        </w:rPr>
        <w:t xml:space="preserve">without an explicit cell DTX/DRX </w:t>
      </w:r>
      <w:r w:rsidR="00FA303C" w:rsidRPr="00FA303C">
        <w:rPr>
          <w:sz w:val="24"/>
          <w:szCs w:val="24"/>
        </w:rPr>
        <w:t xml:space="preserve">with restrictions </w:t>
      </w:r>
      <w:r w:rsidRPr="00315887">
        <w:rPr>
          <w:sz w:val="24"/>
          <w:szCs w:val="24"/>
        </w:rPr>
        <w:t xml:space="preserve">due to UE </w:t>
      </w:r>
      <w:r>
        <w:rPr>
          <w:sz w:val="24"/>
          <w:szCs w:val="24"/>
        </w:rPr>
        <w:t>C-</w:t>
      </w:r>
      <w:r w:rsidRPr="00315887">
        <w:rPr>
          <w:sz w:val="24"/>
          <w:szCs w:val="24"/>
        </w:rPr>
        <w:t>DRX configurations and any configured transmission/reception, e.g., common channels/signals.</w:t>
      </w:r>
      <w:r>
        <w:rPr>
          <w:sz w:val="24"/>
          <w:szCs w:val="24"/>
        </w:rPr>
        <w:t xml:space="preserve"> </w:t>
      </w:r>
      <w:r w:rsidR="00061A22">
        <w:rPr>
          <w:sz w:val="24"/>
          <w:szCs w:val="24"/>
        </w:rPr>
        <w:t>T</w:t>
      </w:r>
      <w:r>
        <w:rPr>
          <w:sz w:val="24"/>
          <w:szCs w:val="24"/>
        </w:rPr>
        <w:t xml:space="preserve">he C-DRX is currently only </w:t>
      </w:r>
      <w:r w:rsidR="00397903">
        <w:rPr>
          <w:sz w:val="24"/>
          <w:szCs w:val="24"/>
        </w:rPr>
        <w:t>configurable</w:t>
      </w:r>
      <w:r>
        <w:rPr>
          <w:sz w:val="24"/>
          <w:szCs w:val="24"/>
        </w:rPr>
        <w:t xml:space="preserve"> per UE</w:t>
      </w:r>
      <w:r w:rsidR="00397903">
        <w:rPr>
          <w:sz w:val="24"/>
          <w:szCs w:val="24"/>
        </w:rPr>
        <w:t xml:space="preserve">, which can be </w:t>
      </w:r>
      <w:r w:rsidR="00061A22">
        <w:rPr>
          <w:sz w:val="24"/>
          <w:szCs w:val="24"/>
        </w:rPr>
        <w:t xml:space="preserve">aligned across UEs only via RRC. Through explicit cell DTX/DRX and </w:t>
      </w:r>
      <w:r w:rsidR="00061A22" w:rsidRPr="00061A22">
        <w:rPr>
          <w:sz w:val="24"/>
          <w:szCs w:val="24"/>
        </w:rPr>
        <w:t>providing mechanisms informing UE whether the cell stays inactive</w:t>
      </w:r>
      <w:r w:rsidR="00061A22">
        <w:rPr>
          <w:sz w:val="24"/>
          <w:szCs w:val="24"/>
        </w:rPr>
        <w:t>, e</w:t>
      </w:r>
      <w:r w:rsidR="00397903">
        <w:rPr>
          <w:sz w:val="24"/>
          <w:szCs w:val="24"/>
        </w:rPr>
        <w:t xml:space="preserve">nhancements to </w:t>
      </w:r>
      <w:r w:rsidR="00397903" w:rsidRPr="00397903">
        <w:rPr>
          <w:sz w:val="24"/>
          <w:szCs w:val="24"/>
        </w:rPr>
        <w:t xml:space="preserve">UE DRX configuration </w:t>
      </w:r>
      <w:r w:rsidR="00397903">
        <w:rPr>
          <w:sz w:val="24"/>
          <w:szCs w:val="24"/>
        </w:rPr>
        <w:t>(</w:t>
      </w:r>
      <w:r w:rsidR="00397903" w:rsidRPr="00397903">
        <w:rPr>
          <w:sz w:val="24"/>
          <w:szCs w:val="24"/>
        </w:rPr>
        <w:t>e.g. to align/omit DRX cycles or start offsets of DRX</w:t>
      </w:r>
      <w:r w:rsidR="00397903">
        <w:rPr>
          <w:sz w:val="24"/>
          <w:szCs w:val="24"/>
        </w:rPr>
        <w:t>)</w:t>
      </w:r>
      <w:r w:rsidR="00397903" w:rsidRPr="00397903">
        <w:rPr>
          <w:sz w:val="24"/>
          <w:szCs w:val="24"/>
        </w:rPr>
        <w:t xml:space="preserve"> </w:t>
      </w:r>
      <w:r w:rsidR="00397903">
        <w:rPr>
          <w:sz w:val="24"/>
          <w:szCs w:val="24"/>
        </w:rPr>
        <w:t xml:space="preserve">were identified to be </w:t>
      </w:r>
      <w:r w:rsidR="00547B74">
        <w:rPr>
          <w:sz w:val="24"/>
          <w:szCs w:val="24"/>
        </w:rPr>
        <w:t xml:space="preserve">beneficial for </w:t>
      </w:r>
      <w:r w:rsidR="00397903">
        <w:rPr>
          <w:sz w:val="24"/>
          <w:szCs w:val="24"/>
        </w:rPr>
        <w:t>enabling</w:t>
      </w:r>
      <w:r w:rsidR="00397903" w:rsidRPr="00397903">
        <w:rPr>
          <w:sz w:val="24"/>
          <w:szCs w:val="24"/>
        </w:rPr>
        <w:t xml:space="preserve"> longer opportunities for cell inactivity.</w:t>
      </w:r>
      <w:r w:rsidR="00397903">
        <w:rPr>
          <w:sz w:val="24"/>
          <w:szCs w:val="24"/>
        </w:rPr>
        <w:t xml:space="preserve"> </w:t>
      </w:r>
    </w:p>
    <w:p w14:paraId="5DB1F012" w14:textId="31695AA8" w:rsidR="00F35D90" w:rsidRDefault="00F35D90" w:rsidP="00F35D90">
      <w:pPr>
        <w:spacing w:after="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</w:t>
      </w:r>
      <w:r w:rsidRPr="008B3A6E">
        <w:rPr>
          <w:sz w:val="24"/>
          <w:szCs w:val="24"/>
          <w:lang w:val="en-US"/>
        </w:rPr>
        <w:t>RAN1#11</w:t>
      </w:r>
      <w:r>
        <w:rPr>
          <w:sz w:val="24"/>
          <w:szCs w:val="24"/>
          <w:lang w:val="en-US"/>
        </w:rPr>
        <w:t>2</w:t>
      </w:r>
      <w:r w:rsidR="0010294F">
        <w:rPr>
          <w:sz w:val="24"/>
          <w:szCs w:val="24"/>
          <w:lang w:val="en-US"/>
        </w:rPr>
        <w:t xml:space="preserve"> </w:t>
      </w:r>
      <w:r w:rsidR="0010294F">
        <w:rPr>
          <w:sz w:val="24"/>
          <w:szCs w:val="24"/>
          <w:lang w:val="en-US"/>
        </w:rPr>
        <w:fldChar w:fldCharType="begin"/>
      </w:r>
      <w:r w:rsidR="0010294F">
        <w:rPr>
          <w:sz w:val="24"/>
          <w:szCs w:val="24"/>
          <w:lang w:val="en-US"/>
        </w:rPr>
        <w:instrText xml:space="preserve"> REF _Ref131670976 \r \h </w:instrText>
      </w:r>
      <w:r w:rsidR="0010294F">
        <w:rPr>
          <w:sz w:val="24"/>
          <w:szCs w:val="24"/>
          <w:lang w:val="en-US"/>
        </w:rPr>
      </w:r>
      <w:r w:rsidR="0010294F">
        <w:rPr>
          <w:sz w:val="24"/>
          <w:szCs w:val="24"/>
          <w:lang w:val="en-US"/>
        </w:rPr>
        <w:fldChar w:fldCharType="separate"/>
      </w:r>
      <w:r w:rsidR="002855B3">
        <w:rPr>
          <w:sz w:val="24"/>
          <w:szCs w:val="24"/>
          <w:lang w:val="en-US"/>
        </w:rPr>
        <w:t>[3]</w:t>
      </w:r>
      <w:r w:rsidR="0010294F">
        <w:rPr>
          <w:sz w:val="24"/>
          <w:szCs w:val="24"/>
          <w:lang w:val="en-US"/>
        </w:rPr>
        <w:fldChar w:fldCharType="end"/>
      </w:r>
      <w:r>
        <w:rPr>
          <w:sz w:val="24"/>
          <w:szCs w:val="24"/>
          <w:lang w:val="en-US"/>
        </w:rPr>
        <w:t xml:space="preserve">, the following agreements were made regarding what RAN1 can focus on </w:t>
      </w:r>
      <w:r w:rsidR="009F774B">
        <w:rPr>
          <w:sz w:val="24"/>
          <w:szCs w:val="24"/>
          <w:lang w:val="en-US"/>
        </w:rPr>
        <w:t>while waiting for RAN2 input on the general framework and definitions regarding cell DTX/DRX.</w:t>
      </w:r>
    </w:p>
    <w:p w14:paraId="55A4AC7F" w14:textId="77777777" w:rsidR="00253818" w:rsidRDefault="00253818" w:rsidP="00F35D90">
      <w:pPr>
        <w:spacing w:after="0" w:line="276" w:lineRule="auto"/>
        <w:jc w:val="both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35D90" w:rsidRPr="00DA1B33" w14:paraId="7B26E1D4" w14:textId="77777777" w:rsidTr="00904E9A">
        <w:tc>
          <w:tcPr>
            <w:tcW w:w="9962" w:type="dxa"/>
          </w:tcPr>
          <w:p w14:paraId="0E53DD0D" w14:textId="77777777" w:rsidR="00F35D90" w:rsidRPr="00F71D45" w:rsidRDefault="00F35D90" w:rsidP="00904E9A">
            <w:pPr>
              <w:rPr>
                <w:rFonts w:cs="Times"/>
                <w:b/>
                <w:bCs/>
                <w:sz w:val="22"/>
                <w:szCs w:val="22"/>
                <w:highlight w:val="green"/>
                <w:lang w:val="en-US" w:eastAsia="x-none"/>
              </w:rPr>
            </w:pPr>
            <w:r w:rsidRPr="00F71D45">
              <w:rPr>
                <w:rFonts w:cs="Times"/>
                <w:b/>
                <w:bCs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4253EE86" w14:textId="77777777" w:rsidR="00F35D90" w:rsidRPr="00F71D45" w:rsidRDefault="00F35D90" w:rsidP="00904E9A">
            <w:pPr>
              <w:pStyle w:val="BodyText"/>
              <w:numPr>
                <w:ilvl w:val="0"/>
                <w:numId w:val="76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RAN1 continues discussion on the at least following physical layer related aspects of cell DTX/DRX aspects</w:t>
            </w:r>
          </w:p>
          <w:p w14:paraId="28F26A5D" w14:textId="77777777" w:rsidR="00F35D90" w:rsidRPr="00F71D45" w:rsidRDefault="00F35D90" w:rsidP="00904E9A">
            <w:pPr>
              <w:pStyle w:val="ListParagraph"/>
              <w:numPr>
                <w:ilvl w:val="1"/>
                <w:numId w:val="76"/>
              </w:numPr>
              <w:suppressAutoHyphens/>
              <w:rPr>
                <w:rFonts w:ascii="Times New Roman" w:eastAsia="SimSun" w:hAnsi="Times New Roman"/>
                <w:lang w:eastAsia="zh-CN"/>
              </w:rPr>
            </w:pPr>
            <w:r w:rsidRPr="00F71D45">
              <w:rPr>
                <w:rFonts w:ascii="Times New Roman" w:eastAsia="SimSun" w:hAnsi="Times New Roman"/>
                <w:lang w:eastAsia="zh-CN"/>
              </w:rPr>
              <w:t xml:space="preserve">physical layer signals/channels and procedures expected to be impacted during non-active periods of cell DTX/DRX </w:t>
            </w:r>
          </w:p>
          <w:p w14:paraId="76E749E6" w14:textId="77777777" w:rsidR="00F35D90" w:rsidRPr="00F71D45" w:rsidRDefault="00F35D90" w:rsidP="00904E9A">
            <w:pPr>
              <w:pStyle w:val="ListParagraph"/>
              <w:numPr>
                <w:ilvl w:val="2"/>
                <w:numId w:val="76"/>
              </w:numPr>
              <w:suppressAutoHyphens/>
              <w:rPr>
                <w:rFonts w:ascii="Times New Roman" w:eastAsia="SimSun" w:hAnsi="Times New Roman"/>
                <w:lang w:eastAsia="zh-CN"/>
              </w:rPr>
            </w:pPr>
            <w:r w:rsidRPr="00F71D45">
              <w:rPr>
                <w:rFonts w:ascii="Times New Roman" w:eastAsia="SimSun" w:hAnsi="Times New Roman"/>
                <w:lang w:eastAsia="zh-CN"/>
              </w:rPr>
              <w:t>consider impact to at least KPIs from the SI when physical layers/signals/channels are impacted by cell DTX/DRX</w:t>
            </w:r>
          </w:p>
          <w:p w14:paraId="220AEDC6" w14:textId="77777777" w:rsidR="00F35D90" w:rsidRPr="00F71D45" w:rsidRDefault="00F35D90" w:rsidP="00904E9A">
            <w:pPr>
              <w:pStyle w:val="BodyText"/>
              <w:numPr>
                <w:ilvl w:val="0"/>
                <w:numId w:val="76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Further discussions on other aspects are not precluded</w:t>
            </w:r>
          </w:p>
          <w:p w14:paraId="18508A17" w14:textId="77777777" w:rsidR="00F35D90" w:rsidRDefault="00F35D90" w:rsidP="00904E9A">
            <w:pPr>
              <w:spacing w:beforeLines="50" w:afterLines="50" w:after="120"/>
              <w:ind w:left="689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</w:p>
          <w:p w14:paraId="64CE60EE" w14:textId="77777777" w:rsidR="00F35D90" w:rsidRPr="00F71D45" w:rsidRDefault="00F35D90" w:rsidP="00904E9A">
            <w:pPr>
              <w:pStyle w:val="BodyText"/>
              <w:suppressAutoHyphens/>
              <w:spacing w:after="0"/>
              <w:rPr>
                <w:rFonts w:cs="Times"/>
                <w:b/>
                <w:szCs w:val="20"/>
                <w:highlight w:val="green"/>
                <w:lang w:eastAsia="zh-CN"/>
              </w:rPr>
            </w:pPr>
            <w:r w:rsidRPr="00F71D45">
              <w:rPr>
                <w:rFonts w:cs="Times"/>
                <w:b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14:paraId="5C697CBA" w14:textId="77777777" w:rsidR="00F35D90" w:rsidRPr="00F71D45" w:rsidRDefault="00F35D90" w:rsidP="00904E9A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At least the following candidate signals/channels for connected mode UEs</w:t>
            </w:r>
            <w:r w:rsidRPr="00F71D45">
              <w:rPr>
                <w:rFonts w:ascii="Times New Roman" w:eastAsia="Malgun Gothic" w:hAnsi="Times New Roman"/>
                <w:sz w:val="22"/>
                <w:szCs w:val="22"/>
                <w:lang w:eastAsia="zh-CN"/>
              </w:rPr>
              <w:t>,</w:t>
            </w: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      </w:r>
          </w:p>
          <w:p w14:paraId="55E2C57C" w14:textId="77777777" w:rsidR="00F35D90" w:rsidRPr="00F71D45" w:rsidRDefault="00F35D90" w:rsidP="00904E9A">
            <w:pPr>
              <w:pStyle w:val="BodyText"/>
              <w:numPr>
                <w:ilvl w:val="0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DL</w:t>
            </w:r>
          </w:p>
          <w:p w14:paraId="77BEFEAF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Periodic/Semi-persistent CSI-RS (including TRS)</w:t>
            </w:r>
          </w:p>
          <w:p w14:paraId="753D7B34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PRS</w:t>
            </w:r>
          </w:p>
          <w:p w14:paraId="52AC6F01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PDCCH scrambled with UE specific RNTI</w:t>
            </w:r>
          </w:p>
          <w:p w14:paraId="3C2B4F9B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PDCCH in Type-3 CSS</w:t>
            </w:r>
          </w:p>
          <w:p w14:paraId="6499C9C5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SPS-PDSCH</w:t>
            </w:r>
          </w:p>
          <w:p w14:paraId="7ADE69F2" w14:textId="77777777" w:rsidR="00F35D90" w:rsidRPr="00F71D45" w:rsidRDefault="00F35D90" w:rsidP="00904E9A">
            <w:pPr>
              <w:pStyle w:val="BodyText"/>
              <w:numPr>
                <w:ilvl w:val="0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UL</w:t>
            </w:r>
          </w:p>
          <w:p w14:paraId="419371E2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SR</w:t>
            </w:r>
          </w:p>
          <w:p w14:paraId="5084C670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Periodic/Semi-persistent CSI report</w:t>
            </w:r>
          </w:p>
          <w:p w14:paraId="10BDA0A4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Periodic/Semi-persistent SRS</w:t>
            </w:r>
          </w:p>
          <w:p w14:paraId="55C860E9" w14:textId="77777777" w:rsidR="00F35D90" w:rsidRPr="00F71D45" w:rsidRDefault="00F35D90" w:rsidP="00904E9A">
            <w:pPr>
              <w:pStyle w:val="BodyText"/>
              <w:numPr>
                <w:ilvl w:val="1"/>
                <w:numId w:val="77"/>
              </w:numPr>
              <w:suppressAutoHyphens/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F71D45">
              <w:rPr>
                <w:rFonts w:ascii="Times New Roman" w:hAnsi="Times New Roman"/>
                <w:sz w:val="22"/>
                <w:szCs w:val="22"/>
                <w:lang w:eastAsia="zh-CN"/>
              </w:rPr>
              <w:t>CG-PUSCH</w:t>
            </w:r>
          </w:p>
          <w:p w14:paraId="033AA05E" w14:textId="5D9AD5B0" w:rsidR="00CD1FD3" w:rsidRPr="00F71D45" w:rsidRDefault="00F35D90" w:rsidP="00AF6A21">
            <w:pPr>
              <w:spacing w:beforeLines="50" w:afterLines="50" w:after="120"/>
              <w:ind w:left="689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F71D45">
              <w:rPr>
                <w:sz w:val="22"/>
                <w:szCs w:val="22"/>
                <w:lang w:eastAsia="zh-CN"/>
              </w:rPr>
              <w:t>Other signals/channels are not precluded</w:t>
            </w:r>
          </w:p>
        </w:tc>
      </w:tr>
    </w:tbl>
    <w:p w14:paraId="1570B324" w14:textId="77777777" w:rsidR="00CD1FD3" w:rsidRDefault="00CD1FD3" w:rsidP="00CD1FD3">
      <w:pPr>
        <w:spacing w:after="0" w:line="276" w:lineRule="auto"/>
        <w:jc w:val="both"/>
        <w:rPr>
          <w:sz w:val="24"/>
          <w:szCs w:val="24"/>
        </w:rPr>
      </w:pPr>
    </w:p>
    <w:p w14:paraId="59E0E34F" w14:textId="55AA5914" w:rsidR="00CD1FD3" w:rsidRDefault="00CD1FD3" w:rsidP="00CD1FD3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While the WI topic is primarily a RAN2-led one, this contribution focuses on certain RAN1 aspects of interest. RAN2 aspects are discussed in our accompanying contribution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_Ref127450237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2855B3">
        <w:rPr>
          <w:sz w:val="24"/>
          <w:szCs w:val="24"/>
        </w:rPr>
        <w:t>[4]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</w:p>
    <w:p w14:paraId="1A87E56A" w14:textId="59C90F51" w:rsidR="005157FC" w:rsidRPr="005157FC" w:rsidRDefault="005157FC" w:rsidP="005157FC">
      <w:pPr>
        <w:pStyle w:val="Heading1"/>
      </w:pPr>
      <w:r>
        <w:t xml:space="preserve">Cell DTX and </w:t>
      </w:r>
      <w:r w:rsidR="00C52119">
        <w:t xml:space="preserve">relation to </w:t>
      </w:r>
      <w:r>
        <w:t>UE C-DRX</w:t>
      </w:r>
    </w:p>
    <w:p w14:paraId="7C146562" w14:textId="7B016CD4" w:rsidR="00BF3681" w:rsidRDefault="00C52119" w:rsidP="00BF3681">
      <w:pPr>
        <w:rPr>
          <w:sz w:val="24"/>
          <w:szCs w:val="24"/>
          <w:lang w:val="en-US"/>
        </w:rPr>
      </w:pPr>
      <w:r w:rsidRPr="00C52119">
        <w:rPr>
          <w:sz w:val="24"/>
          <w:szCs w:val="24"/>
          <w:lang w:val="en-US" w:eastAsia="zh-CN"/>
        </w:rPr>
        <w:t xml:space="preserve">Interaction of </w:t>
      </w:r>
      <w:r w:rsidR="000B3054">
        <w:rPr>
          <w:sz w:val="24"/>
          <w:szCs w:val="24"/>
          <w:lang w:val="en-US" w:eastAsia="zh-CN"/>
        </w:rPr>
        <w:t>cell DTX/</w:t>
      </w:r>
      <w:r w:rsidRPr="00C52119">
        <w:rPr>
          <w:sz w:val="24"/>
          <w:szCs w:val="24"/>
          <w:lang w:val="en-US" w:eastAsia="zh-CN"/>
        </w:rPr>
        <w:t xml:space="preserve">DRX with UE </w:t>
      </w:r>
      <w:r w:rsidR="00756E86">
        <w:rPr>
          <w:sz w:val="24"/>
          <w:szCs w:val="24"/>
          <w:lang w:val="en-US" w:eastAsia="zh-CN"/>
        </w:rPr>
        <w:t>C-</w:t>
      </w:r>
      <w:r w:rsidRPr="00C52119">
        <w:rPr>
          <w:sz w:val="24"/>
          <w:szCs w:val="24"/>
          <w:lang w:val="en-US" w:eastAsia="zh-CN"/>
        </w:rPr>
        <w:t>DRX</w:t>
      </w:r>
      <w:r>
        <w:rPr>
          <w:sz w:val="24"/>
          <w:szCs w:val="24"/>
          <w:lang w:val="en-US" w:eastAsia="zh-CN"/>
        </w:rPr>
        <w:t xml:space="preserve"> </w:t>
      </w:r>
      <w:r w:rsidR="00756E86">
        <w:rPr>
          <w:sz w:val="24"/>
          <w:szCs w:val="24"/>
          <w:lang w:val="en-US" w:eastAsia="zh-CN"/>
        </w:rPr>
        <w:t>(</w:t>
      </w:r>
      <w:r w:rsidR="00756E86" w:rsidRPr="001E1F9C">
        <w:rPr>
          <w:sz w:val="24"/>
          <w:szCs w:val="24"/>
          <w:lang w:val="en-US"/>
        </w:rPr>
        <w:t>Connected-Mode Discontinuous Reception</w:t>
      </w:r>
      <w:r w:rsidR="00756E86">
        <w:rPr>
          <w:sz w:val="24"/>
          <w:szCs w:val="24"/>
          <w:lang w:val="en-US" w:eastAsia="zh-CN"/>
        </w:rPr>
        <w:t xml:space="preserve">) </w:t>
      </w:r>
      <w:r>
        <w:rPr>
          <w:sz w:val="24"/>
          <w:szCs w:val="24"/>
          <w:lang w:val="en-US" w:eastAsia="zh-CN"/>
        </w:rPr>
        <w:t>was one of the topics in the email discussions</w:t>
      </w:r>
      <w:r w:rsidR="000B3054">
        <w:rPr>
          <w:sz w:val="24"/>
          <w:szCs w:val="24"/>
          <w:lang w:val="en-US" w:eastAsia="zh-CN"/>
        </w:rPr>
        <w:t xml:space="preserve"> </w:t>
      </w:r>
      <w:r w:rsidR="000B3054">
        <w:rPr>
          <w:sz w:val="24"/>
          <w:szCs w:val="24"/>
          <w:lang w:val="en-US" w:eastAsia="zh-CN"/>
        </w:rPr>
        <w:fldChar w:fldCharType="begin"/>
      </w:r>
      <w:r w:rsidR="000B3054">
        <w:rPr>
          <w:sz w:val="24"/>
          <w:szCs w:val="24"/>
          <w:lang w:val="en-US" w:eastAsia="zh-CN"/>
        </w:rPr>
        <w:instrText xml:space="preserve"> REF _Ref131753903 \r \h </w:instrText>
      </w:r>
      <w:r w:rsidR="000B3054">
        <w:rPr>
          <w:sz w:val="24"/>
          <w:szCs w:val="24"/>
          <w:lang w:val="en-US" w:eastAsia="zh-CN"/>
        </w:rPr>
      </w:r>
      <w:r w:rsidR="000B3054">
        <w:rPr>
          <w:sz w:val="24"/>
          <w:szCs w:val="24"/>
          <w:lang w:val="en-US" w:eastAsia="zh-CN"/>
        </w:rPr>
        <w:fldChar w:fldCharType="separate"/>
      </w:r>
      <w:r w:rsidR="000B3054">
        <w:rPr>
          <w:sz w:val="24"/>
          <w:szCs w:val="24"/>
          <w:lang w:val="en-US" w:eastAsia="zh-CN"/>
        </w:rPr>
        <w:t>[5]</w:t>
      </w:r>
      <w:r w:rsidR="000B3054">
        <w:rPr>
          <w:sz w:val="24"/>
          <w:szCs w:val="24"/>
          <w:lang w:val="en-US" w:eastAsia="zh-CN"/>
        </w:rPr>
        <w:fldChar w:fldCharType="end"/>
      </w:r>
      <w:r>
        <w:rPr>
          <w:sz w:val="24"/>
          <w:szCs w:val="24"/>
          <w:lang w:val="en-US" w:eastAsia="zh-CN"/>
        </w:rPr>
        <w:fldChar w:fldCharType="begin"/>
      </w:r>
      <w:r>
        <w:rPr>
          <w:sz w:val="24"/>
          <w:szCs w:val="24"/>
          <w:lang w:val="en-US" w:eastAsia="zh-CN"/>
        </w:rPr>
        <w:instrText xml:space="preserve"> REF _Ref131672789 \r \h </w:instrText>
      </w:r>
      <w:r>
        <w:rPr>
          <w:sz w:val="24"/>
          <w:szCs w:val="24"/>
          <w:lang w:val="en-US" w:eastAsia="zh-CN"/>
        </w:rPr>
      </w:r>
      <w:r>
        <w:rPr>
          <w:sz w:val="24"/>
          <w:szCs w:val="24"/>
          <w:lang w:val="en-US" w:eastAsia="zh-CN"/>
        </w:rPr>
        <w:fldChar w:fldCharType="separate"/>
      </w:r>
      <w:r>
        <w:rPr>
          <w:sz w:val="24"/>
          <w:szCs w:val="24"/>
          <w:lang w:val="en-US" w:eastAsia="zh-CN"/>
        </w:rPr>
        <w:fldChar w:fldCharType="end"/>
      </w:r>
      <w:r>
        <w:rPr>
          <w:sz w:val="24"/>
          <w:szCs w:val="24"/>
          <w:lang w:val="en-US" w:eastAsia="zh-CN"/>
        </w:rPr>
        <w:t xml:space="preserve"> during </w:t>
      </w:r>
      <w:r w:rsidRPr="008B3A6E">
        <w:rPr>
          <w:sz w:val="24"/>
          <w:szCs w:val="24"/>
          <w:lang w:val="en-US"/>
        </w:rPr>
        <w:t>RAN1#11</w:t>
      </w:r>
      <w:r>
        <w:rPr>
          <w:sz w:val="24"/>
          <w:szCs w:val="24"/>
          <w:lang w:val="en-US"/>
        </w:rPr>
        <w:t>2</w:t>
      </w:r>
      <w:r w:rsidR="00B36602">
        <w:rPr>
          <w:sz w:val="24"/>
          <w:szCs w:val="24"/>
          <w:lang w:val="en-US"/>
        </w:rPr>
        <w:t xml:space="preserve">, which was not concluded and is supposed to be continued in this meeting. </w:t>
      </w:r>
      <w:r w:rsidR="00034021">
        <w:rPr>
          <w:sz w:val="24"/>
          <w:szCs w:val="24"/>
          <w:lang w:val="en-US"/>
        </w:rPr>
        <w:t xml:space="preserve">While this is indeed a key aspect, </w:t>
      </w:r>
      <w:r w:rsidR="00FB6789">
        <w:rPr>
          <w:sz w:val="24"/>
          <w:szCs w:val="24"/>
          <w:lang w:val="en-US"/>
        </w:rPr>
        <w:t>the details of it would</w:t>
      </w:r>
      <w:r w:rsidR="00034021">
        <w:rPr>
          <w:sz w:val="24"/>
          <w:szCs w:val="24"/>
          <w:lang w:val="en-US"/>
        </w:rPr>
        <w:t xml:space="preserve"> essentially depend on what RAN2 decides. </w:t>
      </w:r>
      <w:r w:rsidR="00D44C92">
        <w:rPr>
          <w:sz w:val="24"/>
          <w:szCs w:val="24"/>
          <w:lang w:val="en-US"/>
        </w:rPr>
        <w:t xml:space="preserve">As </w:t>
      </w:r>
      <w:r w:rsidR="00CD1FD3">
        <w:rPr>
          <w:sz w:val="24"/>
          <w:szCs w:val="24"/>
          <w:lang w:val="en-US"/>
        </w:rPr>
        <w:t xml:space="preserve">argued in our accompanying RAN2 contribution on this topic </w:t>
      </w:r>
      <w:r w:rsidR="00CD1FD3">
        <w:rPr>
          <w:sz w:val="24"/>
          <w:szCs w:val="24"/>
          <w:lang w:val="en-US"/>
        </w:rPr>
        <w:fldChar w:fldCharType="begin"/>
      </w:r>
      <w:r w:rsidR="00CD1FD3">
        <w:rPr>
          <w:sz w:val="24"/>
          <w:szCs w:val="24"/>
          <w:lang w:val="en-US"/>
        </w:rPr>
        <w:instrText xml:space="preserve"> REF _Ref131673436 \r \h </w:instrText>
      </w:r>
      <w:r w:rsidR="00CD1FD3">
        <w:rPr>
          <w:sz w:val="24"/>
          <w:szCs w:val="24"/>
          <w:lang w:val="en-US"/>
        </w:rPr>
      </w:r>
      <w:r w:rsidR="00CD1FD3">
        <w:rPr>
          <w:sz w:val="24"/>
          <w:szCs w:val="24"/>
          <w:lang w:val="en-US"/>
        </w:rPr>
        <w:fldChar w:fldCharType="separate"/>
      </w:r>
      <w:r w:rsidR="002855B3">
        <w:rPr>
          <w:sz w:val="24"/>
          <w:szCs w:val="24"/>
          <w:lang w:val="en-US"/>
        </w:rPr>
        <w:t>[4]</w:t>
      </w:r>
      <w:r w:rsidR="00CD1FD3">
        <w:rPr>
          <w:sz w:val="24"/>
          <w:szCs w:val="24"/>
          <w:lang w:val="en-US"/>
        </w:rPr>
        <w:fldChar w:fldCharType="end"/>
      </w:r>
      <w:r w:rsidR="00AF6A21">
        <w:rPr>
          <w:sz w:val="24"/>
          <w:szCs w:val="24"/>
          <w:lang w:val="en-US"/>
        </w:rPr>
        <w:t xml:space="preserve">, </w:t>
      </w:r>
      <w:r w:rsidR="00FB6789">
        <w:rPr>
          <w:sz w:val="24"/>
          <w:szCs w:val="24"/>
          <w:lang w:val="en-US"/>
        </w:rPr>
        <w:t>since the UE behavior in C-DRX is well established, it is best to have the C-DRX configuration in alignment with cell DTX. Specifically, the</w:t>
      </w:r>
      <w:r w:rsidR="00FB6789" w:rsidRPr="00FB6789">
        <w:rPr>
          <w:sz w:val="24"/>
          <w:szCs w:val="24"/>
          <w:lang w:val="en-US"/>
        </w:rPr>
        <w:t xml:space="preserve"> </w:t>
      </w:r>
      <w:r w:rsidR="00FD78DA">
        <w:rPr>
          <w:sz w:val="24"/>
          <w:szCs w:val="24"/>
          <w:lang w:val="en-US"/>
        </w:rPr>
        <w:t>c</w:t>
      </w:r>
      <w:r w:rsidR="00FB6789" w:rsidRPr="00FB6789">
        <w:rPr>
          <w:sz w:val="24"/>
          <w:szCs w:val="24"/>
          <w:lang w:val="en-US"/>
        </w:rPr>
        <w:t xml:space="preserve">ell DTX configuration </w:t>
      </w:r>
      <w:r w:rsidR="00FB6789">
        <w:rPr>
          <w:sz w:val="24"/>
          <w:szCs w:val="24"/>
          <w:lang w:val="en-US"/>
        </w:rPr>
        <w:t>can include</w:t>
      </w:r>
      <w:r w:rsidR="00FB6789" w:rsidRPr="00FB6789">
        <w:rPr>
          <w:sz w:val="24"/>
          <w:szCs w:val="24"/>
          <w:lang w:val="en-US"/>
        </w:rPr>
        <w:t xml:space="preserve"> an alter</w:t>
      </w:r>
      <w:r w:rsidR="00FB6789">
        <w:rPr>
          <w:sz w:val="24"/>
          <w:szCs w:val="24"/>
          <w:lang w:val="en-US"/>
        </w:rPr>
        <w:t>native C-DRX configuration that</w:t>
      </w:r>
      <w:r w:rsidR="00FB6789" w:rsidRPr="00FB6789">
        <w:rPr>
          <w:sz w:val="24"/>
          <w:szCs w:val="24"/>
          <w:lang w:val="en-US"/>
        </w:rPr>
        <w:t xml:space="preserve"> is applicabl</w:t>
      </w:r>
      <w:r w:rsidR="00FB6789">
        <w:rPr>
          <w:sz w:val="24"/>
          <w:szCs w:val="24"/>
          <w:lang w:val="en-US"/>
        </w:rPr>
        <w:t xml:space="preserve">e when </w:t>
      </w:r>
      <w:r w:rsidR="00FD78DA">
        <w:rPr>
          <w:sz w:val="24"/>
          <w:szCs w:val="24"/>
          <w:lang w:val="en-US"/>
        </w:rPr>
        <w:t>c</w:t>
      </w:r>
      <w:r w:rsidR="00FB6789">
        <w:rPr>
          <w:sz w:val="24"/>
          <w:szCs w:val="24"/>
          <w:lang w:val="en-US"/>
        </w:rPr>
        <w:t xml:space="preserve">ell DTX is activated while </w:t>
      </w:r>
      <w:r w:rsidR="00FB6789" w:rsidRPr="00FB6789">
        <w:rPr>
          <w:sz w:val="24"/>
          <w:szCs w:val="24"/>
          <w:lang w:val="en-US"/>
        </w:rPr>
        <w:t xml:space="preserve">regular C-DRX configuration is applicable when </w:t>
      </w:r>
      <w:r w:rsidR="00FD78DA">
        <w:rPr>
          <w:sz w:val="24"/>
          <w:szCs w:val="24"/>
          <w:lang w:val="en-US"/>
        </w:rPr>
        <w:t>c</w:t>
      </w:r>
      <w:r w:rsidR="00FB6789" w:rsidRPr="00FB6789">
        <w:rPr>
          <w:sz w:val="24"/>
          <w:szCs w:val="24"/>
          <w:lang w:val="en-US"/>
        </w:rPr>
        <w:t xml:space="preserve">ell DTX is de-activated. </w:t>
      </w:r>
      <w:r w:rsidR="00FB6789">
        <w:rPr>
          <w:sz w:val="24"/>
          <w:szCs w:val="24"/>
          <w:lang w:val="en-US"/>
        </w:rPr>
        <w:t>This</w:t>
      </w:r>
      <w:r w:rsidR="00FB6789" w:rsidRPr="00FB6789">
        <w:rPr>
          <w:sz w:val="24"/>
          <w:szCs w:val="24"/>
          <w:lang w:val="en-US"/>
        </w:rPr>
        <w:t xml:space="preserve"> will make it </w:t>
      </w:r>
      <w:r w:rsidR="00FB6789">
        <w:rPr>
          <w:sz w:val="24"/>
          <w:szCs w:val="24"/>
          <w:lang w:val="en-US"/>
        </w:rPr>
        <w:t xml:space="preserve">easy </w:t>
      </w:r>
      <w:r w:rsidR="00FB6789" w:rsidRPr="00FB6789">
        <w:rPr>
          <w:sz w:val="24"/>
          <w:szCs w:val="24"/>
          <w:lang w:val="en-US"/>
        </w:rPr>
        <w:t xml:space="preserve">to </w:t>
      </w:r>
      <w:r w:rsidR="00FB6789">
        <w:rPr>
          <w:sz w:val="24"/>
          <w:szCs w:val="24"/>
          <w:lang w:val="en-US"/>
        </w:rPr>
        <w:t>support</w:t>
      </w:r>
      <w:r w:rsidR="00FB6789" w:rsidRPr="00FB6789">
        <w:rPr>
          <w:sz w:val="24"/>
          <w:szCs w:val="24"/>
          <w:lang w:val="en-US"/>
        </w:rPr>
        <w:t xml:space="preserve"> </w:t>
      </w:r>
      <w:r w:rsidR="00FD78DA">
        <w:rPr>
          <w:sz w:val="24"/>
          <w:szCs w:val="24"/>
          <w:lang w:val="en-US"/>
        </w:rPr>
        <w:t>c</w:t>
      </w:r>
      <w:r w:rsidR="00FB6789" w:rsidRPr="00FB6789">
        <w:rPr>
          <w:sz w:val="24"/>
          <w:szCs w:val="24"/>
          <w:lang w:val="en-US"/>
        </w:rPr>
        <w:t xml:space="preserve">ell DTX capable UEs </w:t>
      </w:r>
      <w:r w:rsidR="00FB6789">
        <w:rPr>
          <w:sz w:val="24"/>
          <w:szCs w:val="24"/>
          <w:lang w:val="en-US"/>
        </w:rPr>
        <w:t xml:space="preserve">along </w:t>
      </w:r>
      <w:r w:rsidR="00FB6789" w:rsidRPr="00FB6789">
        <w:rPr>
          <w:sz w:val="24"/>
          <w:szCs w:val="24"/>
          <w:lang w:val="en-US"/>
        </w:rPr>
        <w:t>with legacy UEs.</w:t>
      </w:r>
      <w:r w:rsidR="00FB6789">
        <w:rPr>
          <w:sz w:val="24"/>
          <w:szCs w:val="24"/>
          <w:lang w:val="en-US"/>
        </w:rPr>
        <w:t xml:space="preserve"> Thus, alignment of UE C-DRX is expected to be the main mechanism to establish cell-DTX efficiently.</w:t>
      </w:r>
    </w:p>
    <w:p w14:paraId="2011E016" w14:textId="2E3AF4E9" w:rsidR="00FB6789" w:rsidRPr="00FB6789" w:rsidRDefault="00FB6789" w:rsidP="00BF3681">
      <w:pPr>
        <w:rPr>
          <w:lang w:val="en-US"/>
        </w:rPr>
      </w:pPr>
      <w:r w:rsidRPr="00FB6789">
        <w:rPr>
          <w:b/>
          <w:sz w:val="24"/>
          <w:szCs w:val="24"/>
          <w:lang w:val="en-US"/>
        </w:rPr>
        <w:t xml:space="preserve">Observation 1: </w:t>
      </w:r>
      <w:r w:rsidR="00E86DD4">
        <w:rPr>
          <w:b/>
          <w:sz w:val="24"/>
          <w:szCs w:val="24"/>
          <w:lang w:val="en-US"/>
        </w:rPr>
        <w:t>A</w:t>
      </w:r>
      <w:r w:rsidRPr="00FB6789">
        <w:rPr>
          <w:b/>
          <w:sz w:val="24"/>
          <w:szCs w:val="24"/>
          <w:lang w:val="en-US"/>
        </w:rPr>
        <w:t xml:space="preserve">lignment of UE C-DRX </w:t>
      </w:r>
      <w:r w:rsidR="005231C2">
        <w:rPr>
          <w:b/>
          <w:sz w:val="24"/>
          <w:szCs w:val="24"/>
          <w:lang w:val="en-US"/>
        </w:rPr>
        <w:t>can be</w:t>
      </w:r>
      <w:r w:rsidRPr="00FB6789">
        <w:rPr>
          <w:b/>
          <w:sz w:val="24"/>
          <w:szCs w:val="24"/>
          <w:lang w:val="en-US"/>
        </w:rPr>
        <w:t xml:space="preserve"> </w:t>
      </w:r>
      <w:r w:rsidR="00FD78DA">
        <w:rPr>
          <w:b/>
          <w:sz w:val="24"/>
          <w:szCs w:val="24"/>
          <w:lang w:val="en-US"/>
        </w:rPr>
        <w:t>a</w:t>
      </w:r>
      <w:r w:rsidRPr="00FB6789">
        <w:rPr>
          <w:b/>
          <w:sz w:val="24"/>
          <w:szCs w:val="24"/>
          <w:lang w:val="en-US"/>
        </w:rPr>
        <w:t xml:space="preserve"> main mechanism to e</w:t>
      </w:r>
      <w:r w:rsidR="00560212">
        <w:rPr>
          <w:b/>
          <w:sz w:val="24"/>
          <w:szCs w:val="24"/>
          <w:lang w:val="en-US"/>
        </w:rPr>
        <w:t>nable</w:t>
      </w:r>
      <w:r w:rsidRPr="00FB6789">
        <w:rPr>
          <w:b/>
          <w:sz w:val="24"/>
          <w:szCs w:val="24"/>
          <w:lang w:val="en-US"/>
        </w:rPr>
        <w:t xml:space="preserve"> cell-DTX efficiently.</w:t>
      </w:r>
    </w:p>
    <w:p w14:paraId="42C3F0BC" w14:textId="34405051" w:rsidR="00E961B6" w:rsidRDefault="003626CB" w:rsidP="00510A4D">
      <w:pPr>
        <w:pStyle w:val="Heading1"/>
        <w:spacing w:before="480"/>
        <w:ind w:left="431" w:hanging="431"/>
      </w:pPr>
      <w:r>
        <w:lastRenderedPageBreak/>
        <w:t xml:space="preserve">Impact of </w:t>
      </w:r>
      <w:r w:rsidR="005A75D3">
        <w:t xml:space="preserve">HARQ Retransmissions </w:t>
      </w:r>
      <w:r>
        <w:t>on</w:t>
      </w:r>
      <w:r w:rsidR="005A75D3">
        <w:t xml:space="preserve"> </w:t>
      </w:r>
      <w:r w:rsidR="00BA16C3">
        <w:t xml:space="preserve">Cell DTX </w:t>
      </w:r>
    </w:p>
    <w:p w14:paraId="1D249FED" w14:textId="52C597BB" w:rsidR="00CD5682" w:rsidRDefault="005C7B39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</w:t>
      </w:r>
      <w:r w:rsidR="00756E86">
        <w:rPr>
          <w:sz w:val="24"/>
          <w:szCs w:val="24"/>
          <w:lang w:val="en-US"/>
        </w:rPr>
        <w:t>UE C-DRX</w:t>
      </w:r>
      <w:r>
        <w:rPr>
          <w:sz w:val="24"/>
          <w:szCs w:val="24"/>
          <w:lang w:val="en-US"/>
        </w:rPr>
        <w:t xml:space="preserve">, </w:t>
      </w:r>
      <w:r w:rsidR="0053079D">
        <w:rPr>
          <w:sz w:val="24"/>
          <w:szCs w:val="24"/>
          <w:lang w:val="en-US"/>
        </w:rPr>
        <w:t>to accommodate</w:t>
      </w:r>
      <w:r>
        <w:rPr>
          <w:sz w:val="24"/>
          <w:szCs w:val="24"/>
          <w:lang w:val="en-US"/>
        </w:rPr>
        <w:t xml:space="preserve"> HARQ retransmissions</w:t>
      </w:r>
      <w:r w:rsidR="0053079D">
        <w:rPr>
          <w:sz w:val="24"/>
          <w:szCs w:val="24"/>
          <w:lang w:val="en-US"/>
        </w:rPr>
        <w:t xml:space="preserve">, </w:t>
      </w:r>
      <w:r w:rsidR="006B5A6F">
        <w:rPr>
          <w:sz w:val="24"/>
          <w:szCs w:val="24"/>
          <w:lang w:val="en-US"/>
        </w:rPr>
        <w:t>the UE need</w:t>
      </w:r>
      <w:r w:rsidR="0010249E">
        <w:rPr>
          <w:sz w:val="24"/>
          <w:szCs w:val="24"/>
          <w:lang w:val="en-US"/>
        </w:rPr>
        <w:t>s</w:t>
      </w:r>
      <w:r w:rsidR="006B5A6F">
        <w:rPr>
          <w:sz w:val="24"/>
          <w:szCs w:val="24"/>
          <w:lang w:val="en-US"/>
        </w:rPr>
        <w:t xml:space="preserve"> to wake up to receive the PDCCH and the corresponding PDSCH scheduling of the retransmissions. In order to optimize the inactivity periods, along with the C-DRX parameters, the network configures the UE with a </w:t>
      </w:r>
      <w:r w:rsidR="00040A54">
        <w:rPr>
          <w:sz w:val="24"/>
          <w:szCs w:val="24"/>
          <w:lang w:val="en-US"/>
        </w:rPr>
        <w:t xml:space="preserve">DRX </w:t>
      </w:r>
      <w:r w:rsidR="008B3FD4">
        <w:rPr>
          <w:sz w:val="24"/>
          <w:szCs w:val="24"/>
          <w:lang w:val="en-US"/>
        </w:rPr>
        <w:t>r</w:t>
      </w:r>
      <w:r w:rsidR="00040A54">
        <w:rPr>
          <w:sz w:val="24"/>
          <w:szCs w:val="24"/>
          <w:lang w:val="en-US"/>
        </w:rPr>
        <w:t xml:space="preserve">etransmission </w:t>
      </w:r>
      <w:r w:rsidR="008B3FD4">
        <w:rPr>
          <w:sz w:val="24"/>
          <w:szCs w:val="24"/>
          <w:lang w:val="en-US"/>
        </w:rPr>
        <w:t>t</w:t>
      </w:r>
      <w:r w:rsidR="006B5A6F">
        <w:rPr>
          <w:sz w:val="24"/>
          <w:szCs w:val="24"/>
          <w:lang w:val="en-US"/>
        </w:rPr>
        <w:t>imer</w:t>
      </w:r>
      <w:r w:rsidR="00F716A0">
        <w:rPr>
          <w:sz w:val="24"/>
          <w:szCs w:val="24"/>
          <w:lang w:val="en-US"/>
        </w:rPr>
        <w:t xml:space="preserve"> </w:t>
      </w:r>
      <w:r w:rsidR="00317C8E">
        <w:rPr>
          <w:sz w:val="24"/>
          <w:szCs w:val="24"/>
          <w:lang w:val="en-US"/>
        </w:rPr>
        <w:fldChar w:fldCharType="begin"/>
      </w:r>
      <w:r w:rsidR="00317C8E">
        <w:rPr>
          <w:sz w:val="24"/>
          <w:szCs w:val="24"/>
          <w:lang w:val="en-US"/>
        </w:rPr>
        <w:instrText xml:space="preserve"> REF _Ref131754132 \r \h </w:instrText>
      </w:r>
      <w:r w:rsidR="00317C8E">
        <w:rPr>
          <w:sz w:val="24"/>
          <w:szCs w:val="24"/>
          <w:lang w:val="en-US"/>
        </w:rPr>
      </w:r>
      <w:r w:rsidR="00317C8E">
        <w:rPr>
          <w:sz w:val="24"/>
          <w:szCs w:val="24"/>
          <w:lang w:val="en-US"/>
        </w:rPr>
        <w:fldChar w:fldCharType="separate"/>
      </w:r>
      <w:r w:rsidR="00317C8E">
        <w:rPr>
          <w:sz w:val="24"/>
          <w:szCs w:val="24"/>
          <w:lang w:val="en-US"/>
        </w:rPr>
        <w:t>[6]</w:t>
      </w:r>
      <w:r w:rsidR="00317C8E">
        <w:rPr>
          <w:sz w:val="24"/>
          <w:szCs w:val="24"/>
          <w:lang w:val="en-US"/>
        </w:rPr>
        <w:fldChar w:fldCharType="end"/>
      </w:r>
      <w:bookmarkStart w:id="1" w:name="_GoBack"/>
      <w:bookmarkEnd w:id="1"/>
      <w:r w:rsidR="00F716A0">
        <w:rPr>
          <w:sz w:val="24"/>
          <w:szCs w:val="24"/>
          <w:lang w:val="en-US"/>
        </w:rPr>
        <w:t xml:space="preserve"> </w:t>
      </w:r>
      <w:r w:rsidR="00F716A0">
        <w:rPr>
          <w:rFonts w:ascii="Arial" w:hAnsi="Arial" w:cs="Arial"/>
          <w:color w:val="202124"/>
          <w:sz w:val="21"/>
          <w:szCs w:val="21"/>
          <w:shd w:val="clear" w:color="auto" w:fill="FFFFFF"/>
        </w:rPr>
        <w:t>—</w:t>
      </w:r>
      <w:r w:rsidR="00F716A0">
        <w:rPr>
          <w:i/>
          <w:sz w:val="24"/>
          <w:szCs w:val="24"/>
          <w:lang w:eastAsia="ko-KR"/>
        </w:rPr>
        <w:t xml:space="preserve"> </w:t>
      </w:r>
      <w:proofErr w:type="spellStart"/>
      <w:r w:rsidR="00F716A0">
        <w:rPr>
          <w:i/>
          <w:sz w:val="24"/>
          <w:szCs w:val="24"/>
          <w:lang w:eastAsia="ko-KR"/>
        </w:rPr>
        <w:t>d</w:t>
      </w:r>
      <w:r w:rsidR="008B3FD4" w:rsidRPr="008B3FD4">
        <w:rPr>
          <w:i/>
          <w:sz w:val="24"/>
          <w:szCs w:val="24"/>
          <w:lang w:eastAsia="ko-KR"/>
        </w:rPr>
        <w:t>rx-RetransmissionTimerDL</w:t>
      </w:r>
      <w:proofErr w:type="spellEnd"/>
      <w:r w:rsidR="008B3FD4" w:rsidRPr="008B3FD4">
        <w:rPr>
          <w:sz w:val="24"/>
          <w:szCs w:val="24"/>
          <w:lang w:eastAsia="ko-KR"/>
        </w:rPr>
        <w:t xml:space="preserve"> (per DL HARQ process except for the broadcast process): the maximum duration until a DL retransmission is received</w:t>
      </w:r>
      <w:r w:rsidR="00F716A0">
        <w:rPr>
          <w:sz w:val="24"/>
          <w:szCs w:val="24"/>
          <w:lang w:val="en-US"/>
        </w:rPr>
        <w:t xml:space="preserve"> </w:t>
      </w:r>
      <w:r w:rsidR="00F716A0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— </w:t>
      </w:r>
      <w:r w:rsidR="00040A54">
        <w:rPr>
          <w:sz w:val="24"/>
          <w:szCs w:val="24"/>
          <w:lang w:val="en-US"/>
        </w:rPr>
        <w:t xml:space="preserve">that allows the UE to </w:t>
      </w:r>
      <w:r w:rsidR="004802A4">
        <w:rPr>
          <w:sz w:val="24"/>
          <w:szCs w:val="24"/>
          <w:lang w:val="en-US"/>
        </w:rPr>
        <w:t>be inactive</w:t>
      </w:r>
      <w:r w:rsidR="00040A54">
        <w:rPr>
          <w:sz w:val="24"/>
          <w:szCs w:val="24"/>
          <w:lang w:val="en-US"/>
        </w:rPr>
        <w:t xml:space="preserve"> between a first transmission and </w:t>
      </w:r>
      <w:r w:rsidR="00F716A0">
        <w:rPr>
          <w:sz w:val="24"/>
          <w:szCs w:val="24"/>
          <w:lang w:val="en-US"/>
        </w:rPr>
        <w:t xml:space="preserve">a retransmission. </w:t>
      </w:r>
      <w:r w:rsidR="008D3965">
        <w:rPr>
          <w:sz w:val="24"/>
          <w:szCs w:val="24"/>
          <w:lang w:val="en-US"/>
        </w:rPr>
        <w:t>Even with such an optimized mechani</w:t>
      </w:r>
      <w:r w:rsidR="00CC3626">
        <w:rPr>
          <w:sz w:val="24"/>
          <w:szCs w:val="24"/>
          <w:lang w:val="en-US"/>
        </w:rPr>
        <w:t xml:space="preserve">sm, having to receive many retransmissions would result in increased UE power consumption. However, for example, assuming a CQI with </w:t>
      </w:r>
      <w:r w:rsidR="00E12AAC">
        <w:rPr>
          <w:sz w:val="24"/>
          <w:szCs w:val="24"/>
          <w:lang w:val="en-US"/>
        </w:rPr>
        <w:t>a</w:t>
      </w:r>
      <w:r w:rsidR="00CC3626">
        <w:rPr>
          <w:sz w:val="24"/>
          <w:szCs w:val="24"/>
          <w:lang w:val="en-US"/>
        </w:rPr>
        <w:t xml:space="preserve"> BLER target of 10% and link adaptation picking MCSs accordingly to result in an initial BLER of 10%, the UE</w:t>
      </w:r>
      <w:r w:rsidR="00E25275">
        <w:rPr>
          <w:sz w:val="24"/>
          <w:szCs w:val="24"/>
          <w:lang w:val="en-US"/>
        </w:rPr>
        <w:t xml:space="preserve"> </w:t>
      </w:r>
      <w:r w:rsidR="00E1444D">
        <w:rPr>
          <w:sz w:val="24"/>
          <w:szCs w:val="24"/>
          <w:lang w:val="en-US"/>
        </w:rPr>
        <w:t xml:space="preserve">may become inactive more often </w:t>
      </w:r>
      <w:r w:rsidR="00E25275">
        <w:rPr>
          <w:sz w:val="24"/>
          <w:szCs w:val="24"/>
          <w:lang w:val="en-US"/>
        </w:rPr>
        <w:t xml:space="preserve">(with 90% probability) </w:t>
      </w:r>
      <w:r w:rsidR="00CC3626">
        <w:rPr>
          <w:sz w:val="24"/>
          <w:szCs w:val="24"/>
          <w:lang w:val="en-US"/>
        </w:rPr>
        <w:t>without having to receive a retransmission.</w:t>
      </w:r>
    </w:p>
    <w:p w14:paraId="28A01B2B" w14:textId="67F37FA7" w:rsidR="00E55E5D" w:rsidRDefault="006E2A84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Addressing </w:t>
      </w:r>
      <w:r w:rsidR="00B942E7">
        <w:rPr>
          <w:sz w:val="24"/>
          <w:szCs w:val="24"/>
          <w:lang w:val="en-US"/>
        </w:rPr>
        <w:t>the above</w:t>
      </w:r>
      <w:r>
        <w:rPr>
          <w:sz w:val="24"/>
          <w:szCs w:val="24"/>
          <w:lang w:val="en-US"/>
        </w:rPr>
        <w:t xml:space="preserve"> situation from the perspective of a </w:t>
      </w:r>
      <w:proofErr w:type="spellStart"/>
      <w:r>
        <w:rPr>
          <w:sz w:val="24"/>
          <w:szCs w:val="24"/>
          <w:lang w:val="en-US"/>
        </w:rPr>
        <w:t>gNB</w:t>
      </w:r>
      <w:proofErr w:type="spellEnd"/>
      <w:r>
        <w:rPr>
          <w:sz w:val="24"/>
          <w:szCs w:val="24"/>
          <w:lang w:val="en-US"/>
        </w:rPr>
        <w:t xml:space="preserve"> employing cell</w:t>
      </w:r>
      <w:r w:rsidR="00E1444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DTX</w:t>
      </w:r>
      <w:r w:rsidR="00A00F81">
        <w:rPr>
          <w:sz w:val="24"/>
          <w:szCs w:val="24"/>
          <w:lang w:val="en-US"/>
        </w:rPr>
        <w:t xml:space="preserve">, but having to wake up </w:t>
      </w:r>
      <w:r w:rsidR="00B942E7">
        <w:rPr>
          <w:sz w:val="24"/>
          <w:szCs w:val="24"/>
          <w:lang w:val="en-US"/>
        </w:rPr>
        <w:t xml:space="preserve">to perform HARQ retransmissions, </w:t>
      </w:r>
      <w:r w:rsidR="001A5213">
        <w:rPr>
          <w:sz w:val="24"/>
          <w:szCs w:val="24"/>
          <w:lang w:val="en-US"/>
        </w:rPr>
        <w:t>the impact is more severe.</w:t>
      </w:r>
      <w:r w:rsidR="00E55E5D">
        <w:rPr>
          <w:sz w:val="24"/>
          <w:szCs w:val="24"/>
          <w:lang w:val="en-US"/>
        </w:rPr>
        <w:t xml:space="preserve"> Consider the ideal case of </w:t>
      </w:r>
      <w:r w:rsidR="00E55E5D" w:rsidRPr="0010249E">
        <w:rPr>
          <w:sz w:val="24"/>
          <w:szCs w:val="24"/>
          <w:lang w:val="en-US"/>
        </w:rPr>
        <w:fldChar w:fldCharType="begin"/>
      </w:r>
      <w:r w:rsidR="00E55E5D" w:rsidRPr="001627EC">
        <w:rPr>
          <w:sz w:val="24"/>
          <w:szCs w:val="24"/>
          <w:lang w:val="en-US"/>
        </w:rPr>
        <w:instrText xml:space="preserve"> REF _Ref127523898 \h </w:instrText>
      </w:r>
      <w:r w:rsidR="0010249E">
        <w:rPr>
          <w:sz w:val="24"/>
          <w:szCs w:val="24"/>
          <w:lang w:val="en-US"/>
        </w:rPr>
        <w:instrText xml:space="preserve"> \* MERGEFORMAT </w:instrText>
      </w:r>
      <w:r w:rsidR="00E55E5D" w:rsidRPr="0010249E">
        <w:rPr>
          <w:sz w:val="24"/>
          <w:szCs w:val="24"/>
          <w:lang w:val="en-US"/>
        </w:rPr>
      </w:r>
      <w:r w:rsidR="00E55E5D" w:rsidRPr="0010249E">
        <w:rPr>
          <w:sz w:val="24"/>
          <w:szCs w:val="24"/>
          <w:lang w:val="en-US"/>
        </w:rPr>
        <w:fldChar w:fldCharType="separate"/>
      </w:r>
      <w:r w:rsidR="002855B3" w:rsidRPr="002855B3">
        <w:rPr>
          <w:sz w:val="24"/>
          <w:szCs w:val="24"/>
        </w:rPr>
        <w:t xml:space="preserve">Figure </w:t>
      </w:r>
      <w:r w:rsidR="002855B3" w:rsidRPr="002855B3">
        <w:rPr>
          <w:noProof/>
          <w:sz w:val="24"/>
          <w:szCs w:val="24"/>
        </w:rPr>
        <w:t>1</w:t>
      </w:r>
      <w:r w:rsidR="00E55E5D" w:rsidRPr="0010249E">
        <w:rPr>
          <w:sz w:val="24"/>
          <w:szCs w:val="24"/>
          <w:lang w:val="en-US"/>
        </w:rPr>
        <w:fldChar w:fldCharType="end"/>
      </w:r>
      <w:r w:rsidR="00E55E5D">
        <w:rPr>
          <w:sz w:val="24"/>
          <w:szCs w:val="24"/>
          <w:lang w:val="en-US"/>
        </w:rPr>
        <w:t xml:space="preserve">, without any need for retransmissions. This could be for example VoIP UEs which can be quickly served on C-DRX ON time. The cell can sleep for long and may even be able to plan light sleep, which reduces the energy consumption significantly </w:t>
      </w:r>
      <w:r w:rsidR="00E55E5D">
        <w:rPr>
          <w:sz w:val="24"/>
          <w:szCs w:val="24"/>
          <w:lang w:val="en-US"/>
        </w:rPr>
        <w:fldChar w:fldCharType="begin"/>
      </w:r>
      <w:r w:rsidR="00E55E5D">
        <w:rPr>
          <w:sz w:val="24"/>
          <w:szCs w:val="24"/>
          <w:lang w:val="en-US"/>
        </w:rPr>
        <w:instrText xml:space="preserve"> REF _Ref127449194 \n \h </w:instrText>
      </w:r>
      <w:r w:rsidR="00E55E5D">
        <w:rPr>
          <w:sz w:val="24"/>
          <w:szCs w:val="24"/>
          <w:lang w:val="en-US"/>
        </w:rPr>
      </w:r>
      <w:r w:rsidR="00E55E5D">
        <w:rPr>
          <w:sz w:val="24"/>
          <w:szCs w:val="24"/>
          <w:lang w:val="en-US"/>
        </w:rPr>
        <w:fldChar w:fldCharType="separate"/>
      </w:r>
      <w:r w:rsidR="002855B3">
        <w:rPr>
          <w:sz w:val="24"/>
          <w:szCs w:val="24"/>
          <w:lang w:val="en-US"/>
        </w:rPr>
        <w:t>[2]</w:t>
      </w:r>
      <w:r w:rsidR="00E55E5D">
        <w:rPr>
          <w:sz w:val="24"/>
          <w:szCs w:val="24"/>
          <w:lang w:val="en-US"/>
        </w:rPr>
        <w:fldChar w:fldCharType="end"/>
      </w:r>
      <w:r w:rsidR="00E55E5D">
        <w:rPr>
          <w:sz w:val="24"/>
          <w:szCs w:val="24"/>
          <w:lang w:val="en-US"/>
        </w:rPr>
        <w:t xml:space="preserve">. In contrast, </w:t>
      </w:r>
      <w:r w:rsidR="00C6412A" w:rsidRPr="00C6412A">
        <w:rPr>
          <w:sz w:val="24"/>
          <w:szCs w:val="24"/>
          <w:lang w:val="en-US"/>
        </w:rPr>
        <w:t xml:space="preserve">the cell would </w:t>
      </w:r>
      <w:r w:rsidR="00C6412A">
        <w:rPr>
          <w:sz w:val="24"/>
          <w:szCs w:val="24"/>
          <w:lang w:val="en-US"/>
        </w:rPr>
        <w:t xml:space="preserve">need to </w:t>
      </w:r>
      <w:r w:rsidR="00C6412A" w:rsidRPr="00C6412A">
        <w:rPr>
          <w:sz w:val="24"/>
          <w:szCs w:val="24"/>
          <w:lang w:val="en-US"/>
        </w:rPr>
        <w:t>wake up e</w:t>
      </w:r>
      <w:r w:rsidR="00C6412A">
        <w:rPr>
          <w:sz w:val="24"/>
          <w:szCs w:val="24"/>
          <w:lang w:val="en-US"/>
        </w:rPr>
        <w:t>ven if only a single UE requires</w:t>
      </w:r>
      <w:r w:rsidR="00C6412A" w:rsidRPr="00C6412A">
        <w:rPr>
          <w:sz w:val="24"/>
          <w:szCs w:val="24"/>
          <w:lang w:val="en-US"/>
        </w:rPr>
        <w:t xml:space="preserve"> retransmission, with the cell waking up more frequently</w:t>
      </w:r>
      <w:r w:rsidR="00C6412A">
        <w:rPr>
          <w:sz w:val="24"/>
          <w:szCs w:val="24"/>
          <w:lang w:val="en-US"/>
        </w:rPr>
        <w:t xml:space="preserve"> as the number of UEs increases</w:t>
      </w:r>
      <w:r w:rsidR="001A5213">
        <w:rPr>
          <w:sz w:val="24"/>
          <w:szCs w:val="24"/>
          <w:lang w:val="en-US"/>
        </w:rPr>
        <w:t>.</w:t>
      </w:r>
      <w:r w:rsidR="00E55E5D">
        <w:rPr>
          <w:sz w:val="24"/>
          <w:szCs w:val="24"/>
          <w:lang w:val="en-US"/>
        </w:rPr>
        <w:t xml:space="preserve"> This</w:t>
      </w:r>
      <w:r w:rsidR="00C6412A">
        <w:rPr>
          <w:sz w:val="24"/>
          <w:szCs w:val="24"/>
          <w:lang w:val="en-US"/>
        </w:rPr>
        <w:t xml:space="preserve"> is</w:t>
      </w:r>
      <w:r w:rsidR="00E55E5D">
        <w:rPr>
          <w:sz w:val="24"/>
          <w:szCs w:val="24"/>
          <w:lang w:val="en-US"/>
        </w:rPr>
        <w:t xml:space="preserve"> illustrated in</w:t>
      </w:r>
      <w:r w:rsidR="001A5213">
        <w:rPr>
          <w:sz w:val="24"/>
          <w:szCs w:val="24"/>
          <w:lang w:val="en-US"/>
        </w:rPr>
        <w:t xml:space="preserve"> </w:t>
      </w:r>
      <w:r w:rsidR="00E55E5D" w:rsidRPr="00E25275">
        <w:rPr>
          <w:sz w:val="24"/>
          <w:szCs w:val="24"/>
          <w:lang w:val="en-US"/>
        </w:rPr>
        <w:fldChar w:fldCharType="begin"/>
      </w:r>
      <w:r w:rsidR="00E55E5D" w:rsidRPr="001627EC">
        <w:rPr>
          <w:sz w:val="24"/>
          <w:szCs w:val="24"/>
          <w:lang w:val="en-US"/>
        </w:rPr>
        <w:instrText xml:space="preserve"> REF _Ref127524063 \h </w:instrText>
      </w:r>
      <w:r w:rsidR="0010249E">
        <w:rPr>
          <w:sz w:val="24"/>
          <w:szCs w:val="24"/>
          <w:lang w:val="en-US"/>
        </w:rPr>
        <w:instrText xml:space="preserve"> \* MERGEFORMAT </w:instrText>
      </w:r>
      <w:r w:rsidR="00E55E5D" w:rsidRPr="00E25275">
        <w:rPr>
          <w:sz w:val="24"/>
          <w:szCs w:val="24"/>
          <w:lang w:val="en-US"/>
        </w:rPr>
      </w:r>
      <w:r w:rsidR="00E55E5D" w:rsidRPr="00E25275">
        <w:rPr>
          <w:sz w:val="24"/>
          <w:szCs w:val="24"/>
          <w:lang w:val="en-US"/>
        </w:rPr>
        <w:fldChar w:fldCharType="separate"/>
      </w:r>
      <w:r w:rsidR="002855B3" w:rsidRPr="002855B3">
        <w:rPr>
          <w:sz w:val="24"/>
          <w:szCs w:val="24"/>
        </w:rPr>
        <w:t xml:space="preserve">Figure </w:t>
      </w:r>
      <w:r w:rsidR="002855B3" w:rsidRPr="002855B3">
        <w:rPr>
          <w:noProof/>
          <w:sz w:val="24"/>
          <w:szCs w:val="24"/>
        </w:rPr>
        <w:t>2</w:t>
      </w:r>
      <w:r w:rsidR="00E55E5D" w:rsidRPr="00E25275">
        <w:rPr>
          <w:sz w:val="24"/>
          <w:szCs w:val="24"/>
          <w:lang w:val="en-US"/>
        </w:rPr>
        <w:fldChar w:fldCharType="end"/>
      </w:r>
      <w:r w:rsidR="00E55E5D">
        <w:rPr>
          <w:sz w:val="24"/>
          <w:szCs w:val="24"/>
          <w:lang w:val="en-US"/>
        </w:rPr>
        <w:t xml:space="preserve">. The cell may not only sleep for less time but it may also lose the ability of having enough continuous sleep time to plan light sleep. The </w:t>
      </w:r>
      <w:r w:rsidR="00C6412A">
        <w:rPr>
          <w:sz w:val="24"/>
          <w:szCs w:val="24"/>
          <w:lang w:val="en-US"/>
        </w:rPr>
        <w:t>increase in</w:t>
      </w:r>
      <w:r w:rsidR="00E55E5D">
        <w:rPr>
          <w:sz w:val="24"/>
          <w:szCs w:val="24"/>
          <w:lang w:val="en-US"/>
        </w:rPr>
        <w:t xml:space="preserve"> energy consumption is significant.</w:t>
      </w:r>
    </w:p>
    <w:p w14:paraId="2907D4BC" w14:textId="77777777" w:rsidR="00E55E5D" w:rsidRDefault="00E55E5D" w:rsidP="00E55E5D">
      <w:pPr>
        <w:keepNext/>
        <w:spacing w:after="240"/>
        <w:jc w:val="center"/>
      </w:pPr>
      <w:r>
        <w:rPr>
          <w:noProof/>
          <w:sz w:val="24"/>
          <w:szCs w:val="24"/>
          <w:lang w:val="en-US"/>
        </w:rPr>
        <w:drawing>
          <wp:inline distT="0" distB="0" distL="0" distR="0" wp14:anchorId="3F3A58B5" wp14:editId="40ED97A0">
            <wp:extent cx="5943600" cy="2664249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_retx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6461" cy="267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6BCA1" w14:textId="74560A8B" w:rsidR="00E55E5D" w:rsidRDefault="00E55E5D" w:rsidP="00E55E5D">
      <w:pPr>
        <w:pStyle w:val="Caption"/>
        <w:jc w:val="both"/>
        <w:rPr>
          <w:sz w:val="24"/>
          <w:szCs w:val="24"/>
          <w:lang w:val="en-US"/>
        </w:rPr>
      </w:pPr>
      <w:bookmarkStart w:id="2" w:name="_Ref1275238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855B3">
        <w:rPr>
          <w:noProof/>
        </w:rPr>
        <w:t>1</w:t>
      </w:r>
      <w:r>
        <w:fldChar w:fldCharType="end"/>
      </w:r>
      <w:bookmarkEnd w:id="2"/>
      <w:r>
        <w:t xml:space="preserve"> – Example of </w:t>
      </w:r>
      <w:r w:rsidR="00E1444D">
        <w:t>c</w:t>
      </w:r>
      <w:r>
        <w:t>ell</w:t>
      </w:r>
      <w:r w:rsidR="00E1444D">
        <w:t xml:space="preserve"> </w:t>
      </w:r>
      <w:r>
        <w:t>DTX in the absence of retransmissions. The cell sleep</w:t>
      </w:r>
      <w:r w:rsidR="00C6412A">
        <w:t>s</w:t>
      </w:r>
      <w:r>
        <w:t xml:space="preserve"> for longer time and may even reach light sleep</w:t>
      </w:r>
      <w:r w:rsidR="00C6412A">
        <w:t>.</w:t>
      </w:r>
    </w:p>
    <w:p w14:paraId="3F921B81" w14:textId="20871DA7" w:rsidR="00E55E5D" w:rsidRDefault="00E55E5D" w:rsidP="00040A54">
      <w:pPr>
        <w:spacing w:after="240"/>
        <w:jc w:val="both"/>
        <w:rPr>
          <w:sz w:val="24"/>
          <w:szCs w:val="24"/>
          <w:lang w:val="en-US"/>
        </w:rPr>
      </w:pPr>
    </w:p>
    <w:p w14:paraId="14FA186C" w14:textId="77777777" w:rsidR="00E55E5D" w:rsidRDefault="00E55E5D" w:rsidP="00E55E5D">
      <w:pPr>
        <w:keepNext/>
        <w:spacing w:after="240"/>
        <w:jc w:val="center"/>
      </w:pPr>
      <w:r>
        <w:rPr>
          <w:noProof/>
          <w:sz w:val="24"/>
          <w:szCs w:val="24"/>
          <w:lang w:val="en-US"/>
        </w:rPr>
        <w:lastRenderedPageBreak/>
        <w:drawing>
          <wp:inline distT="0" distB="0" distL="0" distR="0" wp14:anchorId="4FBE7620" wp14:editId="384E870B">
            <wp:extent cx="5753100" cy="2423087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th_retx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5202" cy="2428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961C9" w14:textId="03E98FE5" w:rsidR="00E55E5D" w:rsidRDefault="00E55E5D" w:rsidP="00E55E5D">
      <w:pPr>
        <w:pStyle w:val="Caption"/>
        <w:jc w:val="both"/>
        <w:rPr>
          <w:sz w:val="24"/>
          <w:szCs w:val="24"/>
          <w:lang w:val="en-US"/>
        </w:rPr>
      </w:pPr>
      <w:bookmarkStart w:id="3" w:name="_Ref127524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855B3">
        <w:rPr>
          <w:noProof/>
        </w:rPr>
        <w:t>2</w:t>
      </w:r>
      <w:r>
        <w:fldChar w:fldCharType="end"/>
      </w:r>
      <w:bookmarkEnd w:id="3"/>
      <w:r>
        <w:t xml:space="preserve"> – Example of </w:t>
      </w:r>
      <w:r w:rsidR="00E1444D">
        <w:t>c</w:t>
      </w:r>
      <w:r>
        <w:t>ell DTX when HARQ retransmissions are present. Not only the cell sleeps for less time but also it may not have enough time to reach light sleep.</w:t>
      </w:r>
    </w:p>
    <w:p w14:paraId="1F168017" w14:textId="77777777" w:rsidR="00E55E5D" w:rsidRDefault="00E55E5D" w:rsidP="00040A54">
      <w:pPr>
        <w:spacing w:after="240"/>
        <w:jc w:val="both"/>
        <w:rPr>
          <w:sz w:val="24"/>
          <w:szCs w:val="24"/>
          <w:lang w:val="en-US"/>
        </w:rPr>
      </w:pPr>
    </w:p>
    <w:p w14:paraId="468F4476" w14:textId="030C64D9" w:rsidR="00CC3626" w:rsidRDefault="00A605B0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Again, considering the above example, </w:t>
      </w:r>
      <w:r w:rsidR="00500A11">
        <w:rPr>
          <w:sz w:val="24"/>
          <w:szCs w:val="24"/>
          <w:lang w:val="en-US"/>
        </w:rPr>
        <w:t xml:space="preserve">assuming </w:t>
      </w:r>
      <w:r w:rsidRPr="00A605B0">
        <w:rPr>
          <w:sz w:val="24"/>
          <w:szCs w:val="24"/>
          <w:lang w:val="en-US"/>
        </w:rPr>
        <w:t>an initial BLER of 10%,</w:t>
      </w:r>
      <w:r>
        <w:rPr>
          <w:sz w:val="24"/>
          <w:szCs w:val="24"/>
          <w:lang w:val="en-US"/>
        </w:rPr>
        <w:t xml:space="preserve"> </w:t>
      </w:r>
      <w:r w:rsidRPr="00A605B0">
        <w:rPr>
          <w:sz w:val="24"/>
          <w:szCs w:val="24"/>
          <w:lang w:val="en-US"/>
        </w:rPr>
        <w:t>the probab</w:t>
      </w:r>
      <w:r w:rsidR="00E55E5D">
        <w:rPr>
          <w:sz w:val="24"/>
          <w:szCs w:val="24"/>
          <w:lang w:val="en-US"/>
        </w:rPr>
        <w:t>i</w:t>
      </w:r>
      <w:r w:rsidRPr="00A605B0">
        <w:rPr>
          <w:sz w:val="24"/>
          <w:szCs w:val="24"/>
          <w:lang w:val="en-US"/>
        </w:rPr>
        <w:t>l</w:t>
      </w:r>
      <w:r w:rsidR="00E55E5D">
        <w:rPr>
          <w:sz w:val="24"/>
          <w:szCs w:val="24"/>
          <w:lang w:val="en-US"/>
        </w:rPr>
        <w:t>it</w:t>
      </w:r>
      <w:r w:rsidRPr="00A605B0">
        <w:rPr>
          <w:sz w:val="24"/>
          <w:szCs w:val="24"/>
          <w:lang w:val="en-US"/>
        </w:rPr>
        <w:t>y</w:t>
      </w:r>
      <w:r>
        <w:rPr>
          <w:sz w:val="24"/>
          <w:szCs w:val="24"/>
          <w:lang w:val="en-US"/>
        </w:rPr>
        <w:t xml:space="preserve"> for</w:t>
      </w:r>
      <w:r w:rsidRPr="00A605B0">
        <w:rPr>
          <w:sz w:val="24"/>
          <w:szCs w:val="24"/>
          <w:lang w:val="en-US"/>
        </w:rPr>
        <w:t xml:space="preserve"> no UE needing a </w:t>
      </w:r>
      <w:r w:rsidR="00500A11">
        <w:rPr>
          <w:sz w:val="24"/>
          <w:szCs w:val="24"/>
          <w:lang w:val="en-US"/>
        </w:rPr>
        <w:t>HARQ retransmission</w:t>
      </w:r>
      <w:r w:rsidR="00C6412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- </w:t>
      </w:r>
      <w:r w:rsidRPr="00A605B0">
        <w:rPr>
          <w:sz w:val="24"/>
          <w:szCs w:val="24"/>
          <w:lang w:val="en-US"/>
        </w:rPr>
        <w:t xml:space="preserve">so </w:t>
      </w:r>
      <w:r w:rsidR="00500A11">
        <w:rPr>
          <w:sz w:val="24"/>
          <w:szCs w:val="24"/>
          <w:lang w:val="en-US"/>
        </w:rPr>
        <w:t xml:space="preserve">that </w:t>
      </w:r>
      <w:r w:rsidRPr="00A605B0">
        <w:rPr>
          <w:sz w:val="24"/>
          <w:szCs w:val="24"/>
          <w:lang w:val="en-US"/>
        </w:rPr>
        <w:t xml:space="preserve">the cell the can </w:t>
      </w:r>
      <w:r w:rsidR="00500A11">
        <w:rPr>
          <w:sz w:val="24"/>
          <w:szCs w:val="24"/>
          <w:lang w:val="en-US"/>
        </w:rPr>
        <w:t>be inactive as per the desired cell</w:t>
      </w:r>
      <w:r w:rsidR="00E1444D">
        <w:rPr>
          <w:sz w:val="24"/>
          <w:szCs w:val="24"/>
          <w:lang w:val="en-US"/>
        </w:rPr>
        <w:t xml:space="preserve"> </w:t>
      </w:r>
      <w:r w:rsidR="00500A11">
        <w:rPr>
          <w:sz w:val="24"/>
          <w:szCs w:val="24"/>
          <w:lang w:val="en-US"/>
        </w:rPr>
        <w:t>DTX pattern</w:t>
      </w:r>
      <w:r w:rsidR="00C6412A">
        <w:rPr>
          <w:sz w:val="24"/>
          <w:szCs w:val="24"/>
          <w:lang w:val="en-US"/>
        </w:rPr>
        <w:t xml:space="preserve"> </w:t>
      </w:r>
      <w:r w:rsidR="00C6412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- </w:t>
      </w:r>
      <w:r w:rsidRPr="00A605B0">
        <w:rPr>
          <w:sz w:val="24"/>
          <w:szCs w:val="24"/>
          <w:lang w:val="en-US"/>
        </w:rPr>
        <w:t>decreases significantly</w:t>
      </w:r>
      <w:r>
        <w:rPr>
          <w:sz w:val="24"/>
          <w:szCs w:val="24"/>
          <w:lang w:val="en-US"/>
        </w:rPr>
        <w:t xml:space="preserve"> as noted in </w:t>
      </w:r>
      <w:r w:rsidR="006C6A72" w:rsidRPr="006C6A72">
        <w:rPr>
          <w:sz w:val="24"/>
          <w:szCs w:val="24"/>
          <w:lang w:val="en-US"/>
        </w:rPr>
        <w:fldChar w:fldCharType="begin"/>
      </w:r>
      <w:r w:rsidR="006C6A72" w:rsidRPr="006C6A72">
        <w:rPr>
          <w:sz w:val="24"/>
          <w:szCs w:val="24"/>
          <w:lang w:val="en-US"/>
        </w:rPr>
        <w:instrText xml:space="preserve"> REF _Ref127456593 \h </w:instrText>
      </w:r>
      <w:r w:rsidR="006C6A72">
        <w:rPr>
          <w:sz w:val="24"/>
          <w:szCs w:val="24"/>
          <w:lang w:val="en-US"/>
        </w:rPr>
        <w:instrText xml:space="preserve"> \* MERGEFORMAT </w:instrText>
      </w:r>
      <w:r w:rsidR="006C6A72" w:rsidRPr="006C6A72">
        <w:rPr>
          <w:sz w:val="24"/>
          <w:szCs w:val="24"/>
          <w:lang w:val="en-US"/>
        </w:rPr>
      </w:r>
      <w:r w:rsidR="006C6A72" w:rsidRPr="006C6A72">
        <w:rPr>
          <w:sz w:val="24"/>
          <w:szCs w:val="24"/>
          <w:lang w:val="en-US"/>
        </w:rPr>
        <w:fldChar w:fldCharType="separate"/>
      </w:r>
      <w:r w:rsidR="002855B3" w:rsidRPr="001F5DA3">
        <w:rPr>
          <w:sz w:val="24"/>
          <w:szCs w:val="24"/>
        </w:rPr>
        <w:t xml:space="preserve">Table </w:t>
      </w:r>
      <w:r w:rsidR="002855B3">
        <w:rPr>
          <w:noProof/>
          <w:sz w:val="24"/>
          <w:szCs w:val="24"/>
        </w:rPr>
        <w:t>1</w:t>
      </w:r>
      <w:r w:rsidR="006C6A72" w:rsidRPr="006C6A72">
        <w:rPr>
          <w:sz w:val="24"/>
          <w:szCs w:val="24"/>
          <w:lang w:val="en-US"/>
        </w:rPr>
        <w:fldChar w:fldCharType="end"/>
      </w:r>
      <w:r w:rsidRPr="006C6A72">
        <w:rPr>
          <w:sz w:val="24"/>
          <w:szCs w:val="24"/>
          <w:lang w:val="en-US"/>
        </w:rPr>
        <w:t>.</w:t>
      </w:r>
    </w:p>
    <w:p w14:paraId="1EDB20E5" w14:textId="76D5743C" w:rsidR="00A605B0" w:rsidRPr="001F5DA3" w:rsidRDefault="00A605B0" w:rsidP="00A605B0">
      <w:pPr>
        <w:pStyle w:val="Caption"/>
        <w:keepNext/>
        <w:jc w:val="center"/>
        <w:rPr>
          <w:sz w:val="24"/>
          <w:szCs w:val="24"/>
        </w:rPr>
      </w:pPr>
      <w:bookmarkStart w:id="4" w:name="_Ref127456593"/>
      <w:r w:rsidRPr="001F5DA3">
        <w:rPr>
          <w:sz w:val="24"/>
          <w:szCs w:val="24"/>
        </w:rPr>
        <w:t xml:space="preserve">Table </w:t>
      </w:r>
      <w:r w:rsidRPr="001F5DA3">
        <w:rPr>
          <w:sz w:val="24"/>
          <w:szCs w:val="24"/>
        </w:rPr>
        <w:fldChar w:fldCharType="begin"/>
      </w:r>
      <w:r w:rsidRPr="001F5DA3">
        <w:rPr>
          <w:sz w:val="24"/>
          <w:szCs w:val="24"/>
        </w:rPr>
        <w:instrText xml:space="preserve"> SEQ Table \* ARABIC </w:instrText>
      </w:r>
      <w:r w:rsidRPr="001F5DA3">
        <w:rPr>
          <w:sz w:val="24"/>
          <w:szCs w:val="24"/>
        </w:rPr>
        <w:fldChar w:fldCharType="separate"/>
      </w:r>
      <w:r w:rsidR="002855B3">
        <w:rPr>
          <w:noProof/>
          <w:sz w:val="24"/>
          <w:szCs w:val="24"/>
        </w:rPr>
        <w:t>1</w:t>
      </w:r>
      <w:r w:rsidRPr="001F5DA3">
        <w:rPr>
          <w:sz w:val="24"/>
          <w:szCs w:val="24"/>
        </w:rPr>
        <w:fldChar w:fldCharType="end"/>
      </w:r>
      <w:bookmarkEnd w:id="4"/>
      <w:r w:rsidRPr="001F5DA3">
        <w:rPr>
          <w:sz w:val="24"/>
          <w:szCs w:val="24"/>
        </w:rPr>
        <w:t xml:space="preserve">: Probably for no UE needing a </w:t>
      </w:r>
      <w:r w:rsidR="00500A11">
        <w:rPr>
          <w:sz w:val="24"/>
          <w:szCs w:val="24"/>
        </w:rPr>
        <w:t xml:space="preserve">HARQ </w:t>
      </w:r>
      <w:r w:rsidRPr="001F5DA3">
        <w:rPr>
          <w:sz w:val="24"/>
          <w:szCs w:val="24"/>
        </w:rPr>
        <w:t xml:space="preserve">retransmission so </w:t>
      </w:r>
      <w:r w:rsidR="00B877DE" w:rsidRPr="001F5DA3">
        <w:rPr>
          <w:sz w:val="24"/>
          <w:szCs w:val="24"/>
        </w:rPr>
        <w:t xml:space="preserve">that </w:t>
      </w:r>
      <w:r w:rsidRPr="001F5DA3">
        <w:rPr>
          <w:sz w:val="24"/>
          <w:szCs w:val="24"/>
        </w:rPr>
        <w:t xml:space="preserve">the cell </w:t>
      </w:r>
      <w:r w:rsidR="00B877DE" w:rsidRPr="001F5DA3">
        <w:rPr>
          <w:sz w:val="24"/>
          <w:szCs w:val="24"/>
        </w:rPr>
        <w:t>can</w:t>
      </w:r>
      <w:r w:rsidR="004802A4">
        <w:rPr>
          <w:sz w:val="24"/>
          <w:szCs w:val="24"/>
        </w:rPr>
        <w:t xml:space="preserve"> be inactive</w:t>
      </w:r>
      <w:r w:rsidRPr="001F5DA3">
        <w:rPr>
          <w:sz w:val="24"/>
          <w:szCs w:val="24"/>
        </w:rPr>
        <w:t xml:space="preserve"> as per </w:t>
      </w:r>
      <w:r w:rsidR="00E1444D">
        <w:rPr>
          <w:sz w:val="24"/>
          <w:szCs w:val="24"/>
        </w:rPr>
        <w:t>c</w:t>
      </w:r>
      <w:r w:rsidRPr="001F5DA3">
        <w:rPr>
          <w:sz w:val="24"/>
          <w:szCs w:val="24"/>
        </w:rPr>
        <w:t>ell</w:t>
      </w:r>
      <w:r w:rsidR="00E1444D">
        <w:rPr>
          <w:sz w:val="24"/>
          <w:szCs w:val="24"/>
        </w:rPr>
        <w:t xml:space="preserve"> </w:t>
      </w:r>
      <w:r w:rsidRPr="001F5DA3">
        <w:rPr>
          <w:sz w:val="24"/>
          <w:szCs w:val="24"/>
        </w:rPr>
        <w:t>DTX</w:t>
      </w:r>
      <w:r w:rsidR="00500A11">
        <w:rPr>
          <w:sz w:val="24"/>
          <w:szCs w:val="24"/>
        </w:rPr>
        <w:t xml:space="preserve"> assuming an initial BLER of 10%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3384"/>
      </w:tblGrid>
      <w:tr w:rsidR="00A605B0" w:rsidRPr="00A605B0" w14:paraId="31735FB7" w14:textId="77777777" w:rsidTr="00B877DE">
        <w:trPr>
          <w:jc w:val="center"/>
        </w:trPr>
        <w:tc>
          <w:tcPr>
            <w:tcW w:w="3325" w:type="dxa"/>
          </w:tcPr>
          <w:p w14:paraId="2F467FDC" w14:textId="77F3421B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Number of UEs served by a cell</w:t>
            </w:r>
          </w:p>
        </w:tc>
        <w:tc>
          <w:tcPr>
            <w:tcW w:w="3384" w:type="dxa"/>
          </w:tcPr>
          <w:p w14:paraId="3EA3EACC" w14:textId="45DADFB7" w:rsidR="00A605B0" w:rsidRPr="00A605B0" w:rsidRDefault="00A605B0" w:rsidP="00925DC3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Probability</w:t>
            </w:r>
            <w:r w:rsidR="00C6412A">
              <w:rPr>
                <w:sz w:val="24"/>
                <w:szCs w:val="24"/>
              </w:rPr>
              <w:t xml:space="preserve"> </w:t>
            </w:r>
            <w:r w:rsidR="00925DC3">
              <w:rPr>
                <w:sz w:val="24"/>
                <w:szCs w:val="24"/>
              </w:rPr>
              <w:t xml:space="preserve">for no UE needing a </w:t>
            </w:r>
            <w:r w:rsidR="00C6412A">
              <w:rPr>
                <w:sz w:val="24"/>
                <w:szCs w:val="24"/>
              </w:rPr>
              <w:t>HARQ retransmission</w:t>
            </w:r>
          </w:p>
        </w:tc>
      </w:tr>
      <w:tr w:rsidR="00A605B0" w:rsidRPr="00A605B0" w14:paraId="0BF9B2D3" w14:textId="77777777" w:rsidTr="00B877DE">
        <w:trPr>
          <w:jc w:val="center"/>
        </w:trPr>
        <w:tc>
          <w:tcPr>
            <w:tcW w:w="3325" w:type="dxa"/>
          </w:tcPr>
          <w:p w14:paraId="322BAD86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</w:t>
            </w:r>
          </w:p>
        </w:tc>
        <w:tc>
          <w:tcPr>
            <w:tcW w:w="3384" w:type="dxa"/>
          </w:tcPr>
          <w:p w14:paraId="50ACB071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90%</w:t>
            </w:r>
          </w:p>
        </w:tc>
      </w:tr>
      <w:tr w:rsidR="00A605B0" w:rsidRPr="00A605B0" w14:paraId="334697A1" w14:textId="77777777" w:rsidTr="00B877DE">
        <w:trPr>
          <w:jc w:val="center"/>
        </w:trPr>
        <w:tc>
          <w:tcPr>
            <w:tcW w:w="3325" w:type="dxa"/>
          </w:tcPr>
          <w:p w14:paraId="054DFEFB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2</w:t>
            </w:r>
          </w:p>
        </w:tc>
        <w:tc>
          <w:tcPr>
            <w:tcW w:w="3384" w:type="dxa"/>
          </w:tcPr>
          <w:p w14:paraId="1C3B8AC0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81%</w:t>
            </w:r>
          </w:p>
        </w:tc>
      </w:tr>
      <w:tr w:rsidR="00A605B0" w:rsidRPr="00A605B0" w14:paraId="0A528A01" w14:textId="77777777" w:rsidTr="00B877DE">
        <w:trPr>
          <w:jc w:val="center"/>
        </w:trPr>
        <w:tc>
          <w:tcPr>
            <w:tcW w:w="3325" w:type="dxa"/>
          </w:tcPr>
          <w:p w14:paraId="3633D7F3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</w:t>
            </w:r>
          </w:p>
        </w:tc>
        <w:tc>
          <w:tcPr>
            <w:tcW w:w="3384" w:type="dxa"/>
          </w:tcPr>
          <w:p w14:paraId="7DF064A8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72.9%</w:t>
            </w:r>
          </w:p>
        </w:tc>
      </w:tr>
      <w:tr w:rsidR="00A605B0" w:rsidRPr="00A605B0" w14:paraId="5515497F" w14:textId="77777777" w:rsidTr="00B877DE">
        <w:trPr>
          <w:jc w:val="center"/>
        </w:trPr>
        <w:tc>
          <w:tcPr>
            <w:tcW w:w="3325" w:type="dxa"/>
          </w:tcPr>
          <w:p w14:paraId="1B84FD57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4</w:t>
            </w:r>
          </w:p>
        </w:tc>
        <w:tc>
          <w:tcPr>
            <w:tcW w:w="3384" w:type="dxa"/>
          </w:tcPr>
          <w:p w14:paraId="57F7B631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65.6%</w:t>
            </w:r>
          </w:p>
        </w:tc>
      </w:tr>
      <w:tr w:rsidR="00A605B0" w:rsidRPr="00A605B0" w14:paraId="6B8A392D" w14:textId="77777777" w:rsidTr="00B877DE">
        <w:trPr>
          <w:jc w:val="center"/>
        </w:trPr>
        <w:tc>
          <w:tcPr>
            <w:tcW w:w="3325" w:type="dxa"/>
          </w:tcPr>
          <w:p w14:paraId="2CB162DB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</w:t>
            </w:r>
          </w:p>
        </w:tc>
        <w:tc>
          <w:tcPr>
            <w:tcW w:w="3384" w:type="dxa"/>
          </w:tcPr>
          <w:p w14:paraId="2C2A3D9B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59.5%</w:t>
            </w:r>
          </w:p>
        </w:tc>
      </w:tr>
      <w:tr w:rsidR="00A605B0" w:rsidRPr="00A605B0" w14:paraId="6F2E6277" w14:textId="77777777" w:rsidTr="00B877DE">
        <w:trPr>
          <w:jc w:val="center"/>
        </w:trPr>
        <w:tc>
          <w:tcPr>
            <w:tcW w:w="3325" w:type="dxa"/>
          </w:tcPr>
          <w:p w14:paraId="30C05355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10</w:t>
            </w:r>
          </w:p>
        </w:tc>
        <w:tc>
          <w:tcPr>
            <w:tcW w:w="3384" w:type="dxa"/>
          </w:tcPr>
          <w:p w14:paraId="5D49B194" w14:textId="77777777" w:rsidR="00A605B0" w:rsidRPr="00A605B0" w:rsidRDefault="00A605B0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34.9%</w:t>
            </w:r>
          </w:p>
        </w:tc>
      </w:tr>
    </w:tbl>
    <w:p w14:paraId="250E4E05" w14:textId="77777777" w:rsidR="004802A4" w:rsidRDefault="004802A4" w:rsidP="00040A54">
      <w:pPr>
        <w:spacing w:after="240"/>
        <w:jc w:val="both"/>
        <w:rPr>
          <w:sz w:val="24"/>
          <w:szCs w:val="24"/>
          <w:lang w:val="en-US"/>
        </w:rPr>
      </w:pPr>
    </w:p>
    <w:p w14:paraId="422DE672" w14:textId="419257DE" w:rsidR="00A605B0" w:rsidRDefault="004802A4" w:rsidP="00040A54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can be observed that even with </w:t>
      </w:r>
      <w:r w:rsidR="00C70AD6">
        <w:rPr>
          <w:sz w:val="24"/>
          <w:szCs w:val="24"/>
          <w:lang w:val="en-US"/>
        </w:rPr>
        <w:t xml:space="preserve">serving </w:t>
      </w:r>
      <w:r>
        <w:rPr>
          <w:sz w:val="24"/>
          <w:szCs w:val="24"/>
          <w:lang w:val="en-US"/>
        </w:rPr>
        <w:t xml:space="preserve">a </w:t>
      </w:r>
      <w:r w:rsidR="009B007C">
        <w:rPr>
          <w:sz w:val="24"/>
          <w:szCs w:val="24"/>
          <w:lang w:val="en-US"/>
        </w:rPr>
        <w:t>few</w:t>
      </w:r>
      <w:r>
        <w:rPr>
          <w:sz w:val="24"/>
          <w:szCs w:val="24"/>
          <w:lang w:val="en-US"/>
        </w:rPr>
        <w:t xml:space="preserve"> UEs, the ability of a cell to </w:t>
      </w:r>
      <w:r w:rsidR="00C70AD6">
        <w:rPr>
          <w:sz w:val="24"/>
          <w:szCs w:val="24"/>
          <w:lang w:val="en-US"/>
        </w:rPr>
        <w:t>be inactive as per cell</w:t>
      </w:r>
      <w:r w:rsidR="00E1444D">
        <w:rPr>
          <w:sz w:val="24"/>
          <w:szCs w:val="24"/>
          <w:lang w:val="en-US"/>
        </w:rPr>
        <w:t xml:space="preserve"> </w:t>
      </w:r>
      <w:r w:rsidR="00C70AD6">
        <w:rPr>
          <w:sz w:val="24"/>
          <w:szCs w:val="24"/>
          <w:lang w:val="en-US"/>
        </w:rPr>
        <w:t xml:space="preserve">DTX is severely impacted </w:t>
      </w:r>
      <w:r w:rsidR="00FE39D2">
        <w:rPr>
          <w:sz w:val="24"/>
          <w:szCs w:val="24"/>
          <w:lang w:val="en-US"/>
        </w:rPr>
        <w:t xml:space="preserve">due the need for HARQ </w:t>
      </w:r>
      <w:r w:rsidR="00825C8A">
        <w:rPr>
          <w:sz w:val="24"/>
          <w:szCs w:val="24"/>
          <w:lang w:val="en-US"/>
        </w:rPr>
        <w:t>retransmissions</w:t>
      </w:r>
      <w:r w:rsidR="00FE39D2">
        <w:rPr>
          <w:sz w:val="24"/>
          <w:szCs w:val="24"/>
          <w:lang w:val="en-US"/>
        </w:rPr>
        <w:t>.</w:t>
      </w:r>
      <w:r w:rsidR="00CC434D">
        <w:rPr>
          <w:sz w:val="24"/>
          <w:szCs w:val="24"/>
          <w:lang w:val="en-US"/>
        </w:rPr>
        <w:t xml:space="preserve"> Therefore, we propose RAN1 to </w:t>
      </w:r>
      <w:r w:rsidR="00B909F4">
        <w:rPr>
          <w:sz w:val="24"/>
          <w:szCs w:val="24"/>
          <w:lang w:val="en-US"/>
        </w:rPr>
        <w:t>discuss</w:t>
      </w:r>
      <w:r w:rsidR="00CC434D">
        <w:rPr>
          <w:sz w:val="24"/>
          <w:szCs w:val="24"/>
          <w:lang w:val="en-US"/>
        </w:rPr>
        <w:t xml:space="preserve"> mechanisms to reduce </w:t>
      </w:r>
      <w:r w:rsidR="0004354A">
        <w:rPr>
          <w:sz w:val="24"/>
          <w:szCs w:val="24"/>
          <w:lang w:val="en-US"/>
        </w:rPr>
        <w:t xml:space="preserve">the impact of </w:t>
      </w:r>
      <w:r w:rsidR="00CC434D">
        <w:rPr>
          <w:sz w:val="24"/>
          <w:szCs w:val="24"/>
          <w:lang w:val="en-US"/>
        </w:rPr>
        <w:t xml:space="preserve">HARQ retransmissions </w:t>
      </w:r>
      <w:r w:rsidR="0004354A">
        <w:rPr>
          <w:sz w:val="24"/>
          <w:szCs w:val="24"/>
          <w:lang w:val="en-US"/>
        </w:rPr>
        <w:t>on cell</w:t>
      </w:r>
      <w:r w:rsidR="00E1444D">
        <w:rPr>
          <w:sz w:val="24"/>
          <w:szCs w:val="24"/>
          <w:lang w:val="en-US"/>
        </w:rPr>
        <w:t xml:space="preserve"> </w:t>
      </w:r>
      <w:r w:rsidR="0004354A">
        <w:rPr>
          <w:sz w:val="24"/>
          <w:szCs w:val="24"/>
          <w:lang w:val="en-US"/>
        </w:rPr>
        <w:t>DTX including ways to reduce HARQ retransmission probability in favor of NES.</w:t>
      </w:r>
    </w:p>
    <w:p w14:paraId="13691E78" w14:textId="2B997FAA" w:rsidR="00CD5682" w:rsidRPr="009B007C" w:rsidRDefault="00BF699D" w:rsidP="00BF699D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Observation </w:t>
      </w:r>
      <w:r w:rsidR="003F1C34"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 xml:space="preserve">: </w:t>
      </w:r>
      <w:r w:rsidR="009B007C" w:rsidRPr="009B007C">
        <w:rPr>
          <w:bCs/>
          <w:sz w:val="24"/>
          <w:szCs w:val="24"/>
          <w:lang w:val="en-US"/>
        </w:rPr>
        <w:t>Even with serving a few UEs, the ability of a cell to be inactive as per cell</w:t>
      </w:r>
      <w:r w:rsidR="00E1444D">
        <w:rPr>
          <w:bCs/>
          <w:sz w:val="24"/>
          <w:szCs w:val="24"/>
          <w:lang w:val="en-US"/>
        </w:rPr>
        <w:t xml:space="preserve"> </w:t>
      </w:r>
      <w:r w:rsidR="009B007C" w:rsidRPr="009B007C">
        <w:rPr>
          <w:bCs/>
          <w:sz w:val="24"/>
          <w:szCs w:val="24"/>
          <w:lang w:val="en-US"/>
        </w:rPr>
        <w:t>DTX is severely impacted due the need for HARQ retransmissions.</w:t>
      </w:r>
    </w:p>
    <w:p w14:paraId="48212ADA" w14:textId="5DBF6830" w:rsidR="00CC7148" w:rsidRDefault="0004354A" w:rsidP="0004354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 w:rsidRPr="0004354A">
        <w:rPr>
          <w:bCs/>
          <w:szCs w:val="24"/>
          <w:lang w:val="en-US"/>
        </w:rPr>
        <w:t xml:space="preserve">RAN1 to </w:t>
      </w:r>
      <w:r w:rsidR="00CB1489">
        <w:rPr>
          <w:bCs/>
          <w:szCs w:val="24"/>
          <w:lang w:val="en-US"/>
        </w:rPr>
        <w:t>discuss</w:t>
      </w:r>
      <w:r w:rsidRPr="0004354A">
        <w:rPr>
          <w:bCs/>
          <w:szCs w:val="24"/>
          <w:lang w:val="en-US"/>
        </w:rPr>
        <w:t xml:space="preserve"> mechanisms to </w:t>
      </w:r>
      <w:r w:rsidR="008577FA">
        <w:rPr>
          <w:bCs/>
          <w:szCs w:val="24"/>
          <w:lang w:val="en-US"/>
        </w:rPr>
        <w:t>reduce</w:t>
      </w:r>
      <w:r w:rsidRPr="0004354A">
        <w:rPr>
          <w:bCs/>
          <w:szCs w:val="24"/>
          <w:lang w:val="en-US"/>
        </w:rPr>
        <w:t xml:space="preserve"> the impact of HARQ retransmissions on cell</w:t>
      </w:r>
      <w:r w:rsidR="00E1444D">
        <w:rPr>
          <w:bCs/>
          <w:szCs w:val="24"/>
          <w:lang w:val="en-US"/>
        </w:rPr>
        <w:t xml:space="preserve"> </w:t>
      </w:r>
      <w:r w:rsidRPr="0004354A">
        <w:rPr>
          <w:bCs/>
          <w:szCs w:val="24"/>
          <w:lang w:val="en-US"/>
        </w:rPr>
        <w:t>DTX.</w:t>
      </w:r>
    </w:p>
    <w:p w14:paraId="3CCF633B" w14:textId="77777777" w:rsidR="00C05AC4" w:rsidRPr="00B41BCC" w:rsidRDefault="00C05AC4" w:rsidP="00510A4D">
      <w:pPr>
        <w:pStyle w:val="Heading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5BB34CBF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 xml:space="preserve">some aspects of </w:t>
      </w:r>
      <w:r w:rsidR="00E1444D">
        <w:rPr>
          <w:bCs/>
          <w:sz w:val="24"/>
        </w:rPr>
        <w:t>c</w:t>
      </w:r>
      <w:r w:rsidR="00B909F4">
        <w:rPr>
          <w:bCs/>
          <w:sz w:val="24"/>
        </w:rPr>
        <w:t xml:space="preserve">ell DTX for </w:t>
      </w:r>
      <w:r w:rsidR="00B6066F">
        <w:rPr>
          <w:bCs/>
          <w:sz w:val="24"/>
        </w:rPr>
        <w:t>Network Energy Savings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5A0E523B" w14:textId="77777777" w:rsidR="002E32FA" w:rsidRDefault="002E32FA" w:rsidP="002E32FA">
      <w:pPr>
        <w:rPr>
          <w:b/>
          <w:sz w:val="24"/>
          <w:szCs w:val="24"/>
          <w:lang w:val="en-US"/>
        </w:rPr>
      </w:pPr>
    </w:p>
    <w:p w14:paraId="18F2CE26" w14:textId="157777AD" w:rsidR="005231C2" w:rsidRPr="00FB6789" w:rsidRDefault="005231C2" w:rsidP="005231C2">
      <w:pPr>
        <w:rPr>
          <w:lang w:val="en-US"/>
        </w:rPr>
      </w:pPr>
      <w:r w:rsidRPr="00FB6789">
        <w:rPr>
          <w:b/>
          <w:sz w:val="24"/>
          <w:szCs w:val="24"/>
          <w:lang w:val="en-US"/>
        </w:rPr>
        <w:t xml:space="preserve">Observation 1: </w:t>
      </w:r>
      <w:r w:rsidR="00EB7C85" w:rsidRPr="00EB7C85">
        <w:rPr>
          <w:b/>
          <w:sz w:val="24"/>
          <w:szCs w:val="24"/>
          <w:lang w:val="en-US"/>
        </w:rPr>
        <w:t>Alignment of UE C-DRX can be a main mechanism to enable cell-DTX efficiently.</w:t>
      </w:r>
    </w:p>
    <w:p w14:paraId="7057C036" w14:textId="77777777" w:rsidR="002E32FA" w:rsidRPr="009B007C" w:rsidRDefault="002E32FA" w:rsidP="002E32FA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2: </w:t>
      </w:r>
      <w:r w:rsidRPr="009B007C">
        <w:rPr>
          <w:bCs/>
          <w:sz w:val="24"/>
          <w:szCs w:val="24"/>
          <w:lang w:val="en-US"/>
        </w:rPr>
        <w:t>Even with serving a few UEs, the ability of a cell to be inactive as per cell</w:t>
      </w:r>
      <w:r>
        <w:rPr>
          <w:bCs/>
          <w:sz w:val="24"/>
          <w:szCs w:val="24"/>
          <w:lang w:val="en-US"/>
        </w:rPr>
        <w:t xml:space="preserve"> </w:t>
      </w:r>
      <w:r w:rsidRPr="009B007C">
        <w:rPr>
          <w:bCs/>
          <w:sz w:val="24"/>
          <w:szCs w:val="24"/>
          <w:lang w:val="en-US"/>
        </w:rPr>
        <w:t>DTX is severely impacted due the need for HARQ retransmissions.</w:t>
      </w:r>
    </w:p>
    <w:p w14:paraId="7175C682" w14:textId="77777777" w:rsidR="002E32FA" w:rsidRDefault="002E32FA" w:rsidP="002E32F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 w:rsidRPr="0004354A">
        <w:rPr>
          <w:bCs/>
          <w:szCs w:val="24"/>
          <w:lang w:val="en-US"/>
        </w:rPr>
        <w:t xml:space="preserve">RAN1 to </w:t>
      </w:r>
      <w:r>
        <w:rPr>
          <w:bCs/>
          <w:szCs w:val="24"/>
          <w:lang w:val="en-US"/>
        </w:rPr>
        <w:t>discuss</w:t>
      </w:r>
      <w:r w:rsidRPr="0004354A">
        <w:rPr>
          <w:bCs/>
          <w:szCs w:val="24"/>
          <w:lang w:val="en-US"/>
        </w:rPr>
        <w:t xml:space="preserve"> mechanisms to </w:t>
      </w:r>
      <w:r>
        <w:rPr>
          <w:bCs/>
          <w:szCs w:val="24"/>
          <w:lang w:val="en-US"/>
        </w:rPr>
        <w:t>reduce</w:t>
      </w:r>
      <w:r w:rsidRPr="0004354A">
        <w:rPr>
          <w:bCs/>
          <w:szCs w:val="24"/>
          <w:lang w:val="en-US"/>
        </w:rPr>
        <w:t xml:space="preserve"> the impact of HARQ retransmissions on cell</w:t>
      </w:r>
      <w:r>
        <w:rPr>
          <w:bCs/>
          <w:szCs w:val="24"/>
          <w:lang w:val="en-US"/>
        </w:rPr>
        <w:t xml:space="preserve"> </w:t>
      </w:r>
      <w:r w:rsidRPr="0004354A">
        <w:rPr>
          <w:bCs/>
          <w:szCs w:val="24"/>
          <w:lang w:val="en-US"/>
        </w:rPr>
        <w:t>DTX.</w:t>
      </w:r>
    </w:p>
    <w:p w14:paraId="68F1FAA0" w14:textId="44FF8018" w:rsidR="00C05AC4" w:rsidRPr="00B41BCC" w:rsidRDefault="00C05AC4" w:rsidP="00206D1A">
      <w:pPr>
        <w:pStyle w:val="Heading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77777777" w:rsidR="002E7BF5" w:rsidRPr="00FC73B9" w:rsidRDefault="00010F70" w:rsidP="002E7BF5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5" w:name="_Ref494465620"/>
      <w:bookmarkStart w:id="6" w:name="_Ref527624780"/>
      <w:r w:rsidRPr="00FC73B9">
        <w:rPr>
          <w:rFonts w:cs="Arial"/>
        </w:rPr>
        <w:t>RP-</w:t>
      </w:r>
      <w:r w:rsidR="00B6066F" w:rsidRPr="00FC73B9">
        <w:rPr>
          <w:rFonts w:cs="Arial"/>
        </w:rPr>
        <w:t>223540</w:t>
      </w:r>
      <w:r w:rsidRPr="00FC73B9">
        <w:rPr>
          <w:rFonts w:cs="Arial"/>
        </w:rPr>
        <w:t>, “</w:t>
      </w:r>
      <w:r w:rsidR="00B6066F" w:rsidRPr="00FC73B9">
        <w:rPr>
          <w:rFonts w:cs="Arial"/>
        </w:rPr>
        <w:t xml:space="preserve">New WID: Network energy savings for </w:t>
      </w:r>
      <w:proofErr w:type="gramStart"/>
      <w:r w:rsidR="00B6066F" w:rsidRPr="00FC73B9">
        <w:rPr>
          <w:rFonts w:cs="Arial"/>
        </w:rPr>
        <w:t>NR</w:t>
      </w:r>
      <w:r w:rsidR="00B6066F" w:rsidRPr="00FC73B9" w:rsidDel="00B6066F">
        <w:rPr>
          <w:rFonts w:cs="Arial"/>
        </w:rPr>
        <w:t xml:space="preserve"> </w:t>
      </w:r>
      <w:r w:rsidRPr="00FC73B9">
        <w:rPr>
          <w:rFonts w:cs="Arial"/>
        </w:rPr>
        <w:t>”</w:t>
      </w:r>
      <w:proofErr w:type="gramEnd"/>
      <w:r w:rsidRPr="00FC73B9">
        <w:rPr>
          <w:rFonts w:cs="Arial"/>
        </w:rPr>
        <w:t xml:space="preserve">, </w:t>
      </w:r>
      <w:r w:rsidR="00B6066F" w:rsidRPr="00FC73B9">
        <w:rPr>
          <w:rFonts w:cs="Arial"/>
        </w:rPr>
        <w:t>Huawei</w:t>
      </w:r>
      <w:r w:rsidR="00B6066F" w:rsidRPr="00FC73B9" w:rsidDel="00B6066F">
        <w:rPr>
          <w:rFonts w:cs="Arial"/>
        </w:rPr>
        <w:t xml:space="preserve"> </w:t>
      </w:r>
      <w:r w:rsidRPr="00FC73B9">
        <w:rPr>
          <w:rFonts w:cs="Arial"/>
        </w:rPr>
        <w:t>, 3GPP RAN#</w:t>
      </w:r>
      <w:r w:rsidR="00327900" w:rsidRPr="00FC73B9">
        <w:rPr>
          <w:rFonts w:cs="Arial"/>
        </w:rPr>
        <w:t>98</w:t>
      </w:r>
      <w:r w:rsidR="002E7BF5" w:rsidRPr="00FC73B9">
        <w:rPr>
          <w:rFonts w:cs="Arial"/>
        </w:rPr>
        <w:t>-</w:t>
      </w:r>
      <w:r w:rsidR="00327900" w:rsidRPr="00FC73B9">
        <w:rPr>
          <w:rFonts w:cs="Arial"/>
        </w:rPr>
        <w:t>e</w:t>
      </w:r>
      <w:r w:rsidRPr="00FC73B9">
        <w:rPr>
          <w:rFonts w:cs="Arial"/>
        </w:rPr>
        <w:t xml:space="preserve">, </w:t>
      </w:r>
      <w:r w:rsidR="00327900" w:rsidRPr="00FC73B9">
        <w:rPr>
          <w:rFonts w:cs="Arial"/>
        </w:rPr>
        <w:t xml:space="preserve">December </w:t>
      </w:r>
      <w:r w:rsidRPr="00FC73B9">
        <w:rPr>
          <w:rFonts w:cs="Arial"/>
        </w:rPr>
        <w:t>202</w:t>
      </w:r>
      <w:r w:rsidR="00627D4D" w:rsidRPr="00FC73B9">
        <w:rPr>
          <w:rFonts w:cs="Arial"/>
        </w:rPr>
        <w:t>2</w:t>
      </w:r>
      <w:r w:rsidRPr="00FC73B9">
        <w:rPr>
          <w:rFonts w:cs="Arial"/>
        </w:rPr>
        <w:t>.</w:t>
      </w:r>
      <w:bookmarkEnd w:id="5"/>
      <w:bookmarkEnd w:id="6"/>
    </w:p>
    <w:p w14:paraId="31F34AF3" w14:textId="4862433C" w:rsidR="00315887" w:rsidRPr="00FC73B9" w:rsidRDefault="00315887" w:rsidP="002E7BF5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7" w:name="_Ref127449194"/>
      <w:r w:rsidRPr="00FC73B9">
        <w:rPr>
          <w:rFonts w:cs="Arial"/>
        </w:rPr>
        <w:t>TR 38.864, “</w:t>
      </w:r>
      <w:r w:rsidRPr="00FC73B9">
        <w:t xml:space="preserve">Study on network energy savings for NR”, </w:t>
      </w:r>
      <w:r w:rsidR="00952122" w:rsidRPr="00FC73B9">
        <w:rPr>
          <w:rFonts w:cs="Arial"/>
        </w:rPr>
        <w:t xml:space="preserve">V1.0.0, </w:t>
      </w:r>
      <w:r w:rsidRPr="00FC73B9">
        <w:t>December 2022</w:t>
      </w:r>
      <w:bookmarkEnd w:id="7"/>
      <w:r w:rsidR="00952122" w:rsidRPr="00FC73B9">
        <w:t>.</w:t>
      </w:r>
    </w:p>
    <w:p w14:paraId="3B8A066C" w14:textId="2066302D" w:rsidR="0010294F" w:rsidRPr="00FC73B9" w:rsidRDefault="0010294F" w:rsidP="0010294F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iCs/>
          <w:sz w:val="20"/>
          <w:szCs w:val="20"/>
        </w:rPr>
      </w:pPr>
      <w:bookmarkStart w:id="8" w:name="_Ref131670976"/>
      <w:r w:rsidRPr="00FC73B9">
        <w:rPr>
          <w:rFonts w:ascii="Times New Roman" w:eastAsia="SimSun" w:hAnsi="Times New Roman"/>
          <w:iCs/>
          <w:sz w:val="20"/>
          <w:szCs w:val="20"/>
        </w:rPr>
        <w:t>3GPP Chairman’s Notes, 3GPP RAN1#112, Athens, Feb-Mar 2022</w:t>
      </w:r>
      <w:bookmarkEnd w:id="8"/>
    </w:p>
    <w:p w14:paraId="4E50049D" w14:textId="524BF06B" w:rsidR="0013565F" w:rsidRPr="00FC73B9" w:rsidRDefault="00B10F19" w:rsidP="00B10F19">
      <w:pPr>
        <w:widowControl w:val="0"/>
        <w:numPr>
          <w:ilvl w:val="0"/>
          <w:numId w:val="10"/>
        </w:numPr>
        <w:overflowPunct/>
        <w:autoSpaceDE/>
        <w:adjustRightInd/>
        <w:spacing w:after="60"/>
        <w:jc w:val="both"/>
        <w:textAlignment w:val="auto"/>
        <w:rPr>
          <w:iCs/>
          <w:lang w:val="de-DE"/>
        </w:rPr>
      </w:pPr>
      <w:bookmarkStart w:id="9" w:name="_Ref127450237"/>
      <w:bookmarkStart w:id="10" w:name="_Ref131673436"/>
      <w:r w:rsidRPr="00FC73B9">
        <w:rPr>
          <w:rFonts w:cs="Arial"/>
          <w:lang w:val="de-DE"/>
        </w:rPr>
        <w:t>R2-2303257</w:t>
      </w:r>
      <w:r w:rsidR="0013565F" w:rsidRPr="00FC73B9">
        <w:rPr>
          <w:rFonts w:cs="Arial"/>
          <w:lang w:val="de-DE"/>
        </w:rPr>
        <w:t>, “</w:t>
      </w:r>
      <w:proofErr w:type="spellStart"/>
      <w:r w:rsidR="0013565F" w:rsidRPr="00FC73B9">
        <w:rPr>
          <w:rFonts w:cs="Arial"/>
          <w:lang w:val="de-DE"/>
        </w:rPr>
        <w:t>Cell</w:t>
      </w:r>
      <w:proofErr w:type="spellEnd"/>
      <w:r w:rsidR="0013565F" w:rsidRPr="00FC73B9">
        <w:rPr>
          <w:rFonts w:cs="Arial"/>
          <w:lang w:val="de-DE"/>
        </w:rPr>
        <w:t xml:space="preserve"> DTX </w:t>
      </w:r>
      <w:proofErr w:type="spellStart"/>
      <w:r w:rsidR="0013565F" w:rsidRPr="00FC73B9">
        <w:rPr>
          <w:rFonts w:cs="Arial"/>
          <w:lang w:val="de-DE"/>
        </w:rPr>
        <w:t>and</w:t>
      </w:r>
      <w:proofErr w:type="spellEnd"/>
      <w:r w:rsidR="0013565F" w:rsidRPr="00FC73B9">
        <w:rPr>
          <w:rFonts w:cs="Arial"/>
          <w:lang w:val="de-DE"/>
        </w:rPr>
        <w:t xml:space="preserve"> DRX”, Fraunhofer </w:t>
      </w:r>
      <w:proofErr w:type="gramStart"/>
      <w:r w:rsidR="0013565F" w:rsidRPr="00FC73B9">
        <w:rPr>
          <w:rFonts w:cs="Arial"/>
          <w:lang w:val="de-DE"/>
        </w:rPr>
        <w:t>IIS ,</w:t>
      </w:r>
      <w:proofErr w:type="gramEnd"/>
      <w:r w:rsidR="0013565F" w:rsidRPr="00FC73B9">
        <w:rPr>
          <w:rFonts w:cs="Arial"/>
          <w:lang w:val="de-DE"/>
        </w:rPr>
        <w:t xml:space="preserve"> Fraunhofer HHI</w:t>
      </w:r>
      <w:r w:rsidR="00112B2B" w:rsidRPr="00FC73B9">
        <w:rPr>
          <w:rFonts w:cs="Arial"/>
          <w:lang w:val="de-DE"/>
        </w:rPr>
        <w:t xml:space="preserve">, 3GPP </w:t>
      </w:r>
      <w:r w:rsidR="001243C3" w:rsidRPr="00FC73B9">
        <w:rPr>
          <w:rFonts w:cs="Arial"/>
          <w:lang w:val="de-DE"/>
        </w:rPr>
        <w:t>RAN2</w:t>
      </w:r>
      <w:r w:rsidR="00112B2B" w:rsidRPr="00FC73B9">
        <w:rPr>
          <w:rFonts w:cs="Arial"/>
          <w:lang w:val="de-DE"/>
        </w:rPr>
        <w:t xml:space="preserve"> #121</w:t>
      </w:r>
      <w:bookmarkEnd w:id="9"/>
      <w:r w:rsidR="00E37C87" w:rsidRPr="00FC73B9">
        <w:rPr>
          <w:rFonts w:cs="Arial"/>
          <w:lang w:val="de-DE"/>
        </w:rPr>
        <w:t>-bis-e</w:t>
      </w:r>
      <w:r w:rsidR="001243C3" w:rsidRPr="00FC73B9">
        <w:rPr>
          <w:rFonts w:cs="Arial"/>
          <w:lang w:val="de-DE"/>
        </w:rPr>
        <w:t xml:space="preserve">, </w:t>
      </w:r>
      <w:r w:rsidR="00E37C87" w:rsidRPr="00FC73B9">
        <w:rPr>
          <w:rFonts w:cs="Arial"/>
          <w:lang w:val="de-DE"/>
        </w:rPr>
        <w:t>April</w:t>
      </w:r>
      <w:r w:rsidR="001243C3" w:rsidRPr="00FC73B9">
        <w:rPr>
          <w:rFonts w:cs="Arial"/>
          <w:lang w:val="de-DE"/>
        </w:rPr>
        <w:t xml:space="preserve"> 2023</w:t>
      </w:r>
      <w:r w:rsidR="00952122" w:rsidRPr="00FC73B9">
        <w:rPr>
          <w:rFonts w:cs="Arial"/>
          <w:lang w:val="de-DE"/>
        </w:rPr>
        <w:t>.</w:t>
      </w:r>
      <w:bookmarkEnd w:id="10"/>
    </w:p>
    <w:p w14:paraId="7F08E571" w14:textId="77777777" w:rsidR="00FC73B9" w:rsidRPr="00FC73B9" w:rsidRDefault="00FC73B9" w:rsidP="00FC73B9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iCs/>
          <w:sz w:val="20"/>
          <w:szCs w:val="20"/>
          <w:lang w:val="en-GB"/>
        </w:rPr>
      </w:pPr>
      <w:bookmarkStart w:id="11" w:name="_Ref127454590"/>
      <w:bookmarkStart w:id="12" w:name="_Ref131753903"/>
      <w:r w:rsidRPr="00FC73B9">
        <w:rPr>
          <w:rFonts w:ascii="Times New Roman" w:hAnsi="Times New Roman"/>
          <w:iCs/>
          <w:sz w:val="20"/>
          <w:szCs w:val="20"/>
        </w:rPr>
        <w:t>R1-2302131</w:t>
      </w:r>
      <w:r w:rsidRPr="00FC73B9">
        <w:rPr>
          <w:rFonts w:ascii="Times New Roman" w:hAnsi="Times New Roman"/>
          <w:iCs/>
          <w:sz w:val="20"/>
          <w:szCs w:val="20"/>
        </w:rPr>
        <w:tab/>
        <w:t xml:space="preserve">“Discussion Summary #2 for enhancements on cell DTX/DRX mechanism”, Moderator (Intel Corporation), </w:t>
      </w:r>
      <w:r w:rsidRPr="00FC73B9">
        <w:rPr>
          <w:rFonts w:ascii="Times New Roman" w:eastAsia="SimSun" w:hAnsi="Times New Roman"/>
          <w:iCs/>
          <w:sz w:val="20"/>
          <w:szCs w:val="20"/>
          <w:lang w:val="en-GB"/>
        </w:rPr>
        <w:t>3GPP RAN1#112, Athens, Feb-Mar 2022</w:t>
      </w:r>
      <w:bookmarkEnd w:id="12"/>
    </w:p>
    <w:p w14:paraId="23298125" w14:textId="391A950A" w:rsidR="00F716A0" w:rsidRPr="00FC73B9" w:rsidRDefault="00F716A0" w:rsidP="00FC73B9">
      <w:pPr>
        <w:widowControl w:val="0"/>
        <w:numPr>
          <w:ilvl w:val="0"/>
          <w:numId w:val="10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3" w:name="_Ref131754132"/>
      <w:r w:rsidRPr="00FC73B9">
        <w:rPr>
          <w:rFonts w:cs="Arial"/>
        </w:rPr>
        <w:t xml:space="preserve">TS 38.321, </w:t>
      </w:r>
      <w:r w:rsidR="00952122" w:rsidRPr="00FC73B9">
        <w:rPr>
          <w:rFonts w:cs="Arial"/>
        </w:rPr>
        <w:t>“</w:t>
      </w:r>
      <w:r w:rsidRPr="00FC73B9">
        <w:rPr>
          <w:rFonts w:cs="Arial"/>
        </w:rPr>
        <w:t>Medium Access Control (MAC) protocol specification</w:t>
      </w:r>
      <w:r w:rsidR="00952122" w:rsidRPr="00FC73B9">
        <w:rPr>
          <w:rFonts w:cs="Arial"/>
        </w:rPr>
        <w:t>”, V17.3.0</w:t>
      </w:r>
      <w:bookmarkEnd w:id="11"/>
      <w:r w:rsidR="00952122" w:rsidRPr="00FC73B9">
        <w:rPr>
          <w:rFonts w:cs="Arial"/>
        </w:rPr>
        <w:t xml:space="preserve">, </w:t>
      </w:r>
      <w:r w:rsidR="00A86584" w:rsidRPr="00FC73B9">
        <w:rPr>
          <w:rFonts w:cs="Arial"/>
        </w:rPr>
        <w:t>January 2023.</w:t>
      </w:r>
      <w:bookmarkEnd w:id="13"/>
    </w:p>
    <w:sectPr w:rsidR="00F716A0" w:rsidRPr="00FC73B9" w:rsidSect="00D34639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A638B9" w16cid:durableId="278E18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6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72CC0"/>
    <w:multiLevelType w:val="hybridMultilevel"/>
    <w:tmpl w:val="FA74B5C0"/>
    <w:lvl w:ilvl="0" w:tplc="E9724D4E">
      <w:start w:val="2"/>
      <w:numFmt w:val="decimal"/>
      <w:lvlText w:val="%1-"/>
      <w:lvlJc w:val="left"/>
      <w:pPr>
        <w:ind w:left="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00" w:hanging="360"/>
      </w:pPr>
    </w:lvl>
    <w:lvl w:ilvl="2" w:tplc="0407001B" w:tentative="1">
      <w:start w:val="1"/>
      <w:numFmt w:val="lowerRoman"/>
      <w:lvlText w:val="%3."/>
      <w:lvlJc w:val="right"/>
      <w:pPr>
        <w:ind w:left="2420" w:hanging="180"/>
      </w:pPr>
    </w:lvl>
    <w:lvl w:ilvl="3" w:tplc="0407000F" w:tentative="1">
      <w:start w:val="1"/>
      <w:numFmt w:val="decimal"/>
      <w:lvlText w:val="%4."/>
      <w:lvlJc w:val="left"/>
      <w:pPr>
        <w:ind w:left="3140" w:hanging="360"/>
      </w:pPr>
    </w:lvl>
    <w:lvl w:ilvl="4" w:tplc="04070019" w:tentative="1">
      <w:start w:val="1"/>
      <w:numFmt w:val="lowerLetter"/>
      <w:lvlText w:val="%5."/>
      <w:lvlJc w:val="left"/>
      <w:pPr>
        <w:ind w:left="3860" w:hanging="360"/>
      </w:pPr>
    </w:lvl>
    <w:lvl w:ilvl="5" w:tplc="0407001B" w:tentative="1">
      <w:start w:val="1"/>
      <w:numFmt w:val="lowerRoman"/>
      <w:lvlText w:val="%6."/>
      <w:lvlJc w:val="right"/>
      <w:pPr>
        <w:ind w:left="4580" w:hanging="180"/>
      </w:pPr>
    </w:lvl>
    <w:lvl w:ilvl="6" w:tplc="0407000F" w:tentative="1">
      <w:start w:val="1"/>
      <w:numFmt w:val="decimal"/>
      <w:lvlText w:val="%7."/>
      <w:lvlJc w:val="left"/>
      <w:pPr>
        <w:ind w:left="5300" w:hanging="360"/>
      </w:pPr>
    </w:lvl>
    <w:lvl w:ilvl="7" w:tplc="04070019" w:tentative="1">
      <w:start w:val="1"/>
      <w:numFmt w:val="lowerLetter"/>
      <w:lvlText w:val="%8."/>
      <w:lvlJc w:val="left"/>
      <w:pPr>
        <w:ind w:left="6020" w:hanging="360"/>
      </w:pPr>
    </w:lvl>
    <w:lvl w:ilvl="8" w:tplc="0407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2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5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7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4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7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2"/>
  </w:num>
  <w:num w:numId="7">
    <w:abstractNumId w:val="36"/>
  </w:num>
  <w:num w:numId="8">
    <w:abstractNumId w:val="28"/>
  </w:num>
  <w:num w:numId="9">
    <w:abstractNumId w:val="19"/>
  </w:num>
  <w:num w:numId="10">
    <w:abstractNumId w:val="15"/>
  </w:num>
  <w:num w:numId="11">
    <w:abstractNumId w:val="47"/>
  </w:num>
  <w:num w:numId="12">
    <w:abstractNumId w:val="51"/>
  </w:num>
  <w:num w:numId="13">
    <w:abstractNumId w:val="5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</w:num>
  <w:num w:numId="15">
    <w:abstractNumId w:val="49"/>
  </w:num>
  <w:num w:numId="16">
    <w:abstractNumId w:val="32"/>
  </w:num>
  <w:num w:numId="17">
    <w:abstractNumId w:val="30"/>
  </w:num>
  <w:num w:numId="18">
    <w:abstractNumId w:val="21"/>
  </w:num>
  <w:num w:numId="19">
    <w:abstractNumId w:val="58"/>
  </w:num>
  <w:num w:numId="20">
    <w:abstractNumId w:val="6"/>
  </w:num>
  <w:num w:numId="21">
    <w:abstractNumId w:val="40"/>
  </w:num>
  <w:num w:numId="22">
    <w:abstractNumId w:val="46"/>
  </w:num>
  <w:num w:numId="23">
    <w:abstractNumId w:val="50"/>
  </w:num>
  <w:num w:numId="24">
    <w:abstractNumId w:val="29"/>
  </w:num>
  <w:num w:numId="25">
    <w:abstractNumId w:val="3"/>
  </w:num>
  <w:num w:numId="26">
    <w:abstractNumId w:val="3"/>
  </w:num>
  <w:num w:numId="27">
    <w:abstractNumId w:val="18"/>
  </w:num>
  <w:num w:numId="28">
    <w:abstractNumId w:val="17"/>
  </w:num>
  <w:num w:numId="29">
    <w:abstractNumId w:val="39"/>
  </w:num>
  <w:num w:numId="30">
    <w:abstractNumId w:val="63"/>
  </w:num>
  <w:num w:numId="31">
    <w:abstractNumId w:val="3"/>
  </w:num>
  <w:num w:numId="32">
    <w:abstractNumId w:val="3"/>
  </w:num>
  <w:num w:numId="33">
    <w:abstractNumId w:val="16"/>
  </w:num>
  <w:num w:numId="34">
    <w:abstractNumId w:val="62"/>
  </w:num>
  <w:num w:numId="35">
    <w:abstractNumId w:val="9"/>
  </w:num>
  <w:num w:numId="36">
    <w:abstractNumId w:val="26"/>
  </w:num>
  <w:num w:numId="37">
    <w:abstractNumId w:val="60"/>
  </w:num>
  <w:num w:numId="38">
    <w:abstractNumId w:val="13"/>
  </w:num>
  <w:num w:numId="39">
    <w:abstractNumId w:val="63"/>
  </w:num>
  <w:num w:numId="40">
    <w:abstractNumId w:val="63"/>
  </w:num>
  <w:num w:numId="41">
    <w:abstractNumId w:val="20"/>
  </w:num>
  <w:num w:numId="42">
    <w:abstractNumId w:val="64"/>
  </w:num>
  <w:num w:numId="43">
    <w:abstractNumId w:val="38"/>
  </w:num>
  <w:num w:numId="44">
    <w:abstractNumId w:val="44"/>
  </w:num>
  <w:num w:numId="45">
    <w:abstractNumId w:val="22"/>
  </w:num>
  <w:num w:numId="46">
    <w:abstractNumId w:val="56"/>
  </w:num>
  <w:num w:numId="47">
    <w:abstractNumId w:val="35"/>
  </w:num>
  <w:num w:numId="48">
    <w:abstractNumId w:val="23"/>
  </w:num>
  <w:num w:numId="49">
    <w:abstractNumId w:val="59"/>
  </w:num>
  <w:num w:numId="50">
    <w:abstractNumId w:val="31"/>
  </w:num>
  <w:num w:numId="51">
    <w:abstractNumId w:val="57"/>
  </w:num>
  <w:num w:numId="52">
    <w:abstractNumId w:val="4"/>
  </w:num>
  <w:num w:numId="53">
    <w:abstractNumId w:val="37"/>
  </w:num>
  <w:num w:numId="54">
    <w:abstractNumId w:val="45"/>
  </w:num>
  <w:num w:numId="55">
    <w:abstractNumId w:val="33"/>
  </w:num>
  <w:num w:numId="56">
    <w:abstractNumId w:val="3"/>
  </w:num>
  <w:num w:numId="57">
    <w:abstractNumId w:val="3"/>
  </w:num>
  <w:num w:numId="58">
    <w:abstractNumId w:val="3"/>
  </w:num>
  <w:num w:numId="59">
    <w:abstractNumId w:val="55"/>
  </w:num>
  <w:num w:numId="60">
    <w:abstractNumId w:val="14"/>
  </w:num>
  <w:num w:numId="61">
    <w:abstractNumId w:val="1"/>
  </w:num>
  <w:num w:numId="62">
    <w:abstractNumId w:val="5"/>
  </w:num>
  <w:num w:numId="63">
    <w:abstractNumId w:val="10"/>
  </w:num>
  <w:num w:numId="64">
    <w:abstractNumId w:val="43"/>
  </w:num>
  <w:num w:numId="65">
    <w:abstractNumId w:val="7"/>
  </w:num>
  <w:num w:numId="66">
    <w:abstractNumId w:val="11"/>
  </w:num>
  <w:num w:numId="67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</w:num>
  <w:num w:numId="69">
    <w:abstractNumId w:val="25"/>
  </w:num>
  <w:num w:numId="70">
    <w:abstractNumId w:val="34"/>
  </w:num>
  <w:num w:numId="71">
    <w:abstractNumId w:val="61"/>
  </w:num>
  <w:num w:numId="72">
    <w:abstractNumId w:val="53"/>
  </w:num>
  <w:num w:numId="73">
    <w:abstractNumId w:val="54"/>
  </w:num>
  <w:num w:numId="74">
    <w:abstractNumId w:val="41"/>
  </w:num>
  <w:num w:numId="75">
    <w:abstractNumId w:val="12"/>
  </w:num>
  <w:num w:numId="76">
    <w:abstractNumId w:val="8"/>
  </w:num>
  <w:num w:numId="77">
    <w:abstractNumId w:val="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021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A54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4A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A22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E33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09E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054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49E"/>
    <w:rsid w:val="0010294F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2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3C3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4F90"/>
    <w:rsid w:val="00135015"/>
    <w:rsid w:val="00135095"/>
    <w:rsid w:val="001350ED"/>
    <w:rsid w:val="001352A6"/>
    <w:rsid w:val="001353D7"/>
    <w:rsid w:val="0013565F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184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7EC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13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1F9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DA3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942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C49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18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5B3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2FA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887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17C8E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6CB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493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20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97E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903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C34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2A4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8D5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1FC7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D44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1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7F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1C2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79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0FD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74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212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DB4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1A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5D3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B39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554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14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CE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6F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72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84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BF0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72C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6E86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71E"/>
    <w:rsid w:val="00771AAB"/>
    <w:rsid w:val="00771EE3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622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C8A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7FA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3FD4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965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E7F6F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C3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122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18C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7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74B"/>
    <w:rsid w:val="009F7883"/>
    <w:rsid w:val="009F7BD3"/>
    <w:rsid w:val="009F7D51"/>
    <w:rsid w:val="00A00519"/>
    <w:rsid w:val="00A009FB"/>
    <w:rsid w:val="00A00A20"/>
    <w:rsid w:val="00A00F81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B84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5B0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58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2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19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602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7C9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877DE"/>
    <w:rsid w:val="00B87B2E"/>
    <w:rsid w:val="00B909F4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2E7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D47"/>
    <w:rsid w:val="00BF2F3D"/>
    <w:rsid w:val="00BF31CB"/>
    <w:rsid w:val="00BF33B8"/>
    <w:rsid w:val="00BF3681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99D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0AA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19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12A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AD6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36D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89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626"/>
    <w:rsid w:val="00CC380B"/>
    <w:rsid w:val="00CC39C1"/>
    <w:rsid w:val="00CC3E8C"/>
    <w:rsid w:val="00CC3E96"/>
    <w:rsid w:val="00CC400F"/>
    <w:rsid w:val="00CC434D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1FD3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4C92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A7B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4E5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AAC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44D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78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0CA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275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C87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E5D"/>
    <w:rsid w:val="00E57050"/>
    <w:rsid w:val="00E5711F"/>
    <w:rsid w:val="00E57280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C85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D9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6A0"/>
    <w:rsid w:val="00F71976"/>
    <w:rsid w:val="00F719F0"/>
    <w:rsid w:val="00F71A99"/>
    <w:rsid w:val="00F71B5C"/>
    <w:rsid w:val="00F71B88"/>
    <w:rsid w:val="00F71BC4"/>
    <w:rsid w:val="00F71C4F"/>
    <w:rsid w:val="00F71D45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03C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789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3B9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8DA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39D2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Text">
    <w:name w:val="endnote text"/>
    <w:basedOn w:val="Normal"/>
    <w:link w:val="EndnoteTextChar"/>
    <w:semiHidden/>
    <w:unhideWhenUsed/>
    <w:rsid w:val="007823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2319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Normal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ediumList2-Accent1">
    <w:name w:val="Medium List 2 Accent 1"/>
    <w:basedOn w:val="TableNormal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ableofFigures">
    <w:name w:val="table of figures"/>
    <w:basedOn w:val="Normal"/>
    <w:next w:val="Normal"/>
    <w:semiHidden/>
    <w:unhideWhenUsed/>
    <w:rsid w:val="00ED2D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BF63D88-5B19-496A-862E-924F664943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DCB078-CC5D-492D-8F34-A9CA9180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1315</Words>
  <Characters>7223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8521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George, Geordie</cp:lastModifiedBy>
  <cp:revision>7</cp:revision>
  <cp:lastPrinted>2022-01-05T12:49:00Z</cp:lastPrinted>
  <dcterms:created xsi:type="dcterms:W3CDTF">2023-04-07T07:54:00Z</dcterms:created>
  <dcterms:modified xsi:type="dcterms:W3CDTF">2023-04-07T08:01:00Z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