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both"/>
        <w:rPr>
          <w:rFonts w:ascii="Times New Roman" w:hAnsi="Times New Roman" w:cs="Times New Roman"/>
          <w:b/>
          <w:bCs/>
          <w:sz w:val="28"/>
        </w:rPr>
      </w:pPr>
      <w:bookmarkStart w:id="0" w:name="OLE_LINK33"/>
      <w:bookmarkStart w:id="1" w:name="OLE_LINK34"/>
      <w:r>
        <w:rPr>
          <w:rFonts w:ascii="Times New Roman" w:hAnsi="Times New Roman" w:cs="Times New Roman"/>
          <w:b/>
          <w:bCs/>
          <w:sz w:val="28"/>
        </w:rPr>
        <w:t>3GPP TSG RAN WG1 #112bis-e</w:t>
      </w:r>
      <w:r>
        <w:rPr>
          <w:rFonts w:ascii="Times New Roman" w:hAnsi="Times New Roman" w:cs="Times New Roman"/>
          <w:b/>
          <w:bCs/>
          <w:sz w:val="28"/>
        </w:rPr>
        <w:tab/>
      </w:r>
      <w:r>
        <w:rPr>
          <w:rFonts w:hint="eastAsia" w:ascii="Times New Roman" w:hAnsi="Times New Roman" w:cs="Times New Roman"/>
          <w:b/>
          <w:bCs/>
          <w:sz w:val="28"/>
          <w:lang w:eastAsia="zh-CN"/>
        </w:rPr>
        <w:t xml:space="preserve">                                     </w:t>
      </w:r>
      <w:r>
        <w:rPr>
          <w:rFonts w:hint="eastAsia" w:ascii="Times New Roman" w:hAnsi="Times New Roman" w:cs="Times New Roman"/>
          <w:b/>
          <w:bCs/>
          <w:sz w:val="28"/>
          <w:lang w:val="en-US" w:eastAsia="zh-CN"/>
        </w:rPr>
        <w:t xml:space="preserve">             </w:t>
      </w:r>
      <w:bookmarkStart w:id="10" w:name="_GoBack"/>
      <w:bookmarkEnd w:id="10"/>
      <w:r>
        <w:rPr>
          <w:rFonts w:ascii="Times New Roman" w:hAnsi="Times New Roman" w:cs="Times New Roman"/>
          <w:b/>
          <w:bCs/>
          <w:sz w:val="28"/>
        </w:rPr>
        <w:t>R1-2303810</w:t>
      </w:r>
    </w:p>
    <w:p>
      <w:pPr>
        <w:pStyle w:val="21"/>
        <w:jc w:val="both"/>
        <w:rPr>
          <w:rFonts w:ascii="Times New Roman" w:hAnsi="Times New Roman" w:cs="Times New Roman"/>
          <w:b/>
          <w:bCs/>
          <w:sz w:val="28"/>
          <w:lang w:eastAsia="ja-JP"/>
        </w:rPr>
      </w:pPr>
      <w:r>
        <w:rPr>
          <w:rFonts w:ascii="Times New Roman" w:hAnsi="Times New Roman" w:cs="Times New Roman"/>
          <w:b/>
          <w:bCs/>
          <w:sz w:val="28"/>
          <w:lang w:eastAsia="ja-JP"/>
        </w:rPr>
        <w:t>e-Meeting, April 17th – April 26, 2023</w:t>
      </w:r>
    </w:p>
    <w:p>
      <w:pPr>
        <w:pStyle w:val="10"/>
        <w:tabs>
          <w:tab w:val="clear" w:pos="4536"/>
        </w:tabs>
        <w:jc w:val="both"/>
        <w:rPr>
          <w:rFonts w:ascii="Times New Roman" w:hAnsi="Times New Roman" w:cs="Times New Roman"/>
          <w:sz w:val="24"/>
          <w:szCs w:val="22"/>
        </w:rPr>
      </w:pP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p>
    <w:p>
      <w:pPr>
        <w:pStyle w:val="10"/>
        <w:tabs>
          <w:tab w:val="clear" w:pos="4536"/>
        </w:tabs>
        <w:ind w:left="1928" w:hanging="1921" w:hangingChars="800"/>
        <w:jc w:val="both"/>
        <w:rPr>
          <w:rFonts w:ascii="Times New Roman" w:hAnsi="Times New Roman" w:cs="Times New Roman"/>
          <w:sz w:val="24"/>
          <w:szCs w:val="22"/>
        </w:rPr>
      </w:pPr>
      <w:r>
        <w:rPr>
          <w:rFonts w:ascii="Times New Roman" w:hAnsi="Times New Roman" w:cs="Times New Roman"/>
          <w:sz w:val="24"/>
          <w:szCs w:val="22"/>
        </w:rPr>
        <w:t>Title:                   Discussions on</w:t>
      </w:r>
      <w:r>
        <w:rPr>
          <w:rFonts w:ascii="Times New Roman" w:hAnsi="Times New Roman" w:cs="Times New Roman"/>
        </w:rPr>
        <w:t xml:space="preserve"> </w:t>
      </w:r>
      <w:r>
        <w:rPr>
          <w:rFonts w:ascii="Times New Roman" w:hAnsi="Times New Roman" w:cs="Times New Roman"/>
          <w:sz w:val="24"/>
          <w:szCs w:val="22"/>
        </w:rPr>
        <w:t>CSI measurement enhancement for AI/ML communication</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9.2.2.2</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36"/>
          <w:szCs w:val="36"/>
        </w:rPr>
      </w:pPr>
      <w:r>
        <w:rPr>
          <w:rFonts w:ascii="Times New Roman" w:hAnsi="Times New Roman" w:eastAsia="黑体" w:cs="Times New Roman"/>
          <w:b/>
          <w:bCs/>
          <w:color w:val="auto"/>
          <w:sz w:val="36"/>
          <w:szCs w:val="36"/>
        </w:rPr>
        <w:t>Introduction</w:t>
      </w:r>
    </w:p>
    <w:p>
      <w:pPr>
        <w:widowControl w:val="0"/>
        <w:spacing w:after="120"/>
        <w:jc w:val="both"/>
        <w:rPr>
          <w:rFonts w:ascii="Times New Roman" w:hAnsi="Times New Roman" w:cs="Times New Roman"/>
        </w:rPr>
      </w:pPr>
      <w:r>
        <w:rPr>
          <w:rFonts w:ascii="Times New Roman" w:hAnsi="Times New Roman" w:cs="Times New Roman"/>
        </w:rPr>
        <w:t xml:space="preserve">The study item on Artificial Intelligence (AI)/Machine Learning (ML) for NR air interface is established in RAN plenary meeting #94e for Rel.18 </w:t>
      </w:r>
      <w:r>
        <w:rPr>
          <w:rFonts w:ascii="Times New Roman" w:hAnsi="Times New Roman" w:cs="Times New Roman"/>
        </w:rPr>
        <w:fldChar w:fldCharType="begin"/>
      </w:r>
      <w:r>
        <w:rPr>
          <w:rFonts w:ascii="Times New Roman" w:hAnsi="Times New Roman" w:cs="Times New Roman"/>
        </w:rPr>
        <w:instrText xml:space="preserve"> REF _Ref101880944 \r \h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to investigate the benefits of AI/ML in air interface performance enhancement. The AI/ML will be an icon technology in 5G advanced and afterwards.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Thanks to the rapid development of AI technology, many AI technologies have been applied to the compression and prediction fields of CSI, including Channel Representation and Prediction Model, Channel Representation and Prediction Model, and Neural ODE Model for Channel Prediction. For the technical standard research aspect, very important conclusions have been reached through discussions at multiple meetings such as RAN1 #110, RAN1 #111, RAN1 #112, including the sub use cases and potential standard impacts. the following latest agreements and conclusions are achieved at</w:t>
      </w:r>
      <w:r>
        <w:rPr>
          <w:rFonts w:ascii="Times New Roman" w:hAnsi="Times New Roman" w:cs="Times New Roman"/>
          <w:lang w:eastAsia="zh-CN"/>
        </w:rPr>
        <w:fldChar w:fldCharType="begin"/>
      </w:r>
      <w:r>
        <w:rPr>
          <w:rFonts w:ascii="Times New Roman" w:hAnsi="Times New Roman" w:cs="Times New Roman"/>
          <w:lang w:eastAsia="zh-CN"/>
        </w:rPr>
        <w:instrText xml:space="preserve"> </w:instrText>
      </w:r>
      <w:r>
        <w:rPr>
          <w:rFonts w:hint="eastAsia" w:ascii="Times New Roman" w:hAnsi="Times New Roman" w:cs="Times New Roman"/>
          <w:lang w:eastAsia="zh-CN"/>
        </w:rPr>
        <w:instrText xml:space="preserve">REF _Ref131518301 \r \h</w:instrText>
      </w:r>
      <w:r>
        <w:rPr>
          <w:rFonts w:ascii="Times New Roman" w:hAnsi="Times New Roman" w:cs="Times New Roman"/>
          <w:lang w:eastAsia="zh-CN"/>
        </w:rPr>
        <w:instrText xml:space="preserve">  \* MERGEFORMAT </w:instrText>
      </w:r>
      <w:r>
        <w:rPr>
          <w:rFonts w:ascii="Times New Roman" w:hAnsi="Times New Roman" w:cs="Times New Roman"/>
          <w:lang w:eastAsia="zh-CN"/>
        </w:rPr>
        <w:fldChar w:fldCharType="separate"/>
      </w:r>
      <w:r>
        <w:rPr>
          <w:rFonts w:ascii="Times New Roman" w:hAnsi="Times New Roman" w:cs="Times New Roman"/>
          <w:lang w:eastAsia="zh-CN"/>
        </w:rPr>
        <w:t>[4]</w:t>
      </w:r>
      <w:r>
        <w:rPr>
          <w:rFonts w:ascii="Times New Roman" w:hAnsi="Times New Roman" w:cs="Times New Roman"/>
          <w:lang w:eastAsia="zh-CN"/>
        </w:rPr>
        <w:fldChar w:fldCharType="end"/>
      </w:r>
      <w:r>
        <w:rPr>
          <w:rFonts w:ascii="Times New Roman" w:hAnsi="Times New Roman" w:cs="Times New Roman"/>
          <w:lang w:eastAsia="zh-CN"/>
        </w:rPr>
        <w:t>. A few sub use cases are excluded from selection of representative sub-use cases. That renders the afterwards work more focused.</w:t>
      </w:r>
    </w:p>
    <w:p>
      <w:pPr>
        <w:widowControl w:val="0"/>
        <w:spacing w:after="120"/>
        <w:jc w:val="both"/>
        <w:rPr>
          <w:rFonts w:ascii="Times New Roman" w:hAnsi="Times New Roman" w:cs="Times New Roman"/>
          <w:i/>
          <w:lang w:eastAsia="zh-CN"/>
        </w:rPr>
      </w:pPr>
      <w:r>
        <w:rPr>
          <w:rFonts w:ascii="Times New Roman" w:hAnsi="Times New Roman" w:cs="Times New Roman"/>
          <w:b/>
          <w:bCs/>
          <w:i/>
          <w:u w:val="single"/>
          <w:lang w:eastAsia="zh-CN"/>
        </w:rPr>
        <w:t xml:space="preserve">RAN1 #112 meeting </w:t>
      </w:r>
      <w:r>
        <w:rPr>
          <w:rFonts w:ascii="Times New Roman" w:hAnsi="Times New Roman" w:cs="Times New Roman"/>
          <w:i/>
          <w:lang w:eastAsia="zh-CN"/>
        </w:rPr>
        <w:t>Agreement</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 xml:space="preserve">In CSI compression using two-sided model use case, further study the necessity, feasibility, and potential specification impact of UE side data collection enhancement including at least  </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Enhancement of CSI-RS configuration to enable higher accuracy measurement.</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Assistance information for UE data collection for categorizing the data in forms of ID for the purpose of differentiating characteristics of data due to specific configuration, scenarios, site etc.</w:t>
      </w:r>
    </w:p>
    <w:p>
      <w:pPr>
        <w:widowControl w:val="0"/>
        <w:numPr>
          <w:ilvl w:val="1"/>
          <w:numId w:val="2"/>
        </w:numPr>
        <w:spacing w:after="120"/>
        <w:jc w:val="both"/>
        <w:rPr>
          <w:rFonts w:ascii="Times New Roman" w:hAnsi="Times New Roman" w:cs="Times New Roman"/>
          <w:i/>
          <w:lang w:eastAsia="zh-CN"/>
        </w:rPr>
      </w:pPr>
      <w:r>
        <w:rPr>
          <w:rFonts w:ascii="Times New Roman" w:hAnsi="Times New Roman" w:cs="Times New Roman"/>
          <w:i/>
          <w:lang w:eastAsia="zh-CN"/>
        </w:rPr>
        <w:t>The provision of assistance information needs to consider feasibility of disclosing proprietary information to the other side.</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Signaling for triggering the data collection</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 xml:space="preserve">In CSI compression using two-sided model use case, further discuss the necessity, feasibility, and potential specification impact for NW side data collection including at least:   </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 xml:space="preserve">Enhancement of SRS and/or CSI-RS measurement and/or CSI reporting to enable higher accuracy measurement. </w:t>
      </w:r>
    </w:p>
    <w:p>
      <w:pPr>
        <w:widowControl w:val="0"/>
        <w:numPr>
          <w:ilvl w:val="0"/>
          <w:numId w:val="2"/>
        </w:numPr>
        <w:spacing w:after="120"/>
        <w:jc w:val="both"/>
        <w:rPr>
          <w:rFonts w:ascii="Times New Roman" w:hAnsi="Times New Roman" w:cs="Times New Roman"/>
          <w:i/>
          <w:lang w:eastAsia="zh-CN"/>
        </w:rPr>
      </w:pPr>
      <w:r>
        <w:rPr>
          <w:rFonts w:ascii="Times New Roman" w:hAnsi="Times New Roman" w:cs="Times New Roman"/>
          <w:i/>
          <w:lang w:eastAsia="zh-CN"/>
        </w:rPr>
        <w:t>Other aspects which not included here due to page limited(……)</w:t>
      </w:r>
    </w:p>
    <w:p>
      <w:pPr>
        <w:widowControl w:val="0"/>
        <w:spacing w:after="120"/>
        <w:jc w:val="both"/>
        <w:rPr>
          <w:rFonts w:ascii="Times New Roman" w:hAnsi="Times New Roman" w:cs="Times New Roman"/>
          <w:lang w:eastAsia="zh-CN"/>
        </w:rPr>
      </w:pPr>
      <w:r>
        <w:rPr>
          <w:rFonts w:ascii="Times New Roman" w:hAnsi="Times New Roman" w:cs="Times New Roman"/>
        </w:rPr>
        <w:t xml:space="preserve">The CSI feedback sub use cases and possible standard impacts will be further discussed in this contribution.  We will provide possible sub use cases in CSI compression and CSI prediction, also the associated reference configuration procedure for CSI-RS and SRS, also joint SRS and uplink transmission had been discussed in this paper. The potential standard impacts will be discussed for each sub use case. </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b/>
          <w:color w:val="auto"/>
          <w:lang w:eastAsia="zh-CN"/>
        </w:rPr>
      </w:pPr>
      <w:r>
        <w:rPr>
          <w:rFonts w:hint="eastAsia" w:ascii="Times New Roman" w:hAnsi="Times New Roman" w:cs="Times New Roman"/>
          <w:b/>
          <w:color w:val="auto"/>
          <w:lang w:eastAsia="zh-CN"/>
        </w:rPr>
        <w:t>C</w:t>
      </w:r>
      <w:r>
        <w:rPr>
          <w:rFonts w:ascii="Times New Roman" w:hAnsi="Times New Roman" w:cs="Times New Roman"/>
          <w:b/>
          <w:color w:val="auto"/>
          <w:lang w:eastAsia="zh-CN"/>
        </w:rPr>
        <w:t>SI requirement for AI wireless communication</w:t>
      </w:r>
    </w:p>
    <w:p>
      <w:pPr>
        <w:widowControl w:val="0"/>
        <w:spacing w:after="120"/>
        <w:jc w:val="both"/>
        <w:rPr>
          <w:rFonts w:ascii="Times New Roman" w:hAnsi="Times New Roman" w:cs="Times New Roman"/>
        </w:rPr>
      </w:pPr>
      <w:r>
        <w:rPr>
          <w:rFonts w:ascii="Times New Roman" w:hAnsi="Times New Roman" w:cs="Times New Roman"/>
        </w:rPr>
        <w:t>Until RAN1 #111 meeting, many wireless AI related topics had been discussed, including the use cases(CSI compressing/prediction/measurement, positioning, beam management, RRM etc), system-level and link-level simulations, life cycle management, some key conclusions and agreements had been achieved, especially the AI/ML lifecycle management framework as shown in following picture, which is the fundamental for the wireless AI/ML standardization. Even a general framework had been proposed, but how to define a universal procedure satisfying different use cases is a big challenge right now.</w:t>
      </w:r>
    </w:p>
    <w:p>
      <w:pPr>
        <w:pStyle w:val="23"/>
        <w:keepNext/>
        <w:spacing w:before="120" w:beforeLines="50" w:line="360" w:lineRule="auto"/>
        <w:ind w:left="420"/>
      </w:pPr>
      <w:r>
        <w:object>
          <v:shape id="_x0000_i1025" o:spt="75" type="#_x0000_t75" style="height:202.7pt;width:459.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4"/>
        <w:spacing w:before="0"/>
        <w:ind w:left="420"/>
        <w:jc w:val="center"/>
      </w:pPr>
      <w:bookmarkStart w:id="2" w:name="_Ref122469796"/>
      <w:bookmarkStart w:id="3" w:name="_Ref122469774"/>
      <w:r>
        <w:t xml:space="preserve">Figure </w:t>
      </w:r>
      <w:r>
        <w:fldChar w:fldCharType="begin"/>
      </w:r>
      <w:r>
        <w:instrText xml:space="preserve"> SEQ Figure \* ARABIC </w:instrText>
      </w:r>
      <w:r>
        <w:fldChar w:fldCharType="separate"/>
      </w:r>
      <w:r>
        <w:t>1</w:t>
      </w:r>
      <w:r>
        <w:fldChar w:fldCharType="end"/>
      </w:r>
      <w:bookmarkEnd w:id="2"/>
      <w:r>
        <w:t xml:space="preserve"> AI general framework for wireless communication</w:t>
      </w:r>
      <w:bookmarkEnd w:id="3"/>
    </w:p>
    <w:p>
      <w:pPr>
        <w:widowControl w:val="0"/>
        <w:spacing w:after="120"/>
        <w:jc w:val="both"/>
        <w:rPr>
          <w:rFonts w:ascii="Times New Roman" w:hAnsi="Times New Roman" w:cs="Times New Roman"/>
        </w:rPr>
      </w:pPr>
      <w:r>
        <w:rPr>
          <w:rFonts w:ascii="Times New Roman" w:hAnsi="Times New Roman" w:cs="Times New Roman"/>
        </w:rPr>
        <w:t xml:space="preserve">As illustrated by </w:t>
      </w:r>
      <w:r>
        <w:rPr>
          <w:rFonts w:ascii="Times New Roman" w:hAnsi="Times New Roman" w:cs="Times New Roman"/>
        </w:rPr>
        <w:fldChar w:fldCharType="begin"/>
      </w:r>
      <w:r>
        <w:rPr>
          <w:rFonts w:ascii="Times New Roman" w:hAnsi="Times New Roman" w:cs="Times New Roman"/>
        </w:rPr>
        <w:instrText xml:space="preserve"> REF _Ref122469796 \h  \* MERGEFORMAT </w:instrText>
      </w:r>
      <w:r>
        <w:rPr>
          <w:rFonts w:ascii="Times New Roman" w:hAnsi="Times New Roman" w:cs="Times New Roman"/>
        </w:rPr>
        <w:fldChar w:fldCharType="separate"/>
      </w:r>
      <w:r>
        <w:rPr>
          <w:rFonts w:ascii="Times New Roman" w:hAnsi="Times New Roman" w:cs="Times New Roman"/>
        </w:rPr>
        <w:t>Figure 1</w:t>
      </w:r>
      <w:r>
        <w:rPr>
          <w:rFonts w:ascii="Times New Roman" w:hAnsi="Times New Roman" w:cs="Times New Roman"/>
        </w:rPr>
        <w:fldChar w:fldCharType="end"/>
      </w:r>
      <w:r>
        <w:rPr>
          <w:rFonts w:ascii="Times New Roman" w:hAnsi="Times New Roman" w:cs="Times New Roman"/>
        </w:rPr>
        <w:t xml:space="preserve">, data collection, model inference and feedback perform the key role at the system, those processes are AI model specific and associated information are various between different models, as shown in table I. For example, the  channel measurements, e.g., the power delay profile (PDP), the channel impulse response (CIR), the channel frequency response (CFR) or post-processed CIR and ground-truth UE coordinates are required for UE-based AL/ML positioning methodology. But for beam management, the following information is required, including new RSRP and/or SSBRI/CRI report behavior. E.g., a larger number of RSRPs is to be reported to generate the labels and AI/ML inputs, or larger number of beam IDs is to be reported as the AI/ML outputs, as opposed to the legacy mode where only the best RSRP(s) are reported. In addition, when Set B is a subset of Set A, the mapping relationship between Set B and Set A may need to be aligned, e.g., which subset within Set A is configured as Set B. Also for the CSI prediction, the requirement is quite different from positioning and beam management, including ground-truth CSI of realistic DL/UL channels, Raw Channel matrix or precoding matrix etc. Meanwhile, in order to fetch those assistant information from measurement or feedback, dedicated reference signal must be needed. For example, enhanced RS design to perform AI/ML specific RSRP measurement and the enhancement of the RS to conduct more accurate measurements of data samples, which would be required by AI-based beam management. For CSI prediction, enhanced CSI-RS may be considered specifically for the data collection procedure to generate the dataset with more accurate ground-truth CSI as samples. For example, by setting a higher power to the CSI-RS or allocating more RE in time/frequency domain to the CSI-RS for data collection so that UE can achieve more accurate DL measured channel as the ground-truth CSI labels. Also the same to positioning, dedicated RS would be needed for accuracy improvement to performance AI model inference or monitoring. </w:t>
      </w:r>
    </w:p>
    <w:p>
      <w:pPr>
        <w:pStyle w:val="4"/>
        <w:ind w:left="420"/>
        <w:jc w:val="center"/>
        <w:rPr>
          <w:rFonts w:eastAsia="等线"/>
          <w:color w:val="000000"/>
          <w:sz w:val="22"/>
          <w:szCs w:val="22"/>
        </w:rPr>
      </w:pPr>
      <w:r>
        <w:t xml:space="preserve">Table </w:t>
      </w:r>
      <w:r>
        <w:fldChar w:fldCharType="begin"/>
      </w:r>
      <w:r>
        <w:instrText xml:space="preserve"> SEQ Table \* ARABIC </w:instrText>
      </w:r>
      <w:r>
        <w:fldChar w:fldCharType="separate"/>
      </w:r>
      <w:r>
        <w:t>1</w:t>
      </w:r>
      <w:r>
        <w:fldChar w:fldCharType="end"/>
      </w:r>
      <w:r>
        <w:t xml:space="preserve"> AI-model specific reference signal and data requirements</w:t>
      </w:r>
    </w:p>
    <w:tbl>
      <w:tblPr>
        <w:tblStyle w:val="1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424"/>
        <w:gridCol w:w="5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D9D9D9"/>
          </w:tcPr>
          <w:p>
            <w:pPr>
              <w:spacing w:before="120" w:beforeLines="50" w:line="360" w:lineRule="auto"/>
              <w:rPr>
                <w:rFonts w:ascii="Times New Roman" w:hAnsi="Times New Roman" w:cs="Times New Roman"/>
                <w:sz w:val="21"/>
              </w:rPr>
            </w:pPr>
            <w:r>
              <w:rPr>
                <w:rFonts w:ascii="Times New Roman" w:hAnsi="Times New Roman" w:cs="Times New Roman"/>
                <w:sz w:val="21"/>
              </w:rPr>
              <w:t>AI model functionalities</w:t>
            </w:r>
          </w:p>
        </w:tc>
        <w:tc>
          <w:tcPr>
            <w:tcW w:w="2424" w:type="dxa"/>
            <w:shd w:val="clear" w:color="auto" w:fill="D9D9D9"/>
          </w:tcPr>
          <w:p>
            <w:pPr>
              <w:spacing w:before="120" w:beforeLines="50" w:line="360" w:lineRule="auto"/>
              <w:rPr>
                <w:rFonts w:ascii="Times New Roman" w:hAnsi="Times New Roman" w:cs="Times New Roman"/>
                <w:sz w:val="21"/>
              </w:rPr>
            </w:pPr>
            <w:r>
              <w:rPr>
                <w:rFonts w:ascii="Times New Roman" w:hAnsi="Times New Roman" w:cs="Times New Roman"/>
                <w:sz w:val="21"/>
              </w:rPr>
              <w:t>Reference signal enhancement</w:t>
            </w:r>
          </w:p>
        </w:tc>
        <w:tc>
          <w:tcPr>
            <w:tcW w:w="5088" w:type="dxa"/>
            <w:shd w:val="clear" w:color="auto" w:fill="D9D9D9"/>
          </w:tcPr>
          <w:p>
            <w:pPr>
              <w:spacing w:before="120" w:beforeLines="50" w:line="360" w:lineRule="auto"/>
              <w:rPr>
                <w:rFonts w:ascii="Times New Roman" w:hAnsi="Times New Roman" w:cs="Times New Roman"/>
                <w:sz w:val="21"/>
              </w:rPr>
            </w:pPr>
            <w:r>
              <w:rPr>
                <w:rFonts w:ascii="Times New Roman" w:hAnsi="Times New Roman" w:cs="Times New Roman"/>
                <w:sz w:val="21"/>
              </w:rPr>
              <w:t>Data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1843"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Positioning</w:t>
            </w:r>
          </w:p>
        </w:tc>
        <w:tc>
          <w:tcPr>
            <w:tcW w:w="2424"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Positioning specific reference signal, higher density, wider beam etc.</w:t>
            </w:r>
          </w:p>
        </w:tc>
        <w:tc>
          <w:tcPr>
            <w:tcW w:w="5088"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Positioning specific data, for example, the  channel measurements, e.g., the power delay profile (PDP), the channel impulse response (CIR), the channel frequency response (CFR) or post-processed CIR and ground-truth UE coordinates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Beam management</w:t>
            </w:r>
          </w:p>
        </w:tc>
        <w:tc>
          <w:tcPr>
            <w:tcW w:w="2424"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BM-specific reference signal, higher power, higher density different spatial filter etc.</w:t>
            </w:r>
          </w:p>
        </w:tc>
        <w:tc>
          <w:tcPr>
            <w:tcW w:w="5088"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 xml:space="preserve">BM-specific data, for example, new RSRP and/or SSBRI/CRI report behavior. E.g., a larger number of RSRPs is to be reported to generate the labels and AI/ML inputs, or larger number of beam IDs is to be reported as the AI/ML outputs,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trPr>
        <w:tc>
          <w:tcPr>
            <w:tcW w:w="1843"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CSI feedback enhancement</w:t>
            </w:r>
          </w:p>
        </w:tc>
        <w:tc>
          <w:tcPr>
            <w:tcW w:w="2424"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CSI-enhancement specific reference signal, higher density and measurement gap etc.</w:t>
            </w:r>
          </w:p>
        </w:tc>
        <w:tc>
          <w:tcPr>
            <w:tcW w:w="5088" w:type="dxa"/>
            <w:shd w:val="clear" w:color="auto" w:fill="auto"/>
            <w:vAlign w:val="center"/>
          </w:tcPr>
          <w:p>
            <w:pPr>
              <w:spacing w:before="120" w:beforeLines="50" w:line="360" w:lineRule="auto"/>
              <w:jc w:val="both"/>
              <w:rPr>
                <w:rFonts w:ascii="Times New Roman" w:hAnsi="Times New Roman" w:cs="Times New Roman"/>
                <w:sz w:val="21"/>
              </w:rPr>
            </w:pPr>
            <w:r>
              <w:rPr>
                <w:rFonts w:ascii="Times New Roman" w:hAnsi="Times New Roman" w:cs="Times New Roman"/>
                <w:sz w:val="21"/>
              </w:rPr>
              <w:t>CSI-enhancement specific data, for example, ground-truth CSI of realistic DL/UL channels, Raw Channel matrix or precoding matrix etc</w:t>
            </w:r>
          </w:p>
        </w:tc>
      </w:tr>
    </w:tbl>
    <w:p>
      <w:pPr>
        <w:widowControl w:val="0"/>
        <w:spacing w:before="240" w:beforeLines="100" w:after="120"/>
        <w:jc w:val="both"/>
        <w:rPr>
          <w:rFonts w:ascii="Times New Roman" w:hAnsi="Times New Roman" w:cs="Times New Roman"/>
        </w:rPr>
      </w:pPr>
      <w:r>
        <w:rPr>
          <w:rFonts w:ascii="Times New Roman" w:hAnsi="Times New Roman" w:cs="Times New Roman"/>
        </w:rPr>
        <w:t>Observed from table I, those specific required data(for feedback, training, inference input etc.) is highly related with AI functionalities and/or reference signal, to unify those configuration and data collection procedure is quite important  to support functionalities or AI models with effective signaling method. Also we can see until RAN1 #111 and RAN1 #112 meeting, for the general framework and CSI measurement, great efforts had been processed, we have the following proposals to make the discussion under a unified framework, so as to achieve agreements on some general aspects ASAP.</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Conventional reference signal configuration and CSI reporting framework could be enhanced to support various requirement of AI model functionalities or procedures within one function.</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Furthermore, in a Frequency Division Duplex (FDD) mode wireless communication system, uplink measurements based on SRS signals are performed by the base station. An AI model is utilized by the base station to compress the uplink CSI information. This compressed information needs to be transmitted to the User Equipment (UE) side, where it is reconstructed using the UE's own AI model to restore the uplink channel's CSI information. Currently, this solution has not received much attention, but uplink data transmission has always been a bottleneck for wireless communication systems. Thus, resolving issues with uplink CSI measurement, compression, and reconstruction is equally important. In FDD mode, the uplink and downlink transmissions are separated by different frequency bands. As a result, the base station needs to measure the uplink channel quality using the SRS signal transmitted by the UE. The measured CSI information is then compressed by an AI model to reduce the amount of data to be transmitted to the UE side. The compressed information is then sent to the UE, where it is reconstructed using another AI model to recover the uplink channel's CSI information.</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While uplink data transmission is essential for wireless communication systems, it is also challenging due to limited available bandwidth and interference from other devices. Therefore, it is crucial to improve uplink CSI measurement, compression, and reconstruction to enhance the overall performance of the communication system. By addressing these issues, we can increase the capacity and efficiency of the system, ultimately leading to better user experiences and improved communication services. </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2: AI-based uplink CSI measurement and reconstruction also would be considered to make larger uplink data transmission in FDD working mode.</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b/>
          <w:color w:val="auto"/>
          <w:lang w:eastAsia="zh-CN"/>
        </w:rPr>
      </w:pPr>
      <w:r>
        <w:rPr>
          <w:rFonts w:hint="eastAsia" w:ascii="Times New Roman" w:hAnsi="Times New Roman" w:cs="Times New Roman"/>
          <w:b/>
          <w:color w:val="auto"/>
          <w:lang w:eastAsia="zh-CN"/>
        </w:rPr>
        <w:t>A</w:t>
      </w:r>
      <w:r>
        <w:rPr>
          <w:rFonts w:ascii="Times New Roman" w:hAnsi="Times New Roman" w:cs="Times New Roman"/>
          <w:b/>
          <w:color w:val="auto"/>
          <w:lang w:eastAsia="zh-CN"/>
        </w:rPr>
        <w:t>I-based downlink CSI measurement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NR has defined a framework for downlink CSI measurement, which includes various CSI procedure such as CSI-RS configuration and CSI reporting configuration. The framework encompasses timing and frequency resource allocation, as well as periodic, aperiodic, and semi-static behaviors. It also includes CSI feedback information and other associated behaviors. This framework serves as a comprehensive guide for implementing downlink CSI measurement in NR systems, ensuring that the measurement process is standardized and consistent across different scenarios. By following this framework, communication systems can achieve accurate and reliable downlink CSI measurements, which are essential for optimizing system performance and delivering high-quality communication services to users.</w:t>
      </w:r>
    </w:p>
    <w:p>
      <w:pPr>
        <w:pStyle w:val="3"/>
        <w:numPr>
          <w:ilvl w:val="1"/>
          <w:numId w:val="1"/>
        </w:numPr>
        <w:bidi w:val="0"/>
        <w:rPr>
          <w:lang w:eastAsia="zh-CN"/>
        </w:rPr>
      </w:pPr>
      <w:r>
        <w:rPr>
          <w:lang w:eastAsia="zh-CN"/>
        </w:rPr>
        <w:t>CSI measurement framework for AI</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the context of CSI measurement framework, it is necessary to enhance the traditional NR CSI measurement framework in order to support both conventional CSI measurement mechanisms and those that enable AI capabilities. Such mechanisms include CSI measurement for inference, monitoring, and data compression, among others. To this end, the traditional NR CSI measurement framework has been augmented as follows.</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A new CSI measurement framework has been introduced in this paper, which includes specific CSI measurement methods for AI models or AI functionalities. These methods involve CSI-RS configuration for AI measurements, as well as feedback of CSI measurement content for AI measurement purposes. These enhancements enable the support of AI-enabled CSI measurements, which have become increasingly important in modern communication systems. The 3GPP protocol provides guidelines and standards for implementing CSI measurement in NR systems, ensuring that the measurement process is standardized and consistent across different scenarios. By following these guidelines and incorporating the aforementioned enhancements, communication systems can achieve accurate and reliable CSI measurements for both conventional and AI-based applications, improving system performance and delivering high-quality communication services to users.</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23915" cy="3378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58092" cy="3397598"/>
                    </a:xfrm>
                    <a:prstGeom prst="rect">
                      <a:avLst/>
                    </a:prstGeom>
                    <a:noFill/>
                  </pic:spPr>
                </pic:pic>
              </a:graphicData>
            </a:graphic>
          </wp:inline>
        </w:drawing>
      </w:r>
    </w:p>
    <w:p>
      <w:pPr>
        <w:pStyle w:val="4"/>
        <w:spacing w:before="0"/>
        <w:ind w:left="420"/>
        <w:jc w:val="center"/>
      </w:pPr>
      <w:bookmarkStart w:id="4" w:name="_Ref131537848"/>
      <w:r>
        <w:t xml:space="preserve">Figure </w:t>
      </w:r>
      <w:r>
        <w:fldChar w:fldCharType="begin"/>
      </w:r>
      <w:r>
        <w:instrText xml:space="preserve"> SEQ Figure \* ARABIC </w:instrText>
      </w:r>
      <w:r>
        <w:fldChar w:fldCharType="separate"/>
      </w:r>
      <w:r>
        <w:t>2</w:t>
      </w:r>
      <w:r>
        <w:fldChar w:fldCharType="end"/>
      </w:r>
      <w:bookmarkEnd w:id="4"/>
      <w:r>
        <w:t xml:space="preserve"> AI-based CSI measurement framework for wireless communication</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Figure 1 illustrates the introduction of an additional CSI measurement specifically dedicated to AI functionalities in 5G networks. This new measurement is characterized by several improvements, such as denser timing periods, more frequency resources, additional antenna ports, and a different analog beam designed for AI-specific CSI measurements. The purpose of these improvements is to enable more efficient and accurate AI-based processing and decision-making in 5G networks, where the AI-based CSI reference signal would share the same time-frequency resource allocation with other regular reference signals such as CSI-RS, DMRS, SSB, and others. However, the CSI feedback will differ significantly to support various measurement scenarios, including inference, monitoring, or model training. For instance, the AI-specific CSI measurement may be used to train machine learning models for predictive maintenance, detect anomalies in network traffic, or optimize resource allocation.</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AI-specific CSI measurement framework should be introduced, to support various CSI measurement scenarios, which would be used for different AI functions, or different AI procedure that associated with one AI functions.</w:t>
      </w:r>
    </w:p>
    <w:p>
      <w:pPr>
        <w:pStyle w:val="3"/>
        <w:numPr>
          <w:ilvl w:val="1"/>
          <w:numId w:val="1"/>
        </w:numPr>
        <w:bidi w:val="0"/>
        <w:rPr>
          <w:lang w:eastAsia="zh-CN"/>
        </w:rPr>
      </w:pPr>
      <w:r>
        <w:rPr>
          <w:lang w:eastAsia="zh-CN"/>
        </w:rPr>
        <w:t>CSI reporting mechanism with limited overhead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CSI has been extensively researched from LTE to 5G, target to limited feedback overhead but with higher network throughput, including much higher antenna number, more accuracy feedback information etc., how to make the system performance with significant gain with controllable feedback overhead is also the most important research topic, even we think the AI will driven the network with a totally new direction. As depicted in Figure 1, CSI feedback is necessary for AI model training, inference, and monitoring, regardless of whether a one-sided or two-sided AI model is used in the network system. Additionally, as illustrated in Table I, the CSI reporting content varies depending on the AI models used in the system. The overhead is much greater for the legacy CSI reporting mechanism, and this view is shared by system-level simulation results from other companies. Therefore, a challenge in AI-based wireless systems is how to make the CSI reporting information specific to AI models and limit the feedback overhead.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6226810" cy="2663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253979" cy="2675140"/>
                    </a:xfrm>
                    <a:prstGeom prst="rect">
                      <a:avLst/>
                    </a:prstGeom>
                    <a:noFill/>
                  </pic:spPr>
                </pic:pic>
              </a:graphicData>
            </a:graphic>
          </wp:inline>
        </w:drawing>
      </w:r>
    </w:p>
    <w:p>
      <w:pPr>
        <w:pStyle w:val="4"/>
        <w:spacing w:before="0"/>
        <w:ind w:left="420"/>
        <w:jc w:val="center"/>
      </w:pPr>
      <w:r>
        <w:t xml:space="preserve">Figure </w:t>
      </w:r>
      <w:r>
        <w:fldChar w:fldCharType="begin"/>
      </w:r>
      <w:r>
        <w:instrText xml:space="preserve"> SEQ Figure \* ARABIC </w:instrText>
      </w:r>
      <w:r>
        <w:fldChar w:fldCharType="separate"/>
      </w:r>
      <w:r>
        <w:t>3</w:t>
      </w:r>
      <w:r>
        <w:fldChar w:fldCharType="end"/>
      </w:r>
      <w:r>
        <w:t xml:space="preserve"> CSI measurement for different procedure for one AI function</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To begin with, the CSI reporting configuration would comprise pertinent details pertaining to the AI model and its feedback mechanism. This includes the AI model identifier, AI functionalities descriptor, and other related information that enables the UE to determine the feedback metrics that need to be measured and reported for specific AI models. To ensure the measurement and feedback’s accuracy, a well-defined procedure would be followed to process the information. </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2: AI model information should be configured to UE for CSI measurement and CSI reporting, where the AI model information would be model ID or functionalities descriptor etc.</w:t>
      </w:r>
    </w:p>
    <w:p>
      <w:pPr>
        <w:widowControl w:val="0"/>
        <w:spacing w:after="120"/>
        <w:rPr>
          <w:rFonts w:ascii="Times New Roman" w:hAnsi="Times New Roman" w:cs="Times New Roman"/>
          <w:lang w:eastAsia="zh-CN"/>
        </w:rPr>
      </w:pPr>
      <w:r>
        <w:rPr>
          <w:rFonts w:ascii="Times New Roman" w:hAnsi="Times New Roman" w:cs="Times New Roman"/>
          <w:lang w:eastAsia="zh-CN"/>
        </w:rPr>
        <w:t>Moreover, the latest CSI agreements achieved at RAN1 #112 reveal that the CQI is no longer calculated based on the output of CSI reconstruction part from realistic channel estimation. Instead, the CQI is now calculated based on the output of CSI reconstruction part from realistic channel estimation. However, the accuracy of the CQI calculated from the decoder output may be compromised due to potential inaccuracies or biases. To overcome this, various options have been proposed, such as reporting the CQI calculated by the UE or setting up a threshold. In cases where the performance of the two-sided model falls below the threshold, the UE report CQI will be selected; otherwise, the CQI will be calculated from the decoder output. The third solution is the most flexible. To ensure reasonable feedback overhead, a new mechanism must be introduced, such as the passive trigger or positive trigger method. The passive trigger method allows the UE to determine feedback timing opportunities based on predefined rules, while the positive trigger method relies on gNB to activate or deactivate feedback with L1’s DCI or MAC-CE signaling.</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3: Active or de-active CSI measurement or reporting mechanism would be introduced for reasonable feedback overhead, also the CQI can be reported by a UE or calculated by a gNB, where a threshold can enable the switching between the two.</w:t>
      </w:r>
    </w:p>
    <w:p>
      <w:pPr>
        <w:pStyle w:val="3"/>
        <w:numPr>
          <w:ilvl w:val="1"/>
          <w:numId w:val="1"/>
        </w:numPr>
        <w:bidi w:val="0"/>
        <w:rPr>
          <w:lang w:eastAsia="zh-CN"/>
        </w:rPr>
      </w:pPr>
      <w:r>
        <w:rPr>
          <w:rFonts w:hint="eastAsia"/>
          <w:lang w:eastAsia="zh-CN"/>
        </w:rPr>
        <w:t>C</w:t>
      </w:r>
      <w:r>
        <w:rPr>
          <w:lang w:eastAsia="zh-CN"/>
        </w:rPr>
        <w:t>SI reporting with dedicated signaling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order to facilitate the periodic, semi-static, or aperiodic collection of AI data from the User Equipment (UE) side, various signaling methods can be employed at the Layer 1/2/3 level, including the UCI signaling, 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4: CSI feedback can be conveyed through UCI, RRC or data plane signaling, and which can be configured by gNB to achieve a balance between their capability and E2E requirements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If the CSI reporting is carried by UCI signaling, here various UCI (Uplink control information) formats have been defined in NR, ranging from PUCCH format 0 to format 4, which includes SR, CSI, and HARQ-ACK. With the pre-configuration of the UCI transmission resource (such as timing, frequency, RBs, sequence, etc.), the gNB can decode the UCI information without real-time associated DCI information. However, regarding the design of UCI, format 0 and format 1 can only support 1-2 bit information, format 2 can support a maximum of 16 RBs with 2 OFDM symbols' data loading, format 3 can support up to 4608 bits of information transmission, while format 4 has less ability compared to format 3 due to the user multiplexing supported in the scheme. Therefore, according to "Table 2: Initial Analysis of Existing Data Collection Frameworks," the current UCI design has limited capacity for data transmission and is unable to support the transmission of larger data for AI data collection.</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3: The inadequacy of the conventional UCI format in accommodating AI-related Channel State Information (CSI) feedback, enhancement is needed.</w:t>
      </w:r>
    </w:p>
    <w:p>
      <w:pPr>
        <w:spacing w:before="100" w:beforeAutospacing="1" w:after="0" w:line="240" w:lineRule="auto"/>
        <w:ind w:left="440" w:leftChars="200"/>
        <w:contextualSpacing/>
        <w:jc w:val="center"/>
        <w:rPr>
          <w:rFonts w:ascii="Times New Roman" w:hAnsi="Times New Roman" w:eastAsia="Arial" w:cs="Times New Roman"/>
          <w:lang w:eastAsia="zh-CN"/>
        </w:rPr>
      </w:pPr>
      <w:bookmarkStart w:id="5" w:name="_Hlk130889603"/>
      <w:r>
        <w:rPr>
          <w:rFonts w:ascii="Times New Roman" w:hAnsi="Times New Roman" w:eastAsia="Arial" w:cs="Times New Roman"/>
          <w:lang w:eastAsia="zh-CN"/>
        </w:rPr>
        <w:t xml:space="preserve">Table 2: </w:t>
      </w:r>
      <w:r>
        <w:rPr>
          <w:rFonts w:ascii="Times New Roman" w:hAnsi="Times New Roman" w:eastAsia="Arial" w:cs="Times New Roman"/>
          <w:lang w:val="en-GB" w:eastAsia="zh-CN"/>
        </w:rPr>
        <w:t>Initial analysis of existing data collection frameworks</w:t>
      </w:r>
    </w:p>
    <w:bookmarkEnd w:id="5"/>
    <w:tbl>
      <w:tblPr>
        <w:tblStyle w:val="50"/>
        <w:tblpPr w:leftFromText="180" w:rightFromText="180" w:vertAnchor="text" w:horzAnchor="page" w:tblpX="1399" w:tblpY="152"/>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6"/>
        <w:gridCol w:w="1560"/>
        <w:gridCol w:w="411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Max payload size per reporting*</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Contents to be collected</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End-to-End report latency**</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Report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Logged MDT</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L3 cell/beam measurements, location info, sensor info,</w:t>
            </w:r>
            <w:r>
              <w:rPr>
                <w:rFonts w:ascii="Times New Roman" w:hAnsi="Times New Roman" w:eastAsia="宋体" w:cs="Times New Roman"/>
                <w:sz w:val="21"/>
                <w:lang w:eastAsia="zh-CN"/>
              </w:rPr>
              <w:t xml:space="preserve"> </w:t>
            </w:r>
            <w:r>
              <w:rPr>
                <w:rFonts w:ascii="Times New Roman" w:hAnsi="Times New Roman" w:eastAsia="Arial" w:cs="Times New Roman"/>
                <w:sz w:val="21"/>
                <w:lang w:eastAsia="zh-CN"/>
              </w:rPr>
              <w:t>timing info</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Latency to enter CONNECTED state</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Latency to receive gNB request signaling (~20ms)</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Air interface signaling latency****:</w:t>
            </w:r>
            <w:r>
              <w:rPr>
                <w:rFonts w:ascii="Times New Roman" w:hAnsi="Times New Roman" w:eastAsia="宋体" w:cs="Times New Roman"/>
                <w:sz w:val="21"/>
                <w:lang w:eastAsia="zh-CN"/>
              </w:rPr>
              <w:t xml:space="preserve"> </w:t>
            </w:r>
            <w:r>
              <w:rPr>
                <w:rFonts w:ascii="Times New Roman" w:hAnsi="Times New Roman" w:eastAsia="Arial" w:cs="Times New Roman"/>
                <w:sz w:val="21"/>
                <w:lang w:eastAsia="zh-CN"/>
              </w:rPr>
              <w:t>~20ms (RRC)</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Other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Forwarding latency between gNB and TCE</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Upon gNB request after entering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Immediate MDT</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L3 cell/beam measurements, location info, sensor info</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Report interval: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l20ms~30min for periodic report</w:t>
            </w:r>
            <w:r>
              <w:rPr>
                <w:rFonts w:ascii="Times New Roman" w:hAnsi="Times New Roman" w:eastAsia="宋体" w:cs="Times New Roman"/>
                <w:sz w:val="21"/>
                <w:lang w:eastAsia="zh-CN"/>
              </w:rPr>
              <w:t xml:space="preserve"> </w:t>
            </w:r>
            <w:r>
              <w:rPr>
                <w:rFonts w:ascii="Times New Roman" w:hAnsi="Times New Roman" w:eastAsia="Arial" w:cs="Times New Roman"/>
                <w:sz w:val="21"/>
                <w:lang w:eastAsia="zh-CN"/>
              </w:rPr>
              <w:t>TTT for event triggered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Air interface signaling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~20ms (RRC)</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Other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Forwarding latency between gNB and TCE   </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Event triggered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Periodic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L3 measurements</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L3 cell/beam measurements</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Report interval: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l20ms~30min for periodic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TTT for event triggered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Air interface signaling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20ms (RRC)</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Event triggered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Periodic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L1 measurement (CSI reporting)</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&lt;1706bit in PUCCH,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&lt;3840bit in PUSCH</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L1 CSI measurement</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Report interval: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4-320 slot for periodic report and semi-persistent report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0-32 slot after reception of DCI for aperiodic report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Air interface signaling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1 TTI (PUCCH) </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Aperiodic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Semi-persistent report,</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Periodic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UAI</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Assistance information to show UE preference</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Upon generation of UE's preference</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Air interface signaling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~20ms (RRC)</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Up to UE implementation when to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Early measurements</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L3 cell/beam measurements</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Latency to enter CONNECTED state</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Latency to receive gNB request signaling (~20ms)</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Air interface signaling latency: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~20ms (RRC)</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Upon gNB request after entering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85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LPP</w:t>
            </w:r>
          </w:p>
        </w:tc>
        <w:tc>
          <w:tcPr>
            <w:tcW w:w="1416"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&lt;9kbyte</w:t>
            </w:r>
          </w:p>
        </w:tc>
        <w:tc>
          <w:tcPr>
            <w:tcW w:w="1560"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Location info</w:t>
            </w:r>
          </w:p>
        </w:tc>
        <w:tc>
          <w:tcPr>
            <w:tcW w:w="4111"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Procedure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Latency to get upper layer trigger (for UE triggered)</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Or latency to receive NW request message (~20ms)</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 xml:space="preserve">Air interface signaling latency: </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~20ms (RRC)</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Other latency:</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Forwarding latency between gNB and LMF</w:t>
            </w:r>
          </w:p>
        </w:tc>
        <w:tc>
          <w:tcPr>
            <w:tcW w:w="1418" w:type="dxa"/>
            <w:vAlign w:val="center"/>
          </w:tcPr>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UE-triggered,</w:t>
            </w:r>
          </w:p>
          <w:p>
            <w:pPr>
              <w:spacing w:before="100" w:beforeAutospacing="1" w:after="0" w:line="240" w:lineRule="auto"/>
              <w:contextualSpacing/>
              <w:jc w:val="both"/>
              <w:rPr>
                <w:rFonts w:ascii="Times New Roman" w:hAnsi="Times New Roman" w:eastAsia="Arial" w:cs="Times New Roman"/>
                <w:sz w:val="21"/>
                <w:lang w:eastAsia="zh-CN"/>
              </w:rPr>
            </w:pPr>
            <w:r>
              <w:rPr>
                <w:rFonts w:ascii="Times New Roman" w:hAnsi="Times New Roman" w:eastAsia="Arial" w:cs="Times New Roman"/>
                <w:sz w:val="21"/>
                <w:lang w:eastAsia="zh-CN"/>
              </w:rPr>
              <w:t>NW-triggered</w:t>
            </w:r>
          </w:p>
        </w:tc>
      </w:tr>
    </w:tbl>
    <w:p>
      <w:pPr>
        <w:widowControl w:val="0"/>
        <w:spacing w:after="120"/>
        <w:jc w:val="both"/>
        <w:rPr>
          <w:rFonts w:ascii="Times New Roman" w:hAnsi="Times New Roman" w:cs="Times New Roman"/>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b/>
          <w:color w:val="auto"/>
          <w:lang w:eastAsia="zh-CN"/>
        </w:rPr>
      </w:pPr>
      <w:r>
        <w:rPr>
          <w:rFonts w:hint="eastAsia" w:ascii="Times New Roman" w:hAnsi="Times New Roman" w:cs="Times New Roman"/>
          <w:b/>
          <w:color w:val="auto"/>
          <w:lang w:eastAsia="zh-CN"/>
        </w:rPr>
        <w:t>A</w:t>
      </w:r>
      <w:r>
        <w:rPr>
          <w:rFonts w:ascii="Times New Roman" w:hAnsi="Times New Roman" w:cs="Times New Roman"/>
          <w:b/>
          <w:color w:val="auto"/>
          <w:lang w:eastAsia="zh-CN"/>
        </w:rPr>
        <w:t>I-based uplink CSI measurement</w:t>
      </w:r>
    </w:p>
    <w:p>
      <w:pPr>
        <w:widowControl w:val="0"/>
        <w:spacing w:after="120" w:line="240" w:lineRule="auto"/>
        <w:rPr>
          <w:rFonts w:ascii="Times New Roman" w:hAnsi="Times New Roman" w:cs="Times New Roman"/>
          <w:lang w:eastAsia="zh-CN"/>
        </w:rPr>
      </w:pPr>
      <w:r>
        <w:rPr>
          <w:rFonts w:ascii="Times New Roman" w:hAnsi="Times New Roman" w:cs="Times New Roman"/>
          <w:lang w:eastAsia="zh-CN"/>
        </w:rPr>
        <w:t>Traditionally, the gNB has complete control over the uplink data transmission behavior, including the determination of the uplink CSI measurement with SRS and the PUSCH transmission scheme, which encompasses elements such as code rate, precoding, and power control. However, the introduction of AI-based functionalities into the system empowers the UE to participate in PUSCH data channel transmission determination. For instance, in the FDD system, assuming that the AI model is deployed at UE side for one-side or two-side AI operation, the UE requires the uplink channel's CSI information to ensure that the AI model operates correctly. On the other hand, in the TDD system, where inter-cell interference is not reciprocal between downlink and uplink, CQI is also necessary to facilitate the normal functioning of the uplink AI model. To address those new issues which is introduced by AI model, new CSI measurement framework that would be different from traditional method would be used, as shown in following chapters.</w:t>
      </w:r>
    </w:p>
    <w:p>
      <w:pPr>
        <w:pStyle w:val="3"/>
        <w:numPr>
          <w:ilvl w:val="1"/>
          <w:numId w:val="1"/>
        </w:numPr>
        <w:bidi w:val="0"/>
        <w:rPr>
          <w:lang w:eastAsia="zh-CN"/>
        </w:rPr>
      </w:pPr>
      <w:r>
        <w:rPr>
          <w:lang w:eastAsia="zh-CN"/>
        </w:rPr>
        <w:t>New SRS measurement framework for uplink transmission</w:t>
      </w:r>
    </w:p>
    <w:p>
      <w:pPr>
        <w:rPr>
          <w:rFonts w:ascii="Times New Roman" w:hAnsi="Times New Roman" w:cs="Times New Roman"/>
          <w:lang w:eastAsia="zh-CN"/>
        </w:rPr>
      </w:pPr>
      <w:r>
        <w:rPr>
          <w:rFonts w:ascii="Times New Roman" w:hAnsi="Times New Roman" w:cs="Times New Roman"/>
          <w:lang w:eastAsia="zh-CN"/>
        </w:rPr>
        <w:t>Regarding the legacy uplink reference configuration, the SRS serves as an illustrative example of a data structure comprising several parameters, such as srs-ResourceSetId, srs-ResourceIdList, resourceType, usage, and usagePDC-r17. The usage of SRS was first introduced in Release 17, where it denotes whether the SRS resource set is utilized for beam management, codebook-based or non-codebook-based transmission, or antenna switching. On the other hand, the usagePDC parameter indicates that this SRS resource set is employed for propagation delay compensation. To achieve convergence between non-AI-based and AI-based SRS configurations, novel mechanisms will be introduced to distinguish the usage of the SRS resource. Additionally, considering the usage of more than one AI model for distinct purposes, including positioning, CSI compression, beam management, etc., supplementary information related to AI model information is also required to be incorporated into the SRS resource configuration.</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5: AI-model information would be needed along with the legacy SRS resource configuration, the AI model information could be AI model ID or AI functionalities descriptor.</w:t>
      </w:r>
    </w:p>
    <w:p>
      <w:pPr>
        <w:rPr>
          <w:rFonts w:ascii="Times New Roman" w:hAnsi="Times New Roman" w:cs="Times New Roman"/>
          <w:lang w:eastAsia="zh-CN"/>
        </w:rPr>
      </w:pPr>
      <w:r>
        <w:rPr>
          <w:rFonts w:ascii="Times New Roman" w:hAnsi="Times New Roman" w:cs="Times New Roman"/>
          <w:lang w:eastAsia="zh-CN"/>
        </w:rPr>
        <w:t>According to the 3GPP protocol, the network has control over the uplink data transmission, which implies that the User Equipment (UE) does not require any uplink transmission channel state information. However, for the UE-based AI model operations, such as one-side or two-side, as discussed in Chapter 4, network-side measurement information obtained by UE from the uplink reference signal is mandatory. So here would require new designing for the SRS to make the AI model in UE side working normally and correctly, for example, new SRS resource configuration framework would be considered to support UE-side AI functionalities which providing dedicated services for uplink transmission, as illustrated in following figure.</w:t>
      </w:r>
    </w:p>
    <w:p>
      <w:pPr>
        <w:rPr>
          <w:rFonts w:ascii="Times New Roman" w:hAnsi="Times New Roman" w:cs="Times New Roman"/>
          <w:lang w:eastAsia="zh-CN"/>
        </w:rPr>
      </w:pPr>
      <w:r>
        <w:drawing>
          <wp:inline distT="0" distB="0" distL="0" distR="0">
            <wp:extent cx="5869940" cy="1663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l="1924"/>
                    <a:stretch>
                      <a:fillRect/>
                    </a:stretch>
                  </pic:blipFill>
                  <pic:spPr>
                    <a:xfrm>
                      <a:off x="0" y="0"/>
                      <a:ext cx="5874807" cy="1664960"/>
                    </a:xfrm>
                    <a:prstGeom prst="rect">
                      <a:avLst/>
                    </a:prstGeom>
                    <a:noFill/>
                    <a:ln>
                      <a:noFill/>
                    </a:ln>
                  </pic:spPr>
                </pic:pic>
              </a:graphicData>
            </a:graphic>
          </wp:inline>
        </w:drawing>
      </w:r>
    </w:p>
    <w:p>
      <w:pPr>
        <w:pStyle w:val="4"/>
        <w:spacing w:before="0"/>
        <w:ind w:left="420"/>
        <w:jc w:val="center"/>
      </w:pPr>
      <w:bookmarkStart w:id="6" w:name="_Ref131665560"/>
      <w:r>
        <w:t xml:space="preserve">Figure </w:t>
      </w:r>
      <w:r>
        <w:fldChar w:fldCharType="begin"/>
      </w:r>
      <w:r>
        <w:instrText xml:space="preserve"> SEQ Figure \* ARABIC </w:instrText>
      </w:r>
      <w:r>
        <w:fldChar w:fldCharType="separate"/>
      </w:r>
      <w:r>
        <w:t>4</w:t>
      </w:r>
      <w:r>
        <w:fldChar w:fldCharType="end"/>
      </w:r>
      <w:bookmarkEnd w:id="6"/>
      <w:r>
        <w:t xml:space="preserve"> SRS resource configuration framework for AI-based communication</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To ensure normal functioning of the UE-side AI model, uplink measurement reporting from the network to UE is introduced. This reporting enables the AI model to access sufficient information regarding the uplink channel, such as Channel State Information (CSI), interference, and others. The one-side AI mode at the UE side and the two-side AI mode, which is specific to uplink transmission, can both function normally with this mechanism. However, the design of the mechanism for uplink channel information feedback from the network to UE requires careful consideration. This includes the design of the signalling, trigger mechanism, association relationship between SRS and feedback information, and other related aspects.</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6: New SRS resource configuration framework which can support uplink CSI feedback from NW to UE should be considered, to make UE-side AI mode work normally.</w:t>
      </w:r>
    </w:p>
    <w:p>
      <w:pPr>
        <w:pStyle w:val="3"/>
        <w:numPr>
          <w:ilvl w:val="1"/>
          <w:numId w:val="1"/>
        </w:numPr>
        <w:bidi w:val="0"/>
        <w:rPr>
          <w:lang w:eastAsia="zh-CN"/>
        </w:rPr>
      </w:pPr>
      <w:r>
        <w:rPr>
          <w:lang w:eastAsia="zh-CN"/>
        </w:rPr>
        <w:t>New Information from NW to UE</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For the uplink, the following formulate just give an example for the uplink data transmission and decoding, where the Y is the receiving signal at gNB side, where the X0 is the target UE’s transmitting signal, Xj is intra-cell interference from other UEs in one cell, H is the channel matrix between gNB and UE, P is the transmitting precoding matrix,  I is the inter-cell interference and the n is the white-noise signal. </w:t>
      </w:r>
    </w:p>
    <w:p>
      <w:pPr>
        <w:widowControl w:val="0"/>
        <w:spacing w:after="120"/>
        <w:jc w:val="both"/>
        <w:rPr>
          <w:rFonts w:ascii="Times New Roman" w:hAnsi="Times New Roman" w:cs="Times New Roman"/>
          <w:sz w:val="28"/>
          <w:lang w:eastAsia="zh-CN"/>
        </w:rPr>
      </w:pPr>
      <m:oMathPara>
        <m:oMath>
          <m:r>
            <m:rPr/>
            <w:rPr>
              <w:rFonts w:ascii="Cambria Math" w:hAnsi="Cambria Math" w:cs="Times New Roman"/>
              <w:sz w:val="28"/>
              <w:lang w:eastAsia="zh-CN"/>
            </w:rPr>
            <m:t>y=w</m:t>
          </m:r>
          <m:sSub>
            <m:sSubPr>
              <m:ctrlPr>
                <w:rPr>
                  <w:rFonts w:ascii="Cambria Math" w:hAnsi="Cambria Math" w:cs="Times New Roman"/>
                  <w:i/>
                  <w:sz w:val="28"/>
                  <w:lang w:eastAsia="zh-CN"/>
                </w:rPr>
              </m:ctrlPr>
            </m:sSubPr>
            <m:e>
              <m:r>
                <m:rPr/>
                <w:rPr>
                  <w:rFonts w:ascii="Cambria Math" w:hAnsi="Cambria Math" w:cs="Times New Roman"/>
                  <w:sz w:val="28"/>
                  <w:lang w:eastAsia="zh-CN"/>
                </w:rPr>
                <m:t>H</m:t>
              </m:r>
              <m:ctrlPr>
                <w:rPr>
                  <w:rFonts w:ascii="Cambria Math" w:hAnsi="Cambria Math" w:cs="Times New Roman"/>
                  <w:i/>
                  <w:sz w:val="28"/>
                  <w:lang w:eastAsia="zh-CN"/>
                </w:rPr>
              </m:ctrlPr>
            </m:e>
            <m:sub>
              <m:r>
                <m:rPr/>
                <w:rPr>
                  <w:rFonts w:ascii="Cambria Math" w:hAnsi="Cambria Math" w:cs="Times New Roman"/>
                  <w:sz w:val="28"/>
                  <w:lang w:eastAsia="zh-CN"/>
                </w:rPr>
                <m:t>0</m:t>
              </m:r>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r>
                <m:rPr/>
                <w:rPr>
                  <w:rFonts w:ascii="Cambria Math" w:hAnsi="Cambria Math" w:cs="Times New Roman"/>
                  <w:sz w:val="28"/>
                  <w:lang w:eastAsia="zh-CN"/>
                </w:rPr>
                <m:t>0</m:t>
              </m:r>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x</m:t>
              </m:r>
              <m:ctrlPr>
                <w:rPr>
                  <w:rFonts w:ascii="Cambria Math" w:hAnsi="Cambria Math" w:cs="Times New Roman"/>
                  <w:i/>
                  <w:sz w:val="28"/>
                  <w:lang w:eastAsia="zh-CN"/>
                </w:rPr>
              </m:ctrlPr>
            </m:e>
            <m:sub>
              <m:r>
                <m:rPr/>
                <w:rPr>
                  <w:rFonts w:ascii="Cambria Math" w:hAnsi="Cambria Math" w:cs="Times New Roman"/>
                  <w:sz w:val="28"/>
                  <w:lang w:eastAsia="zh-CN"/>
                </w:rPr>
                <m:t>0</m:t>
              </m:r>
              <m:ctrlPr>
                <w:rPr>
                  <w:rFonts w:ascii="Cambria Math" w:hAnsi="Cambria Math" w:cs="Times New Roman"/>
                  <w:i/>
                  <w:sz w:val="28"/>
                  <w:lang w:eastAsia="zh-CN"/>
                </w:rPr>
              </m:ctrlPr>
            </m:sub>
          </m:sSub>
          <m:r>
            <m:rPr/>
            <w:rPr>
              <w:rFonts w:ascii="Cambria Math" w:hAnsi="Cambria Math" w:cs="Times New Roman"/>
              <w:sz w:val="28"/>
              <w:lang w:eastAsia="zh-CN"/>
            </w:rPr>
            <m:t>+∑w</m:t>
          </m:r>
          <m:sSub>
            <m:sSubPr>
              <m:ctrlPr>
                <w:rPr>
                  <w:rFonts w:ascii="Cambria Math" w:hAnsi="Cambria Math" w:cs="Times New Roman"/>
                  <w:i/>
                  <w:sz w:val="28"/>
                  <w:lang w:eastAsia="zh-CN"/>
                </w:rPr>
              </m:ctrlPr>
            </m:sSubPr>
            <m:e>
              <m:r>
                <m:rPr/>
                <w:rPr>
                  <w:rFonts w:ascii="Cambria Math" w:hAnsi="Cambria Math" w:cs="Times New Roman"/>
                  <w:sz w:val="28"/>
                  <w:lang w:eastAsia="zh-CN"/>
                </w:rPr>
                <m:t>H</m:t>
              </m:r>
              <m:ctrlPr>
                <w:rPr>
                  <w:rFonts w:ascii="Cambria Math" w:hAnsi="Cambria Math" w:cs="Times New Roman"/>
                  <w:i/>
                  <w:sz w:val="28"/>
                  <w:lang w:eastAsia="zh-CN"/>
                </w:rPr>
              </m:ctrlPr>
            </m:e>
            <m:sub>
              <m:r>
                <m:rPr/>
                <w:rPr>
                  <w:rFonts w:ascii="Cambria Math" w:hAnsi="Cambria Math" w:cs="Times New Roman"/>
                  <w:sz w:val="28"/>
                  <w:lang w:eastAsia="zh-CN"/>
                </w:rPr>
                <m:t>j</m:t>
              </m:r>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acc>
                <m:accPr>
                  <m:chr m:val="̇"/>
                  <m:ctrlPr>
                    <w:rPr>
                      <w:rFonts w:ascii="Cambria Math" w:hAnsi="Cambria Math" w:cs="Times New Roman"/>
                      <w:i/>
                      <w:sz w:val="28"/>
                      <w:lang w:eastAsia="zh-CN"/>
                    </w:rPr>
                  </m:ctrlPr>
                </m:accPr>
                <m:e>
                  <m:r>
                    <m:rPr/>
                    <w:rPr>
                      <w:rFonts w:ascii="Cambria Math" w:hAnsi="Cambria Math" w:cs="Times New Roman"/>
                      <w:sz w:val="28"/>
                      <w:lang w:eastAsia="zh-CN"/>
                    </w:rPr>
                    <m:t>j</m:t>
                  </m:r>
                  <m:ctrlPr>
                    <w:rPr>
                      <w:rFonts w:ascii="Cambria Math" w:hAnsi="Cambria Math" w:cs="Times New Roman"/>
                      <w:i/>
                      <w:sz w:val="28"/>
                      <w:lang w:eastAsia="zh-CN"/>
                    </w:rPr>
                  </m:ctrlPr>
                </m:e>
              </m:acc>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x</m:t>
              </m:r>
              <m:ctrlPr>
                <w:rPr>
                  <w:rFonts w:ascii="Cambria Math" w:hAnsi="Cambria Math" w:cs="Times New Roman"/>
                  <w:i/>
                  <w:sz w:val="28"/>
                  <w:lang w:eastAsia="zh-CN"/>
                </w:rPr>
              </m:ctrlPr>
            </m:e>
            <m:sub>
              <m:r>
                <m:rPr/>
                <w:rPr>
                  <w:rFonts w:ascii="Cambria Math" w:hAnsi="Cambria Math" w:cs="Times New Roman"/>
                  <w:sz w:val="28"/>
                  <w:lang w:eastAsia="zh-CN"/>
                </w:rPr>
                <m:t>j</m:t>
              </m:r>
              <m:ctrlPr>
                <w:rPr>
                  <w:rFonts w:ascii="Cambria Math" w:hAnsi="Cambria Math" w:cs="Times New Roman"/>
                  <w:i/>
                  <w:sz w:val="28"/>
                  <w:lang w:eastAsia="zh-CN"/>
                </w:rPr>
              </m:ctrlPr>
            </m:sub>
          </m:sSub>
          <m:r>
            <m:rPr/>
            <w:rPr>
              <w:rFonts w:ascii="Cambria Math" w:hAnsi="Cambria Math" w:cs="Times New Roman"/>
              <w:sz w:val="28"/>
              <w:lang w:eastAsia="zh-CN"/>
            </w:rPr>
            <m:t>+I+n</m:t>
          </m:r>
        </m:oMath>
      </m:oMathPara>
    </w:p>
    <w:p>
      <w:pPr>
        <w:widowControl w:val="0"/>
        <w:spacing w:after="120"/>
        <w:jc w:val="center"/>
        <w:rPr>
          <w:rFonts w:ascii="Times New Roman" w:hAnsi="Times New Roman" w:cs="Times New Roman"/>
          <w:lang w:eastAsia="zh-CN"/>
        </w:rPr>
      </w:pPr>
      <w:r>
        <w:rPr>
          <w:rFonts w:ascii="Times New Roman" w:hAnsi="Times New Roman" w:cs="Times New Roman"/>
          <w:lang w:eastAsia="zh-CN"/>
        </w:rPr>
        <w:t>And the receiving SINR is,</w:t>
      </w:r>
    </w:p>
    <w:p>
      <w:pPr>
        <w:widowControl w:val="0"/>
        <w:spacing w:after="120"/>
        <w:jc w:val="center"/>
        <w:rPr>
          <w:rFonts w:ascii="Times New Roman" w:hAnsi="Times New Roman" w:cs="Times New Roman"/>
          <w:lang w:eastAsia="zh-CN"/>
        </w:rPr>
      </w:pPr>
      <m:oMathPara>
        <m:oMath>
          <m:r>
            <m:rPr>
              <m:sty m:val="p"/>
            </m:rPr>
            <w:rPr>
              <w:rFonts w:ascii="Cambria Math" w:hAnsi="Cambria Math" w:eastAsia="Cambria Math" w:cs="Cambria Math"/>
              <w:lang w:eastAsia="zh-CN"/>
            </w:rPr>
            <m:t>SINR=</m:t>
          </m:r>
          <m:f>
            <m:fPr>
              <m:ctrlPr>
                <w:rPr>
                  <w:rFonts w:ascii="Cambria Math" w:hAnsi="Cambria Math" w:eastAsia="Cambria Math" w:cs="Times New Roman"/>
                  <w:lang w:eastAsia="zh-CN"/>
                </w:rPr>
              </m:ctrlPr>
            </m:fPr>
            <m:num>
              <m:r>
                <m:rPr>
                  <m:sty m:val="p"/>
                </m:rPr>
                <w:rPr>
                  <w:rFonts w:ascii="Cambria Math" w:hAnsi="Cambria Math" w:eastAsia="Cambria Math" w:cs="Cambria Math"/>
                  <w:lang w:eastAsia="zh-CN"/>
                </w:rPr>
                <m:t>|</m:t>
              </m:r>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r>
                    <m:rPr/>
                    <w:rPr>
                      <w:rFonts w:ascii="Cambria Math" w:hAnsi="Cambria Math" w:cs="Times New Roman"/>
                      <w:sz w:val="28"/>
                      <w:lang w:eastAsia="zh-CN"/>
                    </w:rPr>
                    <m:t>t</m:t>
                  </m:r>
                  <m:ctrlPr>
                    <w:rPr>
                      <w:rFonts w:ascii="Cambria Math" w:hAnsi="Cambria Math" w:cs="Times New Roman"/>
                      <w:i/>
                      <w:sz w:val="28"/>
                      <w:lang w:eastAsia="zh-CN"/>
                    </w:rPr>
                  </m:ctrlPr>
                </m:sub>
              </m:sSub>
              <m:r>
                <m:rPr/>
                <w:rPr>
                  <w:rFonts w:ascii="Cambria Math" w:hAnsi="Cambria Math" w:cs="Times New Roman"/>
                  <w:sz w:val="28"/>
                  <w:lang w:eastAsia="zh-CN"/>
                </w:rPr>
                <m:t>w</m:t>
              </m:r>
              <m:sSub>
                <m:sSubPr>
                  <m:ctrlPr>
                    <w:rPr>
                      <w:rFonts w:ascii="Cambria Math" w:hAnsi="Cambria Math" w:cs="Times New Roman"/>
                      <w:i/>
                      <w:sz w:val="28"/>
                      <w:lang w:eastAsia="zh-CN"/>
                    </w:rPr>
                  </m:ctrlPr>
                </m:sSubPr>
                <m:e>
                  <m:r>
                    <m:rPr/>
                    <w:rPr>
                      <w:rFonts w:ascii="Cambria Math" w:hAnsi="Cambria Math" w:cs="Times New Roman"/>
                      <w:sz w:val="28"/>
                      <w:lang w:eastAsia="zh-CN"/>
                    </w:rPr>
                    <m:t>H</m:t>
                  </m:r>
                  <m:ctrlPr>
                    <w:rPr>
                      <w:rFonts w:ascii="Cambria Math" w:hAnsi="Cambria Math" w:cs="Times New Roman"/>
                      <w:i/>
                      <w:sz w:val="28"/>
                      <w:lang w:eastAsia="zh-CN"/>
                    </w:rPr>
                  </m:ctrlPr>
                </m:e>
                <m:sub>
                  <m:r>
                    <m:rPr/>
                    <w:rPr>
                      <w:rFonts w:ascii="Cambria Math" w:hAnsi="Cambria Math" w:cs="Times New Roman"/>
                      <w:sz w:val="28"/>
                      <w:lang w:eastAsia="zh-CN"/>
                    </w:rPr>
                    <m:t>0</m:t>
                  </m:r>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r>
                    <m:rPr/>
                    <w:rPr>
                      <w:rFonts w:ascii="Cambria Math" w:hAnsi="Cambria Math" w:cs="Times New Roman"/>
                      <w:sz w:val="28"/>
                      <w:lang w:eastAsia="zh-CN"/>
                    </w:rPr>
                    <m:t>0</m:t>
                  </m:r>
                  <m:ctrlPr>
                    <w:rPr>
                      <w:rFonts w:ascii="Cambria Math" w:hAnsi="Cambria Math" w:cs="Times New Roman"/>
                      <w:i/>
                      <w:sz w:val="28"/>
                      <w:lang w:eastAsia="zh-CN"/>
                    </w:rPr>
                  </m:ctrlPr>
                </m:sub>
              </m:sSub>
              <m:r>
                <m:rPr>
                  <m:sty m:val="p"/>
                </m:rPr>
                <w:rPr>
                  <w:rFonts w:ascii="Cambria Math" w:hAnsi="Cambria Math" w:eastAsia="Cambria Math" w:cs="Cambria Math"/>
                  <w:lang w:eastAsia="zh-CN"/>
                </w:rPr>
                <m:t>|^2</m:t>
              </m:r>
              <m:ctrlPr>
                <w:rPr>
                  <w:rFonts w:ascii="Cambria Math" w:hAnsi="Cambria Math" w:eastAsia="Cambria Math" w:cs="Times New Roman"/>
                  <w:lang w:eastAsia="zh-CN"/>
                </w:rPr>
              </m:ctrlPr>
            </m:num>
            <m:den>
              <m:r>
                <m:rPr/>
                <w:rPr>
                  <w:rFonts w:ascii="Cambria Math" w:hAnsi="Cambria Math" w:cs="Times New Roman"/>
                  <w:sz w:val="28"/>
                  <w:lang w:eastAsia="zh-CN"/>
                </w:rPr>
                <m:t>∑</m:t>
              </m:r>
              <m:d>
                <m:dPr>
                  <m:begChr m:val="|"/>
                  <m:endChr m:val="|"/>
                  <m:ctrlPr>
                    <w:rPr>
                      <w:rFonts w:ascii="Cambria Math" w:hAnsi="Cambria Math" w:cs="Times New Roman"/>
                      <w:i/>
                      <w:sz w:val="28"/>
                      <w:lang w:eastAsia="zh-CN"/>
                    </w:rPr>
                  </m:ctrlPr>
                </m:dPr>
                <m:e>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r>
                        <m:rPr/>
                        <w:rPr>
                          <w:rFonts w:ascii="Cambria Math" w:hAnsi="Cambria Math" w:cs="Times New Roman"/>
                          <w:sz w:val="28"/>
                          <w:lang w:eastAsia="zh-CN"/>
                        </w:rPr>
                        <m:t>t,j</m:t>
                      </m:r>
                      <m:ctrlPr>
                        <w:rPr>
                          <w:rFonts w:ascii="Cambria Math" w:hAnsi="Cambria Math" w:cs="Times New Roman"/>
                          <w:i/>
                          <w:sz w:val="28"/>
                          <w:lang w:eastAsia="zh-CN"/>
                        </w:rPr>
                      </m:ctrlPr>
                    </m:sub>
                  </m:sSub>
                  <m:r>
                    <m:rPr/>
                    <w:rPr>
                      <w:rFonts w:ascii="Cambria Math" w:hAnsi="Cambria Math" w:cs="Times New Roman"/>
                      <w:sz w:val="28"/>
                      <w:lang w:eastAsia="zh-CN"/>
                    </w:rPr>
                    <m:t>w</m:t>
                  </m:r>
                  <m:sSub>
                    <m:sSubPr>
                      <m:ctrlPr>
                        <w:rPr>
                          <w:rFonts w:ascii="Cambria Math" w:hAnsi="Cambria Math" w:cs="Times New Roman"/>
                          <w:i/>
                          <w:sz w:val="28"/>
                          <w:lang w:eastAsia="zh-CN"/>
                        </w:rPr>
                      </m:ctrlPr>
                    </m:sSubPr>
                    <m:e>
                      <m:r>
                        <m:rPr/>
                        <w:rPr>
                          <w:rFonts w:ascii="Cambria Math" w:hAnsi="Cambria Math" w:cs="Times New Roman"/>
                          <w:sz w:val="28"/>
                          <w:lang w:eastAsia="zh-CN"/>
                        </w:rPr>
                        <m:t>H</m:t>
                      </m:r>
                      <m:ctrlPr>
                        <w:rPr>
                          <w:rFonts w:ascii="Cambria Math" w:hAnsi="Cambria Math" w:cs="Times New Roman"/>
                          <w:i/>
                          <w:sz w:val="28"/>
                          <w:lang w:eastAsia="zh-CN"/>
                        </w:rPr>
                      </m:ctrlPr>
                    </m:e>
                    <m:sub>
                      <m:acc>
                        <m:accPr>
                          <m:chr m:val="̇"/>
                          <m:ctrlPr>
                            <w:rPr>
                              <w:rFonts w:ascii="Cambria Math" w:hAnsi="Cambria Math" w:cs="Times New Roman"/>
                              <w:i/>
                              <w:sz w:val="28"/>
                              <w:lang w:eastAsia="zh-CN"/>
                            </w:rPr>
                          </m:ctrlPr>
                        </m:accPr>
                        <m:e>
                          <m:r>
                            <m:rPr/>
                            <w:rPr>
                              <w:rFonts w:ascii="Cambria Math" w:hAnsi="Cambria Math" w:cs="Times New Roman"/>
                              <w:sz w:val="28"/>
                              <w:lang w:eastAsia="zh-CN"/>
                            </w:rPr>
                            <m:t>j</m:t>
                          </m:r>
                          <m:ctrlPr>
                            <w:rPr>
                              <w:rFonts w:ascii="Cambria Math" w:hAnsi="Cambria Math" w:cs="Times New Roman"/>
                              <w:i/>
                              <w:sz w:val="28"/>
                              <w:lang w:eastAsia="zh-CN"/>
                            </w:rPr>
                          </m:ctrlPr>
                        </m:e>
                      </m:acc>
                      <m:ctrlPr>
                        <w:rPr>
                          <w:rFonts w:ascii="Cambria Math" w:hAnsi="Cambria Math" w:cs="Times New Roman"/>
                          <w:i/>
                          <w:sz w:val="28"/>
                          <w:lang w:eastAsia="zh-CN"/>
                        </w:rPr>
                      </m:ctrlPr>
                    </m:sub>
                  </m:sSub>
                  <m:sSub>
                    <m:sSubPr>
                      <m:ctrlPr>
                        <w:rPr>
                          <w:rFonts w:ascii="Cambria Math" w:hAnsi="Cambria Math" w:cs="Times New Roman"/>
                          <w:i/>
                          <w:sz w:val="28"/>
                          <w:lang w:eastAsia="zh-CN"/>
                        </w:rPr>
                      </m:ctrlPr>
                    </m:sSubPr>
                    <m:e>
                      <m:r>
                        <m:rPr/>
                        <w:rPr>
                          <w:rFonts w:ascii="Cambria Math" w:hAnsi="Cambria Math" w:cs="Times New Roman"/>
                          <w:sz w:val="28"/>
                          <w:lang w:eastAsia="zh-CN"/>
                        </w:rPr>
                        <m:t>P</m:t>
                      </m:r>
                      <m:ctrlPr>
                        <w:rPr>
                          <w:rFonts w:ascii="Cambria Math" w:hAnsi="Cambria Math" w:cs="Times New Roman"/>
                          <w:i/>
                          <w:sz w:val="28"/>
                          <w:lang w:eastAsia="zh-CN"/>
                        </w:rPr>
                      </m:ctrlPr>
                    </m:e>
                    <m:sub>
                      <m:acc>
                        <m:accPr>
                          <m:chr m:val="̇"/>
                          <m:ctrlPr>
                            <w:rPr>
                              <w:rFonts w:ascii="Cambria Math" w:hAnsi="Cambria Math" w:cs="Times New Roman"/>
                              <w:i/>
                              <w:sz w:val="28"/>
                              <w:lang w:eastAsia="zh-CN"/>
                            </w:rPr>
                          </m:ctrlPr>
                        </m:accPr>
                        <m:e>
                          <m:r>
                            <m:rPr/>
                            <w:rPr>
                              <w:rFonts w:ascii="Cambria Math" w:hAnsi="Cambria Math" w:cs="Times New Roman"/>
                              <w:sz w:val="28"/>
                              <w:lang w:eastAsia="zh-CN"/>
                            </w:rPr>
                            <m:t>j</m:t>
                          </m:r>
                          <m:ctrlPr>
                            <w:rPr>
                              <w:rFonts w:ascii="Cambria Math" w:hAnsi="Cambria Math" w:cs="Times New Roman"/>
                              <w:i/>
                              <w:sz w:val="28"/>
                              <w:lang w:eastAsia="zh-CN"/>
                            </w:rPr>
                          </m:ctrlPr>
                        </m:e>
                      </m:acc>
                      <m:ctrlPr>
                        <w:rPr>
                          <w:rFonts w:ascii="Cambria Math" w:hAnsi="Cambria Math" w:cs="Times New Roman"/>
                          <w:i/>
                          <w:sz w:val="28"/>
                          <w:lang w:eastAsia="zh-CN"/>
                        </w:rPr>
                      </m:ctrlPr>
                    </m:sub>
                  </m:sSub>
                  <m:ctrlPr>
                    <w:rPr>
                      <w:rFonts w:ascii="Cambria Math" w:hAnsi="Cambria Math" w:cs="Times New Roman"/>
                      <w:i/>
                      <w:sz w:val="28"/>
                      <w:lang w:eastAsia="zh-CN"/>
                    </w:rPr>
                  </m:ctrlPr>
                </m:e>
              </m:d>
              <m:r>
                <m:rPr/>
                <w:rPr>
                  <w:rFonts w:ascii="Cambria Math" w:hAnsi="Cambria Math" w:cs="Times New Roman"/>
                  <w:sz w:val="28"/>
                  <w:lang w:eastAsia="zh-CN"/>
                </w:rPr>
                <m:t>^2+ δ^2</m:t>
              </m:r>
              <m:ctrlPr>
                <w:rPr>
                  <w:rFonts w:ascii="Cambria Math" w:hAnsi="Cambria Math" w:eastAsia="Cambria Math" w:cs="Times New Roman"/>
                  <w:lang w:eastAsia="zh-CN"/>
                </w:rPr>
              </m:ctrlPr>
            </m:den>
          </m:f>
        </m:oMath>
      </m:oMathPara>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transmitting precoding matrix P0 is used to maximize the transmitter's effective isotropic radiated power (EIRP). To achieve optimal performance, the right eigen-vector of H0 should be selected as the precoding matrix P0. The W receiver is used to maximize the receiver's gain, while also mitigating intra-cell interference from other user equipment (UEs) in the serving cell and inter-cell interference. The W can be calculated by the gNB using the transmitted SRS signal. To reduce the overhead of DCI, quantized eigen-vector TPMI is used for P0. However, the use of TPMI can lead to performance loss due to the mismatch between the channel matrix and TPMI. To maximize the UE's receiving signal-to-interference-plus-noise ratio (SINR), AI-based precoding matrix derivation and prediction should be used for uplink transmission to overcome this performance loss. Moreover, when analog beamforming is used in NR systems, the reliability of the communication link becomes more challenging as the beam width decreases. Due to the unpredictability of the UE's rotation, beam blockages can occur frequently from the gNB side. To address these issues, multiple link transmission from different transmission and reception points (TRPs) are introduced. However, more intelligent algorithms should be studied to combine the link's transmitting status and determine the transmitting beam direction to minimize link failure or beam blocking.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To address the aforementioned issues and improve the system performance, Figure 3 illustrates the introduction of AI-model specific information feedback from the NW to the UE in the context of SRS transmission. To perform AI-related procedures such as training, monitoring, or inference at the UE side, at least the following contents will be carried. Firstly, uplink CSI information obtained from SRS measurements, including CQI, full channel matrix, Eigen vector, transmit precoding matrix index, inter-cell interference, and beam-pair information. Secondly, uplink data transmission status, measured by the gNB based on the PUSCH transmission, including the BLER, resource utilization ratio, congestion information, and traffic loading at cells. These measures will allow for greater efficiency and better communication link quality, leading to a more stable and reliable communication network.</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7: For AI-based uplink transmission, uplink link information (including CSI measurement from SRS, channel status information ) which associated with SRS transmission would be feedback to UE with dedicated signaling, e.g., RRC or PDSCH signal etc..</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b/>
          <w:color w:val="auto"/>
          <w:lang w:eastAsia="zh-CN"/>
        </w:rPr>
      </w:pPr>
      <w:r>
        <w:rPr>
          <w:rFonts w:ascii="Times New Roman" w:hAnsi="Times New Roman" w:cs="Times New Roman"/>
          <w:b/>
          <w:color w:val="auto"/>
          <w:lang w:eastAsia="zh-CN"/>
        </w:rPr>
        <w:t>Conclusion</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observations had been made:</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Conventional reference signal configuration and CSI reporting framework could be enhanced to support various requirement of AI model functionalities or procedures within one function.</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2: AI-based uplink CSI measurement and reconstruction also would be considered to make larger uplink data transmission in FDD working mode.</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3: The inadequacy of the conventional UCI format in accommodating AI-related Channel State Information (CSI) feedback, enhancement are needed.</w:t>
      </w:r>
    </w:p>
    <w:p>
      <w:pPr>
        <w:spacing w:after="120" w:line="240" w:lineRule="auto"/>
        <w:jc w:val="both"/>
        <w:rPr>
          <w:rFonts w:ascii="Times New Roman" w:hAnsi="Times New Roman" w:eastAsia="Calibri" w:cs="Times New Roman"/>
        </w:rPr>
      </w:pPr>
      <w:r>
        <w:rPr>
          <w:rFonts w:ascii="Times New Roman" w:hAnsi="Times New Roman" w:eastAsia="Calibri" w:cs="Times New Roman"/>
        </w:rPr>
        <w:t>Also, the following proposals been made:</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AI-specific CSI measurement framework should be introduced, to support various CSI measurement scenarios, which would be used for different AI functions, or different AI procedure that associated with one AI functions.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2: AI model information should be configured to UE for CSI measurement and CSI reporting, where the AI model information would be model ID or functionalities descriptor etc.</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3: Active or de-active CSI measurement or reporting mechanism would be introduced for reasonable feedback overhead, also the CQI can be reported by a UE or calculated by a gNB, where a threshold can enable the switching between the two.</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4: CSI feedback can be conveyed through UCI, RRC or data plane signaling, and which can be configured by gNB to achieve a balance between their capability and E2E requirements .</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5: AI-model information would be needed along with the legacy SRS resource configuration, the AI model information could be AI model ID or AI functionalities descriptor.</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6: New SRS resource configuration framework which can support uplink CSI feedback from NW to UE should be considered, to make UE-side AI mode work normally.</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7: For AI-based uplink transmission, uplink link information (including CSI measurement from SRS, channel status information ) which associated with SRS transmission would be feedback to UE with dedicated signaling, e.g., RRC or PDSCH signal etc.</w:t>
      </w:r>
    </w:p>
    <w:p>
      <w:pPr>
        <w:widowControl w:val="0"/>
        <w:spacing w:after="120"/>
        <w:jc w:val="both"/>
        <w:rPr>
          <w:rFonts w:ascii="Times New Roman" w:hAnsi="Times New Roman" w:cs="Times New Roman"/>
          <w:b/>
          <w:i/>
          <w:lang w:eastAsia="zh-CN"/>
        </w:rPr>
      </w:pPr>
    </w:p>
    <w:p>
      <w:pPr>
        <w:pStyle w:val="2"/>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References</w:t>
      </w:r>
    </w:p>
    <w:p>
      <w:pPr>
        <w:pStyle w:val="23"/>
        <w:numPr>
          <w:ilvl w:val="0"/>
          <w:numId w:val="3"/>
        </w:numPr>
        <w:spacing w:after="0" w:line="360" w:lineRule="auto"/>
        <w:contextualSpacing w:val="0"/>
        <w:rPr>
          <w:rFonts w:ascii="Times New Roman" w:hAnsi="Times New Roman" w:cs="Times New Roman"/>
          <w:lang w:eastAsia="zh-CN"/>
        </w:rPr>
      </w:pPr>
      <w:bookmarkStart w:id="7" w:name="_Ref101880944"/>
      <w:r>
        <w:rPr>
          <w:rFonts w:ascii="Times New Roman" w:hAnsi="Times New Roman" w:cs="Times New Roman"/>
          <w:lang w:eastAsia="zh-CN"/>
        </w:rPr>
        <w:t>RP-213599, Study on Artificial Intelligence (AI)/Machine Learning (ML) for NR Air Interface, RAN #94e, Dec. 6 - 17, 2021.</w:t>
      </w:r>
      <w:bookmarkEnd w:id="7"/>
    </w:p>
    <w:p>
      <w:pPr>
        <w:numPr>
          <w:ilvl w:val="0"/>
          <w:numId w:val="3"/>
        </w:numPr>
        <w:spacing w:after="0" w:line="360" w:lineRule="auto"/>
        <w:rPr>
          <w:rFonts w:ascii="Times New Roman" w:hAnsi="Times New Roman" w:cs="Times New Roman"/>
          <w:lang w:eastAsia="zh-CN"/>
        </w:rPr>
      </w:pPr>
      <w:bookmarkStart w:id="8" w:name="_Ref111045045"/>
      <w:r>
        <w:rPr>
          <w:rFonts w:ascii="Times New Roman" w:hAnsi="Times New Roman" w:cs="Times New Roman"/>
          <w:lang w:eastAsia="zh-CN"/>
        </w:rPr>
        <w:t>Chairman notes of 3GPP TSG RAN WG1 #110b-e</w:t>
      </w:r>
      <w:bookmarkEnd w:id="8"/>
      <w:r>
        <w:rPr>
          <w:rFonts w:hint="eastAsia" w:ascii="Times New Roman" w:hAnsi="Times New Roman" w:cs="Times New Roman"/>
          <w:lang w:eastAsia="zh-CN"/>
        </w:rPr>
        <w:t xml:space="preserve"> meeting.</w:t>
      </w:r>
    </w:p>
    <w:p>
      <w:pPr>
        <w:numPr>
          <w:ilvl w:val="0"/>
          <w:numId w:val="3"/>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w:t>
      </w:r>
      <w:r>
        <w:rPr>
          <w:rFonts w:hint="eastAsia" w:ascii="Times New Roman" w:hAnsi="Times New Roman" w:cs="Times New Roman"/>
          <w:lang w:eastAsia="zh-CN"/>
        </w:rPr>
        <w:t>11 meeting.</w:t>
      </w:r>
    </w:p>
    <w:p>
      <w:pPr>
        <w:numPr>
          <w:ilvl w:val="0"/>
          <w:numId w:val="3"/>
        </w:numPr>
        <w:spacing w:after="0" w:line="360" w:lineRule="auto"/>
        <w:rPr>
          <w:rFonts w:ascii="Times New Roman" w:hAnsi="Times New Roman" w:cs="Times New Roman"/>
          <w:lang w:eastAsia="zh-CN"/>
        </w:rPr>
      </w:pPr>
      <w:bookmarkStart w:id="9" w:name="_Ref131518301"/>
      <w:r>
        <w:rPr>
          <w:rFonts w:ascii="Times New Roman" w:hAnsi="Times New Roman" w:cs="Times New Roman"/>
          <w:lang w:eastAsia="zh-CN"/>
        </w:rPr>
        <w:t>Chairman notes of 3GPP TSG RAN WG1 #1</w:t>
      </w:r>
      <w:r>
        <w:rPr>
          <w:rFonts w:hint="eastAsia" w:ascii="Times New Roman" w:hAnsi="Times New Roman" w:cs="Times New Roman"/>
          <w:lang w:eastAsia="zh-CN"/>
        </w:rPr>
        <w:t>1</w:t>
      </w:r>
      <w:r>
        <w:rPr>
          <w:rFonts w:ascii="Times New Roman" w:hAnsi="Times New Roman" w:cs="Times New Roman"/>
          <w:lang w:eastAsia="zh-CN"/>
        </w:rPr>
        <w:t>2</w:t>
      </w:r>
      <w:r>
        <w:rPr>
          <w:rFonts w:hint="eastAsia" w:ascii="Times New Roman" w:hAnsi="Times New Roman" w:cs="Times New Roman"/>
          <w:lang w:eastAsia="zh-CN"/>
        </w:rPr>
        <w:t xml:space="preserve"> meeting.</w:t>
      </w:r>
      <w:bookmarkEnd w:id="9"/>
    </w:p>
    <w:p>
      <w:pPr>
        <w:spacing w:after="0" w:line="360" w:lineRule="auto"/>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2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0711447"/>
      <w:docPartObj>
        <w:docPartGallery w:val="autotext"/>
      </w:docPartObj>
    </w:sdtPr>
    <w:sdtContent>
      <w:p>
        <w:pPr>
          <w:pStyle w:val="9"/>
          <w:jc w:val="center"/>
        </w:pPr>
        <w:r>
          <w:fldChar w:fldCharType="begin"/>
        </w:r>
        <w:r>
          <w:instrText xml:space="preserve">PAGE   \* MERGEFORMAT</w:instrText>
        </w:r>
        <w:r>
          <w:fldChar w:fldCharType="separate"/>
        </w:r>
        <w:r>
          <w:rPr>
            <w:lang w:val="zh-CN" w:eastAsia="zh-CN"/>
          </w:rPr>
          <w:t>5</w:t>
        </w:r>
        <w: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770C4D78"/>
    <w:multiLevelType w:val="multilevel"/>
    <w:tmpl w:val="770C4D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59A"/>
    <w:rsid w:val="00003267"/>
    <w:rsid w:val="00005DD9"/>
    <w:rsid w:val="00010AEF"/>
    <w:rsid w:val="000117C2"/>
    <w:rsid w:val="0001211B"/>
    <w:rsid w:val="000127C2"/>
    <w:rsid w:val="00022DB3"/>
    <w:rsid w:val="00022E18"/>
    <w:rsid w:val="0002567B"/>
    <w:rsid w:val="00025F5B"/>
    <w:rsid w:val="00032D02"/>
    <w:rsid w:val="000339AD"/>
    <w:rsid w:val="00033A31"/>
    <w:rsid w:val="00033AF9"/>
    <w:rsid w:val="00036C50"/>
    <w:rsid w:val="000378B8"/>
    <w:rsid w:val="00041FB4"/>
    <w:rsid w:val="000430C6"/>
    <w:rsid w:val="00044937"/>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03B4"/>
    <w:rsid w:val="00091A0E"/>
    <w:rsid w:val="000936CB"/>
    <w:rsid w:val="00093E78"/>
    <w:rsid w:val="000944A1"/>
    <w:rsid w:val="000A1F36"/>
    <w:rsid w:val="000A2D5A"/>
    <w:rsid w:val="000A3694"/>
    <w:rsid w:val="000A40CB"/>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D45"/>
    <w:rsid w:val="001002A6"/>
    <w:rsid w:val="001002E8"/>
    <w:rsid w:val="00103E9E"/>
    <w:rsid w:val="00104034"/>
    <w:rsid w:val="0010577F"/>
    <w:rsid w:val="001058D5"/>
    <w:rsid w:val="00106D0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7D4A"/>
    <w:rsid w:val="0015024B"/>
    <w:rsid w:val="001523C8"/>
    <w:rsid w:val="00152C59"/>
    <w:rsid w:val="0015328D"/>
    <w:rsid w:val="001551B1"/>
    <w:rsid w:val="001574EE"/>
    <w:rsid w:val="0016252F"/>
    <w:rsid w:val="00163910"/>
    <w:rsid w:val="00163A10"/>
    <w:rsid w:val="00163F21"/>
    <w:rsid w:val="0016555B"/>
    <w:rsid w:val="0017077C"/>
    <w:rsid w:val="00171DD3"/>
    <w:rsid w:val="00172D95"/>
    <w:rsid w:val="00173150"/>
    <w:rsid w:val="00175189"/>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61BD"/>
    <w:rsid w:val="001A40E3"/>
    <w:rsid w:val="001A4A1D"/>
    <w:rsid w:val="001A4E2B"/>
    <w:rsid w:val="001A5EC2"/>
    <w:rsid w:val="001A6238"/>
    <w:rsid w:val="001A731B"/>
    <w:rsid w:val="001B035C"/>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595D"/>
    <w:rsid w:val="0022782F"/>
    <w:rsid w:val="0023338E"/>
    <w:rsid w:val="00234D9C"/>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C85"/>
    <w:rsid w:val="00291DC5"/>
    <w:rsid w:val="002929F9"/>
    <w:rsid w:val="00294CB8"/>
    <w:rsid w:val="002959A8"/>
    <w:rsid w:val="00295B67"/>
    <w:rsid w:val="00296679"/>
    <w:rsid w:val="0029690E"/>
    <w:rsid w:val="002A0288"/>
    <w:rsid w:val="002A2338"/>
    <w:rsid w:val="002A3339"/>
    <w:rsid w:val="002A416A"/>
    <w:rsid w:val="002A75F4"/>
    <w:rsid w:val="002B0E0D"/>
    <w:rsid w:val="002B1B57"/>
    <w:rsid w:val="002B29C4"/>
    <w:rsid w:val="002B4759"/>
    <w:rsid w:val="002B65CF"/>
    <w:rsid w:val="002B7280"/>
    <w:rsid w:val="002C0491"/>
    <w:rsid w:val="002C08C3"/>
    <w:rsid w:val="002C2043"/>
    <w:rsid w:val="002D1A3F"/>
    <w:rsid w:val="002D3215"/>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3A4"/>
    <w:rsid w:val="00356E98"/>
    <w:rsid w:val="00360AD6"/>
    <w:rsid w:val="00364C66"/>
    <w:rsid w:val="00366C0D"/>
    <w:rsid w:val="00371365"/>
    <w:rsid w:val="00373D63"/>
    <w:rsid w:val="00374284"/>
    <w:rsid w:val="003746DD"/>
    <w:rsid w:val="00374DBD"/>
    <w:rsid w:val="0037520B"/>
    <w:rsid w:val="003810FB"/>
    <w:rsid w:val="00381132"/>
    <w:rsid w:val="00382670"/>
    <w:rsid w:val="00383391"/>
    <w:rsid w:val="0038642C"/>
    <w:rsid w:val="00387AA0"/>
    <w:rsid w:val="00391036"/>
    <w:rsid w:val="00393B45"/>
    <w:rsid w:val="003944C2"/>
    <w:rsid w:val="00395117"/>
    <w:rsid w:val="003A225B"/>
    <w:rsid w:val="003A368A"/>
    <w:rsid w:val="003A58B0"/>
    <w:rsid w:val="003A5967"/>
    <w:rsid w:val="003A725F"/>
    <w:rsid w:val="003B44F0"/>
    <w:rsid w:val="003B7968"/>
    <w:rsid w:val="003C4291"/>
    <w:rsid w:val="003C79ED"/>
    <w:rsid w:val="003D1AB8"/>
    <w:rsid w:val="003D1FA2"/>
    <w:rsid w:val="003D53FE"/>
    <w:rsid w:val="003D5D5E"/>
    <w:rsid w:val="003E038D"/>
    <w:rsid w:val="003E33F8"/>
    <w:rsid w:val="003F3B85"/>
    <w:rsid w:val="003F6109"/>
    <w:rsid w:val="003F7CCC"/>
    <w:rsid w:val="00400735"/>
    <w:rsid w:val="00401280"/>
    <w:rsid w:val="00414822"/>
    <w:rsid w:val="00415419"/>
    <w:rsid w:val="0041689E"/>
    <w:rsid w:val="00421132"/>
    <w:rsid w:val="00431775"/>
    <w:rsid w:val="0043295E"/>
    <w:rsid w:val="004343E7"/>
    <w:rsid w:val="00437FCB"/>
    <w:rsid w:val="004412D2"/>
    <w:rsid w:val="0044263D"/>
    <w:rsid w:val="00442FE4"/>
    <w:rsid w:val="00443350"/>
    <w:rsid w:val="00446BBA"/>
    <w:rsid w:val="00447A5E"/>
    <w:rsid w:val="00450CDC"/>
    <w:rsid w:val="00456D8C"/>
    <w:rsid w:val="00470A67"/>
    <w:rsid w:val="00472961"/>
    <w:rsid w:val="00475D6D"/>
    <w:rsid w:val="004761C5"/>
    <w:rsid w:val="00476390"/>
    <w:rsid w:val="00476AFD"/>
    <w:rsid w:val="00476F2A"/>
    <w:rsid w:val="00481AD2"/>
    <w:rsid w:val="00483C6B"/>
    <w:rsid w:val="00485190"/>
    <w:rsid w:val="00487100"/>
    <w:rsid w:val="004952E3"/>
    <w:rsid w:val="00496B77"/>
    <w:rsid w:val="004A1401"/>
    <w:rsid w:val="004A29F8"/>
    <w:rsid w:val="004A4703"/>
    <w:rsid w:val="004A51ED"/>
    <w:rsid w:val="004A52FB"/>
    <w:rsid w:val="004A6756"/>
    <w:rsid w:val="004A7B7C"/>
    <w:rsid w:val="004B406C"/>
    <w:rsid w:val="004B692A"/>
    <w:rsid w:val="004C1A10"/>
    <w:rsid w:val="004C54A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5B1E"/>
    <w:rsid w:val="00580C11"/>
    <w:rsid w:val="00581FC7"/>
    <w:rsid w:val="00582F95"/>
    <w:rsid w:val="00584032"/>
    <w:rsid w:val="00585277"/>
    <w:rsid w:val="00585E57"/>
    <w:rsid w:val="005910EC"/>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547A"/>
    <w:rsid w:val="005C688B"/>
    <w:rsid w:val="005C7CD9"/>
    <w:rsid w:val="005D35E1"/>
    <w:rsid w:val="005D3EE6"/>
    <w:rsid w:val="005D673A"/>
    <w:rsid w:val="005D6C8B"/>
    <w:rsid w:val="005D6F9B"/>
    <w:rsid w:val="005E09BD"/>
    <w:rsid w:val="005E0FCF"/>
    <w:rsid w:val="005E1411"/>
    <w:rsid w:val="005E4C04"/>
    <w:rsid w:val="005E6DB5"/>
    <w:rsid w:val="005F06C1"/>
    <w:rsid w:val="005F08F2"/>
    <w:rsid w:val="005F58E7"/>
    <w:rsid w:val="005F6DCC"/>
    <w:rsid w:val="005F7290"/>
    <w:rsid w:val="005F7F38"/>
    <w:rsid w:val="006000A9"/>
    <w:rsid w:val="0060078E"/>
    <w:rsid w:val="00600E7B"/>
    <w:rsid w:val="00600F5F"/>
    <w:rsid w:val="00603B9D"/>
    <w:rsid w:val="00610BB7"/>
    <w:rsid w:val="0061216D"/>
    <w:rsid w:val="006152B3"/>
    <w:rsid w:val="00617714"/>
    <w:rsid w:val="006206D8"/>
    <w:rsid w:val="0062380C"/>
    <w:rsid w:val="00623BFE"/>
    <w:rsid w:val="00623DE1"/>
    <w:rsid w:val="0062548D"/>
    <w:rsid w:val="00625FB9"/>
    <w:rsid w:val="00630B1E"/>
    <w:rsid w:val="006311DC"/>
    <w:rsid w:val="006317E9"/>
    <w:rsid w:val="00632065"/>
    <w:rsid w:val="006322EE"/>
    <w:rsid w:val="006371C2"/>
    <w:rsid w:val="0064177F"/>
    <w:rsid w:val="00641F44"/>
    <w:rsid w:val="0064369D"/>
    <w:rsid w:val="006473CA"/>
    <w:rsid w:val="00650EA7"/>
    <w:rsid w:val="00652426"/>
    <w:rsid w:val="0065403C"/>
    <w:rsid w:val="00655B6D"/>
    <w:rsid w:val="00657706"/>
    <w:rsid w:val="00663A5A"/>
    <w:rsid w:val="00664A7D"/>
    <w:rsid w:val="00667F47"/>
    <w:rsid w:val="0067251D"/>
    <w:rsid w:val="00674118"/>
    <w:rsid w:val="0068142E"/>
    <w:rsid w:val="006839F6"/>
    <w:rsid w:val="006840E4"/>
    <w:rsid w:val="00684266"/>
    <w:rsid w:val="006927C8"/>
    <w:rsid w:val="00692F80"/>
    <w:rsid w:val="006956A2"/>
    <w:rsid w:val="00697EE3"/>
    <w:rsid w:val="006A23F3"/>
    <w:rsid w:val="006A2B3A"/>
    <w:rsid w:val="006A31A3"/>
    <w:rsid w:val="006A6BF5"/>
    <w:rsid w:val="006B195F"/>
    <w:rsid w:val="006B1F83"/>
    <w:rsid w:val="006C264D"/>
    <w:rsid w:val="006C413B"/>
    <w:rsid w:val="006D1653"/>
    <w:rsid w:val="006D33AF"/>
    <w:rsid w:val="006D3F16"/>
    <w:rsid w:val="006E257E"/>
    <w:rsid w:val="006E344A"/>
    <w:rsid w:val="006E5E23"/>
    <w:rsid w:val="006F0A4D"/>
    <w:rsid w:val="00713E93"/>
    <w:rsid w:val="00717C90"/>
    <w:rsid w:val="0072395D"/>
    <w:rsid w:val="00725209"/>
    <w:rsid w:val="00726359"/>
    <w:rsid w:val="00726CBC"/>
    <w:rsid w:val="00733225"/>
    <w:rsid w:val="00733DAC"/>
    <w:rsid w:val="0073483B"/>
    <w:rsid w:val="007356A5"/>
    <w:rsid w:val="00737B03"/>
    <w:rsid w:val="00741BE8"/>
    <w:rsid w:val="00743128"/>
    <w:rsid w:val="00743564"/>
    <w:rsid w:val="0074443C"/>
    <w:rsid w:val="00747772"/>
    <w:rsid w:val="00751A32"/>
    <w:rsid w:val="00753D2C"/>
    <w:rsid w:val="00762E1E"/>
    <w:rsid w:val="007633FC"/>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B3B"/>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72D0"/>
    <w:rsid w:val="007D5DC4"/>
    <w:rsid w:val="007D636A"/>
    <w:rsid w:val="007E20BA"/>
    <w:rsid w:val="007E5215"/>
    <w:rsid w:val="007E606F"/>
    <w:rsid w:val="007F0BDD"/>
    <w:rsid w:val="007F126F"/>
    <w:rsid w:val="007F41A8"/>
    <w:rsid w:val="007F4B90"/>
    <w:rsid w:val="007F671E"/>
    <w:rsid w:val="007F674F"/>
    <w:rsid w:val="0080719B"/>
    <w:rsid w:val="008071EC"/>
    <w:rsid w:val="00807317"/>
    <w:rsid w:val="00810854"/>
    <w:rsid w:val="0081211E"/>
    <w:rsid w:val="00813C97"/>
    <w:rsid w:val="00814ADD"/>
    <w:rsid w:val="00821327"/>
    <w:rsid w:val="00823205"/>
    <w:rsid w:val="00823A24"/>
    <w:rsid w:val="00825727"/>
    <w:rsid w:val="00827BFE"/>
    <w:rsid w:val="00830C27"/>
    <w:rsid w:val="00831C7B"/>
    <w:rsid w:val="0083380C"/>
    <w:rsid w:val="00834B94"/>
    <w:rsid w:val="00841D7B"/>
    <w:rsid w:val="0084245C"/>
    <w:rsid w:val="00843428"/>
    <w:rsid w:val="0084459F"/>
    <w:rsid w:val="00846FBA"/>
    <w:rsid w:val="00847ECE"/>
    <w:rsid w:val="00851CE3"/>
    <w:rsid w:val="00852032"/>
    <w:rsid w:val="0085466B"/>
    <w:rsid w:val="0085695D"/>
    <w:rsid w:val="0085723F"/>
    <w:rsid w:val="00863466"/>
    <w:rsid w:val="0086584E"/>
    <w:rsid w:val="0087107C"/>
    <w:rsid w:val="00872331"/>
    <w:rsid w:val="00875655"/>
    <w:rsid w:val="00875777"/>
    <w:rsid w:val="008766B4"/>
    <w:rsid w:val="008776C4"/>
    <w:rsid w:val="008810C8"/>
    <w:rsid w:val="008819C2"/>
    <w:rsid w:val="00882AB8"/>
    <w:rsid w:val="0088427D"/>
    <w:rsid w:val="00885881"/>
    <w:rsid w:val="00886CA4"/>
    <w:rsid w:val="00886E2A"/>
    <w:rsid w:val="0089208F"/>
    <w:rsid w:val="0089334A"/>
    <w:rsid w:val="00894318"/>
    <w:rsid w:val="00894C07"/>
    <w:rsid w:val="008A0752"/>
    <w:rsid w:val="008A2D8A"/>
    <w:rsid w:val="008A585A"/>
    <w:rsid w:val="008A58B8"/>
    <w:rsid w:val="008A751F"/>
    <w:rsid w:val="008A7B23"/>
    <w:rsid w:val="008B0088"/>
    <w:rsid w:val="008B1C4A"/>
    <w:rsid w:val="008B239B"/>
    <w:rsid w:val="008B443E"/>
    <w:rsid w:val="008B5945"/>
    <w:rsid w:val="008C03BE"/>
    <w:rsid w:val="008C149D"/>
    <w:rsid w:val="008C3315"/>
    <w:rsid w:val="008D53A9"/>
    <w:rsid w:val="008D5761"/>
    <w:rsid w:val="008D6010"/>
    <w:rsid w:val="008E0296"/>
    <w:rsid w:val="008E2DCC"/>
    <w:rsid w:val="008E38B5"/>
    <w:rsid w:val="008E6A3B"/>
    <w:rsid w:val="008F406B"/>
    <w:rsid w:val="008F56F3"/>
    <w:rsid w:val="008F705E"/>
    <w:rsid w:val="00901E43"/>
    <w:rsid w:val="009023A3"/>
    <w:rsid w:val="00903298"/>
    <w:rsid w:val="00903C70"/>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50ACD"/>
    <w:rsid w:val="00954DF0"/>
    <w:rsid w:val="00955AFD"/>
    <w:rsid w:val="00961A39"/>
    <w:rsid w:val="009626CA"/>
    <w:rsid w:val="00963AF7"/>
    <w:rsid w:val="009648DA"/>
    <w:rsid w:val="009747CC"/>
    <w:rsid w:val="00974F1E"/>
    <w:rsid w:val="00975764"/>
    <w:rsid w:val="0097622F"/>
    <w:rsid w:val="009762EA"/>
    <w:rsid w:val="009776D0"/>
    <w:rsid w:val="009777F6"/>
    <w:rsid w:val="009809E1"/>
    <w:rsid w:val="00983C80"/>
    <w:rsid w:val="00985B4F"/>
    <w:rsid w:val="00987C2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C15"/>
    <w:rsid w:val="009C0B4E"/>
    <w:rsid w:val="009C260A"/>
    <w:rsid w:val="009C2BBE"/>
    <w:rsid w:val="009C3797"/>
    <w:rsid w:val="009D0FBF"/>
    <w:rsid w:val="009D13BB"/>
    <w:rsid w:val="009D18BE"/>
    <w:rsid w:val="009D4734"/>
    <w:rsid w:val="009E13BF"/>
    <w:rsid w:val="009E1745"/>
    <w:rsid w:val="009E2D2F"/>
    <w:rsid w:val="009E3E2C"/>
    <w:rsid w:val="009E4E8F"/>
    <w:rsid w:val="009F2E94"/>
    <w:rsid w:val="009F48EB"/>
    <w:rsid w:val="009F5CA5"/>
    <w:rsid w:val="009F6602"/>
    <w:rsid w:val="00A132F9"/>
    <w:rsid w:val="00A13A67"/>
    <w:rsid w:val="00A172A8"/>
    <w:rsid w:val="00A207FD"/>
    <w:rsid w:val="00A21964"/>
    <w:rsid w:val="00A224FD"/>
    <w:rsid w:val="00A244F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576A"/>
    <w:rsid w:val="00A557A0"/>
    <w:rsid w:val="00A57DED"/>
    <w:rsid w:val="00A619E7"/>
    <w:rsid w:val="00A62600"/>
    <w:rsid w:val="00A63FA6"/>
    <w:rsid w:val="00A67957"/>
    <w:rsid w:val="00A67FCC"/>
    <w:rsid w:val="00A7662A"/>
    <w:rsid w:val="00A7757D"/>
    <w:rsid w:val="00A77EEE"/>
    <w:rsid w:val="00A828CA"/>
    <w:rsid w:val="00A84AFD"/>
    <w:rsid w:val="00A94330"/>
    <w:rsid w:val="00A95A89"/>
    <w:rsid w:val="00A977B9"/>
    <w:rsid w:val="00A97AF0"/>
    <w:rsid w:val="00AA2991"/>
    <w:rsid w:val="00AA2CD1"/>
    <w:rsid w:val="00AA6B52"/>
    <w:rsid w:val="00AA7849"/>
    <w:rsid w:val="00AB1476"/>
    <w:rsid w:val="00AB1C9B"/>
    <w:rsid w:val="00AB3510"/>
    <w:rsid w:val="00AC1F8A"/>
    <w:rsid w:val="00AC794B"/>
    <w:rsid w:val="00AC7DB2"/>
    <w:rsid w:val="00AD394F"/>
    <w:rsid w:val="00AD6E41"/>
    <w:rsid w:val="00AE26BC"/>
    <w:rsid w:val="00AF22B0"/>
    <w:rsid w:val="00AF2A97"/>
    <w:rsid w:val="00AF38A1"/>
    <w:rsid w:val="00B01398"/>
    <w:rsid w:val="00B0271A"/>
    <w:rsid w:val="00B034D5"/>
    <w:rsid w:val="00B06102"/>
    <w:rsid w:val="00B07C14"/>
    <w:rsid w:val="00B1099F"/>
    <w:rsid w:val="00B13081"/>
    <w:rsid w:val="00B164AC"/>
    <w:rsid w:val="00B1798A"/>
    <w:rsid w:val="00B17CEE"/>
    <w:rsid w:val="00B23879"/>
    <w:rsid w:val="00B24853"/>
    <w:rsid w:val="00B25D09"/>
    <w:rsid w:val="00B264F7"/>
    <w:rsid w:val="00B32C8D"/>
    <w:rsid w:val="00B33589"/>
    <w:rsid w:val="00B3468E"/>
    <w:rsid w:val="00B3547B"/>
    <w:rsid w:val="00B37B7D"/>
    <w:rsid w:val="00B448ED"/>
    <w:rsid w:val="00B46AB9"/>
    <w:rsid w:val="00B47909"/>
    <w:rsid w:val="00B50355"/>
    <w:rsid w:val="00B534AF"/>
    <w:rsid w:val="00B54A17"/>
    <w:rsid w:val="00B56E7E"/>
    <w:rsid w:val="00B609BD"/>
    <w:rsid w:val="00B62A07"/>
    <w:rsid w:val="00B639E0"/>
    <w:rsid w:val="00B64D03"/>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A594E"/>
    <w:rsid w:val="00BB0144"/>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FC4"/>
    <w:rsid w:val="00BE192B"/>
    <w:rsid w:val="00BF2193"/>
    <w:rsid w:val="00BF52B4"/>
    <w:rsid w:val="00BF5776"/>
    <w:rsid w:val="00BF6058"/>
    <w:rsid w:val="00BF6185"/>
    <w:rsid w:val="00C033FA"/>
    <w:rsid w:val="00C03D43"/>
    <w:rsid w:val="00C0545F"/>
    <w:rsid w:val="00C1122D"/>
    <w:rsid w:val="00C14665"/>
    <w:rsid w:val="00C14CA4"/>
    <w:rsid w:val="00C15E54"/>
    <w:rsid w:val="00C240D4"/>
    <w:rsid w:val="00C25F81"/>
    <w:rsid w:val="00C26161"/>
    <w:rsid w:val="00C3332B"/>
    <w:rsid w:val="00C3484E"/>
    <w:rsid w:val="00C3502C"/>
    <w:rsid w:val="00C35530"/>
    <w:rsid w:val="00C372D6"/>
    <w:rsid w:val="00C409AA"/>
    <w:rsid w:val="00C40DDD"/>
    <w:rsid w:val="00C4244F"/>
    <w:rsid w:val="00C42CC3"/>
    <w:rsid w:val="00C42F8D"/>
    <w:rsid w:val="00C51F82"/>
    <w:rsid w:val="00C53050"/>
    <w:rsid w:val="00C55709"/>
    <w:rsid w:val="00C56058"/>
    <w:rsid w:val="00C5680F"/>
    <w:rsid w:val="00C56C9B"/>
    <w:rsid w:val="00C56EF8"/>
    <w:rsid w:val="00C57A26"/>
    <w:rsid w:val="00C60533"/>
    <w:rsid w:val="00C6151B"/>
    <w:rsid w:val="00C64E7A"/>
    <w:rsid w:val="00C7023F"/>
    <w:rsid w:val="00C70939"/>
    <w:rsid w:val="00C73DBE"/>
    <w:rsid w:val="00C74BF1"/>
    <w:rsid w:val="00C837BE"/>
    <w:rsid w:val="00C83AE1"/>
    <w:rsid w:val="00C8568C"/>
    <w:rsid w:val="00C85B46"/>
    <w:rsid w:val="00C90FC4"/>
    <w:rsid w:val="00C917BB"/>
    <w:rsid w:val="00C920F0"/>
    <w:rsid w:val="00C939D0"/>
    <w:rsid w:val="00C96754"/>
    <w:rsid w:val="00C972CF"/>
    <w:rsid w:val="00C97952"/>
    <w:rsid w:val="00CA0F56"/>
    <w:rsid w:val="00CA272E"/>
    <w:rsid w:val="00CA6ED0"/>
    <w:rsid w:val="00CB3F82"/>
    <w:rsid w:val="00CB474B"/>
    <w:rsid w:val="00CC2E92"/>
    <w:rsid w:val="00CC5432"/>
    <w:rsid w:val="00CC61D8"/>
    <w:rsid w:val="00CD0A0E"/>
    <w:rsid w:val="00CD1181"/>
    <w:rsid w:val="00CD1377"/>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6353"/>
    <w:rsid w:val="00D06534"/>
    <w:rsid w:val="00D10CC4"/>
    <w:rsid w:val="00D129F5"/>
    <w:rsid w:val="00D132E2"/>
    <w:rsid w:val="00D13BA9"/>
    <w:rsid w:val="00D17158"/>
    <w:rsid w:val="00D2058A"/>
    <w:rsid w:val="00D25024"/>
    <w:rsid w:val="00D26028"/>
    <w:rsid w:val="00D31E12"/>
    <w:rsid w:val="00D34199"/>
    <w:rsid w:val="00D344DD"/>
    <w:rsid w:val="00D35337"/>
    <w:rsid w:val="00D37DF8"/>
    <w:rsid w:val="00D41BC0"/>
    <w:rsid w:val="00D45B3E"/>
    <w:rsid w:val="00D47CCA"/>
    <w:rsid w:val="00D507C5"/>
    <w:rsid w:val="00D50AEA"/>
    <w:rsid w:val="00D52AFA"/>
    <w:rsid w:val="00D5432B"/>
    <w:rsid w:val="00D61691"/>
    <w:rsid w:val="00D648AB"/>
    <w:rsid w:val="00D661A0"/>
    <w:rsid w:val="00D77716"/>
    <w:rsid w:val="00D77FF4"/>
    <w:rsid w:val="00D80713"/>
    <w:rsid w:val="00D81707"/>
    <w:rsid w:val="00D818AD"/>
    <w:rsid w:val="00D82CA5"/>
    <w:rsid w:val="00D863BE"/>
    <w:rsid w:val="00D93B0A"/>
    <w:rsid w:val="00D96AC8"/>
    <w:rsid w:val="00DA2422"/>
    <w:rsid w:val="00DA4668"/>
    <w:rsid w:val="00DA4890"/>
    <w:rsid w:val="00DA4BD7"/>
    <w:rsid w:val="00DA568A"/>
    <w:rsid w:val="00DB1384"/>
    <w:rsid w:val="00DB17F3"/>
    <w:rsid w:val="00DB5643"/>
    <w:rsid w:val="00DB6B2F"/>
    <w:rsid w:val="00DC2ED7"/>
    <w:rsid w:val="00DC5F71"/>
    <w:rsid w:val="00DC7EF5"/>
    <w:rsid w:val="00DD2B2D"/>
    <w:rsid w:val="00DD3A62"/>
    <w:rsid w:val="00DD406C"/>
    <w:rsid w:val="00DD4852"/>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358A"/>
    <w:rsid w:val="00E16CAB"/>
    <w:rsid w:val="00E217DE"/>
    <w:rsid w:val="00E236FA"/>
    <w:rsid w:val="00E267A2"/>
    <w:rsid w:val="00E33258"/>
    <w:rsid w:val="00E346C8"/>
    <w:rsid w:val="00E36EC8"/>
    <w:rsid w:val="00E404B8"/>
    <w:rsid w:val="00E40CBA"/>
    <w:rsid w:val="00E438FF"/>
    <w:rsid w:val="00E459E7"/>
    <w:rsid w:val="00E45B4D"/>
    <w:rsid w:val="00E4638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04E6"/>
    <w:rsid w:val="00E91315"/>
    <w:rsid w:val="00E9236B"/>
    <w:rsid w:val="00E93034"/>
    <w:rsid w:val="00EA2943"/>
    <w:rsid w:val="00EA7886"/>
    <w:rsid w:val="00EB26DA"/>
    <w:rsid w:val="00EB2CA8"/>
    <w:rsid w:val="00EB340C"/>
    <w:rsid w:val="00EB55C3"/>
    <w:rsid w:val="00EB64DF"/>
    <w:rsid w:val="00EB67FE"/>
    <w:rsid w:val="00EC1F13"/>
    <w:rsid w:val="00EC3703"/>
    <w:rsid w:val="00EC413D"/>
    <w:rsid w:val="00EC6241"/>
    <w:rsid w:val="00ED14F7"/>
    <w:rsid w:val="00ED3315"/>
    <w:rsid w:val="00ED3A14"/>
    <w:rsid w:val="00ED48AC"/>
    <w:rsid w:val="00ED6C2B"/>
    <w:rsid w:val="00EE0FD5"/>
    <w:rsid w:val="00EE3C1E"/>
    <w:rsid w:val="00EE5F58"/>
    <w:rsid w:val="00EE79C7"/>
    <w:rsid w:val="00EF1541"/>
    <w:rsid w:val="00EF1F17"/>
    <w:rsid w:val="00F00A57"/>
    <w:rsid w:val="00F01D0E"/>
    <w:rsid w:val="00F03487"/>
    <w:rsid w:val="00F0555E"/>
    <w:rsid w:val="00F0562F"/>
    <w:rsid w:val="00F0590E"/>
    <w:rsid w:val="00F07D34"/>
    <w:rsid w:val="00F111AB"/>
    <w:rsid w:val="00F12C37"/>
    <w:rsid w:val="00F13354"/>
    <w:rsid w:val="00F179D0"/>
    <w:rsid w:val="00F21003"/>
    <w:rsid w:val="00F216A2"/>
    <w:rsid w:val="00F21CF5"/>
    <w:rsid w:val="00F22785"/>
    <w:rsid w:val="00F24B60"/>
    <w:rsid w:val="00F25177"/>
    <w:rsid w:val="00F27FC0"/>
    <w:rsid w:val="00F33DCF"/>
    <w:rsid w:val="00F34A32"/>
    <w:rsid w:val="00F44C8F"/>
    <w:rsid w:val="00F44E6A"/>
    <w:rsid w:val="00F47769"/>
    <w:rsid w:val="00F5046C"/>
    <w:rsid w:val="00F509C4"/>
    <w:rsid w:val="00F5148D"/>
    <w:rsid w:val="00F53D23"/>
    <w:rsid w:val="00F5487F"/>
    <w:rsid w:val="00F5743F"/>
    <w:rsid w:val="00F6018B"/>
    <w:rsid w:val="00F612BA"/>
    <w:rsid w:val="00F62544"/>
    <w:rsid w:val="00F62CF6"/>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418B"/>
    <w:rsid w:val="00F9592D"/>
    <w:rsid w:val="00F95ED5"/>
    <w:rsid w:val="00F96608"/>
    <w:rsid w:val="00FA1512"/>
    <w:rsid w:val="00FA5235"/>
    <w:rsid w:val="00FB080F"/>
    <w:rsid w:val="00FB1B43"/>
    <w:rsid w:val="00FB2077"/>
    <w:rsid w:val="00FB27D0"/>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1C7218"/>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4C1B61"/>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0"/>
    <w:unhideWhenUsed/>
    <w:qFormat/>
    <w:uiPriority w:val="9"/>
    <w:pPr>
      <w:keepNext/>
      <w:keepLines/>
      <w:spacing w:before="240" w:after="120" w:afterLines="50"/>
      <w:outlineLvl w:val="1"/>
    </w:pPr>
    <w:rPr>
      <w:rFonts w:ascii="Arial" w:hAnsi="Arial" w:eastAsia="Roboto" w:cs="Arial"/>
      <w:b/>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47"/>
    <w:qFormat/>
    <w:uiPriority w:val="0"/>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5">
    <w:name w:val="annotation text"/>
    <w:basedOn w:val="1"/>
    <w:link w:val="45"/>
    <w:semiHidden/>
    <w:unhideWhenUsed/>
    <w:qFormat/>
    <w:uiPriority w:val="99"/>
  </w:style>
  <w:style w:type="paragraph" w:styleId="6">
    <w:name w:val="Body Text"/>
    <w:basedOn w:val="1"/>
    <w:link w:val="32"/>
    <w:qFormat/>
    <w:uiPriority w:val="0"/>
    <w:pPr>
      <w:widowControl w:val="0"/>
      <w:spacing w:after="0" w:line="240" w:lineRule="auto"/>
      <w:jc w:val="both"/>
    </w:pPr>
    <w:rPr>
      <w:rFonts w:ascii="Times New Roman" w:hAnsi="Times New Roman"/>
      <w:color w:val="0000FF"/>
      <w:kern w:val="2"/>
      <w:sz w:val="21"/>
    </w:rPr>
  </w:style>
  <w:style w:type="paragraph" w:styleId="7">
    <w:name w:val="List 2"/>
    <w:basedOn w:val="1"/>
    <w:semiHidden/>
    <w:unhideWhenUsed/>
    <w:qFormat/>
    <w:uiPriority w:val="99"/>
    <w:pPr>
      <w:ind w:left="100" w:leftChars="200" w:hanging="200" w:hangingChars="200"/>
      <w:contextualSpacing/>
    </w:pPr>
  </w:style>
  <w:style w:type="paragraph" w:styleId="8">
    <w:name w:val="Balloon Text"/>
    <w:basedOn w:val="1"/>
    <w:link w:val="37"/>
    <w:semiHidden/>
    <w:unhideWhenUsed/>
    <w:qFormat/>
    <w:uiPriority w:val="99"/>
    <w:pPr>
      <w:spacing w:after="0" w:line="240" w:lineRule="auto"/>
    </w:pPr>
    <w:rPr>
      <w:sz w:val="18"/>
      <w:szCs w:val="18"/>
    </w:rPr>
  </w:style>
  <w:style w:type="paragraph" w:styleId="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27"/>
    <w:qFormat/>
    <w:uiPriority w:val="99"/>
    <w:pPr>
      <w:tabs>
        <w:tab w:val="center" w:pos="4536"/>
        <w:tab w:val="right" w:pos="9072"/>
      </w:tabs>
      <w:spacing w:after="0" w:line="240" w:lineRule="auto"/>
    </w:pPr>
    <w:rPr>
      <w:rFonts w:ascii="Arial" w:hAnsi="Arial" w:eastAsia="MS Mincho"/>
      <w:b/>
      <w:szCs w:val="24"/>
    </w:rPr>
  </w:style>
  <w:style w:type="paragraph" w:styleId="11">
    <w:name w:val="List"/>
    <w:basedOn w:val="1"/>
    <w:semiHidden/>
    <w:unhideWhenUsed/>
    <w:qFormat/>
    <w:uiPriority w:val="99"/>
    <w:pPr>
      <w:ind w:left="200" w:hanging="200" w:hangingChars="200"/>
      <w:contextualSpacing/>
    </w:pPr>
  </w:style>
  <w:style w:type="paragraph" w:styleId="12">
    <w:name w:val="annotation subject"/>
    <w:basedOn w:val="5"/>
    <w:next w:val="5"/>
    <w:link w:val="46"/>
    <w:semiHidden/>
    <w:unhideWhenUsed/>
    <w:qFormat/>
    <w:uiPriority w:val="99"/>
    <w:rPr>
      <w:b/>
      <w:bCs/>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Strong"/>
    <w:basedOn w:val="15"/>
    <w:qFormat/>
    <w:uiPriority w:val="22"/>
    <w:rPr>
      <w:b/>
      <w:bCs/>
    </w:rPr>
  </w:style>
  <w:style w:type="character" w:styleId="17">
    <w:name w:val="Hyperlink"/>
    <w:qFormat/>
    <w:uiPriority w:val="99"/>
    <w:rPr>
      <w:color w:val="0000FF"/>
      <w:u w:val="single"/>
    </w:rPr>
  </w:style>
  <w:style w:type="character" w:styleId="18">
    <w:name w:val="annotation reference"/>
    <w:basedOn w:val="15"/>
    <w:semiHidden/>
    <w:unhideWhenUsed/>
    <w:qFormat/>
    <w:uiPriority w:val="99"/>
    <w:rPr>
      <w:sz w:val="21"/>
      <w:szCs w:val="21"/>
    </w:rPr>
  </w:style>
  <w:style w:type="character" w:customStyle="1" w:styleId="19">
    <w:name w:val="标题 1 字符"/>
    <w:basedOn w:val="15"/>
    <w:link w:val="2"/>
    <w:qFormat/>
    <w:uiPriority w:val="0"/>
    <w:rPr>
      <w:rFonts w:asciiTheme="majorHAnsi" w:hAnsiTheme="majorHAnsi" w:eastAsiaTheme="majorEastAsia" w:cstheme="majorBidi"/>
      <w:color w:val="2F5597" w:themeColor="accent1" w:themeShade="BF"/>
      <w:sz w:val="32"/>
      <w:szCs w:val="32"/>
    </w:rPr>
  </w:style>
  <w:style w:type="character" w:customStyle="1" w:styleId="20">
    <w:name w:val="标题 2 字符"/>
    <w:basedOn w:val="15"/>
    <w:link w:val="3"/>
    <w:qFormat/>
    <w:uiPriority w:val="9"/>
    <w:rPr>
      <w:rFonts w:ascii="Arial" w:hAnsi="Arial" w:eastAsia="Roboto" w:cs="Arial"/>
      <w:b/>
      <w:sz w:val="32"/>
      <w:szCs w:val="32"/>
    </w:rPr>
  </w:style>
  <w:style w:type="paragraph" w:styleId="21">
    <w:name w:val="No Spacing"/>
    <w:qFormat/>
    <w:uiPriority w:val="1"/>
    <w:rPr>
      <w:rFonts w:asciiTheme="minorHAnsi" w:hAnsiTheme="minorHAnsi" w:eastAsiaTheme="minorEastAsia" w:cstheme="minorBidi"/>
      <w:sz w:val="22"/>
      <w:szCs w:val="22"/>
      <w:lang w:val="en-US" w:eastAsia="en-US" w:bidi="ar-SA"/>
    </w:rPr>
  </w:style>
  <w:style w:type="table" w:customStyle="1" w:styleId="22">
    <w:name w:val="无格式表格 41"/>
    <w:basedOn w:val="13"/>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3">
    <w:name w:val="List Paragraph"/>
    <w:basedOn w:val="1"/>
    <w:link w:val="39"/>
    <w:qFormat/>
    <w:uiPriority w:val="34"/>
    <w:pPr>
      <w:ind w:left="720"/>
      <w:contextualSpacing/>
    </w:pPr>
  </w:style>
  <w:style w:type="character" w:customStyle="1" w:styleId="24">
    <w:name w:val="@他1"/>
    <w:basedOn w:val="15"/>
    <w:unhideWhenUsed/>
    <w:qFormat/>
    <w:uiPriority w:val="99"/>
    <w:rPr>
      <w:color w:val="2B579A"/>
      <w:shd w:val="clear" w:color="auto" w:fill="E6E6E6"/>
    </w:rPr>
  </w:style>
  <w:style w:type="character" w:customStyle="1" w:styleId="25">
    <w:name w:val="fontstyle01"/>
    <w:basedOn w:val="15"/>
    <w:qFormat/>
    <w:uiPriority w:val="0"/>
    <w:rPr>
      <w:rFonts w:hint="default" w:ascii="TimesNewRomanPSMT" w:hAnsi="TimesNewRomanPSMT"/>
      <w:color w:val="000000"/>
      <w:sz w:val="20"/>
      <w:szCs w:val="20"/>
    </w:rPr>
  </w:style>
  <w:style w:type="character" w:customStyle="1" w:styleId="26">
    <w:name w:val="fontstyle21"/>
    <w:basedOn w:val="15"/>
    <w:qFormat/>
    <w:uiPriority w:val="0"/>
    <w:rPr>
      <w:rFonts w:hint="default" w:ascii="TimesNewRomanPS-ItalicMT" w:hAnsi="TimesNewRomanPS-ItalicMT"/>
      <w:i/>
      <w:iCs/>
      <w:color w:val="000000"/>
      <w:sz w:val="20"/>
      <w:szCs w:val="20"/>
    </w:rPr>
  </w:style>
  <w:style w:type="character" w:customStyle="1" w:styleId="27">
    <w:name w:val="页眉 字符1"/>
    <w:link w:val="10"/>
    <w:qFormat/>
    <w:uiPriority w:val="99"/>
    <w:rPr>
      <w:rFonts w:ascii="Arial" w:hAnsi="Arial" w:eastAsia="MS Mincho"/>
      <w:b/>
      <w:szCs w:val="24"/>
    </w:rPr>
  </w:style>
  <w:style w:type="character" w:customStyle="1" w:styleId="28">
    <w:name w:val="页眉 字符"/>
    <w:basedOn w:val="15"/>
    <w:semiHidden/>
    <w:qFormat/>
    <w:uiPriority w:val="99"/>
    <w:rPr>
      <w:sz w:val="18"/>
      <w:szCs w:val="18"/>
    </w:rPr>
  </w:style>
  <w:style w:type="character" w:customStyle="1" w:styleId="29">
    <w:name w:val="标题 1 Char"/>
    <w:qFormat/>
    <w:uiPriority w:val="0"/>
    <w:rPr>
      <w:rFonts w:ascii="Arial" w:hAnsi="Arial" w:eastAsia="黑体"/>
      <w:b/>
      <w:bCs/>
      <w:sz w:val="30"/>
      <w:szCs w:val="30"/>
      <w:lang w:val="zh-CN" w:eastAsia="en-US"/>
    </w:rPr>
  </w:style>
  <w:style w:type="character" w:customStyle="1" w:styleId="30">
    <w:name w:val="B1 (文字)"/>
    <w:link w:val="31"/>
    <w:qFormat/>
    <w:locked/>
    <w:uiPriority w:val="99"/>
    <w:rPr>
      <w:rFonts w:ascii="Times New Roman" w:hAnsi="Times New Roman" w:eastAsia="宋体"/>
      <w:lang w:val="en-GB"/>
    </w:rPr>
  </w:style>
  <w:style w:type="paragraph" w:customStyle="1" w:styleId="31">
    <w:name w:val="B1"/>
    <w:basedOn w:val="11"/>
    <w:link w:val="30"/>
    <w:qFormat/>
    <w:uiPriority w:val="0"/>
    <w:pPr>
      <w:spacing w:after="180" w:line="240" w:lineRule="auto"/>
      <w:ind w:left="568" w:hanging="284" w:firstLineChars="0"/>
    </w:pPr>
    <w:rPr>
      <w:rFonts w:ascii="Times New Roman" w:hAnsi="Times New Roman" w:eastAsia="宋体"/>
      <w:lang w:val="en-GB"/>
    </w:rPr>
  </w:style>
  <w:style w:type="character" w:customStyle="1" w:styleId="32">
    <w:name w:val="正文文本 字符1"/>
    <w:link w:val="6"/>
    <w:qFormat/>
    <w:uiPriority w:val="0"/>
    <w:rPr>
      <w:rFonts w:ascii="Times New Roman" w:hAnsi="Times New Roman"/>
      <w:color w:val="0000FF"/>
      <w:kern w:val="2"/>
      <w:sz w:val="21"/>
    </w:rPr>
  </w:style>
  <w:style w:type="character" w:customStyle="1" w:styleId="33">
    <w:name w:val="正文文本 字符"/>
    <w:basedOn w:val="15"/>
    <w:semiHidden/>
    <w:qFormat/>
    <w:uiPriority w:val="99"/>
  </w:style>
  <w:style w:type="paragraph" w:customStyle="1" w:styleId="34">
    <w:name w:val="B2"/>
    <w:basedOn w:val="7"/>
    <w:link w:val="35"/>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5">
    <w:name w:val="B2 Char"/>
    <w:link w:val="34"/>
    <w:qFormat/>
    <w:uiPriority w:val="0"/>
    <w:rPr>
      <w:rFonts w:ascii="Times New Roman" w:hAnsi="Times New Roman" w:eastAsia="MS Mincho" w:cs="Times New Roman"/>
      <w:sz w:val="20"/>
      <w:szCs w:val="20"/>
      <w:lang w:val="en-GB"/>
    </w:rPr>
  </w:style>
  <w:style w:type="character" w:customStyle="1" w:styleId="36">
    <w:name w:val="tgt"/>
    <w:basedOn w:val="15"/>
    <w:qFormat/>
    <w:uiPriority w:val="0"/>
  </w:style>
  <w:style w:type="character" w:customStyle="1" w:styleId="37">
    <w:name w:val="批注框文本 字符"/>
    <w:basedOn w:val="15"/>
    <w:link w:val="8"/>
    <w:semiHidden/>
    <w:qFormat/>
    <w:uiPriority w:val="99"/>
    <w:rPr>
      <w:sz w:val="18"/>
      <w:szCs w:val="18"/>
    </w:rPr>
  </w:style>
  <w:style w:type="character" w:customStyle="1" w:styleId="38">
    <w:name w:val="页脚 字符"/>
    <w:basedOn w:val="15"/>
    <w:link w:val="9"/>
    <w:qFormat/>
    <w:uiPriority w:val="99"/>
    <w:rPr>
      <w:sz w:val="18"/>
      <w:szCs w:val="18"/>
    </w:rPr>
  </w:style>
  <w:style w:type="character" w:customStyle="1" w:styleId="39">
    <w:name w:val="列表段落 字符"/>
    <w:link w:val="23"/>
    <w:qFormat/>
    <w:uiPriority w:val="34"/>
  </w:style>
  <w:style w:type="table" w:customStyle="1" w:styleId="40">
    <w:name w:val="网格表 4 - 着色 11"/>
    <w:basedOn w:val="13"/>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
    <w:name w:val="网格表 4 - 着色 12"/>
    <w:basedOn w:val="13"/>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42">
    <w:name w:val="网格表 4 - 着色 121"/>
    <w:basedOn w:val="13"/>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网格表 5 深色 - 着色 11"/>
    <w:basedOn w:val="1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4">
    <w:name w:val="网格表 5 深色 - 着色 51"/>
    <w:basedOn w:val="1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5">
    <w:name w:val="批注文字 字符"/>
    <w:basedOn w:val="15"/>
    <w:link w:val="5"/>
    <w:semiHidden/>
    <w:qFormat/>
    <w:uiPriority w:val="99"/>
  </w:style>
  <w:style w:type="character" w:customStyle="1" w:styleId="46">
    <w:name w:val="批注主题 字符"/>
    <w:basedOn w:val="45"/>
    <w:link w:val="12"/>
    <w:semiHidden/>
    <w:qFormat/>
    <w:uiPriority w:val="99"/>
    <w:rPr>
      <w:b/>
      <w:bCs/>
    </w:rPr>
  </w:style>
  <w:style w:type="character" w:customStyle="1" w:styleId="47">
    <w:name w:val="题注 字符"/>
    <w:link w:val="4"/>
    <w:qFormat/>
    <w:uiPriority w:val="0"/>
    <w:rPr>
      <w:rFonts w:ascii="Times New Roman" w:hAnsi="Times New Roman" w:eastAsia="Times New Roman" w:cs="Times New Roman"/>
      <w:b/>
      <w:sz w:val="20"/>
      <w:szCs w:val="20"/>
      <w:lang w:val="en-GB" w:eastAsia="ar-SA"/>
    </w:rPr>
  </w:style>
  <w:style w:type="character" w:customStyle="1" w:styleId="48">
    <w:name w:val="B1 Zchn"/>
    <w:qFormat/>
    <w:uiPriority w:val="0"/>
    <w:rPr>
      <w:lang w:eastAsia="en-US"/>
    </w:rPr>
  </w:style>
  <w:style w:type="character" w:customStyle="1" w:styleId="49">
    <w:name w:val="apple-converted-space"/>
    <w:basedOn w:val="15"/>
    <w:qFormat/>
    <w:uiPriority w:val="0"/>
  </w:style>
  <w:style w:type="table" w:customStyle="1" w:styleId="50">
    <w:name w:val="网格型1"/>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EC3856BB-FA30-4221-A957-89C7D07F3980}">
  <ds:schemaRefs/>
</ds:datastoreItem>
</file>

<file path=customXml/itemProps4.xml><?xml version="1.0" encoding="utf-8"?>
<ds:datastoreItem xmlns:ds="http://schemas.openxmlformats.org/officeDocument/2006/customXml" ds:itemID="{BC21BAB0-CA09-4CCE-A541-A1C7FC692438}">
  <ds:schemaRefs/>
</ds:datastoreItem>
</file>

<file path=docProps/app.xml><?xml version="1.0" encoding="utf-8"?>
<Properties xmlns="http://schemas.openxmlformats.org/officeDocument/2006/extended-properties" xmlns:vt="http://schemas.openxmlformats.org/officeDocument/2006/docPropsVTypes">
  <Template>Normal</Template>
  <Pages>11</Pages>
  <Words>4371</Words>
  <Characters>24968</Characters>
  <Lines>210</Lines>
  <Paragraphs>59</Paragraphs>
  <TotalTime>2</TotalTime>
  <ScaleCrop>false</ScaleCrop>
  <LinksUpToDate>false</LinksUpToDate>
  <CharactersWithSpaces>29220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2023-04-05T02:03:00Z</dcterms:created>
  <dc:creator>Sebastian, WAGNER</dc:creator>
  <cp:lastModifiedBy>Qu Miao</cp:lastModifiedBy>
  <dcterms:modified xsi:type="dcterms:W3CDTF">2023-04-07T07:49:20Z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43809083422D4DE78CFFB3999F46F6FF_13</vt:lpwstr>
  </property>
</Properties>
</file>