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05BEC" w14:textId="40EC71AF" w:rsidR="00BB062C" w:rsidRPr="00BB062C" w:rsidRDefault="00BB062C" w:rsidP="00BB062C">
      <w:pPr>
        <w:tabs>
          <w:tab w:val="left" w:pos="1985"/>
        </w:tabs>
        <w:spacing w:after="0" w:afterAutospacing="0"/>
        <w:ind w:left="1985" w:hangingChars="706" w:hanging="1985"/>
        <w:rPr>
          <w:rFonts w:ascii="Arial" w:eastAsia="ＭＳ 明朝" w:hAnsi="Arial" w:cs="Arial"/>
          <w:b/>
          <w:sz w:val="28"/>
          <w:szCs w:val="28"/>
          <w:lang w:val="en-US"/>
        </w:rPr>
      </w:pPr>
      <w:bookmarkStart w:id="0" w:name="_Ref133120545"/>
      <w:r w:rsidRPr="00BB062C">
        <w:rPr>
          <w:rFonts w:ascii="Arial" w:eastAsia="ＭＳ 明朝" w:hAnsi="Arial" w:cs="Arial"/>
          <w:b/>
          <w:sz w:val="28"/>
          <w:szCs w:val="28"/>
          <w:lang w:val="en-US"/>
        </w:rPr>
        <w:t>3GPP TSG RAN WG1 #112bis-e</w:t>
      </w:r>
      <w:r w:rsidRPr="00BB062C">
        <w:rPr>
          <w:rFonts w:ascii="Arial" w:eastAsia="ＭＳ 明朝" w:hAnsi="Arial" w:cs="Arial"/>
          <w:b/>
          <w:sz w:val="28"/>
          <w:szCs w:val="28"/>
          <w:lang w:val="en-US"/>
        </w:rPr>
        <w:tab/>
      </w:r>
      <w:r w:rsidRPr="00BB062C">
        <w:rPr>
          <w:rFonts w:ascii="Arial" w:eastAsia="ＭＳ 明朝" w:hAnsi="Arial" w:cs="Arial"/>
          <w:b/>
          <w:sz w:val="28"/>
          <w:szCs w:val="28"/>
          <w:lang w:val="en-US"/>
        </w:rPr>
        <w:tab/>
      </w:r>
      <w:r w:rsidRPr="00BB062C">
        <w:rPr>
          <w:rFonts w:ascii="Arial" w:eastAsia="ＭＳ 明朝" w:hAnsi="Arial" w:cs="Arial"/>
          <w:b/>
          <w:sz w:val="28"/>
          <w:szCs w:val="28"/>
          <w:lang w:val="en-US"/>
        </w:rPr>
        <w:tab/>
      </w:r>
      <w:r>
        <w:rPr>
          <w:rFonts w:ascii="Arial" w:eastAsia="ＭＳ 明朝" w:hAnsi="Arial" w:cs="Arial"/>
          <w:b/>
          <w:sz w:val="28"/>
          <w:szCs w:val="28"/>
          <w:lang w:val="en-US"/>
        </w:rPr>
        <w:tab/>
      </w:r>
      <w:r>
        <w:rPr>
          <w:rFonts w:ascii="Arial" w:eastAsia="ＭＳ 明朝" w:hAnsi="Arial" w:cs="Arial"/>
          <w:b/>
          <w:sz w:val="28"/>
          <w:szCs w:val="28"/>
          <w:lang w:val="en-US"/>
        </w:rPr>
        <w:tab/>
      </w:r>
      <w:r>
        <w:rPr>
          <w:rFonts w:ascii="Arial" w:eastAsia="ＭＳ 明朝" w:hAnsi="Arial" w:cs="Arial"/>
          <w:b/>
          <w:sz w:val="28"/>
          <w:szCs w:val="28"/>
          <w:lang w:val="en-US"/>
        </w:rPr>
        <w:tab/>
      </w:r>
      <w:r w:rsidR="00A956AF" w:rsidRPr="00A956AF">
        <w:rPr>
          <w:rFonts w:ascii="Arial" w:eastAsia="ＭＳ 明朝" w:hAnsi="Arial" w:cs="Arial"/>
          <w:b/>
          <w:sz w:val="28"/>
          <w:szCs w:val="28"/>
          <w:lang w:val="en-US"/>
        </w:rPr>
        <w:t>R1-2303767</w:t>
      </w:r>
    </w:p>
    <w:p w14:paraId="79820B22" w14:textId="77777777" w:rsidR="00BB062C" w:rsidRDefault="00BB062C" w:rsidP="00BB062C">
      <w:pPr>
        <w:tabs>
          <w:tab w:val="left" w:pos="1985"/>
        </w:tabs>
        <w:spacing w:after="0" w:afterAutospacing="0"/>
        <w:ind w:left="1985" w:hangingChars="706" w:hanging="1985"/>
        <w:rPr>
          <w:rFonts w:ascii="Arial" w:eastAsia="ＭＳ 明朝" w:hAnsi="Arial" w:cs="Arial"/>
          <w:b/>
          <w:sz w:val="28"/>
          <w:szCs w:val="28"/>
          <w:lang w:val="en-US"/>
        </w:rPr>
      </w:pPr>
      <w:r w:rsidRPr="00BB062C">
        <w:rPr>
          <w:rFonts w:ascii="Arial" w:eastAsia="ＭＳ 明朝" w:hAnsi="Arial" w:cs="Arial"/>
          <w:b/>
          <w:sz w:val="28"/>
          <w:szCs w:val="28"/>
          <w:lang w:val="en-US"/>
        </w:rPr>
        <w:t>e-Meeting, April 17th – April 26th, 2023</w:t>
      </w:r>
    </w:p>
    <w:p w14:paraId="3FD48505" w14:textId="77777777" w:rsidR="00BB062C" w:rsidRDefault="00BB062C" w:rsidP="00BB062C">
      <w:pPr>
        <w:tabs>
          <w:tab w:val="left" w:pos="1985"/>
        </w:tabs>
        <w:spacing w:after="0" w:afterAutospacing="0"/>
        <w:ind w:left="1985" w:hangingChars="706" w:hanging="1985"/>
        <w:rPr>
          <w:rFonts w:ascii="Arial" w:eastAsia="ＭＳ 明朝" w:hAnsi="Arial" w:cs="Arial"/>
          <w:b/>
          <w:sz w:val="28"/>
          <w:szCs w:val="28"/>
          <w:lang w:val="en-US"/>
        </w:rPr>
      </w:pPr>
    </w:p>
    <w:p w14:paraId="73AECBC2" w14:textId="0CF22079" w:rsidR="00AF31FE" w:rsidRPr="00683FDE" w:rsidRDefault="00AF31FE" w:rsidP="00BB062C">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04682F89"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6A32EA" w:rsidRPr="006A32EA">
        <w:rPr>
          <w:rFonts w:ascii="Arial" w:hAnsi="Arial" w:cs="Arial"/>
          <w:b/>
          <w:color w:val="000000" w:themeColor="text1"/>
          <w:sz w:val="28"/>
          <w:szCs w:val="28"/>
          <w:lang w:val="en-US"/>
        </w:rPr>
        <w:t>Power domain enhancements</w:t>
      </w:r>
      <w:r w:rsidR="00A875A2">
        <w:rPr>
          <w:rFonts w:ascii="Arial" w:hAnsi="Arial" w:cs="Arial"/>
          <w:b/>
          <w:color w:val="000000" w:themeColor="text1"/>
          <w:sz w:val="28"/>
          <w:szCs w:val="28"/>
          <w:lang w:val="en-US"/>
        </w:rPr>
        <w:t xml:space="preserve"> for Rel-18 </w:t>
      </w:r>
      <w:proofErr w:type="spellStart"/>
      <w:r w:rsidR="00A875A2">
        <w:rPr>
          <w:rFonts w:ascii="Arial" w:hAnsi="Arial" w:cs="Arial"/>
          <w:b/>
          <w:color w:val="000000" w:themeColor="text1"/>
          <w:sz w:val="28"/>
          <w:szCs w:val="28"/>
          <w:lang w:val="en-US"/>
        </w:rPr>
        <w:t>CovEnh</w:t>
      </w:r>
      <w:proofErr w:type="spellEnd"/>
      <w:r w:rsidR="00A875A2">
        <w:rPr>
          <w:rFonts w:ascii="Arial" w:hAnsi="Arial" w:cs="Arial"/>
          <w:b/>
          <w:color w:val="000000" w:themeColor="text1"/>
          <w:sz w:val="28"/>
          <w:szCs w:val="28"/>
          <w:lang w:val="en-US"/>
        </w:rPr>
        <w:t xml:space="preserve"> </w:t>
      </w:r>
    </w:p>
    <w:p w14:paraId="369A72EC" w14:textId="77AE4872"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r w:rsidR="00521CA2">
        <w:rPr>
          <w:rFonts w:ascii="Arial" w:hAnsi="Arial" w:cs="Arial" w:hint="eastAsia"/>
          <w:b/>
          <w:color w:val="000000" w:themeColor="text1"/>
          <w:sz w:val="28"/>
          <w:szCs w:val="28"/>
          <w:lang w:val="en-US"/>
        </w:rPr>
        <w:t>2</w:t>
      </w:r>
      <w:r w:rsidR="00AF31FE" w:rsidRPr="00AD0FF0">
        <w:rPr>
          <w:rFonts w:ascii="Arial" w:hAnsi="Arial" w:cs="Arial"/>
          <w:b/>
          <w:color w:val="000000" w:themeColor="text1"/>
          <w:sz w:val="28"/>
          <w:szCs w:val="28"/>
          <w:lang w:val="en-US"/>
        </w:rPr>
        <w:t>.</w:t>
      </w:r>
      <w:r w:rsidR="006A32EA">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1" w:name="DocumentFor"/>
      <w:bookmarkEnd w:id="1"/>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0"/>
    </w:p>
    <w:p w14:paraId="51C52015" w14:textId="15056DF2" w:rsidR="000733DC" w:rsidRPr="004953F0" w:rsidRDefault="000733DC" w:rsidP="000733DC">
      <w:pPr>
        <w:spacing w:before="240" w:after="240" w:afterAutospacing="0"/>
        <w:rPr>
          <w:rFonts w:eastAsiaTheme="minorEastAsia"/>
          <w:color w:val="000000" w:themeColor="text1"/>
          <w:szCs w:val="24"/>
          <w:lang w:val="en-US"/>
        </w:rPr>
      </w:pPr>
      <w:bookmarkStart w:id="2" w:name="_Hlk101443289"/>
      <w:bookmarkStart w:id="3" w:name="OLE_LINK1"/>
      <w:r>
        <w:rPr>
          <w:rFonts w:eastAsiaTheme="minorEastAsia"/>
          <w:color w:val="000000" w:themeColor="text1"/>
          <w:szCs w:val="24"/>
          <w:lang w:val="en-US"/>
        </w:rPr>
        <w:t>In RAN#</w:t>
      </w:r>
      <w:r w:rsidR="00404C4C">
        <w:rPr>
          <w:rFonts w:eastAsiaTheme="minorEastAsia"/>
          <w:color w:val="000000" w:themeColor="text1"/>
          <w:szCs w:val="24"/>
          <w:lang w:val="en-US"/>
        </w:rPr>
        <w:t>96</w:t>
      </w:r>
      <w:r>
        <w:rPr>
          <w:rFonts w:eastAsiaTheme="minorEastAsia"/>
          <w:color w:val="000000" w:themeColor="text1"/>
          <w:szCs w:val="24"/>
          <w:lang w:val="en-US"/>
        </w:rPr>
        <w:t xml:space="preserve">-e, </w:t>
      </w:r>
      <w:r w:rsidR="00404C4C">
        <w:rPr>
          <w:rFonts w:eastAsiaTheme="minorEastAsia"/>
          <w:color w:val="000000" w:themeColor="text1"/>
          <w:szCs w:val="24"/>
          <w:lang w:val="en-US"/>
        </w:rPr>
        <w:t>r</w:t>
      </w:r>
      <w:r w:rsidR="00404C4C" w:rsidRPr="00404C4C">
        <w:rPr>
          <w:rFonts w:eastAsiaTheme="minorEastAsia"/>
          <w:color w:val="000000" w:themeColor="text1"/>
          <w:szCs w:val="24"/>
          <w:lang w:val="en-US"/>
        </w:rPr>
        <w:t>evised WID on Further NR coverage enhancements</w:t>
      </w:r>
      <w:r>
        <w:t xml:space="preserve"> was </w:t>
      </w:r>
      <w:r w:rsidR="00404C4C">
        <w:t>endorsed</w:t>
      </w:r>
      <w:r w:rsidR="00404C4C">
        <w:rPr>
          <w:rFonts w:hint="eastAsia"/>
        </w:rPr>
        <w:t xml:space="preserve"> </w:t>
      </w:r>
      <w:r>
        <w:t>[1]</w:t>
      </w:r>
      <w:r w:rsidR="00404C4C">
        <w:t xml:space="preserve">. One of </w:t>
      </w:r>
      <w:r w:rsidR="00404C4C">
        <w:rPr>
          <w:iCs/>
          <w:lang w:val="en-US"/>
        </w:rPr>
        <w:t xml:space="preserve">the objective of this work item is to specify </w:t>
      </w:r>
      <w:r w:rsidR="006A32EA">
        <w:rPr>
          <w:rFonts w:eastAsia="SimSun"/>
          <w:iCs/>
          <w:lang w:val="en-US" w:eastAsia="zh-CN"/>
        </w:rPr>
        <w:t xml:space="preserve">study </w:t>
      </w:r>
      <w:r w:rsidR="006A32EA" w:rsidRPr="006A32EA">
        <w:rPr>
          <w:rFonts w:eastAsia="SimSun"/>
          <w:iCs/>
          <w:lang w:val="en-US" w:eastAsia="zh-CN"/>
        </w:rPr>
        <w:t>power domain enhancements</w:t>
      </w:r>
      <w:r w:rsidR="00404C4C">
        <w:rPr>
          <w:iCs/>
          <w:lang w:val="en-US"/>
        </w:rPr>
        <w:t xml:space="preserve"> as </w:t>
      </w:r>
      <w:r w:rsidR="00A43A40">
        <w:rPr>
          <w:iCs/>
          <w:lang w:val="en-US"/>
        </w:rPr>
        <w:t xml:space="preserve">the </w:t>
      </w:r>
      <w:r w:rsidR="00404C4C">
        <w:rPr>
          <w:iCs/>
          <w:lang w:val="en-US"/>
        </w:rPr>
        <w:t>following:</w:t>
      </w:r>
    </w:p>
    <w:tbl>
      <w:tblPr>
        <w:tblStyle w:val="af2"/>
        <w:tblW w:w="0" w:type="auto"/>
        <w:tblLook w:val="04A0" w:firstRow="1" w:lastRow="0" w:firstColumn="1" w:lastColumn="0" w:noHBand="0" w:noVBand="1"/>
      </w:tblPr>
      <w:tblGrid>
        <w:gridCol w:w="9954"/>
      </w:tblGrid>
      <w:tr w:rsidR="00935905" w:rsidRPr="00683FDE" w14:paraId="3D44B566" w14:textId="77777777" w:rsidTr="00024731">
        <w:tc>
          <w:tcPr>
            <w:tcW w:w="9954" w:type="dxa"/>
          </w:tcPr>
          <w:p w14:paraId="71D08FA9" w14:textId="77777777" w:rsidR="006A32EA" w:rsidRPr="007843FE" w:rsidRDefault="006A32EA" w:rsidP="006A32EA">
            <w:pPr>
              <w:numPr>
                <w:ilvl w:val="0"/>
                <w:numId w:val="22"/>
              </w:numPr>
              <w:spacing w:before="120" w:after="120" w:line="276" w:lineRule="auto"/>
              <w:rPr>
                <w:rFonts w:eastAsia="SimSun"/>
                <w:lang w:val="en-US" w:eastAsia="zh-CN"/>
              </w:rPr>
            </w:pPr>
            <w:bookmarkStart w:id="4" w:name="_Hlk83924038"/>
            <w:r w:rsidRPr="007843FE">
              <w:rPr>
                <w:rFonts w:eastAsia="SimSun"/>
                <w:lang w:val="en-US" w:eastAsia="zh-CN"/>
              </w:rPr>
              <w:t>Study and if necessary specify following power domain enhancements</w:t>
            </w:r>
          </w:p>
          <w:p w14:paraId="69242FBE" w14:textId="77777777" w:rsidR="006A32EA" w:rsidRPr="007B39D0" w:rsidRDefault="006A32EA" w:rsidP="006A32EA">
            <w:pPr>
              <w:numPr>
                <w:ilvl w:val="1"/>
                <w:numId w:val="22"/>
              </w:numPr>
              <w:spacing w:before="120" w:after="120" w:line="276" w:lineRule="auto"/>
              <w:rPr>
                <w:iCs/>
                <w:lang w:val="en-US"/>
              </w:rPr>
            </w:pPr>
            <w:r w:rsidRPr="007B39D0">
              <w:rPr>
                <w:iCs/>
                <w:lang w:val="en-US"/>
              </w:rPr>
              <w:t xml:space="preserve">Enhancements to realize </w:t>
            </w:r>
            <w:r w:rsidRPr="007B39D0">
              <w:rPr>
                <w:rFonts w:eastAsia="SimSun" w:hint="eastAsia"/>
                <w:iCs/>
                <w:lang w:val="en-US" w:eastAsia="zh-CN"/>
              </w:rPr>
              <w:t>i</w:t>
            </w:r>
            <w:r w:rsidRPr="007B39D0">
              <w:rPr>
                <w:iCs/>
                <w:lang w:val="en-US"/>
              </w:rPr>
              <w:t xml:space="preserve">ncreasing UE power high limit for CA and DC based on Rel-17 RAN4 work on “Increasing UE power high limit for CA and DC”, </w:t>
            </w:r>
            <w:r w:rsidRPr="007B39D0">
              <w:rPr>
                <w:rFonts w:eastAsia="SimSun" w:hint="eastAsia"/>
                <w:iCs/>
                <w:lang w:val="en-US" w:eastAsia="zh-CN"/>
              </w:rPr>
              <w:t xml:space="preserve">in compliance with </w:t>
            </w:r>
            <w:r w:rsidRPr="007B39D0">
              <w:rPr>
                <w:iCs/>
                <w:lang w:val="en-US"/>
              </w:rPr>
              <w:t>relevant regulations</w:t>
            </w:r>
            <w:r>
              <w:rPr>
                <w:iCs/>
                <w:lang w:val="en-US"/>
              </w:rPr>
              <w:t xml:space="preserve"> (RAN4, RAN1)</w:t>
            </w:r>
          </w:p>
          <w:p w14:paraId="358B54E5" w14:textId="37CA0AE0" w:rsidR="00935905" w:rsidRPr="006A32EA" w:rsidRDefault="006A32EA" w:rsidP="006A32EA">
            <w:pPr>
              <w:numPr>
                <w:ilvl w:val="1"/>
                <w:numId w:val="22"/>
              </w:numPr>
              <w:spacing w:before="120" w:after="120" w:line="276" w:lineRule="auto"/>
              <w:rPr>
                <w:iCs/>
                <w:lang w:val="en-US"/>
              </w:rPr>
            </w:pPr>
            <w:r w:rsidRPr="006949AE">
              <w:rPr>
                <w:iCs/>
                <w:lang w:val="en-US"/>
              </w:rPr>
              <w:t xml:space="preserve">Enhancements to reduce MPR/PAR, including </w:t>
            </w:r>
            <w:r w:rsidRPr="00E74766">
              <w:rPr>
                <w:rFonts w:eastAsia="SimSun"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tc>
      </w:tr>
    </w:tbl>
    <w:bookmarkEnd w:id="4"/>
    <w:p w14:paraId="0FEFEC97" w14:textId="0E3DE3B0" w:rsidR="00935905" w:rsidRDefault="00935905" w:rsidP="00935905">
      <w:pPr>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6A32EA" w:rsidRPr="006A32EA">
        <w:rPr>
          <w:rFonts w:eastAsia="ＭＳ 明朝"/>
          <w:color w:val="000000" w:themeColor="text1"/>
        </w:rPr>
        <w:t>power domain enhancements</w:t>
      </w:r>
      <w:r w:rsidR="000914B6" w:rsidRPr="000914B6">
        <w:rPr>
          <w:rFonts w:eastAsia="ＭＳ 明朝"/>
          <w:color w:val="000000" w:themeColor="text1"/>
        </w:rPr>
        <w:t xml:space="preserve"> for Rel-18 </w:t>
      </w:r>
      <w:r w:rsidR="00CC072E">
        <w:rPr>
          <w:rFonts w:eastAsia="ＭＳ 明朝"/>
          <w:color w:val="000000" w:themeColor="text1"/>
        </w:rPr>
        <w:t>coverage enhancement</w:t>
      </w:r>
      <w:r w:rsidRPr="00683FDE">
        <w:rPr>
          <w:rFonts w:eastAsia="ＭＳ 明朝"/>
          <w:color w:val="000000" w:themeColor="text1"/>
        </w:rPr>
        <w:t>.</w:t>
      </w:r>
    </w:p>
    <w:bookmarkEnd w:id="2"/>
    <w:p w14:paraId="2EF708C8" w14:textId="1B843EC7" w:rsidR="00322B14" w:rsidRDefault="00656E99" w:rsidP="0025513F">
      <w:pPr>
        <w:pStyle w:val="10"/>
        <w:spacing w:after="180"/>
        <w:rPr>
          <w:color w:val="000000" w:themeColor="text1"/>
          <w:lang w:val="en-US"/>
        </w:rPr>
      </w:pPr>
      <w:r w:rsidRPr="00683FDE">
        <w:rPr>
          <w:color w:val="000000" w:themeColor="text1"/>
          <w:lang w:val="en-US"/>
        </w:rPr>
        <w:t>Discussions</w:t>
      </w:r>
    </w:p>
    <w:p w14:paraId="400811FE" w14:textId="4C0DB5E1" w:rsidR="00AB498D" w:rsidRDefault="00AB498D" w:rsidP="00AB498D">
      <w:pPr>
        <w:pStyle w:val="20"/>
        <w:rPr>
          <w:lang w:val="en-US"/>
        </w:rPr>
      </w:pPr>
      <w:r w:rsidRPr="00AB498D">
        <w:rPr>
          <w:lang w:val="en-US"/>
        </w:rPr>
        <w:t>Enhancements to realize increasing UE power high limit for CA and DC</w:t>
      </w:r>
    </w:p>
    <w:p w14:paraId="03BC33F9" w14:textId="485E3486" w:rsidR="00A1121C" w:rsidRDefault="00A1121C" w:rsidP="005E68FD">
      <w:pPr>
        <w:rPr>
          <w:lang w:val="en-US"/>
        </w:rPr>
      </w:pPr>
      <w:r>
        <w:rPr>
          <w:rFonts w:hint="eastAsia"/>
          <w:lang w:val="en-US"/>
        </w:rPr>
        <w:t>I</w:t>
      </w:r>
      <w:r>
        <w:rPr>
          <w:lang w:val="en-US"/>
        </w:rPr>
        <w:t>n RAN1#11</w:t>
      </w:r>
      <w:r w:rsidR="00521CA2">
        <w:rPr>
          <w:lang w:val="en-US"/>
        </w:rPr>
        <w:t>2</w:t>
      </w:r>
      <w:r>
        <w:rPr>
          <w:lang w:val="en-US"/>
        </w:rPr>
        <w:t xml:space="preserve"> meeting, the following agreement was made.</w:t>
      </w:r>
    </w:p>
    <w:tbl>
      <w:tblPr>
        <w:tblStyle w:val="af2"/>
        <w:tblW w:w="0" w:type="auto"/>
        <w:tblLook w:val="04A0" w:firstRow="1" w:lastRow="0" w:firstColumn="1" w:lastColumn="0" w:noHBand="0" w:noVBand="1"/>
      </w:tblPr>
      <w:tblGrid>
        <w:gridCol w:w="9954"/>
      </w:tblGrid>
      <w:tr w:rsidR="00A1121C" w14:paraId="72EEB503" w14:textId="77777777" w:rsidTr="00A1121C">
        <w:tc>
          <w:tcPr>
            <w:tcW w:w="9954" w:type="dxa"/>
          </w:tcPr>
          <w:p w14:paraId="68AAC94B" w14:textId="77777777" w:rsidR="00521CA2" w:rsidRPr="00AF17C7" w:rsidRDefault="00521CA2" w:rsidP="00521CA2">
            <w:pPr>
              <w:rPr>
                <w:b/>
                <w:bCs/>
                <w:sz w:val="22"/>
                <w:szCs w:val="22"/>
                <w:highlight w:val="green"/>
                <w:lang w:val="en-US"/>
              </w:rPr>
            </w:pPr>
            <w:r w:rsidRPr="00AF17C7">
              <w:rPr>
                <w:b/>
                <w:bCs/>
                <w:sz w:val="22"/>
                <w:szCs w:val="22"/>
                <w:highlight w:val="green"/>
                <w:lang w:val="en-US"/>
              </w:rPr>
              <w:t>Agreement</w:t>
            </w:r>
          </w:p>
          <w:p w14:paraId="7AF92094" w14:textId="77777777" w:rsidR="00521CA2" w:rsidRPr="00240444" w:rsidRDefault="00521CA2" w:rsidP="00521CA2">
            <w:pPr>
              <w:rPr>
                <w:sz w:val="22"/>
                <w:szCs w:val="22"/>
                <w:lang w:val="en-US"/>
              </w:rPr>
            </w:pPr>
            <w:r w:rsidRPr="00240444">
              <w:rPr>
                <w:sz w:val="22"/>
                <w:szCs w:val="22"/>
                <w:lang w:val="en-US"/>
              </w:rPr>
              <w:t>Further discussions in RAN1</w:t>
            </w:r>
            <w:r>
              <w:rPr>
                <w:sz w:val="22"/>
                <w:szCs w:val="22"/>
                <w:lang w:val="en-US"/>
              </w:rPr>
              <w:t xml:space="preserve"> </w:t>
            </w:r>
            <w:r w:rsidRPr="00240444">
              <w:rPr>
                <w:sz w:val="22"/>
                <w:szCs w:val="22"/>
                <w:lang w:val="en-US"/>
              </w:rPr>
              <w:t>concerning means to facilitate higher power transmissions in CA and DC</w:t>
            </w:r>
            <w:r>
              <w:rPr>
                <w:sz w:val="22"/>
                <w:szCs w:val="22"/>
                <w:lang w:val="en-US"/>
              </w:rPr>
              <w:t>,</w:t>
            </w:r>
            <w:r w:rsidRPr="00240444">
              <w:rPr>
                <w:sz w:val="22"/>
                <w:szCs w:val="22"/>
                <w:lang w:val="en-US"/>
              </w:rPr>
              <w:t xml:space="preserve"> if applicable, can target increasin</w:t>
            </w:r>
            <w:r w:rsidRPr="00480F02">
              <w:rPr>
                <w:sz w:val="22"/>
                <w:szCs w:val="22"/>
                <w:lang w:val="en-US"/>
              </w:rPr>
              <w:t xml:space="preserve">g </w:t>
            </w:r>
            <w:proofErr w:type="spellStart"/>
            <w:r w:rsidRPr="00480F02">
              <w:rPr>
                <w:sz w:val="22"/>
                <w:szCs w:val="22"/>
                <w:lang w:val="en-US"/>
              </w:rPr>
              <w:t>gNB</w:t>
            </w:r>
            <w:proofErr w:type="spellEnd"/>
            <w:r w:rsidRPr="00480F02">
              <w:rPr>
                <w:sz w:val="22"/>
                <w:szCs w:val="22"/>
                <w:lang w:val="en-US"/>
              </w:rPr>
              <w:t xml:space="preserve"> awareness of UE’s Tx power, e.g., PHR reporting enhancement such as current power class, power class change, or application of P-MPR by UE (subject to RAN4’s input). </w:t>
            </w:r>
          </w:p>
          <w:p w14:paraId="302E152A" w14:textId="38BF8511" w:rsidR="00A1121C" w:rsidRPr="00521CA2" w:rsidRDefault="00521CA2" w:rsidP="00521CA2">
            <w:pPr>
              <w:pStyle w:val="aff9"/>
              <w:numPr>
                <w:ilvl w:val="1"/>
                <w:numId w:val="34"/>
              </w:numPr>
              <w:snapToGrid/>
              <w:spacing w:before="120" w:after="120" w:afterAutospacing="0"/>
              <w:ind w:firstLineChars="0"/>
              <w:contextualSpacing/>
              <w:rPr>
                <w:sz w:val="22"/>
                <w:szCs w:val="22"/>
                <w:lang w:val="en-US"/>
              </w:rPr>
            </w:pPr>
            <w:r w:rsidRPr="00240444">
              <w:rPr>
                <w:sz w:val="22"/>
                <w:szCs w:val="22"/>
                <w:lang w:val="en-US"/>
              </w:rPr>
              <w:t>FFS: details.</w:t>
            </w:r>
          </w:p>
        </w:tc>
      </w:tr>
    </w:tbl>
    <w:p w14:paraId="5F216781" w14:textId="4E2AFDA2" w:rsidR="00A1121C" w:rsidRDefault="00A1121C" w:rsidP="005E68FD">
      <w:pPr>
        <w:rPr>
          <w:lang w:val="en-US"/>
        </w:rPr>
      </w:pPr>
    </w:p>
    <w:p w14:paraId="02871A8B" w14:textId="5C224143" w:rsidR="009C1E76" w:rsidRDefault="00F872C1" w:rsidP="00521CA2">
      <w:pPr>
        <w:rPr>
          <w:lang w:val="en-US"/>
        </w:rPr>
      </w:pPr>
      <w:r>
        <w:rPr>
          <w:rFonts w:hint="eastAsia"/>
          <w:lang w:val="en-US"/>
        </w:rPr>
        <w:t>T</w:t>
      </w:r>
      <w:r>
        <w:rPr>
          <w:lang w:val="en-US"/>
        </w:rPr>
        <w:t xml:space="preserve">he regional regulations define </w:t>
      </w:r>
      <w:r w:rsidRPr="00F872C1">
        <w:rPr>
          <w:lang w:val="en-US"/>
        </w:rPr>
        <w:t>specific absorption rate (SAR)</w:t>
      </w:r>
      <w:r>
        <w:rPr>
          <w:lang w:val="en-US"/>
        </w:rPr>
        <w:t xml:space="preserve"> requirements for sub-6 GHz bands and </w:t>
      </w:r>
      <w:r w:rsidRPr="00F872C1">
        <w:rPr>
          <w:lang w:val="en-US"/>
        </w:rPr>
        <w:t>power density (PD)</w:t>
      </w:r>
      <w:r>
        <w:rPr>
          <w:lang w:val="en-US"/>
        </w:rPr>
        <w:t xml:space="preserve"> requirements for above-6 GHz bands. In terms of the </w:t>
      </w:r>
      <w:bookmarkStart w:id="5" w:name="_Hlk131707454"/>
      <w:r>
        <w:rPr>
          <w:lang w:val="en-US"/>
        </w:rPr>
        <w:t>compliance</w:t>
      </w:r>
      <w:bookmarkEnd w:id="5"/>
      <w:r>
        <w:rPr>
          <w:lang w:val="en-US"/>
        </w:rPr>
        <w:t xml:space="preserve"> of SAR and PD regulatory requirements, transmissions with all the RATs that the UE has used in all the frequencies below or above 6GHz have to be taken into account, where the RATs includes not only NR but also LTE, Wi-Fi, Bluetooth, etc. On the other hand, the </w:t>
      </w:r>
      <w:proofErr w:type="spellStart"/>
      <w:r>
        <w:rPr>
          <w:lang w:val="en-US"/>
        </w:rPr>
        <w:t>gNB</w:t>
      </w:r>
      <w:proofErr w:type="spellEnd"/>
      <w:r>
        <w:rPr>
          <w:lang w:val="en-US"/>
        </w:rPr>
        <w:t xml:space="preserve"> may be able to trach UE’s instantaneous transmission </w:t>
      </w:r>
      <w:r>
        <w:rPr>
          <w:lang w:val="en-US"/>
        </w:rPr>
        <w:lastRenderedPageBreak/>
        <w:t>power as well as power headroom related to NR only but cannot be aware of the remaining amount of the exposure allowed for the UE.</w:t>
      </w:r>
    </w:p>
    <w:p w14:paraId="4B085C98" w14:textId="444239F1" w:rsidR="00000317" w:rsidRDefault="00315CE1" w:rsidP="005E68FD">
      <w:pPr>
        <w:rPr>
          <w:iCs/>
          <w:lang w:val="en-US"/>
        </w:rPr>
      </w:pPr>
      <w:bookmarkStart w:id="6" w:name="_Hlk131508556"/>
      <w:r>
        <w:rPr>
          <w:b/>
          <w:bCs/>
          <w:u w:val="single"/>
          <w:lang w:val="en-US"/>
        </w:rPr>
        <w:t>Observation</w:t>
      </w:r>
      <w:r w:rsidR="00F67BB8">
        <w:rPr>
          <w:b/>
          <w:bCs/>
          <w:u w:val="single"/>
          <w:lang w:val="en-US"/>
        </w:rPr>
        <w:t xml:space="preserve"> 1</w:t>
      </w:r>
      <w:r w:rsidR="00620532" w:rsidRPr="00620532">
        <w:rPr>
          <w:b/>
          <w:bCs/>
          <w:u w:val="single"/>
          <w:lang w:val="en-US"/>
        </w:rPr>
        <w:t>:</w:t>
      </w:r>
      <w:r w:rsidR="00620532">
        <w:rPr>
          <w:lang w:val="en-US"/>
        </w:rPr>
        <w:t xml:space="preserve"> </w:t>
      </w:r>
      <w:r w:rsidR="00521CA2">
        <w:rPr>
          <w:lang w:val="en-US"/>
        </w:rPr>
        <w:t xml:space="preserve">In order to comply </w:t>
      </w:r>
      <w:r w:rsidR="00521CA2" w:rsidRPr="00521CA2">
        <w:rPr>
          <w:iCs/>
          <w:lang w:val="en-US"/>
        </w:rPr>
        <w:t>regulatory SAR requirement</w:t>
      </w:r>
      <w:r w:rsidR="00521CA2">
        <w:rPr>
          <w:iCs/>
          <w:lang w:val="en-US"/>
        </w:rPr>
        <w:t>, the transmitted power by all the RAT that the UE has used, including LTE, Wi-Fi, Bluetooth, etc. as well as NR, needs to be considered</w:t>
      </w:r>
      <w:r w:rsidR="00965580" w:rsidRPr="00965580">
        <w:rPr>
          <w:iCs/>
          <w:lang w:val="en-US"/>
        </w:rPr>
        <w:t>.</w:t>
      </w:r>
      <w:bookmarkEnd w:id="6"/>
      <w:r w:rsidR="00000317">
        <w:rPr>
          <w:iCs/>
          <w:lang w:val="en-US"/>
        </w:rPr>
        <w:t xml:space="preserve"> </w:t>
      </w:r>
    </w:p>
    <w:p w14:paraId="343DE75D" w14:textId="292E97A9" w:rsidR="00B6431E" w:rsidRDefault="00B6431E" w:rsidP="005E68FD">
      <w:pPr>
        <w:rPr>
          <w:lang w:val="en-US"/>
        </w:rPr>
      </w:pPr>
      <w:bookmarkStart w:id="7" w:name="_Hlk131522352"/>
    </w:p>
    <w:p w14:paraId="7B7CEC95" w14:textId="19CED106" w:rsidR="00F872C1" w:rsidRDefault="00F872C1" w:rsidP="005E68FD">
      <w:pPr>
        <w:rPr>
          <w:lang w:val="en-US"/>
        </w:rPr>
      </w:pPr>
      <w:r>
        <w:rPr>
          <w:rFonts w:hint="eastAsia"/>
          <w:lang w:val="en-US"/>
        </w:rPr>
        <w:t>I</w:t>
      </w:r>
      <w:r>
        <w:rPr>
          <w:lang w:val="en-US"/>
        </w:rPr>
        <w:t xml:space="preserve">n the legacy NR system, P-MPR was adopted for the </w:t>
      </w:r>
      <w:r w:rsidRPr="00F872C1">
        <w:rPr>
          <w:lang w:val="en-US"/>
        </w:rPr>
        <w:t>power management maximum output power reduction</w:t>
      </w:r>
      <w:r>
        <w:rPr>
          <w:lang w:val="en-US"/>
        </w:rPr>
        <w:t xml:space="preserve">. It can be utilized for UE’s power management when the output power needs to be reduced due to the exposure by the other RAT(s). Table 1 is </w:t>
      </w:r>
      <w:r w:rsidR="00696043">
        <w:rPr>
          <w:lang w:val="en-US"/>
        </w:rPr>
        <w:t xml:space="preserve">the excerpt from TS38.133, which shows mapping of the reported P-MPR value and the measured quantity values in the unit of </w:t>
      </w:r>
      <w:proofErr w:type="spellStart"/>
      <w:r w:rsidR="00696043">
        <w:rPr>
          <w:lang w:val="en-US"/>
        </w:rPr>
        <w:t>dB.</w:t>
      </w:r>
      <w:proofErr w:type="spellEnd"/>
      <w:r w:rsidR="00696043">
        <w:rPr>
          <w:lang w:val="en-US"/>
        </w:rPr>
        <w:t xml:space="preserve"> Obviously, P-MPR would provide more information to the network compared with the reporting of only the current power class or power class change. However, the existing P-MPR is applicable to only FR2.</w:t>
      </w:r>
    </w:p>
    <w:p w14:paraId="133D0CA8" w14:textId="608F935E" w:rsidR="00B6431E" w:rsidRDefault="00B6431E" w:rsidP="00B6431E">
      <w:pPr>
        <w:spacing w:after="0" w:afterAutospacing="0"/>
        <w:jc w:val="center"/>
        <w:rPr>
          <w:lang w:val="en-US"/>
        </w:rPr>
      </w:pPr>
      <w:r>
        <w:rPr>
          <w:rFonts w:hint="eastAsia"/>
          <w:lang w:val="en-US"/>
        </w:rPr>
        <w:t>T</w:t>
      </w:r>
      <w:r>
        <w:rPr>
          <w:lang w:val="en-US"/>
        </w:rPr>
        <w:t xml:space="preserve">able </w:t>
      </w:r>
      <w:r w:rsidR="00F872C1">
        <w:rPr>
          <w:lang w:val="en-US"/>
        </w:rPr>
        <w:t>1</w:t>
      </w:r>
      <w:r>
        <w:rPr>
          <w:lang w:val="en-US"/>
        </w:rPr>
        <w:t xml:space="preserve">: </w:t>
      </w:r>
      <w:r w:rsidR="00814897" w:rsidRPr="00814897">
        <w:rPr>
          <w:lang w:val="en-US"/>
        </w:rPr>
        <w:t>Mapping of FR2 P-MPR</w:t>
      </w:r>
      <w:r w:rsidR="00853C46">
        <w:rPr>
          <w:lang w:val="en-US"/>
        </w:rPr>
        <w:t xml:space="preserve"> (in TS38.133)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B6431E" w:rsidRPr="00237C0D" w14:paraId="16A0ACE3" w14:textId="77777777" w:rsidTr="00B6431E">
        <w:trPr>
          <w:jc w:val="center"/>
        </w:trPr>
        <w:tc>
          <w:tcPr>
            <w:tcW w:w="2551" w:type="dxa"/>
            <w:tcBorders>
              <w:top w:val="single" w:sz="4" w:space="0" w:color="auto"/>
              <w:left w:val="single" w:sz="4" w:space="0" w:color="auto"/>
              <w:bottom w:val="single" w:sz="4" w:space="0" w:color="auto"/>
              <w:right w:val="single" w:sz="4" w:space="0" w:color="auto"/>
            </w:tcBorders>
            <w:hideMark/>
          </w:tcPr>
          <w:p w14:paraId="585F27C4" w14:textId="77777777" w:rsidR="00B6431E" w:rsidRPr="00B6431E" w:rsidRDefault="00B6431E" w:rsidP="003C47FA">
            <w:pPr>
              <w:pStyle w:val="TAH"/>
              <w:rPr>
                <w:rFonts w:cs="Arial"/>
                <w:sz w:val="24"/>
                <w:szCs w:val="24"/>
                <w:lang w:val="en-US"/>
              </w:rPr>
            </w:pPr>
            <w:r w:rsidRPr="00B6431E">
              <w:rPr>
                <w:sz w:val="24"/>
                <w:szCs w:val="24"/>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5585610B" w14:textId="77777777" w:rsidR="00B6431E" w:rsidRPr="00B6431E" w:rsidRDefault="00B6431E" w:rsidP="003C47FA">
            <w:pPr>
              <w:pStyle w:val="TAH"/>
              <w:rPr>
                <w:rFonts w:cs="Arial"/>
                <w:sz w:val="24"/>
                <w:szCs w:val="24"/>
                <w:lang w:val="en-US"/>
              </w:rPr>
            </w:pPr>
            <w:r w:rsidRPr="00B6431E">
              <w:rPr>
                <w:sz w:val="24"/>
                <w:szCs w:val="24"/>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78E8D0D6" w14:textId="77777777" w:rsidR="00B6431E" w:rsidRPr="00B6431E" w:rsidRDefault="00B6431E" w:rsidP="003C47FA">
            <w:pPr>
              <w:pStyle w:val="TAH"/>
              <w:rPr>
                <w:rFonts w:cs="Arial"/>
                <w:sz w:val="24"/>
                <w:szCs w:val="24"/>
                <w:lang w:val="en-US"/>
              </w:rPr>
            </w:pPr>
            <w:r w:rsidRPr="00B6431E">
              <w:rPr>
                <w:sz w:val="24"/>
                <w:szCs w:val="24"/>
                <w:lang w:val="en-US"/>
              </w:rPr>
              <w:t>Unit</w:t>
            </w:r>
          </w:p>
        </w:tc>
      </w:tr>
      <w:tr w:rsidR="00B6431E" w:rsidRPr="00237C0D" w14:paraId="6CE80758" w14:textId="77777777" w:rsidTr="00B6431E">
        <w:trPr>
          <w:jc w:val="center"/>
        </w:trPr>
        <w:tc>
          <w:tcPr>
            <w:tcW w:w="2551" w:type="dxa"/>
            <w:tcBorders>
              <w:top w:val="single" w:sz="4" w:space="0" w:color="auto"/>
              <w:left w:val="single" w:sz="4" w:space="0" w:color="auto"/>
              <w:bottom w:val="single" w:sz="4" w:space="0" w:color="auto"/>
              <w:right w:val="single" w:sz="4" w:space="0" w:color="auto"/>
            </w:tcBorders>
          </w:tcPr>
          <w:p w14:paraId="2D153FC8" w14:textId="77777777" w:rsidR="00B6431E" w:rsidRPr="00B6431E" w:rsidRDefault="00B6431E" w:rsidP="003C47FA">
            <w:pPr>
              <w:pStyle w:val="TAC"/>
              <w:rPr>
                <w:sz w:val="24"/>
                <w:szCs w:val="24"/>
                <w:lang w:val="en-US" w:eastAsia="zh-CN"/>
              </w:rPr>
            </w:pPr>
            <w:r w:rsidRPr="00B6431E">
              <w:rPr>
                <w:sz w:val="24"/>
                <w:szCs w:val="24"/>
                <w:lang w:val="en-US" w:eastAsia="zh-CN"/>
              </w:rPr>
              <w:t>P-MPR_00</w:t>
            </w:r>
          </w:p>
        </w:tc>
        <w:tc>
          <w:tcPr>
            <w:tcW w:w="4111" w:type="dxa"/>
            <w:tcBorders>
              <w:top w:val="single" w:sz="4" w:space="0" w:color="auto"/>
              <w:left w:val="single" w:sz="4" w:space="0" w:color="auto"/>
              <w:bottom w:val="single" w:sz="4" w:space="0" w:color="auto"/>
              <w:right w:val="single" w:sz="4" w:space="0" w:color="auto"/>
            </w:tcBorders>
          </w:tcPr>
          <w:p w14:paraId="233CA1CB" w14:textId="77777777" w:rsidR="00B6431E" w:rsidRPr="00B6431E" w:rsidRDefault="00B6431E" w:rsidP="003C47FA">
            <w:pPr>
              <w:pStyle w:val="TAC"/>
              <w:rPr>
                <w:sz w:val="24"/>
                <w:szCs w:val="24"/>
                <w:lang w:val="en-US"/>
              </w:rPr>
            </w:pPr>
            <w:r w:rsidRPr="00B6431E">
              <w:rPr>
                <w:sz w:val="24"/>
                <w:szCs w:val="24"/>
                <w:lang w:val="en-US"/>
              </w:rPr>
              <w:t xml:space="preserve">3 </w:t>
            </w:r>
            <w:r w:rsidRPr="00B6431E">
              <w:rPr>
                <w:rFonts w:ascii="Symbol" w:eastAsia="Symbol" w:hAnsi="Symbol" w:cs="Symbol"/>
                <w:sz w:val="24"/>
                <w:szCs w:val="24"/>
                <w:lang w:val="en-US"/>
              </w:rPr>
              <w:t></w:t>
            </w:r>
            <w:r w:rsidRPr="00B6431E">
              <w:rPr>
                <w:sz w:val="24"/>
                <w:szCs w:val="24"/>
                <w:lang w:val="en-US"/>
              </w:rPr>
              <w:t xml:space="preserve"> PMP-R &lt; 6</w:t>
            </w:r>
          </w:p>
        </w:tc>
        <w:tc>
          <w:tcPr>
            <w:tcW w:w="851" w:type="dxa"/>
            <w:tcBorders>
              <w:top w:val="single" w:sz="4" w:space="0" w:color="auto"/>
              <w:left w:val="single" w:sz="4" w:space="0" w:color="auto"/>
              <w:bottom w:val="single" w:sz="4" w:space="0" w:color="auto"/>
              <w:right w:val="single" w:sz="4" w:space="0" w:color="auto"/>
            </w:tcBorders>
          </w:tcPr>
          <w:p w14:paraId="68179CD2" w14:textId="77777777" w:rsidR="00B6431E" w:rsidRPr="00B6431E" w:rsidRDefault="00B6431E" w:rsidP="003C47FA">
            <w:pPr>
              <w:pStyle w:val="TAC"/>
              <w:rPr>
                <w:sz w:val="24"/>
                <w:szCs w:val="24"/>
                <w:lang w:val="en-US"/>
              </w:rPr>
            </w:pPr>
            <w:r w:rsidRPr="00B6431E">
              <w:rPr>
                <w:sz w:val="24"/>
                <w:szCs w:val="24"/>
                <w:lang w:val="en-US"/>
              </w:rPr>
              <w:t>dB</w:t>
            </w:r>
          </w:p>
        </w:tc>
      </w:tr>
      <w:tr w:rsidR="00B6431E" w:rsidRPr="00237C0D" w14:paraId="6B27F2EA" w14:textId="77777777" w:rsidTr="00B6431E">
        <w:trPr>
          <w:jc w:val="center"/>
        </w:trPr>
        <w:tc>
          <w:tcPr>
            <w:tcW w:w="2551" w:type="dxa"/>
            <w:tcBorders>
              <w:top w:val="single" w:sz="4" w:space="0" w:color="auto"/>
              <w:left w:val="single" w:sz="4" w:space="0" w:color="auto"/>
              <w:bottom w:val="single" w:sz="4" w:space="0" w:color="auto"/>
              <w:right w:val="single" w:sz="4" w:space="0" w:color="auto"/>
            </w:tcBorders>
            <w:hideMark/>
          </w:tcPr>
          <w:p w14:paraId="1C6E99C1" w14:textId="77777777" w:rsidR="00B6431E" w:rsidRPr="00B6431E" w:rsidRDefault="00B6431E" w:rsidP="003C47FA">
            <w:pPr>
              <w:pStyle w:val="TAC"/>
              <w:rPr>
                <w:sz w:val="24"/>
                <w:szCs w:val="24"/>
                <w:lang w:val="en-US"/>
              </w:rPr>
            </w:pPr>
            <w:r w:rsidRPr="00B6431E">
              <w:rPr>
                <w:sz w:val="24"/>
                <w:szCs w:val="24"/>
                <w:lang w:val="en-US" w:eastAsia="zh-CN"/>
              </w:rPr>
              <w:t>P-MPR_</w:t>
            </w:r>
            <w:r w:rsidRPr="00B6431E">
              <w:rPr>
                <w:sz w:val="24"/>
                <w:szCs w:val="24"/>
                <w:lang w:val="en-US"/>
              </w:rPr>
              <w:t>0</w:t>
            </w:r>
            <w:r w:rsidRPr="00B6431E">
              <w:rPr>
                <w:sz w:val="24"/>
                <w:szCs w:val="24"/>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5A0D5269" w14:textId="77777777" w:rsidR="00B6431E" w:rsidRPr="00B6431E" w:rsidRDefault="00B6431E" w:rsidP="003C47FA">
            <w:pPr>
              <w:pStyle w:val="TAC"/>
              <w:rPr>
                <w:sz w:val="24"/>
                <w:szCs w:val="24"/>
                <w:lang w:val="en-US"/>
              </w:rPr>
            </w:pPr>
            <w:r w:rsidRPr="00B6431E">
              <w:rPr>
                <w:sz w:val="24"/>
                <w:szCs w:val="24"/>
                <w:lang w:val="en-US"/>
              </w:rPr>
              <w:t xml:space="preserve">6 </w:t>
            </w:r>
            <w:r w:rsidRPr="00B6431E">
              <w:rPr>
                <w:rFonts w:ascii="Symbol" w:eastAsia="Symbol" w:hAnsi="Symbol" w:cs="Symbol"/>
                <w:sz w:val="24"/>
                <w:szCs w:val="24"/>
                <w:lang w:val="en-US"/>
              </w:rPr>
              <w:t></w:t>
            </w:r>
            <w:r w:rsidRPr="00B6431E">
              <w:rPr>
                <w:sz w:val="24"/>
                <w:szCs w:val="24"/>
                <w:lang w:val="en-US"/>
              </w:rPr>
              <w:t xml:space="preserve"> PMP-R &lt; 9</w:t>
            </w:r>
          </w:p>
        </w:tc>
        <w:tc>
          <w:tcPr>
            <w:tcW w:w="851" w:type="dxa"/>
            <w:tcBorders>
              <w:top w:val="single" w:sz="4" w:space="0" w:color="auto"/>
              <w:left w:val="single" w:sz="4" w:space="0" w:color="auto"/>
              <w:bottom w:val="single" w:sz="4" w:space="0" w:color="auto"/>
              <w:right w:val="single" w:sz="4" w:space="0" w:color="auto"/>
            </w:tcBorders>
            <w:hideMark/>
          </w:tcPr>
          <w:p w14:paraId="4C1F630E" w14:textId="77777777" w:rsidR="00B6431E" w:rsidRPr="00B6431E" w:rsidRDefault="00B6431E" w:rsidP="003C47FA">
            <w:pPr>
              <w:pStyle w:val="TAC"/>
              <w:rPr>
                <w:sz w:val="24"/>
                <w:szCs w:val="24"/>
                <w:lang w:val="en-US"/>
              </w:rPr>
            </w:pPr>
            <w:r w:rsidRPr="00B6431E">
              <w:rPr>
                <w:sz w:val="24"/>
                <w:szCs w:val="24"/>
                <w:lang w:val="en-US"/>
              </w:rPr>
              <w:t>dB</w:t>
            </w:r>
          </w:p>
        </w:tc>
      </w:tr>
      <w:tr w:rsidR="00B6431E" w:rsidRPr="00237C0D" w14:paraId="0F1D4C1F" w14:textId="77777777" w:rsidTr="00B6431E">
        <w:trPr>
          <w:jc w:val="center"/>
        </w:trPr>
        <w:tc>
          <w:tcPr>
            <w:tcW w:w="2551" w:type="dxa"/>
            <w:tcBorders>
              <w:top w:val="single" w:sz="4" w:space="0" w:color="auto"/>
              <w:left w:val="single" w:sz="4" w:space="0" w:color="auto"/>
              <w:bottom w:val="single" w:sz="4" w:space="0" w:color="auto"/>
              <w:right w:val="single" w:sz="4" w:space="0" w:color="auto"/>
            </w:tcBorders>
            <w:hideMark/>
          </w:tcPr>
          <w:p w14:paraId="769EEB3F" w14:textId="77777777" w:rsidR="00B6431E" w:rsidRPr="00B6431E" w:rsidRDefault="00B6431E" w:rsidP="003C47FA">
            <w:pPr>
              <w:pStyle w:val="TAC"/>
              <w:rPr>
                <w:sz w:val="24"/>
                <w:szCs w:val="24"/>
                <w:lang w:val="en-US"/>
              </w:rPr>
            </w:pPr>
            <w:r w:rsidRPr="00B6431E">
              <w:rPr>
                <w:sz w:val="24"/>
                <w:szCs w:val="24"/>
                <w:lang w:val="en-US" w:eastAsia="zh-CN"/>
              </w:rPr>
              <w:t>P-MPR_</w:t>
            </w:r>
            <w:r w:rsidRPr="00B6431E">
              <w:rPr>
                <w:sz w:val="24"/>
                <w:szCs w:val="24"/>
                <w:lang w:val="en-US"/>
              </w:rPr>
              <w:t>0</w:t>
            </w:r>
            <w:r w:rsidRPr="00B6431E">
              <w:rPr>
                <w:sz w:val="24"/>
                <w:szCs w:val="24"/>
                <w:lang w:val="en-US" w:eastAsia="zh-CN"/>
              </w:rPr>
              <w:t>2</w:t>
            </w:r>
          </w:p>
        </w:tc>
        <w:tc>
          <w:tcPr>
            <w:tcW w:w="4111" w:type="dxa"/>
            <w:tcBorders>
              <w:top w:val="single" w:sz="4" w:space="0" w:color="auto"/>
              <w:left w:val="single" w:sz="4" w:space="0" w:color="auto"/>
              <w:bottom w:val="single" w:sz="4" w:space="0" w:color="auto"/>
              <w:right w:val="single" w:sz="4" w:space="0" w:color="auto"/>
            </w:tcBorders>
            <w:hideMark/>
          </w:tcPr>
          <w:p w14:paraId="49B3D3FC" w14:textId="77777777" w:rsidR="00B6431E" w:rsidRPr="00B6431E" w:rsidRDefault="00B6431E" w:rsidP="003C47FA">
            <w:pPr>
              <w:pStyle w:val="TAC"/>
              <w:rPr>
                <w:sz w:val="24"/>
                <w:szCs w:val="24"/>
                <w:lang w:val="en-US"/>
              </w:rPr>
            </w:pPr>
            <w:r w:rsidRPr="00B6431E">
              <w:rPr>
                <w:sz w:val="24"/>
                <w:szCs w:val="24"/>
                <w:lang w:val="en-US"/>
              </w:rPr>
              <w:t xml:space="preserve">9 </w:t>
            </w:r>
            <w:r w:rsidRPr="00B6431E">
              <w:rPr>
                <w:rFonts w:ascii="Symbol" w:eastAsia="Symbol" w:hAnsi="Symbol" w:cs="Symbol"/>
                <w:sz w:val="24"/>
                <w:szCs w:val="24"/>
                <w:lang w:val="en-US"/>
              </w:rPr>
              <w:t></w:t>
            </w:r>
            <w:r w:rsidRPr="00B6431E">
              <w:rPr>
                <w:sz w:val="24"/>
                <w:szCs w:val="24"/>
                <w:lang w:val="en-US"/>
              </w:rPr>
              <w:t xml:space="preserve"> PMP-R &lt; 12</w:t>
            </w:r>
          </w:p>
        </w:tc>
        <w:tc>
          <w:tcPr>
            <w:tcW w:w="851" w:type="dxa"/>
            <w:tcBorders>
              <w:top w:val="single" w:sz="4" w:space="0" w:color="auto"/>
              <w:left w:val="single" w:sz="4" w:space="0" w:color="auto"/>
              <w:bottom w:val="single" w:sz="4" w:space="0" w:color="auto"/>
              <w:right w:val="single" w:sz="4" w:space="0" w:color="auto"/>
            </w:tcBorders>
            <w:hideMark/>
          </w:tcPr>
          <w:p w14:paraId="12D84D61" w14:textId="77777777" w:rsidR="00B6431E" w:rsidRPr="00B6431E" w:rsidRDefault="00B6431E" w:rsidP="003C47FA">
            <w:pPr>
              <w:pStyle w:val="TAC"/>
              <w:rPr>
                <w:sz w:val="24"/>
                <w:szCs w:val="24"/>
                <w:lang w:val="en-US"/>
              </w:rPr>
            </w:pPr>
            <w:r w:rsidRPr="00B6431E">
              <w:rPr>
                <w:sz w:val="24"/>
                <w:szCs w:val="24"/>
                <w:lang w:val="en-US"/>
              </w:rPr>
              <w:t>dB</w:t>
            </w:r>
          </w:p>
        </w:tc>
      </w:tr>
      <w:tr w:rsidR="00B6431E" w:rsidRPr="00237C0D" w14:paraId="3005556E" w14:textId="77777777" w:rsidTr="00B6431E">
        <w:trPr>
          <w:jc w:val="center"/>
        </w:trPr>
        <w:tc>
          <w:tcPr>
            <w:tcW w:w="2551" w:type="dxa"/>
            <w:tcBorders>
              <w:top w:val="single" w:sz="4" w:space="0" w:color="auto"/>
              <w:left w:val="single" w:sz="4" w:space="0" w:color="auto"/>
              <w:bottom w:val="single" w:sz="4" w:space="0" w:color="auto"/>
              <w:right w:val="single" w:sz="4" w:space="0" w:color="auto"/>
            </w:tcBorders>
            <w:hideMark/>
          </w:tcPr>
          <w:p w14:paraId="71FDF87B" w14:textId="77777777" w:rsidR="00B6431E" w:rsidRPr="00B6431E" w:rsidRDefault="00B6431E" w:rsidP="003C47FA">
            <w:pPr>
              <w:pStyle w:val="TAC"/>
              <w:rPr>
                <w:sz w:val="24"/>
                <w:szCs w:val="24"/>
                <w:lang w:val="en-US"/>
              </w:rPr>
            </w:pPr>
            <w:r w:rsidRPr="00B6431E">
              <w:rPr>
                <w:sz w:val="24"/>
                <w:szCs w:val="24"/>
                <w:lang w:val="en-US" w:eastAsia="zh-CN"/>
              </w:rPr>
              <w:t>P-MPR_</w:t>
            </w:r>
            <w:r w:rsidRPr="00B6431E">
              <w:rPr>
                <w:sz w:val="24"/>
                <w:szCs w:val="24"/>
                <w:lang w:val="en-US"/>
              </w:rPr>
              <w:t>03</w:t>
            </w:r>
          </w:p>
        </w:tc>
        <w:tc>
          <w:tcPr>
            <w:tcW w:w="4111" w:type="dxa"/>
            <w:tcBorders>
              <w:top w:val="single" w:sz="4" w:space="0" w:color="auto"/>
              <w:left w:val="single" w:sz="4" w:space="0" w:color="auto"/>
              <w:bottom w:val="single" w:sz="4" w:space="0" w:color="auto"/>
              <w:right w:val="single" w:sz="4" w:space="0" w:color="auto"/>
            </w:tcBorders>
            <w:hideMark/>
          </w:tcPr>
          <w:p w14:paraId="373281DE" w14:textId="77777777" w:rsidR="00B6431E" w:rsidRPr="00B6431E" w:rsidRDefault="00B6431E" w:rsidP="003C47FA">
            <w:pPr>
              <w:pStyle w:val="TAC"/>
              <w:rPr>
                <w:sz w:val="24"/>
                <w:szCs w:val="24"/>
                <w:lang w:val="en-US"/>
              </w:rPr>
            </w:pPr>
            <w:r w:rsidRPr="00B6431E">
              <w:rPr>
                <w:sz w:val="24"/>
                <w:szCs w:val="24"/>
                <w:lang w:val="en-US"/>
              </w:rPr>
              <w:t xml:space="preserve">PMP-R </w:t>
            </w:r>
            <w:r w:rsidRPr="00B6431E">
              <w:rPr>
                <w:sz w:val="24"/>
                <w:szCs w:val="24"/>
              </w:rPr>
              <w:sym w:font="Symbol" w:char="F0B3"/>
            </w:r>
            <w:r w:rsidRPr="00B6431E">
              <w:rPr>
                <w:sz w:val="24"/>
                <w:szCs w:val="24"/>
              </w:rP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27ACECCE" w14:textId="77777777" w:rsidR="00B6431E" w:rsidRPr="00B6431E" w:rsidRDefault="00B6431E" w:rsidP="003C47FA">
            <w:pPr>
              <w:pStyle w:val="TAC"/>
              <w:rPr>
                <w:sz w:val="24"/>
                <w:szCs w:val="24"/>
                <w:lang w:val="en-US"/>
              </w:rPr>
            </w:pPr>
            <w:r w:rsidRPr="00B6431E">
              <w:rPr>
                <w:sz w:val="24"/>
                <w:szCs w:val="24"/>
                <w:lang w:val="en-US"/>
              </w:rPr>
              <w:t>dB</w:t>
            </w:r>
          </w:p>
        </w:tc>
      </w:tr>
    </w:tbl>
    <w:p w14:paraId="7F202CB1" w14:textId="77777777" w:rsidR="00B6431E" w:rsidRPr="00B6431E" w:rsidRDefault="00B6431E" w:rsidP="005E68FD">
      <w:pPr>
        <w:rPr>
          <w:lang w:val="en-US"/>
        </w:rPr>
      </w:pPr>
    </w:p>
    <w:p w14:paraId="47760A68" w14:textId="45E1B66C" w:rsidR="00122CD3" w:rsidRDefault="0027733F" w:rsidP="005E68FD">
      <w:pPr>
        <w:rPr>
          <w:iCs/>
          <w:lang w:val="en-US"/>
        </w:rPr>
      </w:pPr>
      <w:r>
        <w:rPr>
          <w:b/>
          <w:bCs/>
          <w:u w:val="single"/>
          <w:lang w:val="en-US"/>
        </w:rPr>
        <w:t>Observation 2</w:t>
      </w:r>
      <w:r w:rsidRPr="00620532">
        <w:rPr>
          <w:b/>
          <w:bCs/>
          <w:u w:val="single"/>
          <w:lang w:val="en-US"/>
        </w:rPr>
        <w:t>:</w:t>
      </w:r>
      <w:r>
        <w:rPr>
          <w:lang w:val="en-US"/>
        </w:rPr>
        <w:t xml:space="preserve"> The existing </w:t>
      </w:r>
      <w:r>
        <w:rPr>
          <w:rFonts w:hint="eastAsia"/>
          <w:lang w:val="en-US"/>
        </w:rPr>
        <w:t xml:space="preserve">P-MPR </w:t>
      </w:r>
      <w:r>
        <w:rPr>
          <w:lang w:val="en-US"/>
        </w:rPr>
        <w:t>is used by UEs to manage their transmission power, but it is defined only for FR2</w:t>
      </w:r>
      <w:r w:rsidRPr="00965580">
        <w:rPr>
          <w:iCs/>
          <w:lang w:val="en-US"/>
        </w:rPr>
        <w:t>.</w:t>
      </w:r>
    </w:p>
    <w:bookmarkEnd w:id="7"/>
    <w:p w14:paraId="1345DE40" w14:textId="77777777" w:rsidR="00696043" w:rsidRDefault="00696043" w:rsidP="005E68FD">
      <w:pPr>
        <w:rPr>
          <w:iCs/>
          <w:lang w:val="en-US"/>
        </w:rPr>
      </w:pPr>
    </w:p>
    <w:p w14:paraId="586C600F" w14:textId="727BD276" w:rsidR="00521CA2" w:rsidRDefault="00696043" w:rsidP="005E68FD">
      <w:pPr>
        <w:rPr>
          <w:iCs/>
          <w:lang w:val="en-US"/>
        </w:rPr>
      </w:pPr>
      <w:r>
        <w:rPr>
          <w:rFonts w:hint="eastAsia"/>
          <w:iCs/>
          <w:lang w:val="en-US"/>
        </w:rPr>
        <w:t>I</w:t>
      </w:r>
      <w:r>
        <w:rPr>
          <w:iCs/>
          <w:lang w:val="en-US"/>
        </w:rPr>
        <w:t>n order to address the issue, it is proposed extending P-MPR to be applicable to FR1.</w:t>
      </w:r>
    </w:p>
    <w:p w14:paraId="69E01210" w14:textId="31B90880" w:rsidR="0027733F" w:rsidRDefault="0027733F" w:rsidP="0027733F">
      <w:pPr>
        <w:rPr>
          <w:iCs/>
          <w:lang w:val="en-US"/>
        </w:rPr>
      </w:pPr>
      <w:r>
        <w:rPr>
          <w:b/>
          <w:bCs/>
          <w:u w:val="single"/>
          <w:lang w:val="en-US"/>
        </w:rPr>
        <w:t>Proposal 1</w:t>
      </w:r>
      <w:r w:rsidRPr="00620532">
        <w:rPr>
          <w:b/>
          <w:bCs/>
          <w:u w:val="single"/>
          <w:lang w:val="en-US"/>
        </w:rPr>
        <w:t>:</w:t>
      </w:r>
      <w:r>
        <w:rPr>
          <w:lang w:val="en-US"/>
        </w:rPr>
        <w:t xml:space="preserve"> Extend </w:t>
      </w:r>
      <w:r>
        <w:rPr>
          <w:rFonts w:hint="eastAsia"/>
          <w:lang w:val="en-US"/>
        </w:rPr>
        <w:t xml:space="preserve">P-MPR </w:t>
      </w:r>
      <w:r>
        <w:rPr>
          <w:lang w:val="en-US"/>
        </w:rPr>
        <w:t>to be applicable to FR1</w:t>
      </w:r>
      <w:r w:rsidRPr="00965580">
        <w:rPr>
          <w:iCs/>
          <w:lang w:val="en-US"/>
        </w:rPr>
        <w:t>.</w:t>
      </w:r>
    </w:p>
    <w:p w14:paraId="41C209B2" w14:textId="77777777" w:rsidR="00521CA2" w:rsidRDefault="00521CA2" w:rsidP="005E68FD">
      <w:pPr>
        <w:rPr>
          <w:iCs/>
          <w:lang w:val="en-US"/>
        </w:rPr>
      </w:pPr>
    </w:p>
    <w:p w14:paraId="68F74C5A" w14:textId="44FC8390" w:rsidR="00AB498D" w:rsidRDefault="00AB498D" w:rsidP="00AB498D">
      <w:pPr>
        <w:pStyle w:val="20"/>
        <w:rPr>
          <w:lang w:val="en-US"/>
        </w:rPr>
      </w:pPr>
      <w:r w:rsidRPr="00AB498D">
        <w:rPr>
          <w:lang w:val="en-US"/>
        </w:rPr>
        <w:t>Enhancements to reduce MPR/PAR</w:t>
      </w:r>
    </w:p>
    <w:p w14:paraId="5C8E4914" w14:textId="7FCF9ACF" w:rsidR="002B1EDC" w:rsidRDefault="002B1EDC" w:rsidP="00AB498D">
      <w:pPr>
        <w:rPr>
          <w:lang w:val="en-US"/>
        </w:rPr>
      </w:pPr>
      <w:r>
        <w:rPr>
          <w:lang w:val="en-US"/>
        </w:rPr>
        <w:t>In the study of “</w:t>
      </w:r>
      <w:r w:rsidRPr="00C33F1D">
        <w:rPr>
          <w:lang w:val="en-US"/>
        </w:rPr>
        <w:t>Study on optimizations of pi/2 BPSK uplink power in NR</w:t>
      </w:r>
      <w:r>
        <w:rPr>
          <w:lang w:val="en-US"/>
        </w:rPr>
        <w:t xml:space="preserve">”, </w:t>
      </w:r>
      <w:r w:rsidRPr="00753D28">
        <w:rPr>
          <w:lang w:val="en-US"/>
        </w:rPr>
        <w:t>the feasibility of</w:t>
      </w:r>
      <w:r>
        <w:rPr>
          <w:lang w:val="en-US"/>
        </w:rPr>
        <w:t xml:space="preserve"> power boosting for pi/2 BPSK modulation was studied, the study also covered filter characteristics for the new power capability. The conclusion of the study was described in TS38.868, in which it was captured that </w:t>
      </w:r>
      <w:r w:rsidRPr="00753D28">
        <w:rPr>
          <w:lang w:val="en-US"/>
        </w:rPr>
        <w:t>the choice of filter is up to UE implementation and transparent to the network as it was in Rel-16.</w:t>
      </w:r>
      <w:r>
        <w:rPr>
          <w:lang w:val="en-US"/>
        </w:rPr>
        <w:t xml:space="preserve"> The same principle can also apply to the second candidate solution, i.e., </w:t>
      </w:r>
      <w:r w:rsidRPr="00753D28">
        <w:rPr>
          <w:lang w:val="en-US"/>
        </w:rPr>
        <w:t>Frequency domain spectrum shaping w/o spectrum extension</w:t>
      </w:r>
      <w:r>
        <w:rPr>
          <w:lang w:val="en-US"/>
        </w:rPr>
        <w:t xml:space="preserve">. On the other hand, for Rel-18 </w:t>
      </w:r>
      <w:proofErr w:type="spellStart"/>
      <w:r>
        <w:rPr>
          <w:lang w:val="en-US"/>
        </w:rPr>
        <w:t>CovEnh</w:t>
      </w:r>
      <w:proofErr w:type="spellEnd"/>
      <w:r>
        <w:rPr>
          <w:lang w:val="en-US"/>
        </w:rPr>
        <w:t xml:space="preserve">, FDSS with spectrum extension (SE) has been considered as candidate solution for reduction of MPR/PAR. </w:t>
      </w:r>
    </w:p>
    <w:p w14:paraId="72660DAE" w14:textId="706685A4" w:rsidR="00F05ED2" w:rsidRDefault="00F05ED2" w:rsidP="00AB498D">
      <w:pPr>
        <w:rPr>
          <w:lang w:val="en-US"/>
        </w:rPr>
      </w:pPr>
      <w:r>
        <w:rPr>
          <w:lang w:val="en-US"/>
        </w:rPr>
        <w:lastRenderedPageBreak/>
        <w:t xml:space="preserve">In </w:t>
      </w:r>
      <w:r w:rsidR="002B1EDC">
        <w:rPr>
          <w:lang w:val="en-US"/>
        </w:rPr>
        <w:t>the past several meetings, a variety of the sets of configurations (including the number of PRBs before extension and the number of PRBs after extension) were listed as agreements and working assumptions for link-level evaluations on whether/how much SE improves net coverage performance</w:t>
      </w:r>
      <w:r>
        <w:rPr>
          <w:lang w:val="en-US"/>
        </w:rPr>
        <w:t>.</w:t>
      </w:r>
    </w:p>
    <w:p w14:paraId="24DB99BA" w14:textId="7B04F34F" w:rsidR="004B21AC" w:rsidRPr="004B21AC" w:rsidRDefault="002B1EDC" w:rsidP="002B1EDC">
      <w:pPr>
        <w:rPr>
          <w:iCs/>
          <w:lang w:val="en-US"/>
        </w:rPr>
      </w:pPr>
      <w:r>
        <w:rPr>
          <w:rFonts w:hint="eastAsia"/>
          <w:lang w:val="en-US"/>
        </w:rPr>
        <w:t>I</w:t>
      </w:r>
      <w:r>
        <w:rPr>
          <w:lang w:val="en-US"/>
        </w:rPr>
        <w:t xml:space="preserve">f it is identified </w:t>
      </w:r>
      <w:r w:rsidR="00171003">
        <w:rPr>
          <w:lang w:val="en-US"/>
        </w:rPr>
        <w:t xml:space="preserve">the signal in the extended spectrum </w:t>
      </w:r>
      <w:r>
        <w:rPr>
          <w:lang w:val="en-US"/>
        </w:rPr>
        <w:t>that does</w:t>
      </w:r>
      <w:r w:rsidR="00171003">
        <w:rPr>
          <w:lang w:val="en-US"/>
        </w:rPr>
        <w:t xml:space="preserve"> not contribute to carry information bits</w:t>
      </w:r>
      <w:r>
        <w:rPr>
          <w:lang w:val="en-US"/>
        </w:rPr>
        <w:t xml:space="preserve"> would lead to overall performance, RAN1 should specify such a new UL signal structure in the specification. In addition, it</w:t>
      </w:r>
      <w:r w:rsidR="00171003">
        <w:rPr>
          <w:lang w:val="en-US"/>
        </w:rPr>
        <w:t xml:space="preserve"> </w:t>
      </w:r>
      <w:r>
        <w:rPr>
          <w:lang w:val="en-US"/>
        </w:rPr>
        <w:t xml:space="preserve">also </w:t>
      </w:r>
      <w:r w:rsidR="00171003">
        <w:rPr>
          <w:lang w:val="en-US"/>
        </w:rPr>
        <w:t xml:space="preserve">requires </w:t>
      </w:r>
      <w:r>
        <w:rPr>
          <w:lang w:val="en-US"/>
        </w:rPr>
        <w:t xml:space="preserve">some </w:t>
      </w:r>
      <w:r w:rsidR="00171003">
        <w:rPr>
          <w:lang w:val="en-US"/>
        </w:rPr>
        <w:t>change</w:t>
      </w:r>
      <w:r>
        <w:rPr>
          <w:lang w:val="en-US"/>
        </w:rPr>
        <w:t>s in terms of the related UE behaviors</w:t>
      </w:r>
      <w:r w:rsidR="00171003">
        <w:rPr>
          <w:lang w:val="en-US"/>
        </w:rPr>
        <w:t>.</w:t>
      </w:r>
      <w:r>
        <w:rPr>
          <w:lang w:val="en-US"/>
        </w:rPr>
        <w:t xml:space="preserve"> </w:t>
      </w:r>
    </w:p>
    <w:p w14:paraId="23C35262" w14:textId="62A7A3D3" w:rsidR="002B1EDC" w:rsidRDefault="002B1EDC" w:rsidP="002B1EDC">
      <w:pPr>
        <w:rPr>
          <w:lang w:val="en-US"/>
        </w:rPr>
      </w:pPr>
      <w:r>
        <w:rPr>
          <w:rFonts w:hint="eastAsia"/>
          <w:lang w:val="en-US"/>
        </w:rPr>
        <w:t>H</w:t>
      </w:r>
      <w:r>
        <w:rPr>
          <w:lang w:val="en-US"/>
        </w:rPr>
        <w:t xml:space="preserve">ere, we focus on the process of transform precoding. The existing uplink resource allocation schemes have several restrictions, e.g., RBG size (the unit of uplink resource allocation) and total number of allocated RBs (fulfilling </w:t>
      </w:r>
      <w:r w:rsidRPr="000A2377">
        <w:rPr>
          <w:noProof/>
          <w:position w:val="-10"/>
          <w:lang w:eastAsia="en-GB"/>
        </w:rPr>
        <w:drawing>
          <wp:inline distT="0" distB="0" distL="0" distR="0" wp14:anchorId="7CE76F6C" wp14:editId="55AA8129">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r>
        <w:rPr>
          <w:lang w:val="en-US"/>
        </w:rPr>
        <w:t xml:space="preserve"> limitation). This restriction leads to the fact that, for the legacy DFT-S-OFDM symbol generation, t</w:t>
      </w:r>
      <w:r w:rsidRPr="002B1EDC">
        <w:rPr>
          <w:lang w:val="en-US"/>
        </w:rPr>
        <w:t>he number of samples is always expressed as a product of a multiple of 2, a multiple of 3, and a multiple of 5</w:t>
      </w:r>
      <w:r w:rsidR="00161B2E">
        <w:rPr>
          <w:lang w:val="en-US"/>
        </w:rPr>
        <w:t>. This allows the UE to perform</w:t>
      </w:r>
      <w:r w:rsidR="00161B2E" w:rsidRPr="00161B2E">
        <w:rPr>
          <w:lang w:val="en-US"/>
        </w:rPr>
        <w:t xml:space="preserve"> </w:t>
      </w:r>
      <w:r w:rsidR="00161B2E">
        <w:rPr>
          <w:lang w:val="en-US"/>
        </w:rPr>
        <w:t>FFT with the mixed radices of 2, 3 and 5 so that the number of multiplications in transform precoding process is reduced.</w:t>
      </w:r>
    </w:p>
    <w:p w14:paraId="58595B9A" w14:textId="6A6C0AD3" w:rsidR="002B1EDC" w:rsidRDefault="002B1EDC" w:rsidP="002B1EDC">
      <w:pPr>
        <w:rPr>
          <w:iCs/>
          <w:lang w:val="en-US"/>
        </w:rPr>
      </w:pPr>
      <w:r>
        <w:rPr>
          <w:b/>
          <w:bCs/>
          <w:u w:val="single"/>
          <w:lang w:val="en-US"/>
        </w:rPr>
        <w:t xml:space="preserve">Observation </w:t>
      </w:r>
      <w:r w:rsidR="00A711A9">
        <w:rPr>
          <w:b/>
          <w:bCs/>
          <w:u w:val="single"/>
          <w:lang w:val="en-US"/>
        </w:rPr>
        <w:t>3</w:t>
      </w:r>
      <w:r w:rsidRPr="00620532">
        <w:rPr>
          <w:b/>
          <w:bCs/>
          <w:u w:val="single"/>
          <w:lang w:val="en-US"/>
        </w:rPr>
        <w:t>:</w:t>
      </w:r>
      <w:r>
        <w:rPr>
          <w:lang w:val="en-US"/>
        </w:rPr>
        <w:t xml:space="preserve"> For the legacy DFT-S-OFDM symbol generation, </w:t>
      </w:r>
      <w:bookmarkStart w:id="8" w:name="_Hlk131706089"/>
      <w:r>
        <w:rPr>
          <w:lang w:val="en-US"/>
        </w:rPr>
        <w:t>FFT with the mixed radices of 2, 3 and 5 can be used for the transform precoding process</w:t>
      </w:r>
      <w:bookmarkEnd w:id="8"/>
      <w:r w:rsidRPr="00965580">
        <w:rPr>
          <w:iCs/>
          <w:lang w:val="en-US"/>
        </w:rPr>
        <w:t>.</w:t>
      </w:r>
    </w:p>
    <w:p w14:paraId="732C9224" w14:textId="77777777" w:rsidR="0099232D" w:rsidRPr="002B1EDC" w:rsidRDefault="0099232D" w:rsidP="00122CD3">
      <w:pPr>
        <w:rPr>
          <w:lang w:val="en-US"/>
        </w:rPr>
      </w:pPr>
    </w:p>
    <w:p w14:paraId="6F958E96" w14:textId="73BA3EC8" w:rsidR="0099232D" w:rsidRDefault="0099232D" w:rsidP="0099232D">
      <w:pPr>
        <w:jc w:val="center"/>
        <w:rPr>
          <w:lang w:val="en-US"/>
        </w:rPr>
      </w:pPr>
      <w:r w:rsidRPr="0099232D">
        <w:rPr>
          <w:noProof/>
        </w:rPr>
        <w:drawing>
          <wp:inline distT="0" distB="0" distL="0" distR="0" wp14:anchorId="7AFCA133" wp14:editId="7FD371FB">
            <wp:extent cx="6327140" cy="1841500"/>
            <wp:effectExtent l="0" t="0" r="0" b="0"/>
            <wp:docPr id="79612781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7140" cy="1841500"/>
                    </a:xfrm>
                    <a:prstGeom prst="rect">
                      <a:avLst/>
                    </a:prstGeom>
                    <a:noFill/>
                    <a:ln>
                      <a:noFill/>
                    </a:ln>
                  </pic:spPr>
                </pic:pic>
              </a:graphicData>
            </a:graphic>
          </wp:inline>
        </w:drawing>
      </w:r>
    </w:p>
    <w:p w14:paraId="4B0763F5" w14:textId="64EF6AD4" w:rsidR="0099232D" w:rsidRDefault="0099232D" w:rsidP="0099232D">
      <w:pPr>
        <w:jc w:val="center"/>
        <w:rPr>
          <w:lang w:val="en-US"/>
        </w:rPr>
      </w:pPr>
      <w:r>
        <w:rPr>
          <w:rFonts w:hint="eastAsia"/>
          <w:lang w:val="en-US"/>
        </w:rPr>
        <w:t>F</w:t>
      </w:r>
      <w:r>
        <w:rPr>
          <w:lang w:val="en-US"/>
        </w:rPr>
        <w:t>igure X: Generating of DFT-S-OFDM symbol with FDSS+SE</w:t>
      </w:r>
    </w:p>
    <w:p w14:paraId="146DB4DC" w14:textId="77777777" w:rsidR="005C1C67" w:rsidRDefault="005C1C67" w:rsidP="00122CD3">
      <w:pPr>
        <w:rPr>
          <w:lang w:val="en-US"/>
        </w:rPr>
      </w:pPr>
    </w:p>
    <w:p w14:paraId="1D4CECA7" w14:textId="3B1803CC" w:rsidR="002B1EDC" w:rsidRPr="002B1EDC" w:rsidRDefault="005C1C67" w:rsidP="00122CD3">
      <w:pPr>
        <w:rPr>
          <w:lang w:val="en-US"/>
        </w:rPr>
      </w:pPr>
      <w:r>
        <w:rPr>
          <w:rFonts w:hint="eastAsia"/>
          <w:lang w:val="en-US"/>
        </w:rPr>
        <w:t>F</w:t>
      </w:r>
      <w:r>
        <w:rPr>
          <w:lang w:val="en-US"/>
        </w:rPr>
        <w:t xml:space="preserve">or the generation of DFT-S-OFDM symbol with FDSS and SE, the spectrum extension process is applied after transform precoding process. In order to make the transform precoding process remain unchanged, the </w:t>
      </w:r>
      <w:r w:rsidRPr="000A2377">
        <w:rPr>
          <w:noProof/>
          <w:position w:val="-10"/>
          <w:lang w:eastAsia="en-GB"/>
        </w:rPr>
        <w:drawing>
          <wp:inline distT="0" distB="0" distL="0" distR="0" wp14:anchorId="4A8F8139" wp14:editId="7E5D4C7B">
            <wp:extent cx="1266825" cy="228600"/>
            <wp:effectExtent l="0" t="0" r="0" b="0"/>
            <wp:docPr id="1847155496" name="図 1847155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r>
        <w:rPr>
          <w:lang w:val="en-US"/>
        </w:rPr>
        <w:t xml:space="preserve"> limitation should apply the number of samples before the spectrum extension process. Given that the above limitation is for the Resource block allocation signaled by FDRA, </w:t>
      </w:r>
      <w:bookmarkStart w:id="9" w:name="_Hlk131706869"/>
      <w:r>
        <w:rPr>
          <w:lang w:val="en-US"/>
        </w:rPr>
        <w:t>the SE should be defined outside of the frequency resource allocated by FDRA</w:t>
      </w:r>
      <w:bookmarkEnd w:id="9"/>
      <w:r>
        <w:rPr>
          <w:lang w:val="en-US"/>
        </w:rPr>
        <w:t>.</w:t>
      </w:r>
    </w:p>
    <w:p w14:paraId="1D96B28C" w14:textId="77777777" w:rsidR="005C1C67" w:rsidRDefault="005C1C67" w:rsidP="00122CD3">
      <w:pPr>
        <w:rPr>
          <w:lang w:val="en-US"/>
        </w:rPr>
      </w:pPr>
      <w:r>
        <w:rPr>
          <w:lang w:val="en-US"/>
        </w:rPr>
        <w:t>In addition</w:t>
      </w:r>
      <w:r w:rsidR="004B21AC">
        <w:rPr>
          <w:lang w:val="en-US"/>
        </w:rPr>
        <w:t xml:space="preserve">, </w:t>
      </w:r>
      <w:r>
        <w:rPr>
          <w:lang w:val="en-US"/>
        </w:rPr>
        <w:t xml:space="preserve">with this, the </w:t>
      </w:r>
      <w:r w:rsidR="004B21AC">
        <w:rPr>
          <w:lang w:val="en-US"/>
        </w:rPr>
        <w:t>PUSCH encoding/decoding procedures including TBS determination based on the FDRA value remain unchanged from the legacy behaviors</w:t>
      </w:r>
      <w:r>
        <w:rPr>
          <w:lang w:val="en-US"/>
        </w:rPr>
        <w:t>.</w:t>
      </w:r>
      <w:r w:rsidR="004B21AC">
        <w:rPr>
          <w:lang w:val="en-US"/>
        </w:rPr>
        <w:t xml:space="preserve"> </w:t>
      </w:r>
      <w:r>
        <w:rPr>
          <w:lang w:val="en-US"/>
        </w:rPr>
        <w:t>Mean</w:t>
      </w:r>
      <w:r w:rsidR="004B21AC">
        <w:rPr>
          <w:lang w:val="en-US"/>
        </w:rPr>
        <w:t>while</w:t>
      </w:r>
      <w:r>
        <w:rPr>
          <w:lang w:val="en-US"/>
        </w:rPr>
        <w:t>, if SE is defined inside the frequency resource allocated by FDRA,</w:t>
      </w:r>
      <w:r w:rsidR="004B21AC">
        <w:rPr>
          <w:lang w:val="en-US"/>
        </w:rPr>
        <w:t xml:space="preserve"> </w:t>
      </w:r>
      <w:r>
        <w:rPr>
          <w:lang w:val="en-US"/>
        </w:rPr>
        <w:t>that</w:t>
      </w:r>
      <w:r w:rsidR="004B21AC">
        <w:rPr>
          <w:lang w:val="en-US"/>
        </w:rPr>
        <w:t xml:space="preserve"> causes </w:t>
      </w:r>
      <w:r w:rsidR="00FB55C9">
        <w:rPr>
          <w:lang w:val="en-US"/>
        </w:rPr>
        <w:t xml:space="preserve">different PUSCH encoding/decoding procedures depending on whether the spectrum extension is applied or not. </w:t>
      </w:r>
    </w:p>
    <w:p w14:paraId="7EA3068E" w14:textId="3DDE35F9" w:rsidR="004B21AC" w:rsidRDefault="00FB55C9" w:rsidP="00122CD3">
      <w:pPr>
        <w:rPr>
          <w:iCs/>
          <w:lang w:val="en-US"/>
        </w:rPr>
      </w:pPr>
      <w:r>
        <w:rPr>
          <w:lang w:val="en-US"/>
        </w:rPr>
        <w:lastRenderedPageBreak/>
        <w:t xml:space="preserve">As for the RF process perspective, </w:t>
      </w:r>
      <w:r w:rsidR="005C1C67">
        <w:rPr>
          <w:lang w:val="en-US"/>
        </w:rPr>
        <w:t>the SE defined outside of the frequency resource allocated by FDRA</w:t>
      </w:r>
      <w:r>
        <w:rPr>
          <w:lang w:val="en-US"/>
        </w:rPr>
        <w:t xml:space="preserve"> would lead to different spectrum masking for w/ and w/o the spectrum extension, since the total bandwidth for the uplink transmission depends on the presence of the spectrum extension in addition to the FDRA information. In contrast, the total bandwidth is determined only by FDRA</w:t>
      </w:r>
      <w:r w:rsidR="005C1C67">
        <w:rPr>
          <w:lang w:val="en-US"/>
        </w:rPr>
        <w:t xml:space="preserve"> if the SE locates inside</w:t>
      </w:r>
      <w:r>
        <w:rPr>
          <w:lang w:val="en-US"/>
        </w:rPr>
        <w:t xml:space="preserve">. It is seen that </w:t>
      </w:r>
      <w:r w:rsidR="005C1C67">
        <w:rPr>
          <w:lang w:val="en-US"/>
        </w:rPr>
        <w:t>the former</w:t>
      </w:r>
      <w:r>
        <w:rPr>
          <w:lang w:val="en-US"/>
        </w:rPr>
        <w:t xml:space="preserve"> would have some impact on the spectrum masking, but FDSS would anyway requires some enhanced filtering. </w:t>
      </w:r>
    </w:p>
    <w:p w14:paraId="769586B7" w14:textId="70BCD08C" w:rsidR="0099232D" w:rsidRPr="005C1C67" w:rsidRDefault="005C1C67" w:rsidP="00122CD3">
      <w:pPr>
        <w:rPr>
          <w:lang w:val="en-US"/>
        </w:rPr>
      </w:pPr>
      <w:r w:rsidRPr="005C1C67">
        <w:rPr>
          <w:rFonts w:hint="eastAsia"/>
          <w:lang w:val="en-US"/>
        </w:rPr>
        <w:t>B</w:t>
      </w:r>
      <w:r w:rsidRPr="005C1C67">
        <w:rPr>
          <w:lang w:val="en-US"/>
        </w:rPr>
        <w:t>ased on the above analysis, we make the following proposal</w:t>
      </w:r>
      <w:r>
        <w:rPr>
          <w:lang w:val="en-US"/>
        </w:rPr>
        <w:t>.</w:t>
      </w:r>
    </w:p>
    <w:p w14:paraId="40BC5489" w14:textId="16D86BD8" w:rsidR="00122CD3" w:rsidRDefault="00122CD3" w:rsidP="00122CD3">
      <w:pPr>
        <w:rPr>
          <w:iCs/>
          <w:lang w:val="en-US"/>
        </w:rPr>
      </w:pPr>
      <w:r w:rsidRPr="00620532">
        <w:rPr>
          <w:b/>
          <w:bCs/>
          <w:u w:val="single"/>
          <w:lang w:val="en-US"/>
        </w:rPr>
        <w:t>Proposal</w:t>
      </w:r>
      <w:r>
        <w:rPr>
          <w:b/>
          <w:bCs/>
          <w:u w:val="single"/>
          <w:lang w:val="en-US"/>
        </w:rPr>
        <w:t xml:space="preserve"> </w:t>
      </w:r>
      <w:r w:rsidR="005C1C67">
        <w:rPr>
          <w:b/>
          <w:bCs/>
          <w:u w:val="single"/>
          <w:lang w:val="en-US"/>
        </w:rPr>
        <w:t>2</w:t>
      </w:r>
      <w:r w:rsidRPr="00620532">
        <w:rPr>
          <w:b/>
          <w:bCs/>
          <w:u w:val="single"/>
          <w:lang w:val="en-US"/>
        </w:rPr>
        <w:t>:</w:t>
      </w:r>
      <w:r>
        <w:rPr>
          <w:lang w:val="en-US"/>
        </w:rPr>
        <w:t xml:space="preserve"> </w:t>
      </w:r>
      <w:r w:rsidR="001C0C03" w:rsidRPr="001C0C03">
        <w:rPr>
          <w:iCs/>
          <w:lang w:val="en-US"/>
        </w:rPr>
        <w:t>The spectrum extension is defined outside of the frequency resources allocated by FDRA.</w:t>
      </w:r>
      <w:r>
        <w:rPr>
          <w:iCs/>
          <w:lang w:val="en-US"/>
        </w:rPr>
        <w:t xml:space="preserve"> </w:t>
      </w:r>
    </w:p>
    <w:p w14:paraId="24EA44C5" w14:textId="77777777" w:rsidR="00000317" w:rsidRDefault="00000317" w:rsidP="005E68FD">
      <w:pPr>
        <w:rPr>
          <w:lang w:val="en-US"/>
        </w:rPr>
      </w:pP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07E57BAB"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p>
    <w:p w14:paraId="5C6F09CE" w14:textId="77777777" w:rsidR="00A956AF" w:rsidRDefault="00A956AF" w:rsidP="00A956AF">
      <w:pPr>
        <w:rPr>
          <w:iCs/>
          <w:lang w:val="en-US"/>
        </w:rPr>
      </w:pPr>
      <w:r>
        <w:rPr>
          <w:b/>
          <w:bCs/>
          <w:u w:val="single"/>
          <w:lang w:val="en-US"/>
        </w:rPr>
        <w:t>Observation 1</w:t>
      </w:r>
      <w:r w:rsidRPr="00620532">
        <w:rPr>
          <w:b/>
          <w:bCs/>
          <w:u w:val="single"/>
          <w:lang w:val="en-US"/>
        </w:rPr>
        <w:t>:</w:t>
      </w:r>
      <w:r>
        <w:rPr>
          <w:lang w:val="en-US"/>
        </w:rPr>
        <w:t xml:space="preserve"> In order to comply </w:t>
      </w:r>
      <w:r w:rsidRPr="00521CA2">
        <w:rPr>
          <w:iCs/>
          <w:lang w:val="en-US"/>
        </w:rPr>
        <w:t>regulatory SAR requirement</w:t>
      </w:r>
      <w:r>
        <w:rPr>
          <w:iCs/>
          <w:lang w:val="en-US"/>
        </w:rPr>
        <w:t>, the transmitted power by all the RAT that the UE has used, including LTE, Wi-Fi, Bluetooth, etc. as well as NR, needs to be considered</w:t>
      </w:r>
      <w:r w:rsidRPr="00965580">
        <w:rPr>
          <w:iCs/>
          <w:lang w:val="en-US"/>
        </w:rPr>
        <w:t>.</w:t>
      </w:r>
      <w:r>
        <w:rPr>
          <w:iCs/>
          <w:lang w:val="en-US"/>
        </w:rPr>
        <w:t xml:space="preserve"> </w:t>
      </w:r>
    </w:p>
    <w:p w14:paraId="2A41AAF7" w14:textId="77777777" w:rsidR="00A956AF" w:rsidRDefault="00A956AF" w:rsidP="00A956AF">
      <w:pPr>
        <w:rPr>
          <w:iCs/>
          <w:lang w:val="en-US"/>
        </w:rPr>
      </w:pPr>
      <w:r>
        <w:rPr>
          <w:b/>
          <w:bCs/>
          <w:u w:val="single"/>
          <w:lang w:val="en-US"/>
        </w:rPr>
        <w:t>Observation 2</w:t>
      </w:r>
      <w:r w:rsidRPr="00620532">
        <w:rPr>
          <w:b/>
          <w:bCs/>
          <w:u w:val="single"/>
          <w:lang w:val="en-US"/>
        </w:rPr>
        <w:t>:</w:t>
      </w:r>
      <w:r>
        <w:rPr>
          <w:lang w:val="en-US"/>
        </w:rPr>
        <w:t xml:space="preserve"> The existing </w:t>
      </w:r>
      <w:r>
        <w:rPr>
          <w:rFonts w:hint="eastAsia"/>
          <w:lang w:val="en-US"/>
        </w:rPr>
        <w:t xml:space="preserve">P-MPR </w:t>
      </w:r>
      <w:r>
        <w:rPr>
          <w:lang w:val="en-US"/>
        </w:rPr>
        <w:t>is used by UEs to manage their transmission power, but it is defined only for FR2</w:t>
      </w:r>
      <w:r w:rsidRPr="00965580">
        <w:rPr>
          <w:iCs/>
          <w:lang w:val="en-US"/>
        </w:rPr>
        <w:t>.</w:t>
      </w:r>
    </w:p>
    <w:p w14:paraId="03565E4C" w14:textId="77777777" w:rsidR="00A956AF" w:rsidRDefault="00A956AF" w:rsidP="00A956AF">
      <w:pPr>
        <w:rPr>
          <w:iCs/>
          <w:lang w:val="en-US"/>
        </w:rPr>
      </w:pPr>
      <w:r>
        <w:rPr>
          <w:b/>
          <w:bCs/>
          <w:u w:val="single"/>
          <w:lang w:val="en-US"/>
        </w:rPr>
        <w:t>Proposal 1</w:t>
      </w:r>
      <w:r w:rsidRPr="00620532">
        <w:rPr>
          <w:b/>
          <w:bCs/>
          <w:u w:val="single"/>
          <w:lang w:val="en-US"/>
        </w:rPr>
        <w:t>:</w:t>
      </w:r>
      <w:r>
        <w:rPr>
          <w:lang w:val="en-US"/>
        </w:rPr>
        <w:t xml:space="preserve"> Extend </w:t>
      </w:r>
      <w:r>
        <w:rPr>
          <w:rFonts w:hint="eastAsia"/>
          <w:lang w:val="en-US"/>
        </w:rPr>
        <w:t xml:space="preserve">P-MPR </w:t>
      </w:r>
      <w:r>
        <w:rPr>
          <w:lang w:val="en-US"/>
        </w:rPr>
        <w:t>to be applicable to FR1</w:t>
      </w:r>
      <w:r w:rsidRPr="00965580">
        <w:rPr>
          <w:iCs/>
          <w:lang w:val="en-US"/>
        </w:rPr>
        <w:t>.</w:t>
      </w:r>
    </w:p>
    <w:p w14:paraId="5F96E16A" w14:textId="77777777" w:rsidR="00A956AF" w:rsidRDefault="00A956AF" w:rsidP="00A956AF">
      <w:pPr>
        <w:rPr>
          <w:iCs/>
          <w:lang w:val="en-US"/>
        </w:rPr>
      </w:pPr>
      <w:r>
        <w:rPr>
          <w:b/>
          <w:bCs/>
          <w:u w:val="single"/>
          <w:lang w:val="en-US"/>
        </w:rPr>
        <w:t>Observation 3</w:t>
      </w:r>
      <w:r w:rsidRPr="00620532">
        <w:rPr>
          <w:b/>
          <w:bCs/>
          <w:u w:val="single"/>
          <w:lang w:val="en-US"/>
        </w:rPr>
        <w:t>:</w:t>
      </w:r>
      <w:r>
        <w:rPr>
          <w:lang w:val="en-US"/>
        </w:rPr>
        <w:t xml:space="preserve"> For the legacy DFT-S-OFDM symbol generation, FFT with the mixed radices of 2, 3 and 5 can be used for the transform precoding process</w:t>
      </w:r>
      <w:r w:rsidRPr="00965580">
        <w:rPr>
          <w:iCs/>
          <w:lang w:val="en-US"/>
        </w:rPr>
        <w:t>.</w:t>
      </w:r>
    </w:p>
    <w:p w14:paraId="7371A8CD" w14:textId="77777777" w:rsidR="00A956AF" w:rsidRDefault="00A956AF" w:rsidP="00A956AF">
      <w:pPr>
        <w:rPr>
          <w:iCs/>
          <w:lang w:val="en-US"/>
        </w:rPr>
      </w:pPr>
      <w:r w:rsidRPr="00620532">
        <w:rPr>
          <w:b/>
          <w:bCs/>
          <w:u w:val="single"/>
          <w:lang w:val="en-US"/>
        </w:rPr>
        <w:t>Proposal</w:t>
      </w:r>
      <w:r>
        <w:rPr>
          <w:b/>
          <w:bCs/>
          <w:u w:val="single"/>
          <w:lang w:val="en-US"/>
        </w:rPr>
        <w:t xml:space="preserve"> 2</w:t>
      </w:r>
      <w:r w:rsidRPr="00620532">
        <w:rPr>
          <w:b/>
          <w:bCs/>
          <w:u w:val="single"/>
          <w:lang w:val="en-US"/>
        </w:rPr>
        <w:t>:</w:t>
      </w:r>
      <w:r>
        <w:rPr>
          <w:lang w:val="en-US"/>
        </w:rPr>
        <w:t xml:space="preserve"> </w:t>
      </w:r>
      <w:r w:rsidRPr="001C0C03">
        <w:rPr>
          <w:iCs/>
          <w:lang w:val="en-US"/>
        </w:rPr>
        <w:t>The spectrum extension is defined outside of the frequency resources allocated by FDRA.</w:t>
      </w:r>
      <w:r>
        <w:rPr>
          <w:iCs/>
          <w:lang w:val="en-US"/>
        </w:rPr>
        <w:t xml:space="preserve"> </w:t>
      </w:r>
    </w:p>
    <w:p w14:paraId="47C48270" w14:textId="77777777" w:rsidR="0007475C" w:rsidRPr="00A956AF" w:rsidRDefault="0007475C" w:rsidP="004407D4">
      <w:pPr>
        <w:rPr>
          <w:rFonts w:eastAsiaTheme="minorEastAsia"/>
          <w:color w:val="000000" w:themeColor="text1"/>
          <w:highlight w:val="yellow"/>
          <w:lang w:val="en-US"/>
        </w:rPr>
      </w:pPr>
    </w:p>
    <w:bookmarkEnd w:id="3"/>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2EA5B55C" w:rsidR="00F67A3B" w:rsidRPr="004C25B0" w:rsidRDefault="00411F89" w:rsidP="002E4229">
      <w:pPr>
        <w:pStyle w:val="textintend2"/>
        <w:rPr>
          <w:color w:val="000000" w:themeColor="text1"/>
          <w:szCs w:val="24"/>
        </w:rPr>
      </w:pPr>
      <w:r w:rsidRPr="00411F89">
        <w:rPr>
          <w:color w:val="000000" w:themeColor="text1"/>
          <w:szCs w:val="24"/>
          <w:lang w:eastAsia="ja-JP"/>
        </w:rPr>
        <w:t>RP-221858</w:t>
      </w:r>
      <w:r>
        <w:rPr>
          <w:color w:val="000000" w:themeColor="text1"/>
          <w:szCs w:val="24"/>
          <w:lang w:eastAsia="ja-JP"/>
        </w:rPr>
        <w:t xml:space="preserve">, </w:t>
      </w:r>
      <w:r w:rsidR="004C25B0">
        <w:rPr>
          <w:color w:val="000000" w:themeColor="text1"/>
          <w:szCs w:val="24"/>
          <w:lang w:eastAsia="ja-JP"/>
        </w:rPr>
        <w:t>“</w:t>
      </w:r>
      <w:r w:rsidRPr="00411F89">
        <w:rPr>
          <w:color w:val="000000" w:themeColor="text1"/>
          <w:szCs w:val="24"/>
          <w:lang w:eastAsia="ja-JP"/>
        </w:rPr>
        <w:t>Revised WID on Further NR coverage enhancements</w:t>
      </w:r>
      <w:r w:rsidR="002E4229" w:rsidRPr="00006ABC">
        <w:rPr>
          <w:color w:val="000000" w:themeColor="text1"/>
          <w:szCs w:val="24"/>
          <w:lang w:eastAsia="ja-JP"/>
        </w:rPr>
        <w:t xml:space="preserve">,” </w:t>
      </w:r>
      <w:r w:rsidRPr="00411F89">
        <w:rPr>
          <w:color w:val="000000" w:themeColor="text1"/>
          <w:szCs w:val="24"/>
          <w:lang w:eastAsia="ja-JP"/>
        </w:rPr>
        <w:t>China Telecom</w:t>
      </w:r>
      <w:r>
        <w:rPr>
          <w:color w:val="000000" w:themeColor="text1"/>
          <w:szCs w:val="24"/>
          <w:lang w:eastAsia="ja-JP"/>
        </w:rPr>
        <w:t>,</w:t>
      </w:r>
      <w:r w:rsidRPr="00411F89">
        <w:rPr>
          <w:color w:val="000000" w:themeColor="text1"/>
          <w:szCs w:val="24"/>
          <w:lang w:eastAsia="ja-JP"/>
        </w:rPr>
        <w:t xml:space="preserve"> </w:t>
      </w:r>
      <w:r w:rsidR="002E4229" w:rsidRPr="00006ABC">
        <w:t>RAN#</w:t>
      </w:r>
      <w:r>
        <w:t>96</w:t>
      </w:r>
      <w:r w:rsidR="002E4229" w:rsidRPr="00006ABC">
        <w:rPr>
          <w:rFonts w:eastAsiaTheme="minorEastAsia" w:hint="eastAsia"/>
          <w:lang w:eastAsia="zh-CN"/>
        </w:rPr>
        <w:t xml:space="preserve">, </w:t>
      </w:r>
      <w:r>
        <w:rPr>
          <w:rFonts w:eastAsiaTheme="minorEastAsia"/>
          <w:lang w:eastAsia="zh-CN"/>
        </w:rPr>
        <w:t>June</w:t>
      </w:r>
      <w:r w:rsidR="002E4229" w:rsidRPr="00006ABC">
        <w:t xml:space="preserve"> 202</w:t>
      </w:r>
      <w:r w:rsidR="002E4229">
        <w:t>2</w:t>
      </w:r>
      <w:r w:rsidR="002E4229" w:rsidRPr="00006ABC">
        <w:rPr>
          <w:rFonts w:eastAsiaTheme="minorEastAsia" w:hint="eastAsia"/>
          <w:lang w:eastAsia="zh-CN"/>
        </w:rPr>
        <w:t>.</w:t>
      </w:r>
    </w:p>
    <w:p w14:paraId="05DA3102" w14:textId="672E1AE3" w:rsidR="004C25B0" w:rsidRPr="0037610F" w:rsidRDefault="00D950A8" w:rsidP="00E84927">
      <w:pPr>
        <w:pStyle w:val="textintend2"/>
        <w:rPr>
          <w:color w:val="000000" w:themeColor="text1"/>
          <w:szCs w:val="24"/>
        </w:rPr>
      </w:pPr>
      <w:r>
        <w:rPr>
          <w:color w:val="000000" w:themeColor="text1"/>
          <w:szCs w:val="24"/>
        </w:rPr>
        <w:t>3GPP RAN1#112 chairman’s note, February 2023.</w:t>
      </w:r>
    </w:p>
    <w:sectPr w:rsidR="004C25B0" w:rsidRPr="0037610F"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FF1EE" w14:textId="77777777" w:rsidR="000E19AB" w:rsidRDefault="000E19AB">
      <w:r>
        <w:separator/>
      </w:r>
    </w:p>
  </w:endnote>
  <w:endnote w:type="continuationSeparator" w:id="0">
    <w:p w14:paraId="593CA700" w14:textId="77777777" w:rsidR="000E19AB" w:rsidRDefault="000E1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C7296" w14:textId="77777777" w:rsidR="000E19AB" w:rsidRDefault="000E19AB">
      <w:r>
        <w:separator/>
      </w:r>
    </w:p>
  </w:footnote>
  <w:footnote w:type="continuationSeparator" w:id="0">
    <w:p w14:paraId="4AD25A80" w14:textId="77777777" w:rsidR="000E19AB" w:rsidRDefault="000E19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21D2D"/>
    <w:multiLevelType w:val="hybridMultilevel"/>
    <w:tmpl w:val="1364353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11"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ＭＳ 明朝"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4"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ＭＳ 明朝"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4E6C3C"/>
    <w:multiLevelType w:val="hybridMultilevel"/>
    <w:tmpl w:val="3468FDE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6605838"/>
    <w:multiLevelType w:val="hybridMultilevel"/>
    <w:tmpl w:val="293AEBF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FAE4563"/>
    <w:multiLevelType w:val="multilevel"/>
    <w:tmpl w:val="6FAE4563"/>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03157D4"/>
    <w:multiLevelType w:val="multilevel"/>
    <w:tmpl w:val="61266378"/>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5"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04555600">
    <w:abstractNumId w:val="32"/>
  </w:num>
  <w:num w:numId="2" w16cid:durableId="2020236821">
    <w:abstractNumId w:val="4"/>
  </w:num>
  <w:num w:numId="3" w16cid:durableId="1155535935">
    <w:abstractNumId w:val="8"/>
  </w:num>
  <w:num w:numId="4" w16cid:durableId="1607229080">
    <w:abstractNumId w:val="33"/>
  </w:num>
  <w:num w:numId="5" w16cid:durableId="416950970">
    <w:abstractNumId w:val="21"/>
  </w:num>
  <w:num w:numId="6" w16cid:durableId="1602450161">
    <w:abstractNumId w:val="22"/>
  </w:num>
  <w:num w:numId="7" w16cid:durableId="928076117">
    <w:abstractNumId w:val="18"/>
  </w:num>
  <w:num w:numId="8" w16cid:durableId="731779076">
    <w:abstractNumId w:val="2"/>
  </w:num>
  <w:num w:numId="9" w16cid:durableId="126318576">
    <w:abstractNumId w:val="36"/>
  </w:num>
  <w:num w:numId="10" w16cid:durableId="1924946264">
    <w:abstractNumId w:val="15"/>
  </w:num>
  <w:num w:numId="11" w16cid:durableId="1196038620">
    <w:abstractNumId w:val="28"/>
  </w:num>
  <w:num w:numId="12" w16cid:durableId="101075070">
    <w:abstractNumId w:val="6"/>
  </w:num>
  <w:num w:numId="13" w16cid:durableId="203254192">
    <w:abstractNumId w:val="11"/>
  </w:num>
  <w:num w:numId="14" w16cid:durableId="763770240">
    <w:abstractNumId w:val="6"/>
  </w:num>
  <w:num w:numId="15" w16cid:durableId="1949387606">
    <w:abstractNumId w:val="29"/>
  </w:num>
  <w:num w:numId="16" w16cid:durableId="728696478">
    <w:abstractNumId w:val="7"/>
  </w:num>
  <w:num w:numId="17" w16cid:durableId="31343903">
    <w:abstractNumId w:val="10"/>
  </w:num>
  <w:num w:numId="18" w16cid:durableId="1781413610">
    <w:abstractNumId w:val="19"/>
  </w:num>
  <w:num w:numId="19" w16cid:durableId="685250036">
    <w:abstractNumId w:val="16"/>
  </w:num>
  <w:num w:numId="20" w16cid:durableId="1295334361">
    <w:abstractNumId w:val="5"/>
  </w:num>
  <w:num w:numId="21" w16cid:durableId="644512413">
    <w:abstractNumId w:val="24"/>
  </w:num>
  <w:num w:numId="22" w16cid:durableId="383453179">
    <w:abstractNumId w:val="27"/>
  </w:num>
  <w:num w:numId="23" w16cid:durableId="458686948">
    <w:abstractNumId w:val="1"/>
  </w:num>
  <w:num w:numId="24" w16cid:durableId="472455601">
    <w:abstractNumId w:val="20"/>
  </w:num>
  <w:num w:numId="25" w16cid:durableId="679698432">
    <w:abstractNumId w:val="34"/>
  </w:num>
  <w:num w:numId="26" w16cid:durableId="557134748">
    <w:abstractNumId w:val="14"/>
  </w:num>
  <w:num w:numId="27" w16cid:durableId="2022197730">
    <w:abstractNumId w:val="35"/>
  </w:num>
  <w:num w:numId="28" w16cid:durableId="1392466446">
    <w:abstractNumId w:val="31"/>
  </w:num>
  <w:num w:numId="29" w16cid:durableId="1751805425">
    <w:abstractNumId w:val="12"/>
  </w:num>
  <w:num w:numId="30" w16cid:durableId="719204330">
    <w:abstractNumId w:val="23"/>
  </w:num>
  <w:num w:numId="31" w16cid:durableId="1910264873">
    <w:abstractNumId w:val="13"/>
  </w:num>
  <w:num w:numId="32" w16cid:durableId="700013453">
    <w:abstractNumId w:val="17"/>
  </w:num>
  <w:num w:numId="33" w16cid:durableId="462700641">
    <w:abstractNumId w:val="3"/>
  </w:num>
  <w:num w:numId="34" w16cid:durableId="472600621">
    <w:abstractNumId w:val="37"/>
  </w:num>
  <w:num w:numId="35" w16cid:durableId="1620261377">
    <w:abstractNumId w:val="9"/>
  </w:num>
  <w:num w:numId="36" w16cid:durableId="110714458">
    <w:abstractNumId w:val="26"/>
  </w:num>
  <w:num w:numId="37" w16cid:durableId="1654211263">
    <w:abstractNumId w:val="30"/>
  </w:num>
  <w:num w:numId="38" w16cid:durableId="1901331625">
    <w:abstractNumId w:val="0"/>
  </w:num>
  <w:num w:numId="39" w16cid:durableId="781731251">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317"/>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777"/>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29"/>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75C"/>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2DE"/>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4B6"/>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4F1C"/>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B6B"/>
    <w:rsid w:val="000D4DC5"/>
    <w:rsid w:val="000D4E2B"/>
    <w:rsid w:val="000D4EBE"/>
    <w:rsid w:val="000D52A3"/>
    <w:rsid w:val="000D55D6"/>
    <w:rsid w:val="000D649B"/>
    <w:rsid w:val="000D657D"/>
    <w:rsid w:val="000D6F84"/>
    <w:rsid w:val="000D7660"/>
    <w:rsid w:val="000D7DB9"/>
    <w:rsid w:val="000E0349"/>
    <w:rsid w:val="000E0581"/>
    <w:rsid w:val="000E167A"/>
    <w:rsid w:val="000E19AB"/>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CD3"/>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0BC0"/>
    <w:rsid w:val="00161A06"/>
    <w:rsid w:val="00161B2E"/>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003"/>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C03"/>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0CE"/>
    <w:rsid w:val="001F55E0"/>
    <w:rsid w:val="001F60F3"/>
    <w:rsid w:val="001F6944"/>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6C2"/>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13F"/>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33F"/>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1EDC"/>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229"/>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34E"/>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CE1"/>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0F"/>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593"/>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62D"/>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1F89"/>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4B86"/>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1AC"/>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5B0"/>
    <w:rsid w:val="004C27C8"/>
    <w:rsid w:val="004C2ACB"/>
    <w:rsid w:val="004C3606"/>
    <w:rsid w:val="004C364F"/>
    <w:rsid w:val="004C4374"/>
    <w:rsid w:val="004C4643"/>
    <w:rsid w:val="004C488D"/>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CA2"/>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875"/>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1C67"/>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0FD4"/>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043"/>
    <w:rsid w:val="006964EA"/>
    <w:rsid w:val="00696634"/>
    <w:rsid w:val="00697023"/>
    <w:rsid w:val="0069718D"/>
    <w:rsid w:val="006A0627"/>
    <w:rsid w:val="006A11D9"/>
    <w:rsid w:val="006A145C"/>
    <w:rsid w:val="006A260F"/>
    <w:rsid w:val="006A30CC"/>
    <w:rsid w:val="006A32EA"/>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D2D"/>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3D28"/>
    <w:rsid w:val="007540A6"/>
    <w:rsid w:val="00754802"/>
    <w:rsid w:val="007550DC"/>
    <w:rsid w:val="00755160"/>
    <w:rsid w:val="0075536E"/>
    <w:rsid w:val="00755545"/>
    <w:rsid w:val="007557C1"/>
    <w:rsid w:val="00755AB8"/>
    <w:rsid w:val="00755B3C"/>
    <w:rsid w:val="00755F60"/>
    <w:rsid w:val="007563AE"/>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B64"/>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5BC5"/>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897"/>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016"/>
    <w:rsid w:val="00850B9B"/>
    <w:rsid w:val="00850CCF"/>
    <w:rsid w:val="00850D28"/>
    <w:rsid w:val="00850FFD"/>
    <w:rsid w:val="0085170F"/>
    <w:rsid w:val="0085171A"/>
    <w:rsid w:val="00851790"/>
    <w:rsid w:val="008517C8"/>
    <w:rsid w:val="008518A8"/>
    <w:rsid w:val="00851959"/>
    <w:rsid w:val="00852169"/>
    <w:rsid w:val="00852C31"/>
    <w:rsid w:val="00852D69"/>
    <w:rsid w:val="00853374"/>
    <w:rsid w:val="0085341A"/>
    <w:rsid w:val="008535CD"/>
    <w:rsid w:val="00853643"/>
    <w:rsid w:val="00853C46"/>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BA1"/>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B3D"/>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424"/>
    <w:rsid w:val="008E45A2"/>
    <w:rsid w:val="008E45CA"/>
    <w:rsid w:val="008E497A"/>
    <w:rsid w:val="008E4EF2"/>
    <w:rsid w:val="008E4F62"/>
    <w:rsid w:val="008E54C5"/>
    <w:rsid w:val="008E54DD"/>
    <w:rsid w:val="008E58C1"/>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580"/>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67"/>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32D"/>
    <w:rsid w:val="00992724"/>
    <w:rsid w:val="00992911"/>
    <w:rsid w:val="00992A09"/>
    <w:rsid w:val="00993190"/>
    <w:rsid w:val="009934D0"/>
    <w:rsid w:val="0099375E"/>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7FF"/>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1E76"/>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2EE"/>
    <w:rsid w:val="009E3B93"/>
    <w:rsid w:val="009E3D97"/>
    <w:rsid w:val="009E40A4"/>
    <w:rsid w:val="009E4D3A"/>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21C"/>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A40"/>
    <w:rsid w:val="00A43C48"/>
    <w:rsid w:val="00A43E56"/>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1A9"/>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5A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3D47"/>
    <w:rsid w:val="00A946C9"/>
    <w:rsid w:val="00A94786"/>
    <w:rsid w:val="00A94E79"/>
    <w:rsid w:val="00A956AF"/>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98D"/>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8"/>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31E"/>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2DA0"/>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062C"/>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10E"/>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1D"/>
    <w:rsid w:val="00C33FB4"/>
    <w:rsid w:val="00C340FD"/>
    <w:rsid w:val="00C34178"/>
    <w:rsid w:val="00C34B2A"/>
    <w:rsid w:val="00C34C08"/>
    <w:rsid w:val="00C34FC7"/>
    <w:rsid w:val="00C351FD"/>
    <w:rsid w:val="00C35380"/>
    <w:rsid w:val="00C357A1"/>
    <w:rsid w:val="00C357FF"/>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2E"/>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0A8"/>
    <w:rsid w:val="00D952F3"/>
    <w:rsid w:val="00D9546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08"/>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6826"/>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17FA0"/>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23D"/>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77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1F78"/>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5ED2"/>
    <w:rsid w:val="00F06073"/>
    <w:rsid w:val="00F060A2"/>
    <w:rsid w:val="00F10841"/>
    <w:rsid w:val="00F1088E"/>
    <w:rsid w:val="00F109A4"/>
    <w:rsid w:val="00F1115B"/>
    <w:rsid w:val="00F11295"/>
    <w:rsid w:val="00F11582"/>
    <w:rsid w:val="00F11835"/>
    <w:rsid w:val="00F11906"/>
    <w:rsid w:val="00F119C7"/>
    <w:rsid w:val="00F126AB"/>
    <w:rsid w:val="00F126F7"/>
    <w:rsid w:val="00F128D6"/>
    <w:rsid w:val="00F1290C"/>
    <w:rsid w:val="00F12C7A"/>
    <w:rsid w:val="00F12EFB"/>
    <w:rsid w:val="00F134DD"/>
    <w:rsid w:val="00F13801"/>
    <w:rsid w:val="00F1446F"/>
    <w:rsid w:val="00F144B6"/>
    <w:rsid w:val="00F1497A"/>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2C1"/>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5C9"/>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56AF"/>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5E68FD"/>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5E68F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31"/>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qFormat/>
    <w:rsid w:val="00350FBE"/>
    <w:pPr>
      <w:numPr>
        <w:numId w:val="30"/>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TALCar">
    <w:name w:val="TAL Car"/>
    <w:link w:val="TAL"/>
    <w:qFormat/>
    <w:rsid w:val="004C488D"/>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770</TotalTime>
  <Pages>4</Pages>
  <Words>1154</Words>
  <Characters>6578</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58</cp:revision>
  <cp:lastPrinted>2019-02-13T08:31:00Z</cp:lastPrinted>
  <dcterms:created xsi:type="dcterms:W3CDTF">2022-09-05T13:01:00Z</dcterms:created>
  <dcterms:modified xsi:type="dcterms:W3CDTF">2023-04-07T08:12:00Z</dcterms:modified>
</cp:coreProperties>
</file>