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AEA7E" w14:textId="012E912D" w:rsidR="009A21D9" w:rsidRPr="00605129" w:rsidRDefault="009A21D9" w:rsidP="009A21D9">
      <w:pPr>
        <w:spacing w:line="320" w:lineRule="exac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#112bis-e</w:t>
      </w:r>
      <w:r w:rsidRPr="00223DEC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 w:hint="eastAsia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 </w:t>
      </w:r>
      <w:r w:rsidR="001F7EB9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Pr="00192CD9">
        <w:rPr>
          <w:rFonts w:ascii="Arial" w:hAnsi="Arial" w:cs="Arial"/>
          <w:b/>
          <w:bCs/>
          <w:snapToGrid w:val="0"/>
          <w:sz w:val="24"/>
          <w:lang w:val="en-GB"/>
        </w:rPr>
        <w:t>R1-2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30</w:t>
      </w:r>
      <w:r w:rsidR="00177DB2">
        <w:rPr>
          <w:rFonts w:ascii="Arial" w:hAnsi="Arial" w:cs="Arial"/>
          <w:b/>
          <w:bCs/>
          <w:snapToGrid w:val="0"/>
          <w:sz w:val="24"/>
          <w:lang w:val="en-GB"/>
        </w:rPr>
        <w:t>3749</w:t>
      </w:r>
    </w:p>
    <w:p w14:paraId="4C388534" w14:textId="3097BE37" w:rsidR="009A21D9" w:rsidRPr="009A21D9" w:rsidRDefault="009A21D9" w:rsidP="00761643">
      <w:pPr>
        <w:pBdr>
          <w:bottom w:val="single" w:sz="12" w:space="1" w:color="auto"/>
        </w:pBdr>
        <w:rPr>
          <w:rFonts w:ascii="Arial" w:hAnsi="Arial" w:cs="Arial"/>
          <w:b/>
          <w:sz w:val="24"/>
          <w:lang w:val="en-GB"/>
        </w:rPr>
      </w:pPr>
      <w:r w:rsidRPr="00605129">
        <w:rPr>
          <w:rFonts w:ascii="Arial" w:eastAsia="MS Mincho" w:hAnsi="Arial" w:cs="Arial"/>
          <w:b/>
          <w:bCs/>
          <w:sz w:val="24"/>
          <w:lang w:eastAsia="ja-JP"/>
        </w:rPr>
        <w:t>e-Meeting, April 17th – April 26th, 2023</w:t>
      </w:r>
    </w:p>
    <w:p w14:paraId="5CF13E63" w14:textId="223F8FA9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9.</w:t>
      </w:r>
      <w:r w:rsidR="009A21D9">
        <w:rPr>
          <w:rFonts w:ascii="Arial" w:hAnsi="Arial" w:cs="Arial"/>
          <w:sz w:val="24"/>
        </w:rPr>
        <w:t>9</w:t>
      </w:r>
      <w:r w:rsidRPr="00F06030">
        <w:rPr>
          <w:rFonts w:ascii="Arial" w:hAnsi="Arial" w:cs="Arial"/>
          <w:sz w:val="24"/>
        </w:rPr>
        <w:t>.2</w:t>
      </w:r>
    </w:p>
    <w:p w14:paraId="2DF33A87" w14:textId="77777777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LG Electronics</w:t>
      </w:r>
    </w:p>
    <w:p w14:paraId="6719095C" w14:textId="453EEAB0" w:rsidR="00F06030" w:rsidRPr="00F06030" w:rsidRDefault="00F06030" w:rsidP="002E0A64">
      <w:pP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730A84" w:rsidRPr="00730A84">
        <w:rPr>
          <w:rFonts w:ascii="Arial" w:hAnsi="Arial" w:cs="Arial"/>
          <w:sz w:val="24"/>
        </w:rPr>
        <w:t>Discussion on network verified UE location for NR NTN</w:t>
      </w:r>
    </w:p>
    <w:p w14:paraId="4688F0BA" w14:textId="77777777" w:rsidR="00F06030" w:rsidRPr="00F06030" w:rsidRDefault="00F06030" w:rsidP="002E0A64">
      <w:pPr>
        <w:pBdr>
          <w:bottom w:val="single" w:sz="12" w:space="1" w:color="auto"/>
        </w:pBdr>
        <w:rPr>
          <w:rFonts w:ascii="Arial" w:hAnsi="Arial" w:cs="Arial"/>
          <w:sz w:val="24"/>
        </w:rPr>
      </w:pPr>
      <w:r w:rsidRPr="00F06030"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r w:rsidRPr="00F06030">
        <w:rPr>
          <w:rFonts w:ascii="Arial" w:hAnsi="Arial" w:cs="Arial"/>
          <w:sz w:val="24"/>
        </w:rPr>
        <w:t>Discussion and Decision</w:t>
      </w:r>
    </w:p>
    <w:p w14:paraId="0E87F567" w14:textId="77777777" w:rsidR="00F06030" w:rsidRDefault="00F06030" w:rsidP="00F06030">
      <w:pPr>
        <w:pStyle w:val="1"/>
      </w:pPr>
      <w:r w:rsidRPr="00F06030">
        <w:t>Introduction</w:t>
      </w:r>
    </w:p>
    <w:p w14:paraId="1819316E" w14:textId="60EF73C6" w:rsidR="00B142D1" w:rsidRDefault="0002749D" w:rsidP="009377EC">
      <w:pPr>
        <w:spacing w:line="360" w:lineRule="auto"/>
        <w:ind w:firstLineChars="150" w:firstLine="330"/>
        <w:contextualSpacing/>
      </w:pPr>
      <w:r>
        <w:rPr>
          <w:rFonts w:hint="eastAsia"/>
        </w:rPr>
        <w:t>In RAN1#11</w:t>
      </w:r>
      <w:r w:rsidR="00561D34">
        <w:t>2</w:t>
      </w:r>
      <w:r>
        <w:rPr>
          <w:rFonts w:hint="eastAsia"/>
        </w:rPr>
        <w:t xml:space="preserve"> meeting, </w:t>
      </w:r>
      <w:r w:rsidR="00431D3A">
        <w:t xml:space="preserve">agreements and conclusion regarding single satellite based multi-RTT </w:t>
      </w:r>
      <w:r>
        <w:t>for network verified UE location</w:t>
      </w:r>
      <w:r w:rsidR="00431D3A">
        <w:t xml:space="preserve"> were made as captured in Annex</w:t>
      </w:r>
      <w:r>
        <w:t>.</w:t>
      </w:r>
      <w:r w:rsidR="002629F9">
        <w:t xml:space="preserve"> </w:t>
      </w:r>
      <w:r w:rsidR="000B45E0">
        <w:t>T</w:t>
      </w:r>
      <w:r w:rsidR="000B45E0">
        <w:rPr>
          <w:rFonts w:hint="eastAsia"/>
        </w:rPr>
        <w:t xml:space="preserve">his </w:t>
      </w:r>
      <w:r w:rsidR="000B45E0">
        <w:t xml:space="preserve">contribution discusses and provides our view on </w:t>
      </w:r>
      <w:r w:rsidR="00F81A6F">
        <w:t>network verified UE location for NR NTN.</w:t>
      </w:r>
      <w:r w:rsidR="000B45E0">
        <w:t xml:space="preserve"> </w:t>
      </w:r>
    </w:p>
    <w:p w14:paraId="0B205F98" w14:textId="77777777" w:rsidR="0038385B" w:rsidRDefault="0038385B" w:rsidP="00F25AE7">
      <w:pPr>
        <w:spacing w:line="360" w:lineRule="auto"/>
        <w:contextualSpacing/>
      </w:pPr>
    </w:p>
    <w:p w14:paraId="198A141E" w14:textId="363FD55B" w:rsidR="00F06030" w:rsidRDefault="00F06030" w:rsidP="00F06030">
      <w:pPr>
        <w:pStyle w:val="1"/>
      </w:pPr>
      <w:r w:rsidRPr="00F06030">
        <w:t>Discussion</w:t>
      </w:r>
      <w:r w:rsidR="00592A4B">
        <w:t>s</w:t>
      </w:r>
      <w:r w:rsidR="00A72AB5">
        <w:t xml:space="preserve"> on single satellite based Multi-RTT positioning</w:t>
      </w:r>
    </w:p>
    <w:p w14:paraId="329D4A58" w14:textId="558D52C8" w:rsidR="00E73004" w:rsidRDefault="009E03CA" w:rsidP="00E73004">
      <w:pPr>
        <w:pStyle w:val="2"/>
      </w:pPr>
      <w:r>
        <w:t>RTT</w:t>
      </w:r>
      <w:r w:rsidR="00572858">
        <w:t xml:space="preserve"> determination</w:t>
      </w:r>
    </w:p>
    <w:p w14:paraId="558CDC21" w14:textId="4E25AEC2" w:rsidR="00A72AB5" w:rsidRDefault="00A72AB5" w:rsidP="00A72AB5">
      <w:pPr>
        <w:spacing w:line="360" w:lineRule="auto"/>
        <w:ind w:firstLineChars="100" w:firstLine="220"/>
        <w:contextualSpacing/>
      </w:pPr>
      <w:r>
        <w:t xml:space="preserve">It was agreed to prioritize multi-RTT assuming a single satellite in view in normative phase. Illustration of multi-RTT with a single satellite is depicted in Figure 1. </w:t>
      </w:r>
    </w:p>
    <w:p w14:paraId="181E2EA3" w14:textId="1103D108" w:rsidR="00E36D0E" w:rsidRDefault="00502B31" w:rsidP="00502B31">
      <w:pPr>
        <w:jc w:val="center"/>
      </w:pPr>
      <w:r>
        <w:object w:dxaOrig="3564" w:dyaOrig="2232" w14:anchorId="04AA198E">
          <v:shape id="_x0000_i1026" type="#_x0000_t75" style="width:288.45pt;height:181.4pt" o:ole="">
            <v:imagedata r:id="rId8" o:title=""/>
          </v:shape>
          <o:OLEObject Type="Embed" ProgID="Visio.Drawing.15" ShapeID="_x0000_i1026" DrawAspect="Content" ObjectID="_1742410501" r:id="rId9"/>
        </w:object>
      </w:r>
    </w:p>
    <w:p w14:paraId="073F511E" w14:textId="3F865C07" w:rsidR="00E36D0E" w:rsidRDefault="00502B31" w:rsidP="00502B31">
      <w:pPr>
        <w:jc w:val="center"/>
        <w:rPr>
          <w:rFonts w:eastAsia="맑은 고딕"/>
          <w:b/>
        </w:rPr>
      </w:pPr>
      <w:r>
        <w:rPr>
          <w:rFonts w:eastAsia="맑은 고딕" w:hint="eastAsia"/>
          <w:b/>
        </w:rPr>
        <w:t xml:space="preserve">Figure 1. Illustration of multi-RTT with a </w:t>
      </w:r>
      <w:r>
        <w:rPr>
          <w:rFonts w:eastAsia="맑은 고딕"/>
          <w:b/>
        </w:rPr>
        <w:t>single satellite</w:t>
      </w:r>
    </w:p>
    <w:p w14:paraId="0FBC6794" w14:textId="77777777" w:rsidR="00057949" w:rsidRDefault="00057949" w:rsidP="00166B55">
      <w:pPr>
        <w:spacing w:line="360" w:lineRule="auto"/>
      </w:pPr>
    </w:p>
    <w:p w14:paraId="6F45E80C" w14:textId="5F105D37" w:rsidR="00012C05" w:rsidRDefault="0010057C" w:rsidP="0010057C">
      <w:pPr>
        <w:spacing w:line="360" w:lineRule="auto"/>
      </w:pPr>
      <w:r>
        <w:rPr>
          <w:rFonts w:hint="eastAsia"/>
        </w:rPr>
        <w:t xml:space="preserve">In </w:t>
      </w:r>
      <w:r>
        <w:t>TN</w:t>
      </w:r>
      <w:r>
        <w:rPr>
          <w:rFonts w:hint="eastAsia"/>
        </w:rPr>
        <w:t xml:space="preserve">, in order </w:t>
      </w:r>
      <w:r>
        <w:t xml:space="preserve">to determine </w:t>
      </w:r>
      <w:r w:rsidR="00A22934">
        <w:t>RTT</w:t>
      </w:r>
      <w:r w:rsidR="00012C05">
        <w:t xml:space="preserve">, </w:t>
      </w:r>
      <w:r>
        <w:t xml:space="preserve">gNB Rx-Tx time difference measurement and UE Rx-Tx time difference measurement are defined in TS 38.215. Similar mechanism can be employed for single satellite based multi-RTT positioning. In this context, several options for gNB Rx-Tx time difference, UE Rx-Tx time difference and </w:t>
      </w:r>
      <w:r w:rsidRPr="00A62D50">
        <w:rPr>
          <w:lang w:eastAsia="x-none"/>
        </w:rPr>
        <w:t xml:space="preserve">the reference point for </w:t>
      </w:r>
      <w:r>
        <w:rPr>
          <w:lang w:eastAsia="x-none"/>
        </w:rPr>
        <w:t xml:space="preserve">definition of </w:t>
      </w:r>
      <w:r w:rsidRPr="00A62D50">
        <w:rPr>
          <w:lang w:eastAsia="x-none"/>
        </w:rPr>
        <w:t>gNB Rx–Tx time difference measuremen</w:t>
      </w:r>
      <w:r>
        <w:rPr>
          <w:lang w:eastAsia="x-none"/>
        </w:rPr>
        <w:t xml:space="preserve">t </w:t>
      </w:r>
      <w:r>
        <w:t xml:space="preserve">were identified in the last meeting. </w:t>
      </w:r>
    </w:p>
    <w:p w14:paraId="45E69699" w14:textId="5F9F875D" w:rsidR="00012C05" w:rsidRPr="00F852E5" w:rsidRDefault="00F852E5" w:rsidP="00F852E5">
      <w:pPr>
        <w:spacing w:line="360" w:lineRule="auto"/>
        <w:ind w:firstLineChars="100" w:firstLine="220"/>
      </w:pPr>
      <w:r>
        <w:rPr>
          <w:lang w:eastAsia="x-none"/>
        </w:rPr>
        <w:lastRenderedPageBreak/>
        <w:t>For the</w:t>
      </w:r>
      <w:r w:rsidRPr="00A62D50">
        <w:rPr>
          <w:lang w:eastAsia="x-none"/>
        </w:rPr>
        <w:t xml:space="preserve"> reference point for </w:t>
      </w:r>
      <w:r>
        <w:rPr>
          <w:lang w:eastAsia="x-none"/>
        </w:rPr>
        <w:t xml:space="preserve">definition of </w:t>
      </w:r>
      <w:r w:rsidRPr="00A62D50">
        <w:rPr>
          <w:lang w:eastAsia="x-none"/>
        </w:rPr>
        <w:t>gNB Rx–Tx time difference measuremen</w:t>
      </w:r>
      <w:r>
        <w:rPr>
          <w:lang w:eastAsia="x-none"/>
        </w:rPr>
        <w:t>t, three options were listed 1) onboard the s</w:t>
      </w:r>
      <w:r w:rsidR="00896D7D">
        <w:rPr>
          <w:rFonts w:hint="eastAsia"/>
        </w:rPr>
        <w:t>a</w:t>
      </w:r>
      <w:r>
        <w:rPr>
          <w:lang w:eastAsia="x-none"/>
        </w:rPr>
        <w:t xml:space="preserve">tellite, 2) </w:t>
      </w:r>
      <w:r w:rsidRPr="00F852E5">
        <w:rPr>
          <w:lang w:eastAsia="x-none"/>
        </w:rPr>
        <w:t>uplink time synchronization reference point</w:t>
      </w:r>
      <w:r>
        <w:rPr>
          <w:lang w:eastAsia="x-none"/>
        </w:rPr>
        <w:t xml:space="preserve"> and 3) on the gNB. It is obvious that RTT calculation depends on the above three options. </w:t>
      </w:r>
      <w:r w:rsidR="00572858">
        <w:rPr>
          <w:lang w:eastAsia="x-none"/>
        </w:rPr>
        <w:t xml:space="preserve">In our view, legacy definition of reference point </w:t>
      </w:r>
      <w:r w:rsidR="00572858" w:rsidRPr="00572858">
        <w:rPr>
          <w:lang w:eastAsia="x-none"/>
        </w:rPr>
        <w:t>for definition of gNB Rx–Tx time difference measurement</w:t>
      </w:r>
      <w:r w:rsidR="00572858">
        <w:rPr>
          <w:lang w:eastAsia="x-none"/>
        </w:rPr>
        <w:t xml:space="preserve"> can be reused since the measurement is taken at the gNB at least for transparent payload. So, option 3 (on the gNB) is preferred. </w:t>
      </w:r>
    </w:p>
    <w:p w14:paraId="7F9C76C1" w14:textId="0C55D166" w:rsidR="00F852E5" w:rsidRDefault="00572858" w:rsidP="00572858">
      <w:pPr>
        <w:spacing w:line="360" w:lineRule="auto"/>
      </w:pPr>
      <w:r w:rsidRPr="001E3B8D">
        <w:rPr>
          <w:rFonts w:eastAsia="맑은 고딕" w:hint="eastAsia"/>
          <w:b/>
        </w:rPr>
        <w:t>Proposal #</w:t>
      </w:r>
      <w:r>
        <w:rPr>
          <w:rFonts w:eastAsia="맑은 고딕"/>
          <w:b/>
        </w:rPr>
        <w:t>1</w:t>
      </w:r>
      <w:r w:rsidRPr="001E3B8D">
        <w:rPr>
          <w:rFonts w:eastAsia="맑은 고딕" w:hint="eastAsia"/>
          <w:b/>
        </w:rPr>
        <w:t xml:space="preserve">: </w:t>
      </w:r>
      <w:r>
        <w:rPr>
          <w:rFonts w:eastAsia="맑은 고딕"/>
          <w:b/>
        </w:rPr>
        <w:t xml:space="preserve">Support option 3 </w:t>
      </w:r>
      <w:r w:rsidRPr="00572858">
        <w:rPr>
          <w:rFonts w:eastAsia="맑은 고딕"/>
          <w:b/>
        </w:rPr>
        <w:t>(on the gNB</w:t>
      </w:r>
      <w:r>
        <w:rPr>
          <w:rFonts w:eastAsia="맑은 고딕"/>
          <w:b/>
        </w:rPr>
        <w:t xml:space="preserve">) for the </w:t>
      </w:r>
      <w:r w:rsidRPr="00572858">
        <w:rPr>
          <w:rFonts w:eastAsia="맑은 고딕"/>
          <w:b/>
        </w:rPr>
        <w:t>reference point for defin</w:t>
      </w:r>
      <w:r>
        <w:rPr>
          <w:rFonts w:eastAsia="맑은 고딕"/>
          <w:b/>
        </w:rPr>
        <w:t xml:space="preserve">ing </w:t>
      </w:r>
      <w:r w:rsidRPr="00572858">
        <w:rPr>
          <w:rFonts w:eastAsia="맑은 고딕"/>
          <w:b/>
        </w:rPr>
        <w:t>gNB Rx–Tx time difference measurement</w:t>
      </w:r>
      <w:r>
        <w:rPr>
          <w:rFonts w:eastAsia="맑은 고딕"/>
          <w:b/>
        </w:rPr>
        <w:t xml:space="preserve">. </w:t>
      </w:r>
    </w:p>
    <w:p w14:paraId="6414D69D" w14:textId="455EEEDB" w:rsidR="00F40728" w:rsidRDefault="00972103" w:rsidP="00F40728">
      <w:pPr>
        <w:spacing w:line="360" w:lineRule="auto"/>
        <w:ind w:firstLine="228"/>
        <w:rPr>
          <w:lang w:eastAsia="x-none"/>
        </w:rPr>
      </w:pPr>
      <w:r>
        <w:rPr>
          <w:lang w:eastAsia="x-none"/>
        </w:rPr>
        <w:t>F</w:t>
      </w:r>
      <w:r w:rsidR="00E02B90">
        <w:rPr>
          <w:rFonts w:hint="eastAsia"/>
          <w:lang w:eastAsia="x-none"/>
        </w:rPr>
        <w:t>or</w:t>
      </w:r>
      <w:r w:rsidR="001C49B3">
        <w:rPr>
          <w:lang w:eastAsia="x-none"/>
        </w:rPr>
        <w:t xml:space="preserve"> enhancing</w:t>
      </w:r>
      <w:r w:rsidR="00E02B90">
        <w:rPr>
          <w:rFonts w:hint="eastAsia"/>
          <w:lang w:eastAsia="x-none"/>
        </w:rPr>
        <w:t xml:space="preserve"> </w:t>
      </w:r>
      <w:r w:rsidR="00E02B90">
        <w:rPr>
          <w:lang w:eastAsia="x-none"/>
        </w:rPr>
        <w:t>U</w:t>
      </w:r>
      <w:r w:rsidR="00572858" w:rsidRPr="00572858">
        <w:rPr>
          <w:lang w:eastAsia="x-none"/>
        </w:rPr>
        <w:t>E Rx-Tx time difference</w:t>
      </w:r>
      <w:r w:rsidR="00E02B90">
        <w:rPr>
          <w:lang w:eastAsia="x-none"/>
        </w:rPr>
        <w:t xml:space="preserve"> in NTN</w:t>
      </w:r>
      <w:r w:rsidR="00572858">
        <w:rPr>
          <w:lang w:eastAsia="x-none"/>
        </w:rPr>
        <w:t xml:space="preserve">, </w:t>
      </w:r>
      <w:r>
        <w:rPr>
          <w:lang w:eastAsia="x-none"/>
        </w:rPr>
        <w:t>four options were listed</w:t>
      </w:r>
      <w:r w:rsidR="00855F6D">
        <w:rPr>
          <w:lang w:eastAsia="x-none"/>
        </w:rPr>
        <w:t xml:space="preserve"> in the last meeting</w:t>
      </w:r>
      <w:r>
        <w:rPr>
          <w:lang w:eastAsia="x-none"/>
        </w:rPr>
        <w:t xml:space="preserve">. In Option 1, UE Rx-Tx time difference is defined with respect to the Rx and Tx timing associated with TRP while option 2 does not have any timing association with TRP. </w:t>
      </w:r>
      <w:r w:rsidR="00F40728">
        <w:rPr>
          <w:lang w:eastAsia="x-none"/>
        </w:rPr>
        <w:t xml:space="preserve">Thus, option 2 does not require additional signaling such as Kmac and common TA to LMF. </w:t>
      </w:r>
      <w:r>
        <w:rPr>
          <w:lang w:eastAsia="x-none"/>
        </w:rPr>
        <w:t xml:space="preserve">Option 3 is based on the legacy R17 definition of </w:t>
      </w:r>
      <w:r w:rsidRPr="00972103">
        <w:rPr>
          <w:lang w:eastAsia="x-none"/>
        </w:rPr>
        <w:t>UE Rx-Tx time difference</w:t>
      </w:r>
      <w:r>
        <w:rPr>
          <w:lang w:eastAsia="x-none"/>
        </w:rPr>
        <w:t xml:space="preserve"> with potential adjustment. Lastly, option 4 is based on the </w:t>
      </w:r>
      <w:r w:rsidR="00F40728">
        <w:rPr>
          <w:lang w:eastAsia="x-none"/>
        </w:rPr>
        <w:t>TA value</w:t>
      </w:r>
      <w:r>
        <w:rPr>
          <w:lang w:eastAsia="x-none"/>
        </w:rPr>
        <w:t xml:space="preserve">. </w:t>
      </w:r>
      <w:r w:rsidR="00F40728">
        <w:rPr>
          <w:lang w:eastAsia="x-none"/>
        </w:rPr>
        <w:t xml:space="preserve">Although we have intensive discussion on </w:t>
      </w:r>
      <w:r w:rsidR="00F40728" w:rsidRPr="00F40728">
        <w:rPr>
          <w:lang w:eastAsia="x-none"/>
        </w:rPr>
        <w:t>whether TA value reported by UE is trustful or not</w:t>
      </w:r>
      <w:r w:rsidR="00F40728">
        <w:rPr>
          <w:lang w:eastAsia="x-none"/>
        </w:rPr>
        <w:t xml:space="preserve"> during study phase, it failed to achieve consensus. C</w:t>
      </w:r>
      <w:r w:rsidR="00F40728" w:rsidRPr="00F40728">
        <w:rPr>
          <w:lang w:eastAsia="x-none"/>
        </w:rPr>
        <w:t xml:space="preserve">onsidering the fact that UE-specific TA is based on GNSS measurements which may be faked by a malicious UE, TA information reported by UE is not appropriate for the NW verified UE location unless there is clear agreement that TA information is trustful. Therefore, </w:t>
      </w:r>
      <w:r w:rsidR="00F40728">
        <w:rPr>
          <w:lang w:eastAsia="x-none"/>
        </w:rPr>
        <w:t xml:space="preserve">option 4 is not preferable and can be deprioritized. </w:t>
      </w:r>
    </w:p>
    <w:p w14:paraId="1AB66C33" w14:textId="6EFDFE99" w:rsidR="00F40728" w:rsidRDefault="00F40728" w:rsidP="00F40728">
      <w:pPr>
        <w:spacing w:line="360" w:lineRule="auto"/>
      </w:pPr>
      <w:r w:rsidRPr="001E3B8D">
        <w:rPr>
          <w:rFonts w:eastAsia="맑은 고딕" w:hint="eastAsia"/>
          <w:b/>
        </w:rPr>
        <w:t>Proposal #</w:t>
      </w:r>
      <w:r>
        <w:rPr>
          <w:rFonts w:eastAsia="맑은 고딕"/>
          <w:b/>
        </w:rPr>
        <w:t>2</w:t>
      </w:r>
      <w:r w:rsidRPr="001E3B8D">
        <w:rPr>
          <w:rFonts w:eastAsia="맑은 고딕" w:hint="eastAsia"/>
          <w:b/>
        </w:rPr>
        <w:t xml:space="preserve">: </w:t>
      </w:r>
      <w:r>
        <w:rPr>
          <w:rFonts w:eastAsia="맑은 고딕"/>
          <w:b/>
        </w:rPr>
        <w:t xml:space="preserve">For </w:t>
      </w:r>
      <w:r w:rsidRPr="00F40728">
        <w:rPr>
          <w:rFonts w:eastAsia="맑은 고딕"/>
          <w:b/>
        </w:rPr>
        <w:t>UE Rx-Tx time difference in NTN</w:t>
      </w:r>
      <w:r>
        <w:rPr>
          <w:rFonts w:eastAsia="맑은 고딕"/>
          <w:b/>
        </w:rPr>
        <w:t xml:space="preserve">, deprioritize option 4 (based on TA value).   </w:t>
      </w:r>
    </w:p>
    <w:p w14:paraId="2F3A9C75" w14:textId="38C23057" w:rsidR="00972103" w:rsidRDefault="00972103" w:rsidP="00B87959">
      <w:pPr>
        <w:spacing w:line="360" w:lineRule="auto"/>
        <w:rPr>
          <w:lang w:eastAsia="x-none"/>
        </w:rPr>
      </w:pPr>
    </w:p>
    <w:p w14:paraId="3C1200D9" w14:textId="317D52CC" w:rsidR="00972103" w:rsidRDefault="00F40728" w:rsidP="000F46DC">
      <w:pPr>
        <w:spacing w:line="360" w:lineRule="auto"/>
        <w:ind w:firstLine="228"/>
        <w:rPr>
          <w:lang w:eastAsia="x-none"/>
        </w:rPr>
      </w:pPr>
      <w:r>
        <w:rPr>
          <w:rFonts w:hint="eastAsia"/>
        </w:rPr>
        <w:t xml:space="preserve">Similarly, for enhancing </w:t>
      </w:r>
      <w:r>
        <w:rPr>
          <w:lang w:eastAsia="x-none"/>
        </w:rPr>
        <w:t>gNB</w:t>
      </w:r>
      <w:r w:rsidRPr="00572858">
        <w:rPr>
          <w:lang w:eastAsia="x-none"/>
        </w:rPr>
        <w:t xml:space="preserve"> Rx-Tx time difference</w:t>
      </w:r>
      <w:r>
        <w:rPr>
          <w:lang w:eastAsia="x-none"/>
        </w:rPr>
        <w:t xml:space="preserve"> in NTN, four options were identified. Option 1 considers modification of legacy definition. In option 2, </w:t>
      </w:r>
      <w:r w:rsidR="000F46DC">
        <w:rPr>
          <w:lang w:eastAsia="x-none"/>
        </w:rPr>
        <w:t xml:space="preserve">a single SRS resource is considered for determination of the start of the subframe in the legacy definition. Thus, latency can be reduced at the expense of positioning accuracy. Option 3 uses legacy definition with potential offset values if needed. Lastly, Option 4 does not have any timing association with UE. Among the listed options, Option 3 is preferable since it keeps legacy definition which means less specification impact is expected. </w:t>
      </w:r>
    </w:p>
    <w:p w14:paraId="605E8F7E" w14:textId="0C061530" w:rsidR="002E092D" w:rsidRDefault="000F46DC" w:rsidP="000F46DC">
      <w:pPr>
        <w:spacing w:line="360" w:lineRule="auto"/>
        <w:rPr>
          <w:rFonts w:eastAsia="맑은 고딕"/>
          <w:b/>
        </w:rPr>
      </w:pPr>
      <w:r w:rsidRPr="001E3B8D">
        <w:rPr>
          <w:rFonts w:eastAsia="맑은 고딕" w:hint="eastAsia"/>
          <w:b/>
        </w:rPr>
        <w:t>Proposal #</w:t>
      </w:r>
      <w:r>
        <w:rPr>
          <w:rFonts w:eastAsia="맑은 고딕"/>
          <w:b/>
        </w:rPr>
        <w:t>3</w:t>
      </w:r>
      <w:r w:rsidRPr="001E3B8D">
        <w:rPr>
          <w:rFonts w:eastAsia="맑은 고딕" w:hint="eastAsia"/>
          <w:b/>
        </w:rPr>
        <w:t xml:space="preserve">: </w:t>
      </w:r>
      <w:r>
        <w:rPr>
          <w:rFonts w:eastAsia="맑은 고딕"/>
          <w:b/>
        </w:rPr>
        <w:t>For gNB</w:t>
      </w:r>
      <w:r w:rsidRPr="00F40728">
        <w:rPr>
          <w:rFonts w:eastAsia="맑은 고딕"/>
          <w:b/>
        </w:rPr>
        <w:t xml:space="preserve"> Rx-Tx time difference in NTN</w:t>
      </w:r>
      <w:r>
        <w:rPr>
          <w:rFonts w:eastAsia="맑은 고딕"/>
          <w:b/>
        </w:rPr>
        <w:t xml:space="preserve">, support option 3.   </w:t>
      </w:r>
    </w:p>
    <w:p w14:paraId="6067871C" w14:textId="7EB7319B" w:rsidR="000F46DC" w:rsidRDefault="000F46DC" w:rsidP="000F46DC">
      <w:pPr>
        <w:spacing w:line="360" w:lineRule="auto"/>
        <w:rPr>
          <w:rFonts w:eastAsia="맑은 고딕"/>
          <w:b/>
        </w:rPr>
      </w:pPr>
    </w:p>
    <w:p w14:paraId="1C5CEADD" w14:textId="222FB89D" w:rsidR="007F0DD3" w:rsidRPr="007F0DD3" w:rsidRDefault="007F0DD3" w:rsidP="007F0DD3">
      <w:pPr>
        <w:spacing w:line="360" w:lineRule="auto"/>
        <w:ind w:firstLineChars="100" w:firstLine="220"/>
      </w:pPr>
      <w:r w:rsidRPr="007F0DD3">
        <w:rPr>
          <w:rFonts w:hint="eastAsia"/>
        </w:rPr>
        <w:t xml:space="preserve">If </w:t>
      </w:r>
      <w:r w:rsidRPr="007F0DD3">
        <w:t xml:space="preserve">option </w:t>
      </w:r>
      <w:r>
        <w:t>3</w:t>
      </w:r>
      <w:r w:rsidRPr="007F0DD3">
        <w:t xml:space="preserve"> is supported, following issues need to be further considered. One issue is how to reflect timing error / delay due to processing time in satellite and movement of satellite and/or UE. One way is to let LMF kn</w:t>
      </w:r>
      <w:r w:rsidR="00FF6C1B">
        <w:t>ow the information such as ephemeris, satellite/UE</w:t>
      </w:r>
      <w:r w:rsidRPr="007F0DD3">
        <w:t xml:space="preserve"> movement, etc. In this way, LMF </w:t>
      </w:r>
      <w:r w:rsidRPr="007F0DD3">
        <w:lastRenderedPageBreak/>
        <w:t xml:space="preserve">can handle delay/error caused by satellite and/or UE movement. Also, feeder link delay (e.g., Kmac and/or common TA) needs to be signaled to LMF for the RTT calculation. </w:t>
      </w:r>
    </w:p>
    <w:p w14:paraId="54F711DA" w14:textId="72FD6222" w:rsidR="000F46DC" w:rsidRPr="007F0DD3" w:rsidRDefault="007F0DD3" w:rsidP="007F0DD3">
      <w:pPr>
        <w:spacing w:line="360" w:lineRule="auto"/>
        <w:ind w:firstLineChars="100" w:firstLine="220"/>
        <w:rPr>
          <w:rFonts w:eastAsia="맑은 고딕"/>
          <w:b/>
        </w:rPr>
      </w:pPr>
      <w:r w:rsidRPr="007F0DD3">
        <w:t xml:space="preserve">Another issue is whether some enhancement on configuration of DL-PRS and SRS for the multiple measurements of UE Rx-Tx time difference and reporting of multiple UE Rx-Tx time difference are needed for multi-RTT based NW verified UE positioning. For example, one or more DL-PRS resources with the same or different ids can be associated for multiple measurements. In that case, some enhancement on configuring PRS/SRS and reporting multiple measurements with different time stamp may be needed.  </w:t>
      </w:r>
    </w:p>
    <w:p w14:paraId="080A1E84" w14:textId="07415F09" w:rsidR="000F46DC" w:rsidRDefault="000F46DC" w:rsidP="000F46DC">
      <w:pPr>
        <w:spacing w:line="360" w:lineRule="auto"/>
        <w:rPr>
          <w:rFonts w:eastAsia="맑은 고딕"/>
          <w:b/>
        </w:rPr>
      </w:pPr>
    </w:p>
    <w:p w14:paraId="190C608D" w14:textId="18000ADD" w:rsidR="002E092D" w:rsidRDefault="002E092D" w:rsidP="002E092D">
      <w:pPr>
        <w:pStyle w:val="2"/>
      </w:pPr>
      <w:r w:rsidRPr="002E092D">
        <w:rPr>
          <w:rFonts w:eastAsia="맑은 고딕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194B99F" wp14:editId="1168D8CA">
                <wp:simplePos x="0" y="0"/>
                <wp:positionH relativeFrom="column">
                  <wp:posOffset>-45720</wp:posOffset>
                </wp:positionH>
                <wp:positionV relativeFrom="paragraph">
                  <wp:posOffset>480060</wp:posOffset>
                </wp:positionV>
                <wp:extent cx="5775960" cy="2491740"/>
                <wp:effectExtent l="0" t="0" r="15240" b="2286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5960" cy="2491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12C32" w14:textId="4EC4A1E2" w:rsidR="00057949" w:rsidRPr="00EA1D95" w:rsidRDefault="00057949" w:rsidP="002E092D">
                            <w:pPr>
                              <w:rPr>
                                <w:b/>
                                <w:bCs/>
                                <w:szCs w:val="20"/>
                                <w:lang w:eastAsia="x-none"/>
                              </w:rPr>
                            </w:pPr>
                            <w:r w:rsidRPr="00EA1D95">
                              <w:rPr>
                                <w:b/>
                                <w:bCs/>
                                <w:szCs w:val="20"/>
                                <w:highlight w:val="green"/>
                                <w:lang w:eastAsia="x-none"/>
                              </w:rPr>
                              <w:t>Agreement</w:t>
                            </w:r>
                          </w:p>
                          <w:p w14:paraId="4FD92519" w14:textId="77777777" w:rsidR="00057949" w:rsidRPr="00EA1D95" w:rsidRDefault="00057949" w:rsidP="002E092D">
                            <w:pPr>
                              <w:pStyle w:val="3GPPNormalText"/>
                              <w:rPr>
                                <w:sz w:val="20"/>
                                <w:szCs w:val="20"/>
                              </w:rPr>
                            </w:pPr>
                            <w:r w:rsidRPr="00EA1D95">
                              <w:rPr>
                                <w:sz w:val="20"/>
                                <w:szCs w:val="20"/>
                                <w:lang w:val="en-US"/>
                              </w:rPr>
                              <w:t>Study</w:t>
                            </w:r>
                            <w:r w:rsidRPr="00EA1D95">
                              <w:rPr>
                                <w:sz w:val="20"/>
                                <w:szCs w:val="20"/>
                              </w:rPr>
                              <w:t xml:space="preserve"> the following options to resolve the mirror positions ambiguity</w:t>
                            </w:r>
                            <w:r w:rsidRPr="00EA1D95">
                              <w:rPr>
                                <w:sz w:val="20"/>
                                <w:szCs w:val="20"/>
                                <w:lang w:eastAsia="zh-TW"/>
                              </w:rPr>
                              <w:t xml:space="preserve"> for multi-RTT positioning</w:t>
                            </w:r>
                            <w:r w:rsidRPr="00EA1D95">
                              <w:rPr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58710CFE" w14:textId="77777777" w:rsidR="00057949" w:rsidRPr="00EA1D95" w:rsidRDefault="00057949" w:rsidP="002E092D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napToGrid w:val="0"/>
                              <w:spacing w:after="0" w:line="240" w:lineRule="auto"/>
                              <w:ind w:left="720"/>
                              <w:jc w:val="left"/>
                              <w:rPr>
                                <w:szCs w:val="20"/>
                              </w:rPr>
                            </w:pPr>
                            <w:r w:rsidRPr="00EA1D95">
                              <w:rPr>
                                <w:szCs w:val="20"/>
                              </w:rPr>
                              <w:t>Option 1: gNB or LMF implementation to solve the mirror error issue.</w:t>
                            </w:r>
                          </w:p>
                          <w:p w14:paraId="040C4F1C" w14:textId="77777777" w:rsidR="00057949" w:rsidRPr="00EA1D95" w:rsidRDefault="00057949" w:rsidP="002E092D">
                            <w:pPr>
                              <w:widowControl/>
                              <w:numPr>
                                <w:ilvl w:val="1"/>
                                <w:numId w:val="17"/>
                              </w:numPr>
                              <w:wordWrap/>
                              <w:autoSpaceDE/>
                              <w:autoSpaceDN/>
                              <w:snapToGrid w:val="0"/>
                              <w:spacing w:after="0" w:line="240" w:lineRule="auto"/>
                              <w:jc w:val="left"/>
                              <w:rPr>
                                <w:szCs w:val="20"/>
                              </w:rPr>
                            </w:pPr>
                            <w:r w:rsidRPr="00EA1D95">
                              <w:rPr>
                                <w:szCs w:val="20"/>
                              </w:rPr>
                              <w:t>FFS: whether there is spec impact</w:t>
                            </w:r>
                          </w:p>
                          <w:p w14:paraId="674388B0" w14:textId="77777777" w:rsidR="00057949" w:rsidRPr="00EA1D95" w:rsidRDefault="00057949" w:rsidP="002E092D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napToGrid w:val="0"/>
                              <w:spacing w:after="0" w:line="240" w:lineRule="auto"/>
                              <w:ind w:left="720"/>
                              <w:jc w:val="left"/>
                              <w:rPr>
                                <w:szCs w:val="20"/>
                              </w:rPr>
                            </w:pPr>
                            <w:r w:rsidRPr="00EA1D95">
                              <w:rPr>
                                <w:szCs w:val="20"/>
                              </w:rPr>
                              <w:t>Option 2: Reuse existing ECID method (e.g. combine UE neighbor measurements to solve the ambiguity between mirror positions), with potential enhancements</w:t>
                            </w:r>
                          </w:p>
                          <w:p w14:paraId="24DFA586" w14:textId="77777777" w:rsidR="00057949" w:rsidRPr="00EA1D95" w:rsidRDefault="00057949" w:rsidP="002E092D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napToGrid w:val="0"/>
                              <w:spacing w:after="0" w:line="240" w:lineRule="auto"/>
                              <w:ind w:left="720"/>
                              <w:jc w:val="left"/>
                              <w:rPr>
                                <w:szCs w:val="20"/>
                              </w:rPr>
                            </w:pPr>
                            <w:r w:rsidRPr="00EA1D95">
                              <w:rPr>
                                <w:szCs w:val="20"/>
                              </w:rPr>
                              <w:t>Option 3: NR NTN UE should report the Doppler calculated on the service link</w:t>
                            </w:r>
                          </w:p>
                          <w:p w14:paraId="32DDDA80" w14:textId="77777777" w:rsidR="00057949" w:rsidRPr="00EA1D95" w:rsidRDefault="00057949" w:rsidP="002E092D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napToGrid w:val="0"/>
                              <w:spacing w:after="0" w:line="240" w:lineRule="auto"/>
                              <w:ind w:left="720"/>
                              <w:jc w:val="left"/>
                              <w:rPr>
                                <w:szCs w:val="20"/>
                              </w:rPr>
                            </w:pPr>
                            <w:r w:rsidRPr="00EA1D95">
                              <w:rPr>
                                <w:szCs w:val="20"/>
                              </w:rPr>
                              <w:t>Option 4: a VSAT UE should report its beam pointing in respect to satellite beam line of sight</w:t>
                            </w:r>
                          </w:p>
                          <w:p w14:paraId="04142BA8" w14:textId="77777777" w:rsidR="00057949" w:rsidRPr="001744CB" w:rsidRDefault="00057949" w:rsidP="002E092D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napToGrid w:val="0"/>
                              <w:spacing w:after="0" w:line="240" w:lineRule="auto"/>
                              <w:ind w:left="720"/>
                              <w:jc w:val="left"/>
                              <w:rPr>
                                <w:szCs w:val="20"/>
                              </w:rPr>
                            </w:pPr>
                            <w:r w:rsidRPr="00EA1D95">
                              <w:rPr>
                                <w:szCs w:val="20"/>
                              </w:rPr>
                              <w:t xml:space="preserve">Option 5: </w:t>
                            </w:r>
                            <w:r w:rsidRPr="001744CB">
                              <w:rPr>
                                <w:szCs w:val="20"/>
                              </w:rPr>
                              <w:t>Reporting of cell coverage information (e.g. cell footprint and reference point, or antenna pattern) to the LMF</w:t>
                            </w:r>
                          </w:p>
                          <w:p w14:paraId="14DB86A1" w14:textId="77777777" w:rsidR="00057949" w:rsidRPr="001744CB" w:rsidRDefault="00057949" w:rsidP="002E092D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napToGrid w:val="0"/>
                              <w:spacing w:after="0" w:line="240" w:lineRule="auto"/>
                              <w:ind w:left="720"/>
                              <w:jc w:val="left"/>
                              <w:rPr>
                                <w:szCs w:val="20"/>
                              </w:rPr>
                            </w:pPr>
                            <w:r w:rsidRPr="00EA1D95">
                              <w:rPr>
                                <w:szCs w:val="20"/>
                              </w:rPr>
                              <w:t>Option 6:</w:t>
                            </w:r>
                            <w:r w:rsidRPr="001744CB">
                              <w:rPr>
                                <w:szCs w:val="20"/>
                              </w:rPr>
                              <w:t xml:space="preserve"> Support and potentially enhance the optional Rel-17 UL-AoA measurements defined for multi-RTT positioning</w:t>
                            </w:r>
                            <w:r w:rsidRPr="00EA1D95">
                              <w:rPr>
                                <w:szCs w:val="20"/>
                              </w:rPr>
                              <w:t>Other solutions are not precluded</w:t>
                            </w:r>
                          </w:p>
                          <w:p w14:paraId="08512806" w14:textId="238C0C67" w:rsidR="00057949" w:rsidRPr="002E092D" w:rsidRDefault="0005794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94B99F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-3.6pt;margin-top:37.8pt;width:454.8pt;height:196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">
                <v:textbox>
                  <w:txbxContent>
                    <w:p w14:paraId="0A112C32" w14:textId="4EC4A1E2" w:rsidR="00057949" w:rsidRPr="00EA1D95" w:rsidRDefault="00057949" w:rsidP="002E092D">
                      <w:pPr>
                        <w:rPr>
                          <w:b/>
                          <w:bCs/>
                          <w:szCs w:val="20"/>
                          <w:lang w:eastAsia="x-none"/>
                        </w:rPr>
                      </w:pPr>
                      <w:r w:rsidRPr="00EA1D95">
                        <w:rPr>
                          <w:b/>
                          <w:bCs/>
                          <w:szCs w:val="20"/>
                          <w:highlight w:val="green"/>
                          <w:lang w:eastAsia="x-none"/>
                        </w:rPr>
                        <w:t>Agreement</w:t>
                      </w:r>
                    </w:p>
                    <w:p w14:paraId="4FD92519" w14:textId="77777777" w:rsidR="00057949" w:rsidRPr="00EA1D95" w:rsidRDefault="00057949" w:rsidP="002E092D">
                      <w:pPr>
                        <w:pStyle w:val="3GPPNormalText"/>
                        <w:rPr>
                          <w:sz w:val="20"/>
                          <w:szCs w:val="20"/>
                        </w:rPr>
                      </w:pPr>
                      <w:r w:rsidRPr="00EA1D95">
                        <w:rPr>
                          <w:sz w:val="20"/>
                          <w:szCs w:val="20"/>
                          <w:lang w:val="en-US"/>
                        </w:rPr>
                        <w:t>Study</w:t>
                      </w:r>
                      <w:r w:rsidRPr="00EA1D95">
                        <w:rPr>
                          <w:sz w:val="20"/>
                          <w:szCs w:val="20"/>
                        </w:rPr>
                        <w:t xml:space="preserve"> the following options to resolve the mirror positions ambiguity</w:t>
                      </w:r>
                      <w:r w:rsidRPr="00EA1D95">
                        <w:rPr>
                          <w:sz w:val="20"/>
                          <w:szCs w:val="20"/>
                          <w:lang w:eastAsia="zh-TW"/>
                        </w:rPr>
                        <w:t xml:space="preserve"> for multi-RTT positioning</w:t>
                      </w:r>
                      <w:r w:rsidRPr="00EA1D95">
                        <w:rPr>
                          <w:sz w:val="20"/>
                          <w:szCs w:val="20"/>
                        </w:rPr>
                        <w:t>:</w:t>
                      </w:r>
                    </w:p>
                    <w:p w14:paraId="58710CFE" w14:textId="77777777" w:rsidR="00057949" w:rsidRPr="00EA1D95" w:rsidRDefault="00057949" w:rsidP="002E092D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napToGrid w:val="0"/>
                        <w:spacing w:after="0" w:line="240" w:lineRule="auto"/>
                        <w:ind w:left="720"/>
                        <w:jc w:val="left"/>
                        <w:rPr>
                          <w:szCs w:val="20"/>
                        </w:rPr>
                      </w:pPr>
                      <w:r w:rsidRPr="00EA1D95">
                        <w:rPr>
                          <w:szCs w:val="20"/>
                        </w:rPr>
                        <w:t>Option 1: gNB or LMF implementation to solve the mirror error issue.</w:t>
                      </w:r>
                    </w:p>
                    <w:p w14:paraId="040C4F1C" w14:textId="77777777" w:rsidR="00057949" w:rsidRPr="00EA1D95" w:rsidRDefault="00057949" w:rsidP="002E092D">
                      <w:pPr>
                        <w:widowControl/>
                        <w:numPr>
                          <w:ilvl w:val="1"/>
                          <w:numId w:val="17"/>
                        </w:numPr>
                        <w:wordWrap/>
                        <w:autoSpaceDE/>
                        <w:autoSpaceDN/>
                        <w:snapToGrid w:val="0"/>
                        <w:spacing w:after="0" w:line="240" w:lineRule="auto"/>
                        <w:jc w:val="left"/>
                        <w:rPr>
                          <w:szCs w:val="20"/>
                        </w:rPr>
                      </w:pPr>
                      <w:r w:rsidRPr="00EA1D95">
                        <w:rPr>
                          <w:szCs w:val="20"/>
                        </w:rPr>
                        <w:t>FFS: whether there is spec impact</w:t>
                      </w:r>
                    </w:p>
                    <w:p w14:paraId="674388B0" w14:textId="77777777" w:rsidR="00057949" w:rsidRPr="00EA1D95" w:rsidRDefault="00057949" w:rsidP="002E092D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napToGrid w:val="0"/>
                        <w:spacing w:after="0" w:line="240" w:lineRule="auto"/>
                        <w:ind w:left="720"/>
                        <w:jc w:val="left"/>
                        <w:rPr>
                          <w:szCs w:val="20"/>
                        </w:rPr>
                      </w:pPr>
                      <w:r w:rsidRPr="00EA1D95">
                        <w:rPr>
                          <w:szCs w:val="20"/>
                        </w:rPr>
                        <w:t>Option 2: Reuse existing ECID method (e.g. combine UE neighbor measurements to solve the ambiguity between mirror positions), with potential enhancements</w:t>
                      </w:r>
                    </w:p>
                    <w:p w14:paraId="24DFA586" w14:textId="77777777" w:rsidR="00057949" w:rsidRPr="00EA1D95" w:rsidRDefault="00057949" w:rsidP="002E092D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napToGrid w:val="0"/>
                        <w:spacing w:after="0" w:line="240" w:lineRule="auto"/>
                        <w:ind w:left="720"/>
                        <w:jc w:val="left"/>
                        <w:rPr>
                          <w:szCs w:val="20"/>
                        </w:rPr>
                      </w:pPr>
                      <w:r w:rsidRPr="00EA1D95">
                        <w:rPr>
                          <w:szCs w:val="20"/>
                        </w:rPr>
                        <w:t>Option 3: NR NTN UE should report the Doppler calculated on the service link</w:t>
                      </w:r>
                    </w:p>
                    <w:p w14:paraId="32DDDA80" w14:textId="77777777" w:rsidR="00057949" w:rsidRPr="00EA1D95" w:rsidRDefault="00057949" w:rsidP="002E092D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napToGrid w:val="0"/>
                        <w:spacing w:after="0" w:line="240" w:lineRule="auto"/>
                        <w:ind w:left="720"/>
                        <w:jc w:val="left"/>
                        <w:rPr>
                          <w:szCs w:val="20"/>
                        </w:rPr>
                      </w:pPr>
                      <w:r w:rsidRPr="00EA1D95">
                        <w:rPr>
                          <w:szCs w:val="20"/>
                        </w:rPr>
                        <w:t>Option 4: a VSAT UE should report its beam pointing in respect to satellite beam line of sight</w:t>
                      </w:r>
                    </w:p>
                    <w:p w14:paraId="04142BA8" w14:textId="77777777" w:rsidR="00057949" w:rsidRPr="001744CB" w:rsidRDefault="00057949" w:rsidP="002E092D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napToGrid w:val="0"/>
                        <w:spacing w:after="0" w:line="240" w:lineRule="auto"/>
                        <w:ind w:left="720"/>
                        <w:jc w:val="left"/>
                        <w:rPr>
                          <w:szCs w:val="20"/>
                        </w:rPr>
                      </w:pPr>
                      <w:r w:rsidRPr="00EA1D95">
                        <w:rPr>
                          <w:szCs w:val="20"/>
                        </w:rPr>
                        <w:t xml:space="preserve">Option 5: </w:t>
                      </w:r>
                      <w:r w:rsidRPr="001744CB">
                        <w:rPr>
                          <w:szCs w:val="20"/>
                        </w:rPr>
                        <w:t>Reporting of cell coverage information (e.g. cell footprint and reference point, or antenna pattern) to the LMF</w:t>
                      </w:r>
                    </w:p>
                    <w:p w14:paraId="14DB86A1" w14:textId="77777777" w:rsidR="00057949" w:rsidRPr="001744CB" w:rsidRDefault="00057949" w:rsidP="002E092D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napToGrid w:val="0"/>
                        <w:spacing w:after="0" w:line="240" w:lineRule="auto"/>
                        <w:ind w:left="720"/>
                        <w:jc w:val="left"/>
                        <w:rPr>
                          <w:szCs w:val="20"/>
                        </w:rPr>
                      </w:pPr>
                      <w:r w:rsidRPr="00EA1D95">
                        <w:rPr>
                          <w:szCs w:val="20"/>
                        </w:rPr>
                        <w:t>Option 6:</w:t>
                      </w:r>
                      <w:r w:rsidRPr="001744CB">
                        <w:rPr>
                          <w:szCs w:val="20"/>
                        </w:rPr>
                        <w:t xml:space="preserve"> Support and potentially enhance the optional Rel-17 UL-AoA measurements defined for multi-RTT positioning</w:t>
                      </w:r>
                      <w:r w:rsidRPr="00EA1D95">
                        <w:rPr>
                          <w:szCs w:val="20"/>
                        </w:rPr>
                        <w:t>Other solutions are not precluded</w:t>
                      </w:r>
                    </w:p>
                    <w:p w14:paraId="08512806" w14:textId="238C0C67" w:rsidR="00057949" w:rsidRPr="002E092D" w:rsidRDefault="00057949"/>
                  </w:txbxContent>
                </v:textbox>
                <w10:wrap type="topAndBottom"/>
              </v:shape>
            </w:pict>
          </mc:Fallback>
        </mc:AlternateContent>
      </w:r>
      <w:r>
        <w:t xml:space="preserve">Mirror position ambiguity for single satellite based </w:t>
      </w:r>
      <w:r>
        <w:rPr>
          <w:rFonts w:hint="eastAsia"/>
        </w:rPr>
        <w:t>m</w:t>
      </w:r>
      <w:r>
        <w:t>ulti-RTT</w:t>
      </w:r>
    </w:p>
    <w:p w14:paraId="65242B9A" w14:textId="49611154" w:rsidR="00F3509A" w:rsidRDefault="002E092D" w:rsidP="00DA7C27">
      <w:pPr>
        <w:tabs>
          <w:tab w:val="left" w:pos="5410"/>
        </w:tabs>
        <w:spacing w:line="360" w:lineRule="auto"/>
        <w:ind w:firstLineChars="100" w:firstLine="220"/>
        <w:rPr>
          <w:rFonts w:eastAsia="맑은 고딕"/>
          <w:b/>
        </w:rPr>
      </w:pPr>
      <w:r>
        <w:rPr>
          <w:rFonts w:eastAsia="맑은 고딕" w:hint="eastAsia"/>
        </w:rPr>
        <w:t>As captured above, potential solution</w:t>
      </w:r>
      <w:r>
        <w:rPr>
          <w:rFonts w:eastAsia="맑은 고딕"/>
        </w:rPr>
        <w:t>s</w:t>
      </w:r>
      <w:r>
        <w:rPr>
          <w:rFonts w:eastAsia="맑은 고딕" w:hint="eastAsia"/>
        </w:rPr>
        <w:t xml:space="preserve"> for mirror position ambiguity for single satellite based multi-RTT </w:t>
      </w:r>
      <w:r>
        <w:rPr>
          <w:rFonts w:eastAsia="맑은 고딕"/>
        </w:rPr>
        <w:t xml:space="preserve">were listed in the last meeting. Option 1 is based on the gNB or LMF implementation. For example, gNB beamforming be used to resolve this issue. With this option, it has a benefit that no or minimized specification impact is expected. </w:t>
      </w:r>
      <w:r w:rsidR="00DA7C27">
        <w:rPr>
          <w:rFonts w:eastAsia="맑은 고딕" w:hint="eastAsia"/>
        </w:rPr>
        <w:t>Other options require additional specification impact</w:t>
      </w:r>
      <w:r w:rsidR="00DA7C27">
        <w:rPr>
          <w:rFonts w:eastAsia="맑은 고딕"/>
        </w:rPr>
        <w:t xml:space="preserve"> and/or UE complexity</w:t>
      </w:r>
      <w:r w:rsidR="00DA7C27">
        <w:rPr>
          <w:rFonts w:eastAsia="맑은 고딕" w:hint="eastAsia"/>
        </w:rPr>
        <w:t xml:space="preserve"> to solve the same ambiguity problem.</w:t>
      </w:r>
      <w:r w:rsidR="00DA7C27">
        <w:rPr>
          <w:rFonts w:eastAsia="맑은 고딕"/>
        </w:rPr>
        <w:t xml:space="preserve"> Therefore, if there are no significant advantages from adopting </w:t>
      </w:r>
      <w:r w:rsidR="00AE4E5B">
        <w:rPr>
          <w:rFonts w:eastAsia="맑은 고딕"/>
        </w:rPr>
        <w:t xml:space="preserve">either </w:t>
      </w:r>
      <w:r w:rsidR="00DA7C27">
        <w:rPr>
          <w:rFonts w:eastAsia="맑은 고딕"/>
        </w:rPr>
        <w:t xml:space="preserve">option 2 to 6, option 1 should be supported. </w:t>
      </w:r>
      <w:bookmarkStart w:id="0" w:name="_GoBack"/>
      <w:bookmarkEnd w:id="0"/>
    </w:p>
    <w:p w14:paraId="77A20E8A" w14:textId="08489B19" w:rsidR="00FA4597" w:rsidRDefault="00DA7C27" w:rsidP="00DA7C27">
      <w:pPr>
        <w:spacing w:line="360" w:lineRule="auto"/>
        <w:contextualSpacing/>
        <w:rPr>
          <w:rFonts w:eastAsia="맑은 고딕"/>
        </w:rPr>
      </w:pPr>
      <w:r w:rsidRPr="001E3B8D">
        <w:rPr>
          <w:rFonts w:eastAsia="맑은 고딕" w:hint="eastAsia"/>
          <w:b/>
        </w:rPr>
        <w:t>Proposal #</w:t>
      </w:r>
      <w:r w:rsidR="000F46DC">
        <w:rPr>
          <w:rFonts w:eastAsia="맑은 고딕"/>
          <w:b/>
        </w:rPr>
        <w:t>4</w:t>
      </w:r>
      <w:r w:rsidRPr="00DA7C27">
        <w:rPr>
          <w:rFonts w:eastAsia="맑은 고딕" w:hint="eastAsia"/>
          <w:b/>
        </w:rPr>
        <w:t xml:space="preserve">: </w:t>
      </w:r>
      <w:r w:rsidRPr="00DA7C27">
        <w:rPr>
          <w:rFonts w:eastAsia="맑은 고딕"/>
          <w:b/>
        </w:rPr>
        <w:t xml:space="preserve">Support option 1 (based on </w:t>
      </w:r>
      <w:r w:rsidRPr="00DA7C27">
        <w:rPr>
          <w:b/>
          <w:szCs w:val="20"/>
        </w:rPr>
        <w:t xml:space="preserve">gNB or LMF implementation) </w:t>
      </w:r>
      <w:r w:rsidRPr="00DA7C27">
        <w:rPr>
          <w:rFonts w:eastAsia="맑은 고딕"/>
          <w:b/>
        </w:rPr>
        <w:t>for resolving mirror position</w:t>
      </w:r>
      <w:r>
        <w:rPr>
          <w:rFonts w:eastAsia="맑은 고딕"/>
          <w:b/>
        </w:rPr>
        <w:t>s</w:t>
      </w:r>
      <w:r w:rsidRPr="00DA7C27">
        <w:rPr>
          <w:rFonts w:eastAsia="맑은 고딕"/>
          <w:b/>
        </w:rPr>
        <w:t xml:space="preserve"> ambiguity </w:t>
      </w:r>
      <w:r>
        <w:rPr>
          <w:rFonts w:eastAsia="맑은 고딕"/>
          <w:b/>
        </w:rPr>
        <w:t>in</w:t>
      </w:r>
      <w:r w:rsidRPr="00DA7C27">
        <w:rPr>
          <w:rFonts w:eastAsia="맑은 고딕"/>
          <w:b/>
        </w:rPr>
        <w:t xml:space="preserve"> single satellite</w:t>
      </w:r>
      <w:r>
        <w:rPr>
          <w:rFonts w:eastAsia="맑은 고딕"/>
          <w:b/>
        </w:rPr>
        <w:t xml:space="preserve"> based</w:t>
      </w:r>
      <w:r w:rsidRPr="00DA7C27">
        <w:rPr>
          <w:rFonts w:eastAsia="맑은 고딕"/>
          <w:b/>
        </w:rPr>
        <w:t xml:space="preserve"> multi-RTT</w:t>
      </w:r>
      <w:r>
        <w:rPr>
          <w:rFonts w:eastAsia="맑은 고딕"/>
          <w:b/>
        </w:rPr>
        <w:t xml:space="preserve"> positioning. </w:t>
      </w:r>
      <w:r w:rsidRPr="00DA7C27">
        <w:rPr>
          <w:rFonts w:eastAsia="맑은 고딕"/>
        </w:rPr>
        <w:t xml:space="preserve"> </w:t>
      </w:r>
    </w:p>
    <w:p w14:paraId="251A53DF" w14:textId="77777777" w:rsidR="00DA7C27" w:rsidRDefault="00DA7C27" w:rsidP="00945400">
      <w:pPr>
        <w:spacing w:line="360" w:lineRule="auto"/>
        <w:contextualSpacing/>
        <w:rPr>
          <w:rFonts w:eastAsia="맑은 고딕"/>
        </w:rPr>
      </w:pPr>
    </w:p>
    <w:p w14:paraId="6A59F3B2" w14:textId="7DAAB805" w:rsidR="007F0DD3" w:rsidRDefault="007F0DD3">
      <w:pPr>
        <w:widowControl/>
        <w:wordWrap/>
        <w:autoSpaceDE/>
        <w:autoSpaceDN/>
        <w:rPr>
          <w:rFonts w:eastAsia="맑은 고딕"/>
          <w:b/>
        </w:rPr>
      </w:pPr>
      <w:r>
        <w:rPr>
          <w:rFonts w:eastAsia="맑은 고딕"/>
          <w:b/>
        </w:rPr>
        <w:br w:type="page"/>
      </w:r>
    </w:p>
    <w:p w14:paraId="6D9F1964" w14:textId="77777777" w:rsidR="00F06030" w:rsidRDefault="00F06030" w:rsidP="00F06030">
      <w:pPr>
        <w:pStyle w:val="1"/>
      </w:pPr>
      <w:r>
        <w:lastRenderedPageBreak/>
        <w:t>C</w:t>
      </w:r>
      <w:r>
        <w:rPr>
          <w:rFonts w:hint="eastAsia"/>
        </w:rPr>
        <w:t>onclusion</w:t>
      </w:r>
    </w:p>
    <w:p w14:paraId="0B9E0027" w14:textId="63F3BE2A" w:rsidR="004B6DF1" w:rsidRPr="004B6DF1" w:rsidRDefault="004B6DF1" w:rsidP="00B12AA2">
      <w:pPr>
        <w:ind w:firstLineChars="100" w:firstLine="220"/>
      </w:pPr>
      <w:r>
        <w:rPr>
          <w:rFonts w:hint="eastAsia"/>
        </w:rPr>
        <w:t xml:space="preserve">In this contribution, we discussed </w:t>
      </w:r>
      <w:r w:rsidR="00EE5374">
        <w:t>on</w:t>
      </w:r>
      <w:r>
        <w:t xml:space="preserve"> </w:t>
      </w:r>
      <w:r w:rsidR="003452E8">
        <w:t>network verified UE location for NR NTN</w:t>
      </w:r>
      <w:r>
        <w:t>. Based on the above discussion, we have the following</w:t>
      </w:r>
      <w:r w:rsidR="00B87959">
        <w:t xml:space="preserve"> </w:t>
      </w:r>
      <w:r>
        <w:t xml:space="preserve">proposals. </w:t>
      </w:r>
    </w:p>
    <w:p w14:paraId="566F87C0" w14:textId="16D1C787" w:rsidR="002629F9" w:rsidRDefault="002629F9" w:rsidP="002629F9">
      <w:pPr>
        <w:pStyle w:val="a6"/>
        <w:ind w:leftChars="0"/>
        <w:rPr>
          <w:rFonts w:eastAsia="맑은 고딕"/>
          <w:b/>
        </w:rPr>
      </w:pPr>
    </w:p>
    <w:p w14:paraId="6A19AC67" w14:textId="77777777" w:rsidR="00572858" w:rsidRDefault="00572858" w:rsidP="00572858">
      <w:pPr>
        <w:spacing w:line="360" w:lineRule="auto"/>
      </w:pPr>
      <w:r w:rsidRPr="001E3B8D">
        <w:rPr>
          <w:rFonts w:eastAsia="맑은 고딕" w:hint="eastAsia"/>
          <w:b/>
        </w:rPr>
        <w:t>Proposal #</w:t>
      </w:r>
      <w:r>
        <w:rPr>
          <w:rFonts w:eastAsia="맑은 고딕"/>
          <w:b/>
        </w:rPr>
        <w:t>1</w:t>
      </w:r>
      <w:r w:rsidRPr="001E3B8D">
        <w:rPr>
          <w:rFonts w:eastAsia="맑은 고딕" w:hint="eastAsia"/>
          <w:b/>
        </w:rPr>
        <w:t xml:space="preserve">: </w:t>
      </w:r>
      <w:r>
        <w:rPr>
          <w:rFonts w:eastAsia="맑은 고딕"/>
          <w:b/>
        </w:rPr>
        <w:t xml:space="preserve">Support option 3 </w:t>
      </w:r>
      <w:r w:rsidRPr="00572858">
        <w:rPr>
          <w:rFonts w:eastAsia="맑은 고딕"/>
          <w:b/>
        </w:rPr>
        <w:t>(on the gNB</w:t>
      </w:r>
      <w:r>
        <w:rPr>
          <w:rFonts w:eastAsia="맑은 고딕"/>
          <w:b/>
        </w:rPr>
        <w:t xml:space="preserve">) for the </w:t>
      </w:r>
      <w:r w:rsidRPr="00572858">
        <w:rPr>
          <w:rFonts w:eastAsia="맑은 고딕"/>
          <w:b/>
        </w:rPr>
        <w:t>reference point for defin</w:t>
      </w:r>
      <w:r>
        <w:rPr>
          <w:rFonts w:eastAsia="맑은 고딕"/>
          <w:b/>
        </w:rPr>
        <w:t xml:space="preserve">ing </w:t>
      </w:r>
      <w:r w:rsidRPr="00572858">
        <w:rPr>
          <w:rFonts w:eastAsia="맑은 고딕"/>
          <w:b/>
        </w:rPr>
        <w:t>gNB Rx–Tx time difference measurement</w:t>
      </w:r>
      <w:r>
        <w:rPr>
          <w:rFonts w:eastAsia="맑은 고딕"/>
          <w:b/>
        </w:rPr>
        <w:t xml:space="preserve">. </w:t>
      </w:r>
    </w:p>
    <w:p w14:paraId="1FFFCD91" w14:textId="77777777" w:rsidR="000F46DC" w:rsidRDefault="000F46DC" w:rsidP="000F46DC">
      <w:pPr>
        <w:spacing w:line="360" w:lineRule="auto"/>
      </w:pPr>
      <w:r w:rsidRPr="001E3B8D">
        <w:rPr>
          <w:rFonts w:eastAsia="맑은 고딕" w:hint="eastAsia"/>
          <w:b/>
        </w:rPr>
        <w:t>Proposal #</w:t>
      </w:r>
      <w:r>
        <w:rPr>
          <w:rFonts w:eastAsia="맑은 고딕"/>
          <w:b/>
        </w:rPr>
        <w:t>2</w:t>
      </w:r>
      <w:r w:rsidRPr="001E3B8D">
        <w:rPr>
          <w:rFonts w:eastAsia="맑은 고딕" w:hint="eastAsia"/>
          <w:b/>
        </w:rPr>
        <w:t xml:space="preserve">: </w:t>
      </w:r>
      <w:r>
        <w:rPr>
          <w:rFonts w:eastAsia="맑은 고딕"/>
          <w:b/>
        </w:rPr>
        <w:t xml:space="preserve">For </w:t>
      </w:r>
      <w:r w:rsidRPr="00F40728">
        <w:rPr>
          <w:rFonts w:eastAsia="맑은 고딕"/>
          <w:b/>
        </w:rPr>
        <w:t>UE Rx-Tx time difference in NTN</w:t>
      </w:r>
      <w:r>
        <w:rPr>
          <w:rFonts w:eastAsia="맑은 고딕"/>
          <w:b/>
        </w:rPr>
        <w:t xml:space="preserve">, deprioritize option 4 (based on TA value).   </w:t>
      </w:r>
    </w:p>
    <w:p w14:paraId="5F38EDE5" w14:textId="77777777" w:rsidR="000F46DC" w:rsidRDefault="000F46DC" w:rsidP="000F46DC">
      <w:pPr>
        <w:spacing w:line="360" w:lineRule="auto"/>
        <w:rPr>
          <w:rFonts w:eastAsia="맑은 고딕"/>
          <w:b/>
        </w:rPr>
      </w:pPr>
      <w:r w:rsidRPr="001E3B8D">
        <w:rPr>
          <w:rFonts w:eastAsia="맑은 고딕" w:hint="eastAsia"/>
          <w:b/>
        </w:rPr>
        <w:t>Proposal #</w:t>
      </w:r>
      <w:r>
        <w:rPr>
          <w:rFonts w:eastAsia="맑은 고딕"/>
          <w:b/>
        </w:rPr>
        <w:t>3</w:t>
      </w:r>
      <w:r w:rsidRPr="001E3B8D">
        <w:rPr>
          <w:rFonts w:eastAsia="맑은 고딕" w:hint="eastAsia"/>
          <w:b/>
        </w:rPr>
        <w:t xml:space="preserve">: </w:t>
      </w:r>
      <w:r>
        <w:rPr>
          <w:rFonts w:eastAsia="맑은 고딕"/>
          <w:b/>
        </w:rPr>
        <w:t>For gNB</w:t>
      </w:r>
      <w:r w:rsidRPr="00F40728">
        <w:rPr>
          <w:rFonts w:eastAsia="맑은 고딕"/>
          <w:b/>
        </w:rPr>
        <w:t xml:space="preserve"> Rx-Tx time difference in NTN</w:t>
      </w:r>
      <w:r>
        <w:rPr>
          <w:rFonts w:eastAsia="맑은 고딕"/>
          <w:b/>
        </w:rPr>
        <w:t xml:space="preserve">, support option 3.   </w:t>
      </w:r>
    </w:p>
    <w:p w14:paraId="5E77BFFD" w14:textId="18FB9B8E" w:rsidR="00A72AB5" w:rsidRDefault="00A72AB5" w:rsidP="00A72AB5">
      <w:pPr>
        <w:spacing w:line="360" w:lineRule="auto"/>
        <w:contextualSpacing/>
        <w:rPr>
          <w:rFonts w:eastAsia="맑은 고딕"/>
        </w:rPr>
      </w:pPr>
      <w:r w:rsidRPr="001E3B8D">
        <w:rPr>
          <w:rFonts w:eastAsia="맑은 고딕" w:hint="eastAsia"/>
          <w:b/>
        </w:rPr>
        <w:t>Proposal #</w:t>
      </w:r>
      <w:r w:rsidR="000F46DC">
        <w:rPr>
          <w:rFonts w:eastAsia="맑은 고딕"/>
          <w:b/>
        </w:rPr>
        <w:t>4</w:t>
      </w:r>
      <w:r w:rsidRPr="00DA7C27">
        <w:rPr>
          <w:rFonts w:eastAsia="맑은 고딕" w:hint="eastAsia"/>
          <w:b/>
        </w:rPr>
        <w:t xml:space="preserve">: </w:t>
      </w:r>
      <w:r w:rsidRPr="00DA7C27">
        <w:rPr>
          <w:rFonts w:eastAsia="맑은 고딕"/>
          <w:b/>
        </w:rPr>
        <w:t xml:space="preserve">Support option 1 (based on </w:t>
      </w:r>
      <w:r w:rsidRPr="00DA7C27">
        <w:rPr>
          <w:b/>
          <w:szCs w:val="20"/>
        </w:rPr>
        <w:t xml:space="preserve">gNB or LMF implementation) </w:t>
      </w:r>
      <w:r w:rsidRPr="00DA7C27">
        <w:rPr>
          <w:rFonts w:eastAsia="맑은 고딕"/>
          <w:b/>
        </w:rPr>
        <w:t>for resolving mirror position</w:t>
      </w:r>
      <w:r>
        <w:rPr>
          <w:rFonts w:eastAsia="맑은 고딕"/>
          <w:b/>
        </w:rPr>
        <w:t>s</w:t>
      </w:r>
      <w:r w:rsidRPr="00DA7C27">
        <w:rPr>
          <w:rFonts w:eastAsia="맑은 고딕"/>
          <w:b/>
        </w:rPr>
        <w:t xml:space="preserve"> ambiguity </w:t>
      </w:r>
      <w:r>
        <w:rPr>
          <w:rFonts w:eastAsia="맑은 고딕"/>
          <w:b/>
        </w:rPr>
        <w:t>in</w:t>
      </w:r>
      <w:r w:rsidRPr="00DA7C27">
        <w:rPr>
          <w:rFonts w:eastAsia="맑은 고딕"/>
          <w:b/>
        </w:rPr>
        <w:t xml:space="preserve"> single satellite</w:t>
      </w:r>
      <w:r>
        <w:rPr>
          <w:rFonts w:eastAsia="맑은 고딕"/>
          <w:b/>
        </w:rPr>
        <w:t xml:space="preserve"> based</w:t>
      </w:r>
      <w:r w:rsidRPr="00DA7C27">
        <w:rPr>
          <w:rFonts w:eastAsia="맑은 고딕"/>
          <w:b/>
        </w:rPr>
        <w:t xml:space="preserve"> multi-RTT</w:t>
      </w:r>
      <w:r>
        <w:rPr>
          <w:rFonts w:eastAsia="맑은 고딕"/>
          <w:b/>
        </w:rPr>
        <w:t xml:space="preserve"> positioning. </w:t>
      </w:r>
      <w:r w:rsidRPr="00DA7C27">
        <w:rPr>
          <w:rFonts w:eastAsia="맑은 고딕"/>
        </w:rPr>
        <w:t xml:space="preserve"> </w:t>
      </w:r>
    </w:p>
    <w:p w14:paraId="328C8026" w14:textId="0C80317A" w:rsidR="00561D34" w:rsidRDefault="00561D34">
      <w:pPr>
        <w:widowControl/>
        <w:wordWrap/>
        <w:autoSpaceDE/>
        <w:autoSpaceDN/>
        <w:rPr>
          <w:lang w:val="en-GB"/>
        </w:rPr>
      </w:pPr>
      <w:r>
        <w:rPr>
          <w:lang w:val="en-GB"/>
        </w:rPr>
        <w:br w:type="page"/>
      </w:r>
    </w:p>
    <w:p w14:paraId="6E7A65B0" w14:textId="79F67F97" w:rsidR="00FA4354" w:rsidRDefault="00FA4354" w:rsidP="00FA4354">
      <w:pPr>
        <w:pStyle w:val="1"/>
        <w:numPr>
          <w:ilvl w:val="0"/>
          <w:numId w:val="0"/>
        </w:numPr>
      </w:pPr>
      <w:r>
        <w:lastRenderedPageBreak/>
        <w:t>Annex</w:t>
      </w:r>
    </w:p>
    <w:p w14:paraId="10F27DC3" w14:textId="77777777" w:rsidR="00561D34" w:rsidRPr="00A62D50" w:rsidRDefault="00561D34" w:rsidP="00561D34">
      <w:pPr>
        <w:rPr>
          <w:b/>
          <w:bCs/>
          <w:lang w:eastAsia="x-none"/>
        </w:rPr>
      </w:pPr>
      <w:r w:rsidRPr="00A62D50">
        <w:rPr>
          <w:b/>
          <w:bCs/>
          <w:highlight w:val="green"/>
          <w:lang w:eastAsia="x-none"/>
        </w:rPr>
        <w:t>Agreement</w:t>
      </w:r>
    </w:p>
    <w:p w14:paraId="41CF523E" w14:textId="77777777" w:rsidR="00561D34" w:rsidRPr="00A62D50" w:rsidRDefault="00561D34" w:rsidP="00561D34">
      <w:pPr>
        <w:rPr>
          <w:lang w:eastAsia="x-none"/>
        </w:rPr>
      </w:pPr>
      <w:r w:rsidRPr="00A62D50">
        <w:rPr>
          <w:lang w:eastAsia="x-none"/>
        </w:rPr>
        <w:t xml:space="preserve">Existing DL/UL reference signals for positioning are used for supporting Network verified UE location in NTN. </w:t>
      </w:r>
    </w:p>
    <w:p w14:paraId="4992FB66" w14:textId="77777777" w:rsidR="00561D34" w:rsidRPr="00A62D50" w:rsidRDefault="00561D34" w:rsidP="00561D34">
      <w:pPr>
        <w:rPr>
          <w:bCs/>
          <w:lang w:eastAsia="x-none"/>
        </w:rPr>
      </w:pPr>
      <w:r w:rsidRPr="00A62D50">
        <w:rPr>
          <w:bCs/>
          <w:lang w:eastAsia="x-none"/>
        </w:rPr>
        <w:t>FFS: Whether some enhancements on these reference signals are needed for NTN</w:t>
      </w:r>
    </w:p>
    <w:p w14:paraId="26C360F5" w14:textId="77777777" w:rsidR="00561D34" w:rsidRPr="00A62D50" w:rsidRDefault="00561D34" w:rsidP="00561D34">
      <w:pPr>
        <w:rPr>
          <w:lang w:eastAsia="x-none"/>
        </w:rPr>
      </w:pPr>
    </w:p>
    <w:p w14:paraId="306B55DF" w14:textId="77777777" w:rsidR="00561D34" w:rsidRPr="00A62D50" w:rsidRDefault="00561D34" w:rsidP="00561D34">
      <w:pPr>
        <w:rPr>
          <w:b/>
          <w:bCs/>
          <w:lang w:eastAsia="x-none"/>
        </w:rPr>
      </w:pPr>
      <w:r w:rsidRPr="00A62D50">
        <w:rPr>
          <w:b/>
          <w:bCs/>
          <w:highlight w:val="green"/>
          <w:lang w:eastAsia="x-none"/>
        </w:rPr>
        <w:t>Agreement</w:t>
      </w:r>
    </w:p>
    <w:p w14:paraId="20CA0EB3" w14:textId="77777777" w:rsidR="00561D34" w:rsidRPr="00A62D50" w:rsidRDefault="00561D34" w:rsidP="00561D34">
      <w:pPr>
        <w:rPr>
          <w:lang w:eastAsia="x-none"/>
        </w:rPr>
      </w:pPr>
      <w:r w:rsidRPr="00A62D50">
        <w:rPr>
          <w:lang w:eastAsia="x-none"/>
        </w:rPr>
        <w:t xml:space="preserve">In NTN, for the position of the reference point for </w:t>
      </w:r>
      <w:r>
        <w:rPr>
          <w:lang w:eastAsia="x-none"/>
        </w:rPr>
        <w:t xml:space="preserve">definition of </w:t>
      </w:r>
      <w:r w:rsidRPr="00A62D50">
        <w:rPr>
          <w:lang w:eastAsia="x-none"/>
        </w:rPr>
        <w:t>gNB Rx – Tx time difference measurement</w:t>
      </w:r>
      <w:r>
        <w:rPr>
          <w:lang w:eastAsia="x-none"/>
        </w:rPr>
        <w:t>,</w:t>
      </w:r>
      <w:r w:rsidRPr="00A62D50">
        <w:rPr>
          <w:lang w:eastAsia="x-none"/>
        </w:rPr>
        <w:t xml:space="preserve"> </w:t>
      </w:r>
      <w:r>
        <w:rPr>
          <w:lang w:eastAsia="x-none"/>
        </w:rPr>
        <w:t>consider the following</w:t>
      </w:r>
      <w:r w:rsidRPr="00A62D50">
        <w:rPr>
          <w:lang w:eastAsia="x-none"/>
        </w:rPr>
        <w:t xml:space="preserve"> option</w:t>
      </w:r>
      <w:r>
        <w:rPr>
          <w:lang w:eastAsia="x-none"/>
        </w:rPr>
        <w:t>s</w:t>
      </w:r>
      <w:r w:rsidRPr="00A62D50">
        <w:rPr>
          <w:lang w:eastAsia="x-none"/>
        </w:rPr>
        <w:t>:</w:t>
      </w:r>
    </w:p>
    <w:p w14:paraId="02A2B5D5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18"/>
        </w:rPr>
      </w:pPr>
      <w:r w:rsidRPr="00EA1D95">
        <w:rPr>
          <w:szCs w:val="18"/>
        </w:rPr>
        <w:t>Option 1: Onboard the satellite</w:t>
      </w:r>
    </w:p>
    <w:p w14:paraId="372666D3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18"/>
        </w:rPr>
      </w:pPr>
      <w:r w:rsidRPr="00EA1D95">
        <w:rPr>
          <w:szCs w:val="18"/>
        </w:rPr>
        <w:t>Option 2: The uplink time synchronization reference point</w:t>
      </w:r>
    </w:p>
    <w:p w14:paraId="57437A34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18"/>
        </w:rPr>
      </w:pPr>
      <w:r w:rsidRPr="00EA1D95">
        <w:rPr>
          <w:rFonts w:hint="eastAsia"/>
          <w:szCs w:val="18"/>
        </w:rPr>
        <w:t>O</w:t>
      </w:r>
      <w:r w:rsidRPr="00EA1D95">
        <w:rPr>
          <w:szCs w:val="18"/>
        </w:rPr>
        <w:t>ption 3: on the gNB</w:t>
      </w:r>
    </w:p>
    <w:p w14:paraId="52B40DA8" w14:textId="77777777" w:rsidR="00561D34" w:rsidRPr="00A62D50" w:rsidRDefault="00561D34" w:rsidP="00561D34">
      <w:pPr>
        <w:rPr>
          <w:lang w:eastAsia="x-none"/>
        </w:rPr>
      </w:pPr>
    </w:p>
    <w:p w14:paraId="4F7EAD7F" w14:textId="77777777" w:rsidR="00561D34" w:rsidRPr="00EA1D95" w:rsidRDefault="00561D34" w:rsidP="00561D34">
      <w:pPr>
        <w:rPr>
          <w:b/>
          <w:bCs/>
          <w:szCs w:val="20"/>
          <w:lang w:eastAsia="x-none"/>
        </w:rPr>
      </w:pPr>
      <w:r w:rsidRPr="00EA1D95">
        <w:rPr>
          <w:b/>
          <w:bCs/>
          <w:szCs w:val="20"/>
          <w:highlight w:val="green"/>
          <w:lang w:eastAsia="x-none"/>
        </w:rPr>
        <w:t>Agreement</w:t>
      </w:r>
    </w:p>
    <w:p w14:paraId="49D2BFC5" w14:textId="77777777" w:rsidR="00561D34" w:rsidRPr="00EA1D95" w:rsidRDefault="00561D34" w:rsidP="00561D34">
      <w:pPr>
        <w:pStyle w:val="3GPPNormalText"/>
        <w:spacing w:after="0"/>
        <w:rPr>
          <w:sz w:val="20"/>
          <w:szCs w:val="20"/>
        </w:rPr>
      </w:pPr>
      <w:r w:rsidRPr="00EA1D95">
        <w:rPr>
          <w:sz w:val="20"/>
          <w:szCs w:val="20"/>
        </w:rPr>
        <w:t xml:space="preserve">Select one (or more) of the following options for </w:t>
      </w:r>
      <w:r w:rsidRPr="00EA1D95">
        <w:rPr>
          <w:sz w:val="20"/>
          <w:szCs w:val="20"/>
          <w:lang w:val="en-US"/>
        </w:rPr>
        <w:t>enhancing</w:t>
      </w:r>
      <w:r w:rsidRPr="00EA1D95">
        <w:rPr>
          <w:sz w:val="20"/>
          <w:szCs w:val="20"/>
        </w:rPr>
        <w:t xml:space="preserve"> UE Rx-Tx time difference in NTN</w:t>
      </w:r>
    </w:p>
    <w:p w14:paraId="3513D237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  <w:lang w:eastAsia="en-GB"/>
        </w:rPr>
      </w:pPr>
      <w:r w:rsidRPr="00EA1D95">
        <w:rPr>
          <w:szCs w:val="20"/>
        </w:rPr>
        <w:t>Option 1:</w:t>
      </w:r>
      <w:r w:rsidRPr="00EA1D95">
        <w:rPr>
          <w:szCs w:val="20"/>
          <w:lang w:eastAsia="en-GB"/>
        </w:rPr>
        <w:t xml:space="preserve"> The UE Rx – Tx time difference is defined as T</w:t>
      </w:r>
      <w:r w:rsidRPr="00EA1D95">
        <w:rPr>
          <w:szCs w:val="20"/>
          <w:vertAlign w:val="subscript"/>
          <w:lang w:eastAsia="en-GB"/>
        </w:rPr>
        <w:t>UE-RX</w:t>
      </w:r>
      <w:r w:rsidRPr="00EA1D95">
        <w:rPr>
          <w:szCs w:val="20"/>
          <w:lang w:eastAsia="en-GB"/>
        </w:rPr>
        <w:t xml:space="preserve"> –</w:t>
      </w:r>
      <w:r w:rsidRPr="00EA1D95">
        <w:rPr>
          <w:szCs w:val="20"/>
          <w:vertAlign w:val="subscript"/>
          <w:lang w:eastAsia="en-GB"/>
        </w:rPr>
        <w:t xml:space="preserve"> </w:t>
      </w:r>
      <w:r w:rsidRPr="00EA1D95">
        <w:rPr>
          <w:szCs w:val="20"/>
          <w:lang w:eastAsia="en-GB"/>
        </w:rPr>
        <w:t>T</w:t>
      </w:r>
      <w:r w:rsidRPr="00EA1D95">
        <w:rPr>
          <w:szCs w:val="20"/>
          <w:vertAlign w:val="subscript"/>
          <w:lang w:eastAsia="en-GB"/>
        </w:rPr>
        <w:t>UE-TX</w:t>
      </w:r>
    </w:p>
    <w:p w14:paraId="5474662A" w14:textId="77777777" w:rsidR="00561D34" w:rsidRPr="00EA1D95" w:rsidRDefault="00561D34" w:rsidP="00561D34">
      <w:pPr>
        <w:snapToGrid w:val="0"/>
        <w:ind w:left="720"/>
        <w:rPr>
          <w:szCs w:val="20"/>
          <w:lang w:eastAsia="en-GB"/>
        </w:rPr>
      </w:pPr>
      <w:r w:rsidRPr="00EA1D95">
        <w:rPr>
          <w:szCs w:val="20"/>
          <w:lang w:eastAsia="en-GB"/>
        </w:rPr>
        <w:t>Where:</w:t>
      </w:r>
    </w:p>
    <w:p w14:paraId="10803F77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  <w:lang w:eastAsia="en-GB"/>
        </w:rPr>
      </w:pPr>
      <w:r w:rsidRPr="00EA1D95">
        <w:rPr>
          <w:szCs w:val="20"/>
          <w:lang w:eastAsia="en-GB"/>
        </w:rPr>
        <w:t>UE Rx-Tx time difference is defined with respect to the Rx and Tx subframe timing associated with the TRP.</w:t>
      </w:r>
    </w:p>
    <w:p w14:paraId="230F626B" w14:textId="77777777" w:rsidR="00561D34" w:rsidRPr="00EA1D95" w:rsidRDefault="00561D34" w:rsidP="00561D34">
      <w:pPr>
        <w:snapToGrid w:val="0"/>
        <w:ind w:left="720"/>
        <w:rPr>
          <w:szCs w:val="20"/>
          <w:lang w:eastAsia="en-GB"/>
        </w:rPr>
      </w:pPr>
      <w:r w:rsidRPr="00EA1D95">
        <w:rPr>
          <w:szCs w:val="20"/>
        </w:rPr>
        <w:t xml:space="preserve">For a Transmission Point </w:t>
      </w:r>
    </w:p>
    <w:p w14:paraId="203F6077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  <w:lang w:eastAsia="en-GB"/>
        </w:rPr>
      </w:pPr>
      <w:r w:rsidRPr="00EA1D95">
        <w:rPr>
          <w:szCs w:val="20"/>
          <w:lang w:eastAsia="en-GB"/>
        </w:rPr>
        <w:t>T</w:t>
      </w:r>
      <w:r w:rsidRPr="00EA1D95">
        <w:rPr>
          <w:szCs w:val="20"/>
          <w:vertAlign w:val="subscript"/>
          <w:lang w:eastAsia="en-GB"/>
        </w:rPr>
        <w:t>UE-RX</w:t>
      </w:r>
      <w:r w:rsidRPr="00EA1D95">
        <w:rPr>
          <w:szCs w:val="20"/>
          <w:lang w:eastAsia="en-GB"/>
        </w:rPr>
        <w:t xml:space="preserve"> is the UE received timing of downlink subframe #</w:t>
      </w:r>
      <w:r w:rsidRPr="00EA1D95">
        <w:rPr>
          <w:i/>
          <w:szCs w:val="20"/>
          <w:lang w:eastAsia="en-GB"/>
        </w:rPr>
        <w:t>i</w:t>
      </w:r>
      <w:r w:rsidRPr="00EA1D95">
        <w:rPr>
          <w:szCs w:val="20"/>
          <w:lang w:eastAsia="en-GB"/>
        </w:rPr>
        <w:t xml:space="preserve"> from this </w:t>
      </w:r>
      <w:r w:rsidRPr="00EA1D95">
        <w:rPr>
          <w:szCs w:val="20"/>
          <w:lang w:val="en-IN" w:eastAsia="en-GB"/>
        </w:rPr>
        <w:t>Transmission Point (TP)</w:t>
      </w:r>
      <w:r w:rsidRPr="00EA1D95">
        <w:rPr>
          <w:szCs w:val="20"/>
          <w:lang w:eastAsia="en-GB"/>
        </w:rPr>
        <w:t>, defined by the first detected path in time.</w:t>
      </w:r>
    </w:p>
    <w:p w14:paraId="3A64748C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</w:rPr>
      </w:pPr>
      <w:r w:rsidRPr="00EA1D95">
        <w:rPr>
          <w:szCs w:val="20"/>
          <w:lang w:eastAsia="en-GB"/>
        </w:rPr>
        <w:t>T</w:t>
      </w:r>
      <w:r w:rsidRPr="00EA1D95">
        <w:rPr>
          <w:szCs w:val="20"/>
          <w:vertAlign w:val="subscript"/>
          <w:lang w:eastAsia="en-GB"/>
        </w:rPr>
        <w:t>UE-TX</w:t>
      </w:r>
      <w:r w:rsidRPr="00EA1D95">
        <w:rPr>
          <w:szCs w:val="20"/>
          <w:lang w:eastAsia="en-GB"/>
        </w:rPr>
        <w:t xml:space="preserve"> is the UE transmit timing of the uplink subframe corresponding to subframe #</w:t>
      </w:r>
      <w:r w:rsidRPr="00EA1D95">
        <w:rPr>
          <w:i/>
          <w:szCs w:val="20"/>
          <w:lang w:eastAsia="en-GB"/>
        </w:rPr>
        <w:t>i</w:t>
      </w:r>
      <w:r w:rsidRPr="00EA1D95">
        <w:rPr>
          <w:szCs w:val="20"/>
        </w:rPr>
        <w:t xml:space="preserve"> </w:t>
      </w:r>
      <w:r w:rsidRPr="00EA1D95">
        <w:rPr>
          <w:szCs w:val="20"/>
          <w:lang w:eastAsia="en-GB"/>
        </w:rPr>
        <w:t>received from the TP</w:t>
      </w:r>
    </w:p>
    <w:p w14:paraId="3AD7E4FE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  <w:lang w:eastAsia="en-GB"/>
        </w:rPr>
      </w:pPr>
      <w:r w:rsidRPr="00EA1D95">
        <w:rPr>
          <w:szCs w:val="20"/>
          <w:lang w:eastAsia="en-GB"/>
        </w:rPr>
        <w:t>One or multiple DL RS for positioning, as instructed by higher layers, can be used to determine the start of one subframe of the first arrival path of the TP.</w:t>
      </w:r>
    </w:p>
    <w:p w14:paraId="0778BEB7" w14:textId="77777777" w:rsidR="00561D34" w:rsidRPr="00EA1D95" w:rsidRDefault="00561D34" w:rsidP="00561D34">
      <w:pPr>
        <w:snapToGrid w:val="0"/>
        <w:ind w:left="720"/>
        <w:rPr>
          <w:szCs w:val="20"/>
        </w:rPr>
      </w:pPr>
      <w:r w:rsidRPr="00EA1D95">
        <w:rPr>
          <w:szCs w:val="20"/>
          <w:lang w:eastAsia="en-GB"/>
        </w:rPr>
        <w:t>FFS: For a Transmission Point different from the serving cell (e.g. a DL-PRS-only TP)</w:t>
      </w:r>
    </w:p>
    <w:p w14:paraId="3E392F2C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i/>
          <w:iCs/>
          <w:szCs w:val="20"/>
          <w:lang w:eastAsia="en-GB"/>
        </w:rPr>
      </w:pPr>
      <w:r w:rsidRPr="00EA1D95">
        <w:rPr>
          <w:iCs/>
          <w:szCs w:val="20"/>
          <w:lang w:eastAsia="en-GB"/>
        </w:rPr>
        <w:t>Option 2</w:t>
      </w:r>
      <w:r w:rsidRPr="00EA1D95">
        <w:rPr>
          <w:i/>
          <w:iCs/>
          <w:szCs w:val="20"/>
          <w:lang w:eastAsia="en-GB"/>
        </w:rPr>
        <w:t>:</w:t>
      </w:r>
    </w:p>
    <w:p w14:paraId="32D389C5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rFonts w:eastAsia="Times New Roman"/>
          <w:szCs w:val="20"/>
        </w:rPr>
      </w:pPr>
      <w:r w:rsidRPr="00EA1D95">
        <w:rPr>
          <w:rFonts w:eastAsia="Times New Roman"/>
          <w:szCs w:val="20"/>
        </w:rPr>
        <w:t xml:space="preserve">For RTT measurement in NTN, support UE report that indicates the time difference between the arrival time of a DL RS for positioning and the transmit time of an SRS. </w:t>
      </w:r>
    </w:p>
    <w:p w14:paraId="78591BC9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rFonts w:eastAsia="Times New Roman"/>
          <w:szCs w:val="20"/>
        </w:rPr>
      </w:pPr>
      <w:r w:rsidRPr="00EA1D95">
        <w:rPr>
          <w:rFonts w:eastAsia="Times New Roman"/>
          <w:szCs w:val="20"/>
        </w:rPr>
        <w:t xml:space="preserve">FFS: details of report and the definition of UE Rx-Tx time difference    </w:t>
      </w:r>
    </w:p>
    <w:p w14:paraId="0D8BEA54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</w:rPr>
      </w:pPr>
      <w:r w:rsidRPr="00EA1D95">
        <w:rPr>
          <w:rFonts w:eastAsia="DengXian"/>
          <w:bCs/>
          <w:szCs w:val="20"/>
          <w:lang w:eastAsia="zh-CN"/>
        </w:rPr>
        <w:t xml:space="preserve">Option 3: </w:t>
      </w:r>
      <w:r w:rsidRPr="00EA1D95">
        <w:rPr>
          <w:szCs w:val="20"/>
        </w:rPr>
        <w:t xml:space="preserve">The </w:t>
      </w:r>
      <w:r w:rsidRPr="00EA1D95">
        <w:rPr>
          <w:rFonts w:eastAsia="DengXian"/>
          <w:iCs/>
          <w:szCs w:val="20"/>
          <w:lang w:eastAsia="zh-CN"/>
        </w:rPr>
        <w:t xml:space="preserve">legacy R17 </w:t>
      </w:r>
      <w:r w:rsidRPr="00EA1D95">
        <w:rPr>
          <w:szCs w:val="20"/>
        </w:rPr>
        <w:t xml:space="preserve">definition of UE Rx-Tx time difference is adopted for NTN </w:t>
      </w:r>
      <w:r w:rsidRPr="00EA1D95">
        <w:rPr>
          <w:szCs w:val="20"/>
          <w:lang w:eastAsia="zh-CN"/>
        </w:rPr>
        <w:t xml:space="preserve">with an offset that is determined based on one of the following options: </w:t>
      </w:r>
    </w:p>
    <w:p w14:paraId="4BA9592E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  <w:lang w:eastAsia="zh-CN"/>
        </w:rPr>
      </w:pPr>
      <w:r w:rsidRPr="00EA1D95">
        <w:rPr>
          <w:szCs w:val="20"/>
        </w:rPr>
        <w:t xml:space="preserve">Option 3-1: </w:t>
      </w:r>
      <w:r w:rsidRPr="00EA1D95">
        <w:rPr>
          <w:szCs w:val="20"/>
          <w:lang w:eastAsia="zh-CN"/>
        </w:rPr>
        <w:t>This offset is reported as the nearest integer value in the unit of milliseconds by rounding the time difference of transmit timing of uplink subframe #i and receive timing of downlink subframe#i</w:t>
      </w:r>
    </w:p>
    <w:p w14:paraId="3ACF0A2F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  <w:lang w:eastAsia="zh-CN"/>
        </w:rPr>
      </w:pPr>
      <w:r w:rsidRPr="00EA1D95">
        <w:rPr>
          <w:szCs w:val="20"/>
          <w:lang w:eastAsia="zh-CN"/>
        </w:rPr>
        <w:t>Option 3-2:</w:t>
      </w:r>
      <w:r w:rsidRPr="00EA1D95">
        <w:rPr>
          <w:rFonts w:eastAsia="DengXian"/>
          <w:bCs/>
          <w:szCs w:val="20"/>
          <w:lang w:eastAsia="zh-CN"/>
        </w:rPr>
        <w:t xml:space="preserve"> UE report the index of the subframe j that is closest in time to the subframe #i received from the TP and LMF can derive the offset</w:t>
      </w:r>
    </w:p>
    <w:p w14:paraId="33C68A10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  <w:lang w:eastAsia="zh-CN"/>
        </w:rPr>
      </w:pPr>
      <w:r w:rsidRPr="00EA1D95">
        <w:rPr>
          <w:szCs w:val="20"/>
          <w:lang w:eastAsia="zh-CN"/>
        </w:rPr>
        <w:t xml:space="preserve">Option 3-3: </w:t>
      </w:r>
      <w:r w:rsidRPr="00EA1D95">
        <w:rPr>
          <w:rFonts w:eastAsia="DengXian"/>
          <w:bCs/>
          <w:szCs w:val="20"/>
          <w:lang w:eastAsia="zh-CN"/>
        </w:rPr>
        <w:t>TA report which corresponds to the time difference of received timing of downlink subframe #i and transmit timing of uplink subframe#i rounding up to slot granularity.</w:t>
      </w:r>
    </w:p>
    <w:p w14:paraId="62AB4B3F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rFonts w:eastAsia="DengXian"/>
          <w:bCs/>
          <w:szCs w:val="20"/>
          <w:lang w:eastAsia="zh-CN"/>
        </w:rPr>
      </w:pPr>
      <w:r w:rsidRPr="00EA1D95">
        <w:rPr>
          <w:rFonts w:eastAsia="DengXian"/>
          <w:bCs/>
          <w:szCs w:val="20"/>
          <w:lang w:eastAsia="zh-CN"/>
        </w:rPr>
        <w:t xml:space="preserve">Option 4: </w:t>
      </w:r>
    </w:p>
    <w:p w14:paraId="60729C02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rFonts w:eastAsia="DengXian"/>
          <w:iCs/>
          <w:szCs w:val="20"/>
          <w:lang w:eastAsia="zh-CN"/>
        </w:rPr>
      </w:pPr>
      <w:r w:rsidRPr="00EA1D95">
        <w:rPr>
          <w:iCs/>
          <w:szCs w:val="20"/>
        </w:rPr>
        <w:lastRenderedPageBreak/>
        <w:t>UE Rx – Tx time difference T</w:t>
      </w:r>
      <w:r w:rsidRPr="00EA1D95">
        <w:rPr>
          <w:iCs/>
          <w:szCs w:val="20"/>
          <w:vertAlign w:val="subscript"/>
        </w:rPr>
        <w:t xml:space="preserve">UE-RX </w:t>
      </w:r>
      <w:r w:rsidRPr="00EA1D95">
        <w:rPr>
          <w:iCs/>
          <w:szCs w:val="20"/>
        </w:rPr>
        <w:t>– T</w:t>
      </w:r>
      <w:r w:rsidRPr="00EA1D95">
        <w:rPr>
          <w:iCs/>
          <w:szCs w:val="20"/>
          <w:vertAlign w:val="subscript"/>
        </w:rPr>
        <w:t>UE-</w:t>
      </w:r>
      <w:r w:rsidRPr="00EA1D95">
        <w:rPr>
          <w:iCs/>
          <w:szCs w:val="20"/>
          <w:u w:val="single"/>
          <w:vertAlign w:val="subscript"/>
        </w:rPr>
        <w:t xml:space="preserve">TX </w:t>
      </w:r>
      <w:r w:rsidRPr="00EA1D95">
        <w:rPr>
          <w:iCs/>
          <w:szCs w:val="20"/>
          <w:u w:val="single"/>
        </w:rPr>
        <w:t xml:space="preserve"> </w:t>
      </w:r>
      <w:r w:rsidRPr="00EA1D95">
        <w:rPr>
          <w:iCs/>
          <w:szCs w:val="20"/>
        </w:rPr>
        <w:t>can be directly derived from timing advance T</w:t>
      </w:r>
      <w:r w:rsidRPr="00EA1D95">
        <w:rPr>
          <w:iCs/>
          <w:szCs w:val="20"/>
          <w:vertAlign w:val="subscript"/>
        </w:rPr>
        <w:t>TA</w:t>
      </w:r>
      <w:r w:rsidRPr="00EA1D95">
        <w:rPr>
          <w:rFonts w:eastAsia="DengXian"/>
          <w:iCs/>
          <w:szCs w:val="20"/>
          <w:lang w:eastAsia="zh-CN"/>
        </w:rPr>
        <w:t xml:space="preserve"> </w:t>
      </w:r>
    </w:p>
    <w:p w14:paraId="27D7D6B0" w14:textId="77777777" w:rsidR="00561D34" w:rsidRPr="00EA1D95" w:rsidRDefault="00561D34" w:rsidP="00561D34">
      <w:pPr>
        <w:widowControl/>
        <w:numPr>
          <w:ilvl w:val="2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rFonts w:eastAsia="DengXian"/>
          <w:iCs/>
          <w:szCs w:val="20"/>
          <w:lang w:eastAsia="zh-CN"/>
        </w:rPr>
      </w:pPr>
      <w:r w:rsidRPr="00EA1D95">
        <w:rPr>
          <w:szCs w:val="20"/>
        </w:rPr>
        <w:t>FFS: the granularity and the reporting range of TA.</w:t>
      </w:r>
    </w:p>
    <w:p w14:paraId="1E53EF3D" w14:textId="77777777" w:rsidR="00561D34" w:rsidRPr="00EA1D95" w:rsidRDefault="00561D34" w:rsidP="00561D34">
      <w:pPr>
        <w:widowControl/>
        <w:numPr>
          <w:ilvl w:val="2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rFonts w:eastAsia="DengXian"/>
          <w:iCs/>
          <w:szCs w:val="20"/>
          <w:lang w:eastAsia="zh-CN"/>
        </w:rPr>
      </w:pPr>
      <w:r w:rsidRPr="00EA1D95">
        <w:rPr>
          <w:rFonts w:eastAsia="DengXian"/>
          <w:iCs/>
          <w:szCs w:val="20"/>
          <w:lang w:eastAsia="zh-CN"/>
        </w:rPr>
        <w:t>Note: This implies that the existing framework for Multi-RTT positioning report can be used without need to specify a new TA report.</w:t>
      </w:r>
    </w:p>
    <w:p w14:paraId="150DADB6" w14:textId="77777777" w:rsidR="00561D34" w:rsidRPr="00EA1D95" w:rsidRDefault="00561D34" w:rsidP="00561D34">
      <w:pPr>
        <w:rPr>
          <w:rFonts w:eastAsia="Times New Roman"/>
          <w:szCs w:val="20"/>
        </w:rPr>
      </w:pPr>
      <w:r w:rsidRPr="00EA1D95">
        <w:rPr>
          <w:rFonts w:eastAsia="Times New Roman"/>
          <w:szCs w:val="20"/>
        </w:rPr>
        <w:t>Note: The impact of UE autonomous adjustment of TA (when applied) should be taken into account</w:t>
      </w:r>
    </w:p>
    <w:p w14:paraId="48CDDB96" w14:textId="77777777" w:rsidR="00561D34" w:rsidRPr="00EA1D95" w:rsidRDefault="00561D34" w:rsidP="00561D34">
      <w:pPr>
        <w:rPr>
          <w:rFonts w:eastAsia="Times New Roman"/>
          <w:b/>
          <w:szCs w:val="20"/>
        </w:rPr>
      </w:pPr>
    </w:p>
    <w:p w14:paraId="1C6DD360" w14:textId="77777777" w:rsidR="00561D34" w:rsidRPr="00EA1D95" w:rsidRDefault="00561D34" w:rsidP="00561D34">
      <w:pPr>
        <w:rPr>
          <w:b/>
          <w:bCs/>
          <w:szCs w:val="20"/>
          <w:lang w:eastAsia="x-none"/>
        </w:rPr>
      </w:pPr>
      <w:r w:rsidRPr="00EA1D95">
        <w:rPr>
          <w:b/>
          <w:bCs/>
          <w:szCs w:val="20"/>
          <w:highlight w:val="green"/>
          <w:lang w:eastAsia="x-none"/>
        </w:rPr>
        <w:t>Agreement</w:t>
      </w:r>
    </w:p>
    <w:p w14:paraId="3C52C119" w14:textId="77777777" w:rsidR="00561D34" w:rsidRPr="00EA1D95" w:rsidRDefault="00561D34" w:rsidP="00561D34">
      <w:pPr>
        <w:pStyle w:val="3GPPNormalText"/>
        <w:spacing w:after="0"/>
        <w:rPr>
          <w:sz w:val="20"/>
          <w:szCs w:val="20"/>
        </w:rPr>
      </w:pPr>
      <w:r w:rsidRPr="00EA1D95">
        <w:rPr>
          <w:sz w:val="20"/>
          <w:szCs w:val="20"/>
        </w:rPr>
        <w:t>Select one (or more) of the following options for the enhancement of gNB Rx-Tx time difference in NTN</w:t>
      </w:r>
    </w:p>
    <w:p w14:paraId="4DC6B0E6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  <w:lang w:eastAsia="en-GB"/>
        </w:rPr>
      </w:pPr>
      <w:r w:rsidRPr="00EA1D95">
        <w:rPr>
          <w:szCs w:val="20"/>
        </w:rPr>
        <w:t xml:space="preserve">Option 1: </w:t>
      </w:r>
      <w:r w:rsidRPr="00EA1D95">
        <w:rPr>
          <w:szCs w:val="20"/>
          <w:lang w:eastAsia="en-GB"/>
        </w:rPr>
        <w:t>The gNB Rx – Tx time difference is defined as T</w:t>
      </w:r>
      <w:r w:rsidRPr="00EA1D95">
        <w:rPr>
          <w:szCs w:val="20"/>
          <w:vertAlign w:val="subscript"/>
          <w:lang w:eastAsia="en-GB"/>
        </w:rPr>
        <w:t>gNB-RX</w:t>
      </w:r>
      <w:r w:rsidRPr="00EA1D95">
        <w:rPr>
          <w:szCs w:val="20"/>
          <w:lang w:eastAsia="en-GB"/>
        </w:rPr>
        <w:t xml:space="preserve"> –</w:t>
      </w:r>
      <w:r w:rsidRPr="00EA1D95">
        <w:rPr>
          <w:szCs w:val="20"/>
          <w:vertAlign w:val="subscript"/>
          <w:lang w:eastAsia="en-GB"/>
        </w:rPr>
        <w:t xml:space="preserve"> </w:t>
      </w:r>
      <w:r w:rsidRPr="00EA1D95">
        <w:rPr>
          <w:szCs w:val="20"/>
          <w:lang w:eastAsia="en-GB"/>
        </w:rPr>
        <w:t>T</w:t>
      </w:r>
      <w:r w:rsidRPr="00EA1D95">
        <w:rPr>
          <w:szCs w:val="20"/>
          <w:vertAlign w:val="subscript"/>
          <w:lang w:eastAsia="en-GB"/>
        </w:rPr>
        <w:t>gNB-TX</w:t>
      </w:r>
    </w:p>
    <w:p w14:paraId="5A7D5912" w14:textId="77777777" w:rsidR="00561D34" w:rsidRPr="00EA1D95" w:rsidRDefault="00561D34" w:rsidP="00561D34">
      <w:pPr>
        <w:snapToGrid w:val="0"/>
        <w:ind w:left="720"/>
        <w:rPr>
          <w:szCs w:val="20"/>
          <w:lang w:eastAsia="en-GB"/>
        </w:rPr>
      </w:pPr>
      <w:r w:rsidRPr="00EA1D95">
        <w:rPr>
          <w:szCs w:val="20"/>
          <w:lang w:eastAsia="en-GB"/>
        </w:rPr>
        <w:t>Where:</w:t>
      </w:r>
    </w:p>
    <w:p w14:paraId="15CEE880" w14:textId="77777777" w:rsidR="00561D34" w:rsidRPr="00EA1D95" w:rsidRDefault="00561D34" w:rsidP="00561D34">
      <w:pPr>
        <w:snapToGrid w:val="0"/>
        <w:ind w:left="720"/>
        <w:rPr>
          <w:szCs w:val="20"/>
          <w:lang w:eastAsia="en-GB"/>
        </w:rPr>
      </w:pPr>
      <w:r w:rsidRPr="00EA1D95">
        <w:rPr>
          <w:szCs w:val="20"/>
          <w:lang w:eastAsia="en-GB"/>
        </w:rPr>
        <w:t xml:space="preserve">For a Transmission Point </w:t>
      </w:r>
    </w:p>
    <w:p w14:paraId="3DBA2BA0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  <w:lang w:eastAsia="en-GB"/>
        </w:rPr>
      </w:pPr>
      <w:r w:rsidRPr="00EA1D95">
        <w:rPr>
          <w:szCs w:val="20"/>
          <w:lang w:eastAsia="en-GB"/>
        </w:rPr>
        <w:t>T</w:t>
      </w:r>
      <w:r w:rsidRPr="00EA1D95">
        <w:rPr>
          <w:szCs w:val="20"/>
          <w:vertAlign w:val="subscript"/>
          <w:lang w:eastAsia="en-GB"/>
        </w:rPr>
        <w:t>gNB-RX</w:t>
      </w:r>
      <w:r w:rsidRPr="00EA1D95">
        <w:rPr>
          <w:szCs w:val="20"/>
          <w:lang w:eastAsia="en-GB"/>
        </w:rPr>
        <w:t xml:space="preserve"> is the Transmission and Reception Point (TRP) received timing of uplink subframe #</w:t>
      </w:r>
      <w:r w:rsidRPr="00EA1D95">
        <w:rPr>
          <w:i/>
          <w:szCs w:val="20"/>
          <w:lang w:eastAsia="en-GB"/>
        </w:rPr>
        <w:t>i</w:t>
      </w:r>
      <w:r w:rsidRPr="00EA1D95">
        <w:rPr>
          <w:szCs w:val="20"/>
          <w:lang w:eastAsia="en-GB"/>
        </w:rPr>
        <w:t xml:space="preserve"> containing SRS associated with UE, defined by the first detected path in time.</w:t>
      </w:r>
    </w:p>
    <w:p w14:paraId="2A286AA6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  <w:lang w:eastAsia="en-GB"/>
        </w:rPr>
      </w:pPr>
      <w:r w:rsidRPr="00EA1D95">
        <w:rPr>
          <w:szCs w:val="20"/>
          <w:lang w:eastAsia="en-GB"/>
        </w:rPr>
        <w:t>T</w:t>
      </w:r>
      <w:r w:rsidRPr="00EA1D95">
        <w:rPr>
          <w:szCs w:val="20"/>
          <w:vertAlign w:val="subscript"/>
          <w:lang w:eastAsia="en-GB"/>
        </w:rPr>
        <w:t>gNB-TX</w:t>
      </w:r>
      <w:r w:rsidRPr="00EA1D95">
        <w:rPr>
          <w:szCs w:val="20"/>
          <w:lang w:eastAsia="en-GB"/>
        </w:rPr>
        <w:t xml:space="preserve"> is the TRP transmit timing of the downlink subframe</w:t>
      </w:r>
      <w:r w:rsidRPr="00EA1D95">
        <w:rPr>
          <w:szCs w:val="20"/>
        </w:rPr>
        <w:t xml:space="preserve"> corresponding to uplink subframe #i received from the UE</w:t>
      </w:r>
    </w:p>
    <w:p w14:paraId="6B902DC1" w14:textId="77777777" w:rsidR="00561D34" w:rsidRPr="001744CB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  <w:lang w:eastAsia="en-GB"/>
        </w:rPr>
      </w:pPr>
      <w:r w:rsidRPr="001744CB">
        <w:rPr>
          <w:szCs w:val="20"/>
          <w:lang w:eastAsia="en-GB"/>
        </w:rPr>
        <w:t>Multiple SRS resources can be used to determine the start of one subframe containing SRS.</w:t>
      </w:r>
    </w:p>
    <w:p w14:paraId="153841F2" w14:textId="77777777" w:rsidR="00561D34" w:rsidRPr="00EA1D95" w:rsidRDefault="00561D34" w:rsidP="00561D34">
      <w:pPr>
        <w:snapToGrid w:val="0"/>
        <w:ind w:left="720"/>
        <w:rPr>
          <w:szCs w:val="20"/>
          <w:lang w:eastAsia="en-GB"/>
        </w:rPr>
      </w:pPr>
      <w:r w:rsidRPr="00EA1D95">
        <w:rPr>
          <w:szCs w:val="20"/>
          <w:lang w:eastAsia="en-GB"/>
        </w:rPr>
        <w:t>FFS: For a Transmission Point different from the serving cell (e.g. a DL-PRS-only TP)</w:t>
      </w:r>
    </w:p>
    <w:p w14:paraId="2A46AC12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</w:rPr>
      </w:pPr>
      <w:r w:rsidRPr="00EA1D95">
        <w:rPr>
          <w:szCs w:val="20"/>
        </w:rPr>
        <w:t>Option 2:</w:t>
      </w:r>
    </w:p>
    <w:p w14:paraId="7443E921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</w:rPr>
      </w:pPr>
      <w:r w:rsidRPr="00EA1D95">
        <w:rPr>
          <w:szCs w:val="20"/>
        </w:rPr>
        <w:t>For RTT measurement in NTN, support gNB report of gNB Rx-Tx time as defined in 38.215 with the following change:</w:t>
      </w:r>
    </w:p>
    <w:p w14:paraId="6C5398D6" w14:textId="77777777" w:rsidR="00561D34" w:rsidRPr="00EA1D95" w:rsidRDefault="00561D34" w:rsidP="00561D34">
      <w:pPr>
        <w:widowControl/>
        <w:numPr>
          <w:ilvl w:val="2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</w:rPr>
      </w:pPr>
      <w:r w:rsidRPr="00EA1D95">
        <w:rPr>
          <w:szCs w:val="20"/>
        </w:rPr>
        <w:t xml:space="preserve">Only the SRS resource starting within a subframe can be used to determine the start of the subframe. </w:t>
      </w:r>
    </w:p>
    <w:p w14:paraId="5E1B41B3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rFonts w:eastAsia="DengXian"/>
          <w:bCs/>
          <w:szCs w:val="20"/>
          <w:lang w:eastAsia="zh-CN"/>
        </w:rPr>
      </w:pPr>
      <w:r w:rsidRPr="00EA1D95">
        <w:rPr>
          <w:rFonts w:eastAsia="DengXian"/>
          <w:bCs/>
          <w:szCs w:val="20"/>
          <w:lang w:eastAsia="zh-CN"/>
        </w:rPr>
        <w:t xml:space="preserve">Option 3: </w:t>
      </w:r>
    </w:p>
    <w:p w14:paraId="56B468E3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</w:rPr>
      </w:pPr>
      <w:r w:rsidRPr="00EA1D95">
        <w:rPr>
          <w:szCs w:val="20"/>
        </w:rPr>
        <w:t>Keep the current gNB Rx-Tx definition, and report an offset which can covers the time duration corresponds to kmac if needed.</w:t>
      </w:r>
    </w:p>
    <w:p w14:paraId="6228A5C7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rFonts w:eastAsia="DengXian"/>
          <w:bCs/>
          <w:szCs w:val="20"/>
          <w:lang w:eastAsia="zh-CN"/>
        </w:rPr>
      </w:pPr>
      <w:r w:rsidRPr="00EA1D95">
        <w:rPr>
          <w:rFonts w:eastAsia="DengXian"/>
          <w:bCs/>
          <w:szCs w:val="20"/>
          <w:lang w:eastAsia="zh-CN"/>
        </w:rPr>
        <w:t>Option 4:</w:t>
      </w:r>
    </w:p>
    <w:p w14:paraId="4C6CB0EA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rFonts w:eastAsia="Times New Roman"/>
          <w:szCs w:val="20"/>
        </w:rPr>
      </w:pPr>
      <w:r w:rsidRPr="00EA1D95">
        <w:rPr>
          <w:rFonts w:eastAsia="Times New Roman"/>
          <w:szCs w:val="20"/>
        </w:rPr>
        <w:t xml:space="preserve">For RTT measurement in NTN, support gNB report that indicates the time difference between the transmit time of a DL RS for positioning and the arrival time of an SRS. </w:t>
      </w:r>
    </w:p>
    <w:p w14:paraId="00CBD0E3" w14:textId="77777777" w:rsidR="00561D34" w:rsidRPr="00EA1D95" w:rsidRDefault="00561D34" w:rsidP="00561D34">
      <w:pPr>
        <w:rPr>
          <w:rFonts w:eastAsia="Times New Roman"/>
          <w:szCs w:val="20"/>
        </w:rPr>
      </w:pPr>
    </w:p>
    <w:p w14:paraId="261939B5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rFonts w:eastAsia="Times New Roman"/>
          <w:szCs w:val="20"/>
        </w:rPr>
      </w:pPr>
      <w:r w:rsidRPr="00EA1D95">
        <w:rPr>
          <w:rFonts w:eastAsia="Times New Roman"/>
          <w:szCs w:val="20"/>
        </w:rPr>
        <w:t>FFS: details of report.</w:t>
      </w:r>
    </w:p>
    <w:p w14:paraId="30C792CC" w14:textId="77777777" w:rsidR="00561D34" w:rsidRPr="00EA1D95" w:rsidRDefault="00561D34" w:rsidP="00561D34">
      <w:pPr>
        <w:rPr>
          <w:rFonts w:eastAsia="Times New Roman"/>
          <w:szCs w:val="20"/>
        </w:rPr>
      </w:pPr>
      <w:r w:rsidRPr="00EA1D95">
        <w:rPr>
          <w:rFonts w:eastAsia="Times New Roman"/>
          <w:szCs w:val="20"/>
        </w:rPr>
        <w:t>Note: The impact of UE autonomous adjustment of TA (when applied) should be taken into account</w:t>
      </w:r>
    </w:p>
    <w:p w14:paraId="73576A5F" w14:textId="77777777" w:rsidR="00561D34" w:rsidRPr="00EA1D95" w:rsidRDefault="00561D34" w:rsidP="00561D34">
      <w:pPr>
        <w:rPr>
          <w:szCs w:val="20"/>
          <w:lang w:eastAsia="x-none"/>
        </w:rPr>
      </w:pPr>
    </w:p>
    <w:p w14:paraId="7B98A0ED" w14:textId="77777777" w:rsidR="00561D34" w:rsidRPr="00EA1D95" w:rsidRDefault="00561D34" w:rsidP="00561D34">
      <w:pPr>
        <w:rPr>
          <w:b/>
          <w:bCs/>
          <w:szCs w:val="20"/>
          <w:lang w:eastAsia="x-none"/>
        </w:rPr>
      </w:pPr>
      <w:r w:rsidRPr="00EA1D95">
        <w:rPr>
          <w:b/>
          <w:bCs/>
          <w:szCs w:val="20"/>
          <w:highlight w:val="green"/>
          <w:lang w:eastAsia="x-none"/>
        </w:rPr>
        <w:t>Agreement</w:t>
      </w:r>
    </w:p>
    <w:p w14:paraId="2962A799" w14:textId="77777777" w:rsidR="00561D34" w:rsidRPr="00EA1D95" w:rsidRDefault="00561D34" w:rsidP="00561D34">
      <w:pPr>
        <w:pStyle w:val="3GPPNormalText"/>
        <w:rPr>
          <w:sz w:val="20"/>
          <w:szCs w:val="20"/>
        </w:rPr>
      </w:pPr>
      <w:r w:rsidRPr="00EA1D95">
        <w:rPr>
          <w:sz w:val="20"/>
          <w:szCs w:val="20"/>
          <w:lang w:val="en-US"/>
        </w:rPr>
        <w:t>Study</w:t>
      </w:r>
      <w:r w:rsidRPr="00EA1D95">
        <w:rPr>
          <w:sz w:val="20"/>
          <w:szCs w:val="20"/>
        </w:rPr>
        <w:t xml:space="preserve"> the following options to resolve the mirror positions ambiguity</w:t>
      </w:r>
      <w:r w:rsidRPr="00EA1D95">
        <w:rPr>
          <w:sz w:val="20"/>
          <w:szCs w:val="20"/>
          <w:lang w:eastAsia="zh-TW"/>
        </w:rPr>
        <w:t xml:space="preserve"> for multi-RTT positioning</w:t>
      </w:r>
      <w:r w:rsidRPr="00EA1D95">
        <w:rPr>
          <w:sz w:val="20"/>
          <w:szCs w:val="20"/>
        </w:rPr>
        <w:t>:</w:t>
      </w:r>
    </w:p>
    <w:p w14:paraId="48C46A07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</w:rPr>
      </w:pPr>
      <w:r w:rsidRPr="00EA1D95">
        <w:rPr>
          <w:szCs w:val="20"/>
        </w:rPr>
        <w:t>Option 1: gNB or LMF implementation to solve the mirror error issue.</w:t>
      </w:r>
    </w:p>
    <w:p w14:paraId="32247964" w14:textId="77777777" w:rsidR="00561D34" w:rsidRPr="00EA1D95" w:rsidRDefault="00561D34" w:rsidP="00561D34">
      <w:pPr>
        <w:widowControl/>
        <w:numPr>
          <w:ilvl w:val="1"/>
          <w:numId w:val="17"/>
        </w:numPr>
        <w:wordWrap/>
        <w:autoSpaceDE/>
        <w:autoSpaceDN/>
        <w:snapToGrid w:val="0"/>
        <w:spacing w:after="0" w:line="240" w:lineRule="auto"/>
        <w:jc w:val="left"/>
        <w:rPr>
          <w:szCs w:val="20"/>
        </w:rPr>
      </w:pPr>
      <w:r w:rsidRPr="00EA1D95">
        <w:rPr>
          <w:szCs w:val="20"/>
        </w:rPr>
        <w:t>FFS: whether there is spec impact</w:t>
      </w:r>
    </w:p>
    <w:p w14:paraId="3C51CBEB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</w:rPr>
      </w:pPr>
      <w:r w:rsidRPr="00EA1D95">
        <w:rPr>
          <w:szCs w:val="20"/>
        </w:rPr>
        <w:t>Option 2: Reuse existing ECID method (e.g. combine UE neighbor measurements to solve the ambiguity between mirror positions), with potential enhancements</w:t>
      </w:r>
    </w:p>
    <w:p w14:paraId="2908C100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</w:rPr>
      </w:pPr>
      <w:r w:rsidRPr="00EA1D95">
        <w:rPr>
          <w:szCs w:val="20"/>
        </w:rPr>
        <w:t>Option 3: NR NTN UE should report the Doppler calculated on the service link</w:t>
      </w:r>
    </w:p>
    <w:p w14:paraId="4FE0F38B" w14:textId="77777777" w:rsidR="00561D34" w:rsidRPr="00EA1D95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</w:rPr>
      </w:pPr>
      <w:r w:rsidRPr="00EA1D95">
        <w:rPr>
          <w:szCs w:val="20"/>
        </w:rPr>
        <w:t>Option 4: a VSAT UE should report its beam pointing in respect to satellite beam line of sight</w:t>
      </w:r>
    </w:p>
    <w:p w14:paraId="03EBED79" w14:textId="77777777" w:rsidR="00561D34" w:rsidRPr="001744CB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</w:rPr>
      </w:pPr>
      <w:r w:rsidRPr="00EA1D95">
        <w:rPr>
          <w:szCs w:val="20"/>
        </w:rPr>
        <w:lastRenderedPageBreak/>
        <w:t xml:space="preserve">Option 5: </w:t>
      </w:r>
      <w:r w:rsidRPr="001744CB">
        <w:rPr>
          <w:szCs w:val="20"/>
        </w:rPr>
        <w:t>Reporting of cell coverage information (e.g. cell footprint and reference point, or antenna pattern) to the LMF</w:t>
      </w:r>
    </w:p>
    <w:p w14:paraId="0D01E37F" w14:textId="77777777" w:rsidR="00561D34" w:rsidRPr="001744CB" w:rsidRDefault="00561D34" w:rsidP="00561D34">
      <w:pPr>
        <w:widowControl/>
        <w:numPr>
          <w:ilvl w:val="0"/>
          <w:numId w:val="17"/>
        </w:numPr>
        <w:wordWrap/>
        <w:autoSpaceDE/>
        <w:autoSpaceDN/>
        <w:snapToGrid w:val="0"/>
        <w:spacing w:after="0" w:line="240" w:lineRule="auto"/>
        <w:ind w:left="720"/>
        <w:jc w:val="left"/>
        <w:rPr>
          <w:szCs w:val="20"/>
        </w:rPr>
      </w:pPr>
      <w:r w:rsidRPr="00EA1D95">
        <w:rPr>
          <w:szCs w:val="20"/>
        </w:rPr>
        <w:t>Option 6:</w:t>
      </w:r>
      <w:r w:rsidRPr="001744CB">
        <w:rPr>
          <w:szCs w:val="20"/>
        </w:rPr>
        <w:t xml:space="preserve"> Support and potentially enhance the optional Rel-17 UL-AoA measurements defined for multi-RTT positioning</w:t>
      </w:r>
      <w:r w:rsidRPr="00EA1D95">
        <w:rPr>
          <w:szCs w:val="20"/>
        </w:rPr>
        <w:t>Other solutions are not precluded</w:t>
      </w:r>
    </w:p>
    <w:p w14:paraId="1C813CE1" w14:textId="77777777" w:rsidR="00561D34" w:rsidRPr="00EA1D95" w:rsidRDefault="00561D34" w:rsidP="00561D34">
      <w:pPr>
        <w:rPr>
          <w:szCs w:val="20"/>
        </w:rPr>
      </w:pPr>
    </w:p>
    <w:p w14:paraId="250950FE" w14:textId="77777777" w:rsidR="00561D34" w:rsidRPr="001744CB" w:rsidRDefault="00561D34" w:rsidP="00561D34">
      <w:pPr>
        <w:rPr>
          <w:b/>
          <w:szCs w:val="20"/>
        </w:rPr>
      </w:pPr>
      <w:r w:rsidRPr="001744CB">
        <w:rPr>
          <w:b/>
          <w:szCs w:val="20"/>
        </w:rPr>
        <w:t>Conclusion</w:t>
      </w:r>
    </w:p>
    <w:p w14:paraId="7174DE29" w14:textId="77777777" w:rsidR="00561D34" w:rsidRPr="00EA1D95" w:rsidRDefault="00561D34" w:rsidP="00561D34">
      <w:pPr>
        <w:pStyle w:val="3GPPNormalText"/>
        <w:rPr>
          <w:sz w:val="20"/>
          <w:szCs w:val="20"/>
          <w:lang w:val="en-GB"/>
        </w:rPr>
      </w:pPr>
      <w:r w:rsidRPr="00EA1D95">
        <w:rPr>
          <w:sz w:val="20"/>
          <w:szCs w:val="20"/>
          <w:lang w:val="en-GB"/>
        </w:rPr>
        <w:t>Geometry relating the UE and the TRPs (satellites) affects positioning accuracy for network verified UE location based on Multi-RTT.</w:t>
      </w:r>
    </w:p>
    <w:p w14:paraId="230C9132" w14:textId="675747CC" w:rsidR="00FA4354" w:rsidRPr="00561D34" w:rsidRDefault="00FA4354" w:rsidP="00FA4354">
      <w:pPr>
        <w:widowControl/>
        <w:wordWrap/>
        <w:autoSpaceDE/>
        <w:autoSpaceDN/>
        <w:spacing w:after="0" w:line="240" w:lineRule="auto"/>
        <w:jc w:val="left"/>
        <w:rPr>
          <w:rFonts w:eastAsia="SimSun"/>
          <w:b/>
          <w:kern w:val="0"/>
          <w:szCs w:val="20"/>
          <w:lang w:val="en-GB" w:eastAsia="zh-CN"/>
        </w:rPr>
      </w:pPr>
    </w:p>
    <w:sectPr w:rsidR="00FA4354" w:rsidRPr="00561D3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C97F73" w14:textId="77777777" w:rsidR="00EC4E22" w:rsidRDefault="00EC4E22" w:rsidP="00A730F4">
      <w:pPr>
        <w:spacing w:after="0" w:line="240" w:lineRule="auto"/>
      </w:pPr>
      <w:r>
        <w:separator/>
      </w:r>
    </w:p>
  </w:endnote>
  <w:endnote w:type="continuationSeparator" w:id="0">
    <w:p w14:paraId="28272908" w14:textId="77777777" w:rsidR="00EC4E22" w:rsidRDefault="00EC4E22" w:rsidP="00A730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BA68A" w14:textId="77777777" w:rsidR="00EC4E22" w:rsidRDefault="00EC4E22" w:rsidP="00A730F4">
      <w:pPr>
        <w:spacing w:after="0" w:line="240" w:lineRule="auto"/>
      </w:pPr>
      <w:r>
        <w:separator/>
      </w:r>
    </w:p>
  </w:footnote>
  <w:footnote w:type="continuationSeparator" w:id="0">
    <w:p w14:paraId="3EBF9BE7" w14:textId="77777777" w:rsidR="00EC4E22" w:rsidRDefault="00EC4E22" w:rsidP="00A730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3.25pt;height:24pt" o:bullet="t">
        <v:imagedata r:id="rId1" o:title="artFED6"/>
      </v:shape>
    </w:pict>
  </w:numPicBullet>
  <w:abstractNum w:abstractNumId="0" w15:restartNumberingAfterBreak="0">
    <w:nsid w:val="0197322B"/>
    <w:multiLevelType w:val="multilevel"/>
    <w:tmpl w:val="D64EF06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080B03"/>
    <w:multiLevelType w:val="hybridMultilevel"/>
    <w:tmpl w:val="34167D6A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E3E20B5"/>
    <w:multiLevelType w:val="multilevel"/>
    <w:tmpl w:val="0E3E20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D475F"/>
    <w:multiLevelType w:val="multilevel"/>
    <w:tmpl w:val="F0FA3A4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287B04"/>
    <w:multiLevelType w:val="multilevel"/>
    <w:tmpl w:val="AF04AA0C"/>
    <w:lvl w:ilvl="0">
      <w:start w:val="1"/>
      <w:numFmt w:val="decimal"/>
      <w:lvlText w:val="%1.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1778048C"/>
    <w:multiLevelType w:val="hybridMultilevel"/>
    <w:tmpl w:val="31A62E3E"/>
    <w:lvl w:ilvl="0" w:tplc="4FE2F6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ACDDE8">
      <w:start w:val="71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2731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E6F0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6278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48C337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730A41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92CDF4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8ABA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9DE2027"/>
    <w:multiLevelType w:val="hybridMultilevel"/>
    <w:tmpl w:val="63D0AFC0"/>
    <w:lvl w:ilvl="0" w:tplc="ED8E04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0C503A">
      <w:start w:val="71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12949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CA2D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6AAB5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446B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B817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1A519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C03D9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37094D"/>
    <w:multiLevelType w:val="multilevel"/>
    <w:tmpl w:val="1D37094D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FF77A45"/>
    <w:multiLevelType w:val="hybridMultilevel"/>
    <w:tmpl w:val="EC46C3BE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2333E50"/>
    <w:multiLevelType w:val="hybridMultilevel"/>
    <w:tmpl w:val="69901C2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981974"/>
    <w:multiLevelType w:val="hybridMultilevel"/>
    <w:tmpl w:val="4156E2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D12F6"/>
    <w:multiLevelType w:val="multilevel"/>
    <w:tmpl w:val="3B5D12F6"/>
    <w:lvl w:ilvl="0"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320A9"/>
    <w:multiLevelType w:val="hybridMultilevel"/>
    <w:tmpl w:val="5A307804"/>
    <w:lvl w:ilvl="0" w:tplc="62747B2A">
      <w:numFmt w:val="bullet"/>
      <w:lvlText w:val="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6097C"/>
    <w:multiLevelType w:val="hybridMultilevel"/>
    <w:tmpl w:val="0E4CD73C"/>
    <w:lvl w:ilvl="0" w:tplc="BA3E86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3215B6">
      <w:start w:val="71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8C8EBC">
      <w:start w:val="7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58FD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1401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0806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622EB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81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1F8BEF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9972D90"/>
    <w:multiLevelType w:val="multilevel"/>
    <w:tmpl w:val="59972D90"/>
    <w:lvl w:ilvl="0">
      <w:start w:val="5"/>
      <w:numFmt w:val="bullet"/>
      <w:lvlText w:val="-"/>
      <w:lvlJc w:val="left"/>
      <w:pPr>
        <w:ind w:left="1159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17" w15:restartNumberingAfterBreak="0">
    <w:nsid w:val="675C0874"/>
    <w:multiLevelType w:val="hybridMultilevel"/>
    <w:tmpl w:val="D9D07D66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4A1123F"/>
    <w:multiLevelType w:val="hybridMultilevel"/>
    <w:tmpl w:val="6EBCA25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D8A6AF0"/>
    <w:multiLevelType w:val="hybridMultilevel"/>
    <w:tmpl w:val="805E37A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7"/>
  </w:num>
  <w:num w:numId="5">
    <w:abstractNumId w:val="18"/>
  </w:num>
  <w:num w:numId="6">
    <w:abstractNumId w:val="10"/>
  </w:num>
  <w:num w:numId="7">
    <w:abstractNumId w:val="11"/>
  </w:num>
  <w:num w:numId="8">
    <w:abstractNumId w:val="16"/>
  </w:num>
  <w:num w:numId="9">
    <w:abstractNumId w:val="0"/>
  </w:num>
  <w:num w:numId="10">
    <w:abstractNumId w:val="20"/>
  </w:num>
  <w:num w:numId="11">
    <w:abstractNumId w:val="19"/>
  </w:num>
  <w:num w:numId="12">
    <w:abstractNumId w:val="9"/>
  </w:num>
  <w:num w:numId="13">
    <w:abstractNumId w:val="1"/>
  </w:num>
  <w:num w:numId="14">
    <w:abstractNumId w:val="13"/>
  </w:num>
  <w:num w:numId="15">
    <w:abstractNumId w:val="2"/>
  </w:num>
  <w:num w:numId="16">
    <w:abstractNumId w:val="12"/>
  </w:num>
  <w:num w:numId="17">
    <w:abstractNumId w:val="4"/>
  </w:num>
  <w:num w:numId="18">
    <w:abstractNumId w:val="8"/>
  </w:num>
  <w:num w:numId="19">
    <w:abstractNumId w:val="15"/>
  </w:num>
  <w:num w:numId="20">
    <w:abstractNumId w:val="7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A64"/>
    <w:rsid w:val="00012C05"/>
    <w:rsid w:val="00023F2D"/>
    <w:rsid w:val="0002464D"/>
    <w:rsid w:val="00026D44"/>
    <w:rsid w:val="0002749D"/>
    <w:rsid w:val="00027617"/>
    <w:rsid w:val="00057949"/>
    <w:rsid w:val="0007162D"/>
    <w:rsid w:val="00072542"/>
    <w:rsid w:val="000854DC"/>
    <w:rsid w:val="000A30F4"/>
    <w:rsid w:val="000B326B"/>
    <w:rsid w:val="000B45E0"/>
    <w:rsid w:val="000B540A"/>
    <w:rsid w:val="000B710C"/>
    <w:rsid w:val="000C1830"/>
    <w:rsid w:val="000C6522"/>
    <w:rsid w:val="000E369B"/>
    <w:rsid w:val="000E73A9"/>
    <w:rsid w:val="000F1B99"/>
    <w:rsid w:val="000F46DC"/>
    <w:rsid w:val="000F5F6B"/>
    <w:rsid w:val="000F631D"/>
    <w:rsid w:val="0010057C"/>
    <w:rsid w:val="00105655"/>
    <w:rsid w:val="00105A0B"/>
    <w:rsid w:val="001131E7"/>
    <w:rsid w:val="00135864"/>
    <w:rsid w:val="00150687"/>
    <w:rsid w:val="001622F8"/>
    <w:rsid w:val="00166B55"/>
    <w:rsid w:val="0017266E"/>
    <w:rsid w:val="00177DB2"/>
    <w:rsid w:val="00182B51"/>
    <w:rsid w:val="00182DAE"/>
    <w:rsid w:val="001856AB"/>
    <w:rsid w:val="00193AC6"/>
    <w:rsid w:val="00195C54"/>
    <w:rsid w:val="001A4221"/>
    <w:rsid w:val="001A6428"/>
    <w:rsid w:val="001B7BD3"/>
    <w:rsid w:val="001C49B3"/>
    <w:rsid w:val="001C6A93"/>
    <w:rsid w:val="001E3B8D"/>
    <w:rsid w:val="001F74EE"/>
    <w:rsid w:val="001F7EB9"/>
    <w:rsid w:val="00213919"/>
    <w:rsid w:val="00213B95"/>
    <w:rsid w:val="002238E8"/>
    <w:rsid w:val="0023186C"/>
    <w:rsid w:val="00236510"/>
    <w:rsid w:val="00245C8D"/>
    <w:rsid w:val="002629F9"/>
    <w:rsid w:val="00264A66"/>
    <w:rsid w:val="00265AA6"/>
    <w:rsid w:val="00265F6C"/>
    <w:rsid w:val="0027336F"/>
    <w:rsid w:val="00281DA5"/>
    <w:rsid w:val="00281F6F"/>
    <w:rsid w:val="002847A2"/>
    <w:rsid w:val="00286EEF"/>
    <w:rsid w:val="00295202"/>
    <w:rsid w:val="002A6902"/>
    <w:rsid w:val="002B5F99"/>
    <w:rsid w:val="002B79D1"/>
    <w:rsid w:val="002C1BE0"/>
    <w:rsid w:val="002C34D1"/>
    <w:rsid w:val="002C5191"/>
    <w:rsid w:val="002D242A"/>
    <w:rsid w:val="002D6DE2"/>
    <w:rsid w:val="002E0230"/>
    <w:rsid w:val="002E092D"/>
    <w:rsid w:val="002E0A64"/>
    <w:rsid w:val="002E69DB"/>
    <w:rsid w:val="002F7946"/>
    <w:rsid w:val="0030286B"/>
    <w:rsid w:val="00304002"/>
    <w:rsid w:val="00305499"/>
    <w:rsid w:val="00312918"/>
    <w:rsid w:val="003129E9"/>
    <w:rsid w:val="00323811"/>
    <w:rsid w:val="003316E4"/>
    <w:rsid w:val="003452E8"/>
    <w:rsid w:val="00351D4B"/>
    <w:rsid w:val="0036161F"/>
    <w:rsid w:val="003717CC"/>
    <w:rsid w:val="00376F7A"/>
    <w:rsid w:val="0038385B"/>
    <w:rsid w:val="00385180"/>
    <w:rsid w:val="003A6FDD"/>
    <w:rsid w:val="003A7D88"/>
    <w:rsid w:val="003D7FAD"/>
    <w:rsid w:val="003F64C4"/>
    <w:rsid w:val="00412555"/>
    <w:rsid w:val="004276BF"/>
    <w:rsid w:val="00431D3A"/>
    <w:rsid w:val="00434567"/>
    <w:rsid w:val="00445927"/>
    <w:rsid w:val="004537B7"/>
    <w:rsid w:val="004716F6"/>
    <w:rsid w:val="004A0F43"/>
    <w:rsid w:val="004A24A1"/>
    <w:rsid w:val="004A2F31"/>
    <w:rsid w:val="004A6F9D"/>
    <w:rsid w:val="004A7AAE"/>
    <w:rsid w:val="004B1E71"/>
    <w:rsid w:val="004B6DF1"/>
    <w:rsid w:val="00502B31"/>
    <w:rsid w:val="00504554"/>
    <w:rsid w:val="005217B3"/>
    <w:rsid w:val="00526A5A"/>
    <w:rsid w:val="00527209"/>
    <w:rsid w:val="00532698"/>
    <w:rsid w:val="00533A9A"/>
    <w:rsid w:val="00534F0B"/>
    <w:rsid w:val="0055178E"/>
    <w:rsid w:val="00555BF3"/>
    <w:rsid w:val="005611E2"/>
    <w:rsid w:val="00561D34"/>
    <w:rsid w:val="00563D9D"/>
    <w:rsid w:val="00572858"/>
    <w:rsid w:val="00573048"/>
    <w:rsid w:val="005765CA"/>
    <w:rsid w:val="005775B8"/>
    <w:rsid w:val="00592A4B"/>
    <w:rsid w:val="005B0725"/>
    <w:rsid w:val="005B6CD9"/>
    <w:rsid w:val="005E1EA5"/>
    <w:rsid w:val="005E4E90"/>
    <w:rsid w:val="005F3ED2"/>
    <w:rsid w:val="005F4660"/>
    <w:rsid w:val="00600212"/>
    <w:rsid w:val="006117AC"/>
    <w:rsid w:val="00612C8E"/>
    <w:rsid w:val="006259A2"/>
    <w:rsid w:val="00627E4C"/>
    <w:rsid w:val="00636AFB"/>
    <w:rsid w:val="006711E2"/>
    <w:rsid w:val="00672CCE"/>
    <w:rsid w:val="00673B50"/>
    <w:rsid w:val="006820E4"/>
    <w:rsid w:val="00682673"/>
    <w:rsid w:val="006A6ED7"/>
    <w:rsid w:val="006B707D"/>
    <w:rsid w:val="006C7826"/>
    <w:rsid w:val="006D00DD"/>
    <w:rsid w:val="006D3BF4"/>
    <w:rsid w:val="006F1B8A"/>
    <w:rsid w:val="006F1D21"/>
    <w:rsid w:val="00700FEE"/>
    <w:rsid w:val="007047F7"/>
    <w:rsid w:val="00711E37"/>
    <w:rsid w:val="00726F11"/>
    <w:rsid w:val="00730A84"/>
    <w:rsid w:val="00736E3B"/>
    <w:rsid w:val="00740825"/>
    <w:rsid w:val="00746DCD"/>
    <w:rsid w:val="00761643"/>
    <w:rsid w:val="00767C8F"/>
    <w:rsid w:val="00791128"/>
    <w:rsid w:val="007A47B7"/>
    <w:rsid w:val="007A7ED3"/>
    <w:rsid w:val="007B3BE6"/>
    <w:rsid w:val="007B4E88"/>
    <w:rsid w:val="007C1035"/>
    <w:rsid w:val="007C117B"/>
    <w:rsid w:val="007C4CF4"/>
    <w:rsid w:val="007F0DD3"/>
    <w:rsid w:val="00803882"/>
    <w:rsid w:val="008120A2"/>
    <w:rsid w:val="00822139"/>
    <w:rsid w:val="00833E7F"/>
    <w:rsid w:val="00855F6D"/>
    <w:rsid w:val="00866700"/>
    <w:rsid w:val="00876DFA"/>
    <w:rsid w:val="008800B6"/>
    <w:rsid w:val="008852AD"/>
    <w:rsid w:val="0088605C"/>
    <w:rsid w:val="00886E67"/>
    <w:rsid w:val="0089118A"/>
    <w:rsid w:val="00896D7D"/>
    <w:rsid w:val="008B7303"/>
    <w:rsid w:val="008C3651"/>
    <w:rsid w:val="008D2728"/>
    <w:rsid w:val="008E0485"/>
    <w:rsid w:val="008F7551"/>
    <w:rsid w:val="00900470"/>
    <w:rsid w:val="00902FED"/>
    <w:rsid w:val="00935C36"/>
    <w:rsid w:val="009377EC"/>
    <w:rsid w:val="00945400"/>
    <w:rsid w:val="009506F8"/>
    <w:rsid w:val="0095272F"/>
    <w:rsid w:val="00964867"/>
    <w:rsid w:val="0097056E"/>
    <w:rsid w:val="00972103"/>
    <w:rsid w:val="00972C8E"/>
    <w:rsid w:val="009804E2"/>
    <w:rsid w:val="00992BE8"/>
    <w:rsid w:val="009A21D9"/>
    <w:rsid w:val="009A6D35"/>
    <w:rsid w:val="009B65F7"/>
    <w:rsid w:val="009C03DC"/>
    <w:rsid w:val="009E03CA"/>
    <w:rsid w:val="009F4328"/>
    <w:rsid w:val="009F43F7"/>
    <w:rsid w:val="00A07180"/>
    <w:rsid w:val="00A177FC"/>
    <w:rsid w:val="00A22934"/>
    <w:rsid w:val="00A272DD"/>
    <w:rsid w:val="00A34E10"/>
    <w:rsid w:val="00A3613D"/>
    <w:rsid w:val="00A45958"/>
    <w:rsid w:val="00A539EA"/>
    <w:rsid w:val="00A578E5"/>
    <w:rsid w:val="00A60DFF"/>
    <w:rsid w:val="00A64EA8"/>
    <w:rsid w:val="00A656EC"/>
    <w:rsid w:val="00A65E89"/>
    <w:rsid w:val="00A702E6"/>
    <w:rsid w:val="00A72AB5"/>
    <w:rsid w:val="00A730F4"/>
    <w:rsid w:val="00A7409C"/>
    <w:rsid w:val="00AA5587"/>
    <w:rsid w:val="00AC1222"/>
    <w:rsid w:val="00AC4E96"/>
    <w:rsid w:val="00AD449F"/>
    <w:rsid w:val="00AD7EEE"/>
    <w:rsid w:val="00AE4E5B"/>
    <w:rsid w:val="00AE6B99"/>
    <w:rsid w:val="00AF1C44"/>
    <w:rsid w:val="00AF4B9D"/>
    <w:rsid w:val="00AF4CBA"/>
    <w:rsid w:val="00AF6871"/>
    <w:rsid w:val="00AF6D90"/>
    <w:rsid w:val="00B1268D"/>
    <w:rsid w:val="00B12AA2"/>
    <w:rsid w:val="00B142D1"/>
    <w:rsid w:val="00B25AFE"/>
    <w:rsid w:val="00B26101"/>
    <w:rsid w:val="00B53B78"/>
    <w:rsid w:val="00B5728E"/>
    <w:rsid w:val="00B62CF2"/>
    <w:rsid w:val="00B6329D"/>
    <w:rsid w:val="00B803A9"/>
    <w:rsid w:val="00B87959"/>
    <w:rsid w:val="00BC1042"/>
    <w:rsid w:val="00BC125D"/>
    <w:rsid w:val="00BE060D"/>
    <w:rsid w:val="00BE31B4"/>
    <w:rsid w:val="00C0138D"/>
    <w:rsid w:val="00C10299"/>
    <w:rsid w:val="00C16E36"/>
    <w:rsid w:val="00C2580B"/>
    <w:rsid w:val="00C36365"/>
    <w:rsid w:val="00C46179"/>
    <w:rsid w:val="00C461B4"/>
    <w:rsid w:val="00C56F31"/>
    <w:rsid w:val="00C574E9"/>
    <w:rsid w:val="00C6466F"/>
    <w:rsid w:val="00C665C1"/>
    <w:rsid w:val="00C842AC"/>
    <w:rsid w:val="00C84D21"/>
    <w:rsid w:val="00C920FA"/>
    <w:rsid w:val="00CA684B"/>
    <w:rsid w:val="00CB1D07"/>
    <w:rsid w:val="00CC2022"/>
    <w:rsid w:val="00CD2CD0"/>
    <w:rsid w:val="00CD6F3B"/>
    <w:rsid w:val="00CF7703"/>
    <w:rsid w:val="00D112D4"/>
    <w:rsid w:val="00D20A76"/>
    <w:rsid w:val="00D34C99"/>
    <w:rsid w:val="00D52DA4"/>
    <w:rsid w:val="00D5760B"/>
    <w:rsid w:val="00D63BEE"/>
    <w:rsid w:val="00D66875"/>
    <w:rsid w:val="00D767C3"/>
    <w:rsid w:val="00DA3D35"/>
    <w:rsid w:val="00DA7C27"/>
    <w:rsid w:val="00DB39C3"/>
    <w:rsid w:val="00DC48F2"/>
    <w:rsid w:val="00DD3AD0"/>
    <w:rsid w:val="00E02B90"/>
    <w:rsid w:val="00E04A5B"/>
    <w:rsid w:val="00E10464"/>
    <w:rsid w:val="00E36D0E"/>
    <w:rsid w:val="00E4670D"/>
    <w:rsid w:val="00E46F1D"/>
    <w:rsid w:val="00E5031D"/>
    <w:rsid w:val="00E507E9"/>
    <w:rsid w:val="00E53F55"/>
    <w:rsid w:val="00E5631E"/>
    <w:rsid w:val="00E73004"/>
    <w:rsid w:val="00E863C7"/>
    <w:rsid w:val="00E95CAC"/>
    <w:rsid w:val="00EA27B4"/>
    <w:rsid w:val="00EB4F75"/>
    <w:rsid w:val="00EC40FE"/>
    <w:rsid w:val="00EC4E22"/>
    <w:rsid w:val="00ED04C4"/>
    <w:rsid w:val="00ED3FDB"/>
    <w:rsid w:val="00EE0952"/>
    <w:rsid w:val="00EE5374"/>
    <w:rsid w:val="00EF1E08"/>
    <w:rsid w:val="00F01D30"/>
    <w:rsid w:val="00F06030"/>
    <w:rsid w:val="00F06774"/>
    <w:rsid w:val="00F0692F"/>
    <w:rsid w:val="00F22BCC"/>
    <w:rsid w:val="00F23DCE"/>
    <w:rsid w:val="00F25AE7"/>
    <w:rsid w:val="00F3509A"/>
    <w:rsid w:val="00F357B7"/>
    <w:rsid w:val="00F365F3"/>
    <w:rsid w:val="00F375FC"/>
    <w:rsid w:val="00F40728"/>
    <w:rsid w:val="00F42FAB"/>
    <w:rsid w:val="00F43C13"/>
    <w:rsid w:val="00F54DA5"/>
    <w:rsid w:val="00F6090F"/>
    <w:rsid w:val="00F613C9"/>
    <w:rsid w:val="00F63FFE"/>
    <w:rsid w:val="00F66E48"/>
    <w:rsid w:val="00F73992"/>
    <w:rsid w:val="00F81A6F"/>
    <w:rsid w:val="00F852E5"/>
    <w:rsid w:val="00FA4354"/>
    <w:rsid w:val="00FA4597"/>
    <w:rsid w:val="00FB0104"/>
    <w:rsid w:val="00FB1A3B"/>
    <w:rsid w:val="00FB24A3"/>
    <w:rsid w:val="00FB3C53"/>
    <w:rsid w:val="00FD4E93"/>
    <w:rsid w:val="00FD55FC"/>
    <w:rsid w:val="00FF64E3"/>
    <w:rsid w:val="00FF6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52A7FF"/>
  <w15:chartTrackingRefBased/>
  <w15:docId w15:val="{DB924F00-4223-4258-8998-7F8BF039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A64"/>
    <w:pPr>
      <w:widowControl w:val="0"/>
      <w:wordWrap w:val="0"/>
      <w:autoSpaceDE w:val="0"/>
      <w:autoSpaceDN w:val="0"/>
    </w:pPr>
    <w:rPr>
      <w:rFonts w:ascii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F06030"/>
    <w:pPr>
      <w:keepNext/>
      <w:numPr>
        <w:numId w:val="2"/>
      </w:numPr>
      <w:outlineLvl w:val="0"/>
    </w:pPr>
    <w:rPr>
      <w:rFonts w:eastAsiaTheme="majorEastAsia"/>
      <w:b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F06030"/>
    <w:pPr>
      <w:keepNext/>
      <w:numPr>
        <w:ilvl w:val="1"/>
        <w:numId w:val="2"/>
      </w:numPr>
      <w:outlineLvl w:val="1"/>
    </w:pPr>
    <w:rPr>
      <w:rFonts w:eastAsiaTheme="majorEastAsia"/>
      <w:b/>
      <w:sz w:val="28"/>
      <w:szCs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F06030"/>
    <w:pPr>
      <w:keepNext/>
      <w:numPr>
        <w:ilvl w:val="2"/>
        <w:numId w:val="2"/>
      </w:numPr>
      <w:outlineLvl w:val="2"/>
    </w:pPr>
    <w:rPr>
      <w:rFonts w:eastAsiaTheme="majorEastAsia"/>
      <w:b/>
      <w:sz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F06030"/>
    <w:pPr>
      <w:keepNext/>
      <w:numPr>
        <w:ilvl w:val="3"/>
        <w:numId w:val="2"/>
      </w:numPr>
      <w:outlineLvl w:val="3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F06030"/>
    <w:rPr>
      <w:rFonts w:ascii="Times New Roman" w:eastAsiaTheme="majorEastAsia" w:hAnsi="Times New Roman" w:cs="Times New Roman"/>
      <w:b/>
      <w:sz w:val="32"/>
      <w:szCs w:val="32"/>
    </w:rPr>
  </w:style>
  <w:style w:type="character" w:customStyle="1" w:styleId="2Char">
    <w:name w:val="제목 2 Char"/>
    <w:basedOn w:val="a0"/>
    <w:link w:val="2"/>
    <w:uiPriority w:val="9"/>
    <w:rsid w:val="00F06030"/>
    <w:rPr>
      <w:rFonts w:ascii="Times New Roman" w:eastAsiaTheme="majorEastAsia" w:hAnsi="Times New Roman" w:cs="Times New Roman"/>
      <w:b/>
      <w:sz w:val="28"/>
      <w:szCs w:val="28"/>
    </w:rPr>
  </w:style>
  <w:style w:type="character" w:customStyle="1" w:styleId="3Char">
    <w:name w:val="제목 3 Char"/>
    <w:basedOn w:val="a0"/>
    <w:link w:val="3"/>
    <w:uiPriority w:val="9"/>
    <w:rsid w:val="00F06030"/>
    <w:rPr>
      <w:rFonts w:ascii="Times New Roman" w:eastAsiaTheme="majorEastAsia" w:hAnsi="Times New Roman" w:cs="Times New Roman"/>
      <w:b/>
      <w:sz w:val="24"/>
    </w:rPr>
  </w:style>
  <w:style w:type="character" w:customStyle="1" w:styleId="4Char">
    <w:name w:val="제목 4 Char"/>
    <w:basedOn w:val="a0"/>
    <w:link w:val="4"/>
    <w:uiPriority w:val="9"/>
    <w:rsid w:val="00F06030"/>
    <w:rPr>
      <w:rFonts w:ascii="Times New Roman" w:hAnsi="Times New Roman" w:cs="Times New Roman"/>
      <w:b/>
      <w:bCs/>
      <w:sz w:val="24"/>
    </w:rPr>
  </w:style>
  <w:style w:type="paragraph" w:styleId="a3">
    <w:name w:val="header"/>
    <w:basedOn w:val="a"/>
    <w:link w:val="Char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730F4"/>
    <w:rPr>
      <w:rFonts w:ascii="Times New Roman" w:hAnsi="Times New Roman" w:cs="Times New Roman"/>
      <w:sz w:val="22"/>
    </w:rPr>
  </w:style>
  <w:style w:type="paragraph" w:styleId="a4">
    <w:name w:val="footer"/>
    <w:basedOn w:val="a"/>
    <w:link w:val="Char0"/>
    <w:uiPriority w:val="99"/>
    <w:unhideWhenUsed/>
    <w:rsid w:val="00A730F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730F4"/>
    <w:rPr>
      <w:rFonts w:ascii="Times New Roman" w:hAnsi="Times New Roman" w:cs="Times New Roman"/>
      <w:sz w:val="22"/>
    </w:rPr>
  </w:style>
  <w:style w:type="table" w:styleId="a5">
    <w:name w:val="Table Grid"/>
    <w:basedOn w:val="a1"/>
    <w:uiPriority w:val="39"/>
    <w:rsid w:val="000B45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Lista1,R4_bullets,- Bullets,?? ??,?????,????,列出段落1,中等深浅网格 1 - 着色 21,列表段落,列表段落1,—ño’i—Ž,¥¡¡¡¡ì¬º¥¹¥È¶ÎÂä,ÁÐ³ö¶ÎÂä,¥ê¥¹¥È¶ÎÂä,1st level - Bullet List Paragraph,Lettre d'introduction,Paragrafo elenco,Normal bullet 2,목록단락,列,列出段落,リスト段落,Bullet list"/>
    <w:basedOn w:val="a"/>
    <w:link w:val="Char1"/>
    <w:uiPriority w:val="34"/>
    <w:qFormat/>
    <w:rsid w:val="00D63BEE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E507E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E507E9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D66875"/>
    <w:rPr>
      <w:sz w:val="18"/>
      <w:szCs w:val="18"/>
    </w:rPr>
  </w:style>
  <w:style w:type="paragraph" w:styleId="a9">
    <w:name w:val="annotation text"/>
    <w:basedOn w:val="a"/>
    <w:link w:val="Char3"/>
    <w:uiPriority w:val="99"/>
    <w:semiHidden/>
    <w:unhideWhenUsed/>
    <w:rsid w:val="00D66875"/>
    <w:pPr>
      <w:jc w:val="left"/>
    </w:pPr>
  </w:style>
  <w:style w:type="character" w:customStyle="1" w:styleId="Char3">
    <w:name w:val="메모 텍스트 Char"/>
    <w:basedOn w:val="a0"/>
    <w:link w:val="a9"/>
    <w:uiPriority w:val="99"/>
    <w:semiHidden/>
    <w:rsid w:val="00D66875"/>
    <w:rPr>
      <w:rFonts w:ascii="Times New Roman" w:hAnsi="Times New Roman" w:cs="Times New Roman"/>
      <w:sz w:val="22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D66875"/>
    <w:rPr>
      <w:b/>
      <w:bCs/>
    </w:rPr>
  </w:style>
  <w:style w:type="character" w:customStyle="1" w:styleId="Char4">
    <w:name w:val="메모 주제 Char"/>
    <w:basedOn w:val="Char3"/>
    <w:link w:val="aa"/>
    <w:uiPriority w:val="99"/>
    <w:semiHidden/>
    <w:rsid w:val="00D66875"/>
    <w:rPr>
      <w:rFonts w:ascii="Times New Roman" w:hAnsi="Times New Roman" w:cs="Times New Roman"/>
      <w:b/>
      <w:bCs/>
      <w:sz w:val="22"/>
    </w:rPr>
  </w:style>
  <w:style w:type="character" w:styleId="ab">
    <w:name w:val="Placeholder Text"/>
    <w:basedOn w:val="a0"/>
    <w:uiPriority w:val="99"/>
    <w:semiHidden/>
    <w:rsid w:val="006D3BF4"/>
    <w:rPr>
      <w:color w:val="808080"/>
    </w:rPr>
  </w:style>
  <w:style w:type="paragraph" w:styleId="ac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5"/>
    <w:uiPriority w:val="35"/>
    <w:unhideWhenUsed/>
    <w:qFormat/>
    <w:rsid w:val="00E53F55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5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c"/>
    <w:uiPriority w:val="35"/>
    <w:rsid w:val="00E53F55"/>
    <w:rPr>
      <w:rFonts w:ascii="Times New Roman" w:eastAsia="맑은 고딕" w:hAnsi="Times New Roman" w:cs="Times New Roman"/>
      <w:b/>
      <w:bCs/>
      <w:kern w:val="0"/>
      <w:sz w:val="22"/>
      <w:szCs w:val="20"/>
      <w:lang w:val="en-GB" w:eastAsia="en-US"/>
    </w:rPr>
  </w:style>
  <w:style w:type="character" w:customStyle="1" w:styleId="Char1">
    <w:name w:val="목록 단락 Char"/>
    <w:aliases w:val="Lista1 Char,R4_bullets Char,- Bullets Char,?? ?? Char,????? Char,???? Char,列出段落1 Char,中等深浅网格 1 - 着色 21 Char,列表段落 Char,列表段落1 Char,—ño’i—Ž Char,¥¡¡¡¡ì¬º¥¹¥È¶ÎÂä Char,ÁÐ³ö¶ÎÂä Char,¥ê¥¹¥È¶ÎÂä Char,1st level - Bullet List Paragraph Char,列 Char"/>
    <w:link w:val="a6"/>
    <w:uiPriority w:val="34"/>
    <w:qFormat/>
    <w:locked/>
    <w:rsid w:val="00C10299"/>
    <w:rPr>
      <w:rFonts w:ascii="Times New Roman" w:hAnsi="Times New Roman" w:cs="Times New Roman"/>
      <w:sz w:val="22"/>
    </w:rPr>
  </w:style>
  <w:style w:type="paragraph" w:customStyle="1" w:styleId="B1">
    <w:name w:val="B1"/>
    <w:basedOn w:val="ad"/>
    <w:link w:val="B1Char1"/>
    <w:qFormat/>
    <w:rsid w:val="00592A4B"/>
    <w:pPr>
      <w:widowControl/>
      <w:wordWrap/>
      <w:autoSpaceDE/>
      <w:autoSpaceDN/>
      <w:spacing w:after="180" w:line="240" w:lineRule="auto"/>
      <w:ind w:leftChars="0" w:left="568" w:firstLineChars="0" w:hanging="284"/>
      <w:contextualSpacing w:val="0"/>
      <w:jc w:val="left"/>
    </w:pPr>
    <w:rPr>
      <w:kern w:val="0"/>
      <w:sz w:val="20"/>
      <w:szCs w:val="20"/>
      <w:lang w:val="en-GB" w:eastAsia="en-US"/>
    </w:rPr>
  </w:style>
  <w:style w:type="paragraph" w:customStyle="1" w:styleId="B2">
    <w:name w:val="B2"/>
    <w:basedOn w:val="20"/>
    <w:rsid w:val="00592A4B"/>
    <w:pPr>
      <w:widowControl/>
      <w:wordWrap/>
      <w:autoSpaceDE/>
      <w:autoSpaceDN/>
      <w:spacing w:after="180" w:line="240" w:lineRule="auto"/>
      <w:ind w:leftChars="0" w:left="851" w:firstLineChars="0" w:hanging="284"/>
      <w:contextualSpacing w:val="0"/>
      <w:jc w:val="left"/>
    </w:pPr>
    <w:rPr>
      <w:kern w:val="0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92A4B"/>
    <w:rPr>
      <w:rFonts w:ascii="Times New Roman" w:hAnsi="Times New Roman" w:cs="Times New Roman"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592A4B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592A4B"/>
    <w:pPr>
      <w:ind w:leftChars="400" w:left="100" w:hangingChars="200" w:hanging="200"/>
      <w:contextualSpacing/>
    </w:pPr>
  </w:style>
  <w:style w:type="paragraph" w:styleId="ae">
    <w:name w:val="Normal (Web)"/>
    <w:basedOn w:val="a"/>
    <w:uiPriority w:val="99"/>
    <w:qFormat/>
    <w:rsid w:val="00E5031D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Arial" w:eastAsia="SimSun" w:hAnsi="Arial" w:cs="Arial"/>
      <w:color w:val="493118"/>
      <w:kern w:val="0"/>
      <w:sz w:val="18"/>
      <w:szCs w:val="18"/>
      <w:lang w:eastAsia="zh-CN"/>
    </w:rPr>
  </w:style>
  <w:style w:type="paragraph" w:customStyle="1" w:styleId="Prop1">
    <w:name w:val="Prop1"/>
    <w:basedOn w:val="a6"/>
    <w:qFormat/>
    <w:rsid w:val="00193AC6"/>
    <w:pPr>
      <w:widowControl/>
      <w:wordWrap/>
      <w:autoSpaceDE/>
      <w:autoSpaceDN/>
      <w:spacing w:after="0" w:line="240" w:lineRule="auto"/>
      <w:ind w:leftChars="0" w:left="0"/>
      <w:jc w:val="left"/>
    </w:pPr>
    <w:rPr>
      <w:rFonts w:cs="Calibri"/>
      <w:b/>
      <w:kern w:val="0"/>
      <w:szCs w:val="21"/>
      <w:lang w:eastAsia="zh-CN"/>
    </w:rPr>
  </w:style>
  <w:style w:type="paragraph" w:customStyle="1" w:styleId="3GPPNormalText">
    <w:name w:val="3GPP Normal Text"/>
    <w:basedOn w:val="af"/>
    <w:link w:val="3GPPNormalTextChar"/>
    <w:qFormat/>
    <w:rsid w:val="00561D34"/>
    <w:pPr>
      <w:widowControl/>
      <w:wordWrap/>
      <w:autoSpaceDE/>
      <w:autoSpaceDN/>
      <w:spacing w:after="120" w:line="240" w:lineRule="auto"/>
    </w:pPr>
    <w:rPr>
      <w:rFonts w:eastAsia="MS Mincho"/>
      <w:kern w:val="0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61D34"/>
    <w:rPr>
      <w:rFonts w:ascii="Times New Roman" w:eastAsia="MS Mincho" w:hAnsi="Times New Roman" w:cs="Times New Roman"/>
      <w:kern w:val="0"/>
      <w:sz w:val="22"/>
      <w:szCs w:val="24"/>
      <w:lang w:val="x-none" w:eastAsia="x-none"/>
    </w:rPr>
  </w:style>
  <w:style w:type="paragraph" w:styleId="af">
    <w:name w:val="Body Text"/>
    <w:basedOn w:val="a"/>
    <w:link w:val="Char6"/>
    <w:uiPriority w:val="99"/>
    <w:semiHidden/>
    <w:unhideWhenUsed/>
    <w:rsid w:val="00561D34"/>
    <w:pPr>
      <w:spacing w:after="180"/>
    </w:pPr>
  </w:style>
  <w:style w:type="character" w:customStyle="1" w:styleId="Char6">
    <w:name w:val="본문 Char"/>
    <w:basedOn w:val="a0"/>
    <w:link w:val="af"/>
    <w:uiPriority w:val="99"/>
    <w:semiHidden/>
    <w:rsid w:val="00561D34"/>
    <w:rPr>
      <w:rFonts w:ascii="Times New Roman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41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08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38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081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6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1306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26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15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83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07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676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28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35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77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03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70CD14-191C-45BF-8989-E3CBD3DB1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7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박해욱/책임연구원/ICT기술센터 C&amp;M표준(연)5G무선접속표준Task(haewook.park@lge.com)</cp:lastModifiedBy>
  <cp:revision>136</cp:revision>
  <dcterms:created xsi:type="dcterms:W3CDTF">2022-04-29T05:19:00Z</dcterms:created>
  <dcterms:modified xsi:type="dcterms:W3CDTF">2023-04-07T13:09:00Z</dcterms:modified>
</cp:coreProperties>
</file>