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D8C82" w14:textId="5DD1D847" w:rsidR="008D63F8" w:rsidRDefault="008D63F8" w:rsidP="008D63F8">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Pr>
          <w:rFonts w:cs="Arial"/>
          <w:noProof w:val="0"/>
          <w:sz w:val="28"/>
          <w:szCs w:val="28"/>
          <w:lang w:val="en-US"/>
        </w:rPr>
        <w:t>2</w:t>
      </w:r>
      <w:r>
        <w:rPr>
          <w:rFonts w:cs="Arial" w:hint="eastAsia"/>
          <w:noProof w:val="0"/>
          <w:sz w:val="28"/>
          <w:szCs w:val="28"/>
          <w:lang w:val="en-US"/>
        </w:rPr>
        <w:t>b</w:t>
      </w:r>
      <w:r>
        <w:rPr>
          <w:rFonts w:cs="Arial"/>
          <w:noProof w:val="0"/>
          <w:sz w:val="28"/>
          <w:szCs w:val="28"/>
          <w:lang w:val="en-US"/>
        </w:rPr>
        <w:t>is-e</w:t>
      </w:r>
      <w:r>
        <w:rPr>
          <w:rFonts w:cs="Arial"/>
          <w:noProof w:val="0"/>
          <w:sz w:val="28"/>
          <w:szCs w:val="28"/>
          <w:lang w:val="en-US"/>
        </w:rPr>
        <w:tab/>
      </w:r>
      <w:r w:rsidR="00B77C89" w:rsidRPr="00B77C89">
        <w:rPr>
          <w:rFonts w:cs="Arial"/>
          <w:noProof w:val="0"/>
          <w:sz w:val="28"/>
          <w:szCs w:val="28"/>
          <w:lang w:val="en-US"/>
        </w:rPr>
        <w:t>R1-2303641</w:t>
      </w:r>
    </w:p>
    <w:bookmarkEnd w:id="0"/>
    <w:p w14:paraId="43140A41" w14:textId="77777777" w:rsidR="008D63F8" w:rsidRDefault="008D63F8" w:rsidP="008D79F1">
      <w:pPr>
        <w:tabs>
          <w:tab w:val="center" w:pos="4536"/>
          <w:tab w:val="right" w:pos="9072"/>
        </w:tabs>
        <w:spacing w:after="0" w:afterAutospacing="0"/>
        <w:rPr>
          <w:rFonts w:ascii="Arial" w:eastAsia="ＭＳ 明朝" w:hAnsi="Arial" w:cs="Arial"/>
          <w:b/>
          <w:bCs/>
          <w:sz w:val="28"/>
        </w:rPr>
      </w:pPr>
      <w:r w:rsidRPr="00EB1306">
        <w:rPr>
          <w:rFonts w:ascii="Arial" w:eastAsia="ＭＳ 明朝" w:hAnsi="Arial" w:cs="Arial"/>
          <w:b/>
          <w:bCs/>
          <w:sz w:val="28"/>
        </w:rPr>
        <w:t xml:space="preserve">e-Meeting, </w:t>
      </w:r>
      <w:r>
        <w:rPr>
          <w:rFonts w:ascii="Arial" w:eastAsia="ＭＳ 明朝" w:hAnsi="Arial" w:cs="Arial"/>
          <w:b/>
          <w:bCs/>
          <w:sz w:val="28"/>
        </w:rPr>
        <w:t>April 17th – 26th, 2023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947700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875A2" w:rsidRPr="00A875A2">
        <w:rPr>
          <w:rFonts w:ascii="Arial" w:hAnsi="Arial" w:cs="Arial"/>
          <w:b/>
          <w:color w:val="000000" w:themeColor="text1"/>
          <w:sz w:val="28"/>
          <w:szCs w:val="28"/>
          <w:lang w:val="en-US"/>
        </w:rPr>
        <w:t>Dynamic switching between DFT-S-OFDM and CP-OFDM</w:t>
      </w:r>
      <w:r w:rsidR="00A875A2">
        <w:rPr>
          <w:rFonts w:ascii="Arial" w:hAnsi="Arial" w:cs="Arial"/>
          <w:b/>
          <w:color w:val="000000" w:themeColor="text1"/>
          <w:sz w:val="28"/>
          <w:szCs w:val="28"/>
          <w:lang w:val="en-US"/>
        </w:rPr>
        <w:t xml:space="preserve"> for Rel-18 CovEnh </w:t>
      </w:r>
    </w:p>
    <w:p w14:paraId="369A72EC" w14:textId="3AA7CB93"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6674F">
        <w:rPr>
          <w:rFonts w:ascii="Arial" w:hAnsi="Arial" w:cs="Arial"/>
          <w:b/>
          <w:color w:val="000000" w:themeColor="text1"/>
          <w:sz w:val="28"/>
          <w:szCs w:val="28"/>
          <w:lang w:val="en-US"/>
        </w:rPr>
        <w:t>2</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38BB76A1"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6097">
        <w:rPr>
          <w:rFonts w:eastAsiaTheme="minorEastAsia"/>
          <w:color w:val="000000" w:themeColor="text1"/>
          <w:szCs w:val="24"/>
          <w:lang w:val="en-US"/>
        </w:rPr>
        <w:t>1</w:t>
      </w:r>
      <w:r>
        <w:rPr>
          <w:rFonts w:eastAsiaTheme="minorEastAsia"/>
          <w:color w:val="000000" w:themeColor="text1"/>
          <w:szCs w:val="24"/>
          <w:lang w:val="en-US"/>
        </w:rPr>
        <w:t>#</w:t>
      </w:r>
      <w:r w:rsidR="00856097">
        <w:rPr>
          <w:rFonts w:eastAsiaTheme="minorEastAsia"/>
          <w:color w:val="000000" w:themeColor="text1"/>
          <w:szCs w:val="24"/>
          <w:lang w:val="en-US"/>
        </w:rPr>
        <w:t>111</w:t>
      </w:r>
      <w:r>
        <w:rPr>
          <w:rFonts w:eastAsiaTheme="minorEastAsia"/>
          <w:color w:val="000000" w:themeColor="text1"/>
          <w:szCs w:val="24"/>
          <w:lang w:val="en-US"/>
        </w:rPr>
        <w:t xml:space="preserve">, </w:t>
      </w:r>
      <w:r w:rsidR="00A43A40">
        <w:rPr>
          <w:iCs/>
          <w:lang w:val="en-US"/>
        </w:rPr>
        <w:t xml:space="preserve">the </w:t>
      </w:r>
      <w:r w:rsidR="00404C4C">
        <w:rPr>
          <w:iCs/>
          <w:lang w:val="en-US"/>
        </w:rPr>
        <w:t>following</w:t>
      </w:r>
      <w:r w:rsidR="00856097">
        <w:rPr>
          <w:iCs/>
          <w:lang w:val="en-US"/>
        </w:rPr>
        <w:t xml:space="preserve"> agreements and working assumptions were made</w:t>
      </w:r>
      <w:r w:rsidR="009831A4">
        <w:rPr>
          <w:iCs/>
          <w:lang w:val="en-US"/>
        </w:rPr>
        <w:t xml:space="preserve"> [1]</w:t>
      </w:r>
      <w:r w:rsidR="00856097">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3EC9BBF7" w14:textId="77777777" w:rsidR="00C324CE" w:rsidRPr="00136BC9" w:rsidRDefault="00C324CE" w:rsidP="008D79F1">
            <w:pPr>
              <w:spacing w:after="0" w:afterAutospacing="0"/>
              <w:ind w:left="1440" w:hanging="1440"/>
              <w:rPr>
                <w:rFonts w:eastAsia="DengXian"/>
                <w:highlight w:val="green"/>
                <w:lang w:eastAsia="zh-CN"/>
              </w:rPr>
            </w:pPr>
            <w:bookmarkStart w:id="5" w:name="_Hlk83924038"/>
            <w:r w:rsidRPr="00136BC9">
              <w:rPr>
                <w:rFonts w:eastAsia="DengXian" w:hint="eastAsia"/>
                <w:highlight w:val="green"/>
                <w:lang w:eastAsia="zh-CN"/>
              </w:rPr>
              <w:t>A</w:t>
            </w:r>
            <w:r w:rsidRPr="00136BC9">
              <w:rPr>
                <w:rFonts w:eastAsia="DengXian"/>
                <w:highlight w:val="green"/>
                <w:lang w:eastAsia="zh-CN"/>
              </w:rPr>
              <w:t>greement</w:t>
            </w:r>
          </w:p>
          <w:p w14:paraId="5C3CBDA8" w14:textId="77777777" w:rsidR="00C324CE" w:rsidRDefault="00C324CE" w:rsidP="008D79F1">
            <w:pPr>
              <w:spacing w:after="0" w:afterAutospacing="0"/>
              <w:rPr>
                <w:rFonts w:eastAsia="DengXian"/>
                <w:lang w:eastAsia="zh-CN"/>
              </w:rPr>
            </w:pPr>
            <w:r>
              <w:rPr>
                <w:rFonts w:eastAsia="DengXian"/>
                <w:lang w:eastAsia="zh-CN"/>
              </w:rPr>
              <w:t>For single TB scheduled by single DCI, support new 1-bit field for dynamic waveform indication from UL scheduling DCI.</w:t>
            </w:r>
          </w:p>
          <w:p w14:paraId="2144C873" w14:textId="77777777" w:rsidR="00C324CE" w:rsidRDefault="00C324CE" w:rsidP="00C324CE">
            <w:pPr>
              <w:ind w:left="1440" w:hanging="1440"/>
              <w:rPr>
                <w:rFonts w:eastAsia="DengXian"/>
                <w:lang w:eastAsia="zh-CN"/>
              </w:rPr>
            </w:pPr>
            <w:r>
              <w:rPr>
                <w:rFonts w:eastAsia="DengXian"/>
                <w:lang w:eastAsia="zh-CN"/>
              </w:rPr>
              <w:t>Note: no change of the current size alignment procedure between UL DCI and DL DCI.</w:t>
            </w:r>
          </w:p>
          <w:p w14:paraId="487EA576" w14:textId="77777777" w:rsidR="00C324CE" w:rsidRPr="00614A1D" w:rsidRDefault="00C324CE" w:rsidP="008D79F1">
            <w:pPr>
              <w:spacing w:after="0" w:afterAutospacing="0"/>
            </w:pPr>
            <w:r w:rsidRPr="00614A1D">
              <w:t>Conclusion</w:t>
            </w:r>
          </w:p>
          <w:p w14:paraId="389DAA8A" w14:textId="77777777" w:rsidR="00C324CE" w:rsidRDefault="00C324CE" w:rsidP="00C324CE">
            <w:r w:rsidRPr="00614A1D">
              <w:rPr>
                <w:rFonts w:hint="eastAsia"/>
              </w:rPr>
              <w:t>T</w:t>
            </w:r>
            <w:r w:rsidRPr="00614A1D">
              <w:t>here is no consensus to support “</w:t>
            </w:r>
            <w:r w:rsidRPr="00D96795">
              <w:t xml:space="preserve">Dynamic waveform switching to </w:t>
            </w:r>
            <w:r w:rsidRPr="00614A1D">
              <w:t xml:space="preserve">PUSCH transmissions with a Type 2 </w:t>
            </w:r>
            <w:r w:rsidRPr="00D96795">
              <w:t>configured grant</w:t>
            </w:r>
            <w:r w:rsidRPr="00614A1D">
              <w:t xml:space="preserve">” </w:t>
            </w:r>
            <w:r w:rsidRPr="00D96795">
              <w:t>in R18</w:t>
            </w:r>
            <w:r>
              <w:t>.</w:t>
            </w:r>
          </w:p>
          <w:p w14:paraId="5F35EAC0" w14:textId="77777777" w:rsidR="00C324CE" w:rsidRDefault="00C324CE" w:rsidP="008D79F1">
            <w:pPr>
              <w:spacing w:after="0" w:afterAutospacing="0"/>
            </w:pPr>
            <w:r w:rsidRPr="00E75C8E">
              <w:rPr>
                <w:highlight w:val="green"/>
              </w:rPr>
              <w:t>Agreement</w:t>
            </w:r>
          </w:p>
          <w:p w14:paraId="196DFA7B" w14:textId="2043AC4E" w:rsidR="00C324CE" w:rsidRPr="00614A1D" w:rsidRDefault="00C324CE" w:rsidP="00C324CE">
            <w:r w:rsidRPr="00D96795">
              <w:t xml:space="preserve">Dynamic waveform switching in R18 is not applicable to </w:t>
            </w:r>
            <w:r w:rsidRPr="00614A1D">
              <w:t xml:space="preserve">PUSCH transmissions with a Type 1 </w:t>
            </w:r>
            <w:r w:rsidRPr="00D96795">
              <w:t>configured grant.</w:t>
            </w:r>
          </w:p>
          <w:p w14:paraId="4387987F" w14:textId="77777777" w:rsidR="00C324CE" w:rsidRDefault="00C324CE" w:rsidP="008D79F1">
            <w:pPr>
              <w:spacing w:after="0" w:afterAutospacing="0"/>
              <w:ind w:left="1440" w:hanging="1440"/>
              <w:rPr>
                <w:rFonts w:eastAsia="DengXian"/>
                <w:lang w:eastAsia="zh-CN"/>
              </w:rPr>
            </w:pPr>
            <w:r>
              <w:rPr>
                <w:rFonts w:eastAsia="DengXian"/>
                <w:lang w:eastAsia="zh-CN"/>
              </w:rPr>
              <w:t>Conclusion</w:t>
            </w:r>
          </w:p>
          <w:p w14:paraId="358B54E5" w14:textId="327BAD5B" w:rsidR="00935905" w:rsidRPr="00C324CE" w:rsidRDefault="00C324CE" w:rsidP="00C324CE">
            <w:pPr>
              <w:rPr>
                <w:color w:val="000000"/>
              </w:rPr>
            </w:pPr>
            <w:r>
              <w:t>The d</w:t>
            </w:r>
            <w:r>
              <w:rPr>
                <w:color w:val="000000"/>
              </w:rPr>
              <w:t>ynamic waveform indication in a DCI containing a dynamic uplink grant applies only to PUSCH transmission(s) corresponding to the dynamic uplink grant.</w:t>
            </w:r>
          </w:p>
        </w:tc>
      </w:tr>
    </w:tbl>
    <w:bookmarkEnd w:id="5"/>
    <w:p w14:paraId="0FEFEC97" w14:textId="6BFF9975" w:rsidR="00935905" w:rsidRDefault="00935905" w:rsidP="00607295">
      <w:pPr>
        <w:spacing w:before="240"/>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7B9F4A7A" w14:textId="1C699FF0" w:rsidR="00B114CB" w:rsidRDefault="00B114CB" w:rsidP="00B114CB">
      <w:pPr>
        <w:pStyle w:val="20"/>
        <w:rPr>
          <w:lang w:val="en-US"/>
        </w:rPr>
      </w:pPr>
      <w:r w:rsidRPr="00B114CB">
        <w:rPr>
          <w:lang w:val="en-US"/>
        </w:rPr>
        <w:t>DCI size alignment between CP-OFDM and DFT-S-OFDM</w:t>
      </w:r>
    </w:p>
    <w:p w14:paraId="203B5A9A" w14:textId="6279AE01" w:rsidR="007D0891" w:rsidRDefault="007D0891" w:rsidP="007D0891">
      <w:r>
        <w:t xml:space="preserve">In RAN1#112, </w:t>
      </w:r>
      <w:r w:rsidR="007705A2">
        <w:t>the discussion for DCI size alignment</w:t>
      </w:r>
      <w:r w:rsidR="00600715">
        <w:t xml:space="preserve"> was held and feature lead has summarized the candidate</w:t>
      </w:r>
      <w:r w:rsidR="00221494">
        <w:t xml:space="preserve"> options as following:</w:t>
      </w:r>
    </w:p>
    <w:tbl>
      <w:tblPr>
        <w:tblStyle w:val="af2"/>
        <w:tblW w:w="0" w:type="auto"/>
        <w:tblLook w:val="04A0" w:firstRow="1" w:lastRow="0" w:firstColumn="1" w:lastColumn="0" w:noHBand="0" w:noVBand="1"/>
      </w:tblPr>
      <w:tblGrid>
        <w:gridCol w:w="9350"/>
      </w:tblGrid>
      <w:tr w:rsidR="00CE0619" w14:paraId="10F415B5" w14:textId="77777777">
        <w:tc>
          <w:tcPr>
            <w:tcW w:w="9350" w:type="dxa"/>
          </w:tcPr>
          <w:p w14:paraId="2412405C" w14:textId="77777777" w:rsidR="00CE0619" w:rsidRDefault="00CE0619">
            <w:pPr>
              <w:spacing w:after="0"/>
              <w:rPr>
                <w:sz w:val="20"/>
              </w:rPr>
            </w:pPr>
            <w:r>
              <w:rPr>
                <w:b/>
                <w:bCs/>
                <w:sz w:val="20"/>
                <w:highlight w:val="magenta"/>
              </w:rPr>
              <w:t>FL proposal 2-4r2</w:t>
            </w:r>
            <w:r>
              <w:rPr>
                <w:sz w:val="20"/>
              </w:rPr>
              <w:t xml:space="preserve">: </w:t>
            </w:r>
          </w:p>
          <w:p w14:paraId="6B3BD014" w14:textId="77777777" w:rsidR="00CE0619" w:rsidRDefault="00CE0619">
            <w:pPr>
              <w:spacing w:after="0"/>
              <w:rPr>
                <w:sz w:val="20"/>
              </w:rPr>
            </w:pPr>
            <w:r>
              <w:rPr>
                <w:sz w:val="20"/>
              </w:rPr>
              <w:t>RAN1 to select one of the following Options for DCI size alignment when DWS indication is configured in DCI format 0_1 or 0_2:</w:t>
            </w:r>
          </w:p>
          <w:p w14:paraId="56358F9E" w14:textId="77777777" w:rsidR="00CE0619" w:rsidRPr="00B045FE" w:rsidRDefault="00CE0619">
            <w:pPr>
              <w:spacing w:after="0"/>
              <w:rPr>
                <w:sz w:val="20"/>
                <w:u w:val="single"/>
                <w:lang w:eastAsia="en-US"/>
              </w:rPr>
            </w:pPr>
            <w:r w:rsidRPr="00B045FE">
              <w:rPr>
                <w:sz w:val="20"/>
                <w:u w:val="single"/>
              </w:rPr>
              <w:t>Option 1: Per-format alignment</w:t>
            </w:r>
          </w:p>
          <w:p w14:paraId="5FD38FD1" w14:textId="77777777" w:rsidR="00CE0619" w:rsidRDefault="00CE0619" w:rsidP="00CE0619">
            <w:pPr>
              <w:pStyle w:val="aff9"/>
              <w:numPr>
                <w:ilvl w:val="0"/>
                <w:numId w:val="39"/>
              </w:numPr>
              <w:snapToGrid/>
              <w:ind w:firstLineChars="0"/>
              <w:jc w:val="left"/>
              <w:rPr>
                <w:sz w:val="20"/>
              </w:rPr>
            </w:pPr>
            <w:r w:rsidRPr="00B045FE">
              <w:rPr>
                <w:sz w:val="20"/>
              </w:rPr>
              <w:lastRenderedPageBreak/>
              <w:t xml:space="preserve">Step </w:t>
            </w:r>
            <w:r>
              <w:rPr>
                <w:sz w:val="20"/>
              </w:rPr>
              <w:t xml:space="preserve">1: Determine field sizes of DCI addressed to C-RNTI based on the waveform indicated by DWS field. </w:t>
            </w:r>
          </w:p>
          <w:p w14:paraId="52412296" w14:textId="77777777" w:rsidR="00CE0619" w:rsidRDefault="00CE0619" w:rsidP="00CE0619">
            <w:pPr>
              <w:pStyle w:val="aff9"/>
              <w:numPr>
                <w:ilvl w:val="0"/>
                <w:numId w:val="39"/>
              </w:numPr>
              <w:snapToGrid/>
              <w:spacing w:before="100" w:beforeAutospacing="1"/>
              <w:ind w:firstLineChars="0"/>
              <w:jc w:val="left"/>
              <w:rPr>
                <w:sz w:val="20"/>
              </w:rPr>
            </w:pPr>
            <w:r>
              <w:rPr>
                <w:sz w:val="20"/>
              </w:rPr>
              <w:t>Step 2: If DCI is addressed to CS-RNTI, align field sizes to that of DCI addressed to C-RNTI based on the waveform indicated by DWS field using the existing C-RNTI/CS-RNTI alignment clause.</w:t>
            </w:r>
          </w:p>
          <w:p w14:paraId="27D8B048" w14:textId="77777777" w:rsidR="00CE0619" w:rsidRPr="00AB74D8" w:rsidRDefault="00CE0619" w:rsidP="00CE0619">
            <w:pPr>
              <w:pStyle w:val="aff9"/>
              <w:numPr>
                <w:ilvl w:val="0"/>
                <w:numId w:val="39"/>
              </w:numPr>
              <w:snapToGrid/>
              <w:spacing w:before="100" w:beforeAutospacing="1"/>
              <w:ind w:firstLineChars="0"/>
              <w:jc w:val="left"/>
              <w:rPr>
                <w:sz w:val="20"/>
              </w:rPr>
            </w:pPr>
            <w:r>
              <w:rPr>
                <w:sz w:val="20"/>
              </w:rPr>
              <w:t>Select between:</w:t>
            </w:r>
          </w:p>
          <w:p w14:paraId="3EEF8130" w14:textId="77777777" w:rsidR="00CE0619" w:rsidRDefault="00CE0619" w:rsidP="00CE0619">
            <w:pPr>
              <w:pStyle w:val="aff9"/>
              <w:numPr>
                <w:ilvl w:val="1"/>
                <w:numId w:val="39"/>
              </w:numPr>
              <w:snapToGrid/>
              <w:spacing w:before="100" w:beforeAutospacing="1"/>
              <w:ind w:firstLineChars="0"/>
              <w:jc w:val="left"/>
              <w:rPr>
                <w:sz w:val="20"/>
              </w:rPr>
            </w:pPr>
            <w:r w:rsidRPr="00AB74D8">
              <w:rPr>
                <w:sz w:val="20"/>
              </w:rPr>
              <w:t xml:space="preserve">Alt. </w:t>
            </w:r>
            <w:r>
              <w:rPr>
                <w:sz w:val="20"/>
              </w:rPr>
              <w:t>A:</w:t>
            </w:r>
          </w:p>
          <w:p w14:paraId="053BEFC6" w14:textId="77777777" w:rsidR="00CE0619" w:rsidRDefault="00CE0619" w:rsidP="00CE0619">
            <w:pPr>
              <w:pStyle w:val="aff9"/>
              <w:numPr>
                <w:ilvl w:val="2"/>
                <w:numId w:val="39"/>
              </w:numPr>
              <w:snapToGrid/>
              <w:spacing w:before="100" w:beforeAutospacing="1"/>
              <w:ind w:firstLineChars="0"/>
              <w:jc w:val="left"/>
              <w:rPr>
                <w:sz w:val="20"/>
              </w:rPr>
            </w:pPr>
            <w:r>
              <w:rPr>
                <w:sz w:val="20"/>
              </w:rPr>
              <w:t>By specification, at least one field preceding NDI has size that depends on waveform (</w:t>
            </w:r>
            <w:proofErr w:type="gramStart"/>
            <w:r>
              <w:rPr>
                <w:sz w:val="20"/>
              </w:rPr>
              <w:t>e.g.</w:t>
            </w:r>
            <w:proofErr w:type="gramEnd"/>
            <w:r>
              <w:rPr>
                <w:sz w:val="20"/>
              </w:rPr>
              <w:t xml:space="preserve"> FDRA).</w:t>
            </w:r>
          </w:p>
          <w:p w14:paraId="676A3088" w14:textId="77777777" w:rsidR="00CE0619" w:rsidRDefault="00CE0619" w:rsidP="00CE0619">
            <w:pPr>
              <w:pStyle w:val="aff9"/>
              <w:numPr>
                <w:ilvl w:val="2"/>
                <w:numId w:val="39"/>
              </w:numPr>
              <w:snapToGrid/>
              <w:spacing w:before="100" w:beforeAutospacing="1"/>
              <w:ind w:firstLineChars="0"/>
              <w:jc w:val="left"/>
              <w:rPr>
                <w:sz w:val="20"/>
              </w:rPr>
            </w:pPr>
            <w:r>
              <w:rPr>
                <w:sz w:val="20"/>
              </w:rPr>
              <w:t>Note: This implies DWS field must be decoded before finding position of NDI field.</w:t>
            </w:r>
          </w:p>
          <w:p w14:paraId="6FD4B4AF" w14:textId="77777777" w:rsidR="00CE0619" w:rsidRDefault="00CE0619" w:rsidP="00CE0619">
            <w:pPr>
              <w:pStyle w:val="aff9"/>
              <w:numPr>
                <w:ilvl w:val="2"/>
                <w:numId w:val="39"/>
              </w:numPr>
              <w:snapToGrid/>
              <w:spacing w:before="100" w:beforeAutospacing="1"/>
              <w:ind w:firstLineChars="0"/>
              <w:jc w:val="left"/>
              <w:rPr>
                <w:sz w:val="20"/>
              </w:rPr>
            </w:pPr>
            <w:r>
              <w:rPr>
                <w:sz w:val="20"/>
              </w:rPr>
              <w:t>Note: This implies DWS field must be positioned before the first field that depends on waveform.</w:t>
            </w:r>
          </w:p>
          <w:p w14:paraId="4E249143" w14:textId="77777777" w:rsidR="00CE0619" w:rsidRPr="00AB74D8" w:rsidRDefault="00CE0619" w:rsidP="00CE0619">
            <w:pPr>
              <w:pStyle w:val="aff9"/>
              <w:numPr>
                <w:ilvl w:val="2"/>
                <w:numId w:val="39"/>
              </w:numPr>
              <w:snapToGrid/>
              <w:spacing w:before="100" w:beforeAutospacing="1"/>
              <w:ind w:firstLineChars="0"/>
              <w:jc w:val="left"/>
              <w:rPr>
                <w:sz w:val="20"/>
              </w:rPr>
            </w:pPr>
            <w:r>
              <w:rPr>
                <w:sz w:val="20"/>
              </w:rPr>
              <w:t>Impact on procedure for PDCCH validation of CG type 2: i</w:t>
            </w:r>
            <w:r w:rsidRPr="00AB74D8">
              <w:rPr>
                <w:sz w:val="20"/>
              </w:rPr>
              <w:t xml:space="preserve">f DWS field </w:t>
            </w:r>
            <w:r>
              <w:rPr>
                <w:sz w:val="20"/>
              </w:rPr>
              <w:t xml:space="preserve">value </w:t>
            </w:r>
            <w:r w:rsidRPr="00AB74D8">
              <w:rPr>
                <w:sz w:val="20"/>
              </w:rPr>
              <w:t xml:space="preserve">does not match waveform </w:t>
            </w:r>
            <w:r>
              <w:rPr>
                <w:sz w:val="20"/>
              </w:rPr>
              <w:t xml:space="preserve">RRC-configured in </w:t>
            </w:r>
            <w:r w:rsidRPr="00DF5D10">
              <w:rPr>
                <w:i/>
                <w:iCs/>
                <w:sz w:val="20"/>
              </w:rPr>
              <w:t>ConfiguredGrantConfig</w:t>
            </w:r>
            <w:r>
              <w:rPr>
                <w:sz w:val="20"/>
              </w:rPr>
              <w:t xml:space="preserve"> </w:t>
            </w:r>
            <w:r w:rsidRPr="00AB74D8">
              <w:rPr>
                <w:sz w:val="20"/>
              </w:rPr>
              <w:t xml:space="preserve">for </w:t>
            </w:r>
            <w:r>
              <w:rPr>
                <w:sz w:val="20"/>
              </w:rPr>
              <w:t xml:space="preserve">the </w:t>
            </w:r>
            <w:r w:rsidRPr="00AB74D8">
              <w:rPr>
                <w:sz w:val="20"/>
              </w:rPr>
              <w:t>CG, and NDI=0, it is an error case.</w:t>
            </w:r>
          </w:p>
          <w:p w14:paraId="6BE5A28F" w14:textId="77777777" w:rsidR="00CE0619" w:rsidRDefault="00CE0619" w:rsidP="00CE0619">
            <w:pPr>
              <w:pStyle w:val="aff9"/>
              <w:numPr>
                <w:ilvl w:val="1"/>
                <w:numId w:val="39"/>
              </w:numPr>
              <w:snapToGrid/>
              <w:spacing w:before="100" w:beforeAutospacing="1"/>
              <w:ind w:firstLineChars="0"/>
              <w:jc w:val="left"/>
              <w:rPr>
                <w:sz w:val="20"/>
              </w:rPr>
            </w:pPr>
            <w:r>
              <w:rPr>
                <w:sz w:val="20"/>
              </w:rPr>
              <w:t xml:space="preserve">Alt. B: </w:t>
            </w:r>
          </w:p>
          <w:p w14:paraId="639A4561" w14:textId="77777777" w:rsidR="00CE0619" w:rsidRDefault="00CE0619" w:rsidP="00CE0619">
            <w:pPr>
              <w:pStyle w:val="aff9"/>
              <w:numPr>
                <w:ilvl w:val="2"/>
                <w:numId w:val="39"/>
              </w:numPr>
              <w:snapToGrid/>
              <w:spacing w:before="100" w:beforeAutospacing="1"/>
              <w:ind w:firstLineChars="0"/>
              <w:jc w:val="left"/>
              <w:rPr>
                <w:sz w:val="20"/>
              </w:rPr>
            </w:pPr>
            <w:r>
              <w:rPr>
                <w:sz w:val="20"/>
              </w:rPr>
              <w:t>By specification, no field preceding NDI has size that depends on waveform.</w:t>
            </w:r>
          </w:p>
          <w:p w14:paraId="306476C7" w14:textId="77777777" w:rsidR="00CE0619" w:rsidRDefault="00CE0619" w:rsidP="00CE0619">
            <w:pPr>
              <w:pStyle w:val="aff9"/>
              <w:numPr>
                <w:ilvl w:val="3"/>
                <w:numId w:val="39"/>
              </w:numPr>
              <w:snapToGrid/>
              <w:spacing w:before="100" w:beforeAutospacing="1"/>
              <w:ind w:firstLineChars="0"/>
              <w:jc w:val="left"/>
              <w:rPr>
                <w:sz w:val="20"/>
              </w:rPr>
            </w:pPr>
            <w:r>
              <w:rPr>
                <w:sz w:val="20"/>
              </w:rPr>
              <w:t>Note: It seems that it is currently the case for DCI format 0_1/0_2 in R17 (may need further checking)</w:t>
            </w:r>
          </w:p>
          <w:p w14:paraId="192D7049" w14:textId="77777777" w:rsidR="00CE0619" w:rsidRDefault="00CE0619" w:rsidP="00CE0619">
            <w:pPr>
              <w:pStyle w:val="aff9"/>
              <w:numPr>
                <w:ilvl w:val="2"/>
                <w:numId w:val="39"/>
              </w:numPr>
              <w:snapToGrid/>
              <w:spacing w:before="100" w:beforeAutospacing="1"/>
              <w:ind w:firstLineChars="0"/>
              <w:jc w:val="left"/>
              <w:rPr>
                <w:sz w:val="20"/>
              </w:rPr>
            </w:pPr>
            <w:r>
              <w:rPr>
                <w:sz w:val="20"/>
              </w:rPr>
              <w:t>Note: This means DWS field does not need to be decoded before finding position of NDI field.</w:t>
            </w:r>
          </w:p>
          <w:p w14:paraId="7F3958A3" w14:textId="77777777" w:rsidR="00CE0619" w:rsidRDefault="00CE0619" w:rsidP="00CE0619">
            <w:pPr>
              <w:pStyle w:val="aff9"/>
              <w:numPr>
                <w:ilvl w:val="2"/>
                <w:numId w:val="39"/>
              </w:numPr>
              <w:snapToGrid/>
              <w:spacing w:before="100" w:beforeAutospacing="1"/>
              <w:ind w:firstLineChars="0"/>
              <w:jc w:val="left"/>
              <w:rPr>
                <w:sz w:val="20"/>
              </w:rPr>
            </w:pPr>
            <w:r>
              <w:rPr>
                <w:sz w:val="20"/>
              </w:rPr>
              <w:t>Note: This means DWS field can be positioned after NDI, but before the first field that depends on waveform.</w:t>
            </w:r>
          </w:p>
          <w:p w14:paraId="560A674A" w14:textId="77777777" w:rsidR="00CE0619" w:rsidRPr="00F470F7" w:rsidRDefault="00CE0619" w:rsidP="00CE0619">
            <w:pPr>
              <w:pStyle w:val="aff9"/>
              <w:numPr>
                <w:ilvl w:val="2"/>
                <w:numId w:val="39"/>
              </w:numPr>
              <w:snapToGrid/>
              <w:spacing w:before="100" w:beforeAutospacing="1"/>
              <w:ind w:firstLineChars="0"/>
              <w:jc w:val="left"/>
              <w:rPr>
                <w:sz w:val="20"/>
              </w:rPr>
            </w:pPr>
            <w:r>
              <w:rPr>
                <w:sz w:val="20"/>
              </w:rPr>
              <w:t>No impact on procedure for PDCCH validation of CG type 2. UE can ignore value of DWS field in the validation.</w:t>
            </w:r>
          </w:p>
          <w:p w14:paraId="6829684F" w14:textId="77777777" w:rsidR="00CE0619" w:rsidRPr="00B11EB8" w:rsidRDefault="00CE0619" w:rsidP="00CE0619">
            <w:pPr>
              <w:pStyle w:val="aff9"/>
              <w:numPr>
                <w:ilvl w:val="0"/>
                <w:numId w:val="39"/>
              </w:numPr>
              <w:snapToGrid/>
              <w:ind w:firstLineChars="0"/>
              <w:jc w:val="left"/>
              <w:rPr>
                <w:sz w:val="20"/>
              </w:rPr>
            </w:pPr>
            <w:r w:rsidRPr="00B045FE">
              <w:rPr>
                <w:sz w:val="20"/>
              </w:rPr>
              <w:t xml:space="preserve">Step </w:t>
            </w:r>
            <w:r>
              <w:rPr>
                <w:sz w:val="20"/>
              </w:rPr>
              <w:t xml:space="preserve">3: </w:t>
            </w:r>
            <w:r w:rsidRPr="00B045FE">
              <w:rPr>
                <w:sz w:val="20"/>
              </w:rPr>
              <w:t xml:space="preserve">Apply padding </w:t>
            </w:r>
            <w:r>
              <w:rPr>
                <w:sz w:val="20"/>
              </w:rPr>
              <w:t>at the end of the</w:t>
            </w:r>
            <w:r w:rsidRPr="00B045FE">
              <w:rPr>
                <w:sz w:val="20"/>
              </w:rPr>
              <w:t xml:space="preserve"> DCI</w:t>
            </w:r>
            <w:r>
              <w:rPr>
                <w:sz w:val="20"/>
              </w:rPr>
              <w:t>, if necessary,</w:t>
            </w:r>
            <w:r w:rsidRPr="00B045FE">
              <w:rPr>
                <w:sz w:val="20"/>
              </w:rPr>
              <w:t xml:space="preserve"> to match the size of the largest </w:t>
            </w:r>
            <w:r>
              <w:rPr>
                <w:sz w:val="20"/>
              </w:rPr>
              <w:t xml:space="preserve">DCI size </w:t>
            </w:r>
            <w:r w:rsidRPr="00B045FE">
              <w:rPr>
                <w:sz w:val="20"/>
              </w:rPr>
              <w:t>between (DWS=CP-OFDM) and (DWS=DFT-S-OFDM)</w:t>
            </w:r>
            <w:r>
              <w:rPr>
                <w:sz w:val="20"/>
              </w:rPr>
              <w:t>.</w:t>
            </w:r>
          </w:p>
          <w:p w14:paraId="17938428" w14:textId="77777777" w:rsidR="00CE0619" w:rsidRPr="00B045FE" w:rsidRDefault="00CE0619">
            <w:pPr>
              <w:spacing w:after="0"/>
              <w:rPr>
                <w:sz w:val="20"/>
                <w:u w:val="single"/>
              </w:rPr>
            </w:pPr>
            <w:r w:rsidRPr="00B045FE">
              <w:rPr>
                <w:sz w:val="20"/>
                <w:u w:val="single"/>
              </w:rPr>
              <w:t>Option 2:</w:t>
            </w:r>
            <w:r>
              <w:rPr>
                <w:sz w:val="20"/>
                <w:u w:val="single"/>
              </w:rPr>
              <w:t xml:space="preserve"> Per-field alignment</w:t>
            </w:r>
          </w:p>
          <w:p w14:paraId="1141A3C3" w14:textId="77777777" w:rsidR="00CE0619" w:rsidRPr="001D6294" w:rsidRDefault="00CE0619" w:rsidP="00CE0619">
            <w:pPr>
              <w:pStyle w:val="aff9"/>
              <w:numPr>
                <w:ilvl w:val="0"/>
                <w:numId w:val="39"/>
              </w:numPr>
              <w:snapToGrid/>
              <w:ind w:firstLineChars="0"/>
              <w:jc w:val="left"/>
              <w:rPr>
                <w:sz w:val="20"/>
              </w:rPr>
            </w:pPr>
            <w:r w:rsidRPr="00B045FE">
              <w:rPr>
                <w:sz w:val="20"/>
              </w:rPr>
              <w:t>Step 1</w:t>
            </w:r>
            <w:r>
              <w:rPr>
                <w:sz w:val="20"/>
              </w:rPr>
              <w:t>: For C-RNTI, apply padding to each field, if necessary, to match the size of the largest field size between (DWS=CP-OFDM) and (DWS=DFT-S-OFDM).</w:t>
            </w:r>
          </w:p>
          <w:p w14:paraId="1E343048" w14:textId="77777777" w:rsidR="00CE0619" w:rsidRDefault="00CE0619" w:rsidP="00CE0619">
            <w:pPr>
              <w:pStyle w:val="aff9"/>
              <w:numPr>
                <w:ilvl w:val="0"/>
                <w:numId w:val="39"/>
              </w:numPr>
              <w:snapToGrid/>
              <w:spacing w:before="100" w:beforeAutospacing="1"/>
              <w:ind w:firstLineChars="0"/>
              <w:jc w:val="left"/>
              <w:rPr>
                <w:sz w:val="20"/>
              </w:rPr>
            </w:pPr>
            <w:r w:rsidRPr="00B045FE">
              <w:rPr>
                <w:sz w:val="20"/>
              </w:rPr>
              <w:t>Step 2</w:t>
            </w:r>
            <w:r>
              <w:rPr>
                <w:sz w:val="20"/>
              </w:rPr>
              <w:t>: If DCI is addressed to CS-RNTI, a</w:t>
            </w:r>
            <w:r w:rsidRPr="001D6294">
              <w:rPr>
                <w:sz w:val="20"/>
              </w:rPr>
              <w:t>lign field</w:t>
            </w:r>
            <w:r>
              <w:rPr>
                <w:sz w:val="20"/>
              </w:rPr>
              <w:t xml:space="preserve"> size</w:t>
            </w:r>
            <w:r w:rsidRPr="001D6294">
              <w:rPr>
                <w:sz w:val="20"/>
              </w:rPr>
              <w:t>s to those of C-RNTI according to existing alignment clause between CS-RNTI and C-RNTI.</w:t>
            </w:r>
          </w:p>
          <w:p w14:paraId="532CF5B9" w14:textId="77777777" w:rsidR="00CE0619" w:rsidRDefault="00CE0619" w:rsidP="00CE0619">
            <w:pPr>
              <w:pStyle w:val="aff9"/>
              <w:numPr>
                <w:ilvl w:val="0"/>
                <w:numId w:val="39"/>
              </w:numPr>
              <w:snapToGrid/>
              <w:spacing w:before="100" w:beforeAutospacing="1"/>
              <w:ind w:firstLineChars="0"/>
              <w:jc w:val="left"/>
              <w:rPr>
                <w:sz w:val="20"/>
              </w:rPr>
            </w:pPr>
            <w:r>
              <w:rPr>
                <w:sz w:val="20"/>
              </w:rPr>
              <w:t>Note: DWS field does not need to be decoded before finding position of NDI field or any other field.</w:t>
            </w:r>
          </w:p>
          <w:p w14:paraId="7EDBA38D" w14:textId="77777777" w:rsidR="00CE0619" w:rsidRPr="001D6294" w:rsidRDefault="00CE0619" w:rsidP="00CE0619">
            <w:pPr>
              <w:pStyle w:val="aff9"/>
              <w:numPr>
                <w:ilvl w:val="0"/>
                <w:numId w:val="39"/>
              </w:numPr>
              <w:snapToGrid/>
              <w:spacing w:before="100" w:beforeAutospacing="1"/>
              <w:ind w:firstLineChars="0"/>
              <w:jc w:val="left"/>
              <w:rPr>
                <w:sz w:val="20"/>
              </w:rPr>
            </w:pPr>
            <w:r>
              <w:rPr>
                <w:sz w:val="20"/>
              </w:rPr>
              <w:t>Note: No constraint on position of DWS field in DCI (but positioning before any field that has waveform-dependent interpretation may help implementation).</w:t>
            </w:r>
          </w:p>
          <w:p w14:paraId="4B1E6743" w14:textId="77777777" w:rsidR="00CE0619" w:rsidRPr="00693204" w:rsidRDefault="00CE0619">
            <w:pPr>
              <w:spacing w:after="0"/>
              <w:rPr>
                <w:sz w:val="20"/>
                <w:u w:val="single"/>
              </w:rPr>
            </w:pPr>
            <w:r w:rsidRPr="00693204">
              <w:rPr>
                <w:sz w:val="20"/>
                <w:u w:val="single"/>
              </w:rPr>
              <w:t>Option 3: Per-field alignment only for fields preceding NDI field</w:t>
            </w:r>
          </w:p>
          <w:p w14:paraId="686C45BC" w14:textId="77777777" w:rsidR="00CE0619" w:rsidRDefault="00CE0619" w:rsidP="00CE0619">
            <w:pPr>
              <w:pStyle w:val="aff9"/>
              <w:numPr>
                <w:ilvl w:val="0"/>
                <w:numId w:val="39"/>
              </w:numPr>
              <w:snapToGrid/>
              <w:ind w:firstLineChars="0"/>
              <w:jc w:val="left"/>
              <w:rPr>
                <w:sz w:val="20"/>
              </w:rPr>
            </w:pPr>
            <w:r w:rsidRPr="00693204">
              <w:rPr>
                <w:sz w:val="20"/>
              </w:rPr>
              <w:t>Step 1: For fields preceding NDI, apply per-field alignment as per Steps 1 and 2 of Option 2.</w:t>
            </w:r>
          </w:p>
          <w:p w14:paraId="1CBC39AE" w14:textId="77777777" w:rsidR="00CE0619" w:rsidRPr="00693204" w:rsidRDefault="00CE0619" w:rsidP="00CE0619">
            <w:pPr>
              <w:pStyle w:val="aff9"/>
              <w:numPr>
                <w:ilvl w:val="1"/>
                <w:numId w:val="39"/>
              </w:numPr>
              <w:snapToGrid/>
              <w:spacing w:before="100" w:beforeAutospacing="1"/>
              <w:ind w:firstLineChars="0"/>
              <w:jc w:val="left"/>
              <w:rPr>
                <w:sz w:val="20"/>
              </w:rPr>
            </w:pPr>
            <w:r>
              <w:rPr>
                <w:sz w:val="20"/>
              </w:rPr>
              <w:t>Note: This means DWS field does not need to be decoded before finding position of NDI field.</w:t>
            </w:r>
          </w:p>
          <w:p w14:paraId="7BFD8FC4" w14:textId="77777777" w:rsidR="00CE0619" w:rsidRPr="00693204" w:rsidRDefault="00CE0619" w:rsidP="00CE0619">
            <w:pPr>
              <w:pStyle w:val="aff9"/>
              <w:numPr>
                <w:ilvl w:val="0"/>
                <w:numId w:val="39"/>
              </w:numPr>
              <w:snapToGrid/>
              <w:spacing w:before="100" w:beforeAutospacing="1"/>
              <w:ind w:firstLineChars="0"/>
              <w:jc w:val="left"/>
              <w:rPr>
                <w:sz w:val="20"/>
              </w:rPr>
            </w:pPr>
            <w:r w:rsidRPr="00693204">
              <w:rPr>
                <w:sz w:val="20"/>
              </w:rPr>
              <w:t>Step 2: For fields following NDI, determine field sizes based on DWS as per Steps 1 and 2 of Option 1.</w:t>
            </w:r>
          </w:p>
          <w:p w14:paraId="49813DF3" w14:textId="77777777" w:rsidR="00CE0619" w:rsidRDefault="00CE0619" w:rsidP="00CE0619">
            <w:pPr>
              <w:pStyle w:val="aff9"/>
              <w:numPr>
                <w:ilvl w:val="0"/>
                <w:numId w:val="39"/>
              </w:numPr>
              <w:snapToGrid/>
              <w:spacing w:before="100" w:beforeAutospacing="1"/>
              <w:ind w:firstLineChars="0"/>
              <w:jc w:val="left"/>
              <w:rPr>
                <w:sz w:val="20"/>
              </w:rPr>
            </w:pPr>
            <w:r w:rsidRPr="00693204">
              <w:rPr>
                <w:sz w:val="20"/>
              </w:rPr>
              <w:t>Step 3: Apply padding at the end of the DCI, if necessary, to match the size of the largest DCI size between (DWS=CP-OFDM) and (DWS=DFT-S-OFDM).</w:t>
            </w:r>
          </w:p>
          <w:p w14:paraId="7E3274E8" w14:textId="77777777" w:rsidR="00CE0619" w:rsidRPr="009759D1" w:rsidRDefault="00CE0619" w:rsidP="00CE0619">
            <w:pPr>
              <w:pStyle w:val="aff9"/>
              <w:numPr>
                <w:ilvl w:val="0"/>
                <w:numId w:val="39"/>
              </w:numPr>
              <w:snapToGrid/>
              <w:spacing w:before="100" w:beforeAutospacing="1"/>
              <w:ind w:firstLineChars="0"/>
              <w:jc w:val="left"/>
              <w:rPr>
                <w:sz w:val="20"/>
              </w:rPr>
            </w:pPr>
            <w:r>
              <w:rPr>
                <w:sz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70BBDC1E" w14:textId="77777777" w:rsidR="00CE0619" w:rsidRPr="007B2018" w:rsidRDefault="00CE0619">
            <w:pPr>
              <w:spacing w:after="0"/>
              <w:rPr>
                <w:sz w:val="20"/>
                <w:u w:val="single"/>
              </w:rPr>
            </w:pPr>
            <w:r w:rsidRPr="007B2018">
              <w:rPr>
                <w:sz w:val="20"/>
                <w:u w:val="single"/>
              </w:rPr>
              <w:t>Option 4: Per-field alignment only for DCI addressed to CS-RNTI</w:t>
            </w:r>
          </w:p>
          <w:p w14:paraId="71F86434" w14:textId="77777777" w:rsidR="00CE0619" w:rsidRDefault="00CE0619" w:rsidP="00CE0619">
            <w:pPr>
              <w:pStyle w:val="aff9"/>
              <w:numPr>
                <w:ilvl w:val="0"/>
                <w:numId w:val="39"/>
              </w:numPr>
              <w:snapToGrid/>
              <w:ind w:firstLineChars="0"/>
              <w:jc w:val="left"/>
              <w:rPr>
                <w:sz w:val="20"/>
              </w:rPr>
            </w:pPr>
            <w:r>
              <w:rPr>
                <w:sz w:val="20"/>
              </w:rPr>
              <w:t>For DCI addressed to C-RNTI:</w:t>
            </w:r>
          </w:p>
          <w:p w14:paraId="61292217" w14:textId="77777777" w:rsidR="00CE0619" w:rsidRDefault="00CE0619" w:rsidP="00CE0619">
            <w:pPr>
              <w:pStyle w:val="aff9"/>
              <w:numPr>
                <w:ilvl w:val="1"/>
                <w:numId w:val="39"/>
              </w:numPr>
              <w:snapToGrid/>
              <w:ind w:firstLineChars="0"/>
              <w:jc w:val="left"/>
              <w:rPr>
                <w:sz w:val="20"/>
              </w:rPr>
            </w:pPr>
            <w:r>
              <w:rPr>
                <w:sz w:val="20"/>
              </w:rPr>
              <w:t>Step 1: Determine size of fields based on DWS indication.</w:t>
            </w:r>
          </w:p>
          <w:p w14:paraId="020DA84C" w14:textId="77777777" w:rsidR="00CE0619" w:rsidRPr="00DF5D10" w:rsidRDefault="00CE0619" w:rsidP="00CE0619">
            <w:pPr>
              <w:pStyle w:val="aff9"/>
              <w:numPr>
                <w:ilvl w:val="2"/>
                <w:numId w:val="39"/>
              </w:numPr>
              <w:snapToGrid/>
              <w:spacing w:before="100" w:beforeAutospacing="1"/>
              <w:ind w:firstLineChars="0"/>
              <w:jc w:val="left"/>
              <w:rPr>
                <w:sz w:val="20"/>
              </w:rPr>
            </w:pPr>
            <w:r>
              <w:rPr>
                <w:sz w:val="20"/>
              </w:rPr>
              <w:t>Note: This implies DWS field must be positioned before the first field that depends on waveform.</w:t>
            </w:r>
          </w:p>
          <w:p w14:paraId="60FE1A37" w14:textId="77777777" w:rsidR="00CE0619" w:rsidRDefault="00CE0619" w:rsidP="00CE0619">
            <w:pPr>
              <w:pStyle w:val="aff9"/>
              <w:numPr>
                <w:ilvl w:val="1"/>
                <w:numId w:val="39"/>
              </w:numPr>
              <w:snapToGrid/>
              <w:ind w:firstLineChars="0"/>
              <w:jc w:val="left"/>
              <w:rPr>
                <w:sz w:val="20"/>
              </w:rPr>
            </w:pPr>
            <w:r>
              <w:rPr>
                <w:sz w:val="20"/>
              </w:rPr>
              <w:t xml:space="preserve">Step 2: </w:t>
            </w:r>
            <w:r w:rsidRPr="00B045FE">
              <w:rPr>
                <w:sz w:val="20"/>
              </w:rPr>
              <w:t xml:space="preserve">Apply padding </w:t>
            </w:r>
            <w:r>
              <w:rPr>
                <w:sz w:val="20"/>
              </w:rPr>
              <w:t>at the end of the</w:t>
            </w:r>
            <w:r w:rsidRPr="00B045FE">
              <w:rPr>
                <w:sz w:val="20"/>
              </w:rPr>
              <w:t xml:space="preserve"> DCI</w:t>
            </w:r>
            <w:r>
              <w:rPr>
                <w:sz w:val="20"/>
              </w:rPr>
              <w:t>, if necessary,</w:t>
            </w:r>
            <w:r w:rsidRPr="00B045FE">
              <w:rPr>
                <w:sz w:val="20"/>
              </w:rPr>
              <w:t xml:space="preserve"> to match the size of the largest </w:t>
            </w:r>
            <w:r>
              <w:rPr>
                <w:sz w:val="20"/>
              </w:rPr>
              <w:t xml:space="preserve">DCI size </w:t>
            </w:r>
            <w:r w:rsidRPr="00B045FE">
              <w:rPr>
                <w:sz w:val="20"/>
              </w:rPr>
              <w:t>between (DWS=CP-OFDM) and (DWS=DFT-S-OFDM)</w:t>
            </w:r>
            <w:r>
              <w:rPr>
                <w:sz w:val="20"/>
              </w:rPr>
              <w:t>.</w:t>
            </w:r>
          </w:p>
          <w:p w14:paraId="0F408913" w14:textId="77777777" w:rsidR="00CE0619" w:rsidRDefault="00CE0619" w:rsidP="00CE0619">
            <w:pPr>
              <w:pStyle w:val="aff9"/>
              <w:numPr>
                <w:ilvl w:val="0"/>
                <w:numId w:val="39"/>
              </w:numPr>
              <w:snapToGrid/>
              <w:ind w:firstLineChars="0"/>
              <w:jc w:val="left"/>
              <w:rPr>
                <w:sz w:val="20"/>
              </w:rPr>
            </w:pPr>
            <w:r>
              <w:rPr>
                <w:sz w:val="20"/>
              </w:rPr>
              <w:lastRenderedPageBreak/>
              <w:t>For DCI addressed to CS-RNTI:</w:t>
            </w:r>
          </w:p>
          <w:p w14:paraId="39D76742" w14:textId="77777777" w:rsidR="00CE0619" w:rsidRDefault="00CE0619" w:rsidP="00CE0619">
            <w:pPr>
              <w:pStyle w:val="aff9"/>
              <w:numPr>
                <w:ilvl w:val="1"/>
                <w:numId w:val="39"/>
              </w:numPr>
              <w:snapToGrid/>
              <w:ind w:firstLineChars="0"/>
              <w:jc w:val="left"/>
              <w:rPr>
                <w:sz w:val="20"/>
              </w:rPr>
            </w:pPr>
            <w:r>
              <w:rPr>
                <w:sz w:val="20"/>
              </w:rPr>
              <w:t>Apply padding to each field, if necessary, to match the size of the corresponding field for the DCI addressed to C-RNTI and (DWS=CP-OFDM).</w:t>
            </w:r>
          </w:p>
          <w:p w14:paraId="17A12226" w14:textId="77777777" w:rsidR="00CE0619" w:rsidRDefault="00CE0619" w:rsidP="00CE0619">
            <w:pPr>
              <w:pStyle w:val="aff9"/>
              <w:numPr>
                <w:ilvl w:val="2"/>
                <w:numId w:val="39"/>
              </w:numPr>
              <w:snapToGrid/>
              <w:spacing w:before="100" w:beforeAutospacing="1"/>
              <w:ind w:firstLineChars="0"/>
              <w:jc w:val="left"/>
              <w:rPr>
                <w:sz w:val="20"/>
              </w:rPr>
            </w:pPr>
            <w:r>
              <w:rPr>
                <w:sz w:val="20"/>
              </w:rPr>
              <w:t>Note: This means DWS field does not need to be decoded before finding position of NDI field in the case of CS-RNTI.</w:t>
            </w:r>
          </w:p>
          <w:p w14:paraId="1BA7D71C" w14:textId="77777777" w:rsidR="00CE0619" w:rsidRPr="009759DF" w:rsidRDefault="00CE0619" w:rsidP="00CE0619">
            <w:pPr>
              <w:pStyle w:val="aff9"/>
              <w:numPr>
                <w:ilvl w:val="2"/>
                <w:numId w:val="39"/>
              </w:numPr>
              <w:snapToGrid/>
              <w:spacing w:before="100" w:beforeAutospacing="1"/>
              <w:ind w:firstLineChars="0"/>
              <w:jc w:val="left"/>
              <w:rPr>
                <w:sz w:val="20"/>
              </w:rPr>
            </w:pPr>
            <w:r>
              <w:rPr>
                <w:sz w:val="20"/>
              </w:rPr>
              <w:t xml:space="preserve">Note: Field introduced in future specs needs to have </w:t>
            </w:r>
            <w:bookmarkStart w:id="6" w:name="_Hlk131172020"/>
            <w:r>
              <w:rPr>
                <w:sz w:val="20"/>
              </w:rPr>
              <w:t>size for CP-OFDM at least equal to size for DFT-S-OFDM</w:t>
            </w:r>
            <w:bookmarkEnd w:id="6"/>
            <w:r>
              <w:rPr>
                <w:sz w:val="20"/>
              </w:rPr>
              <w:t>, or otherwise cannot be used for CS-RNTI and NDI=1.</w:t>
            </w:r>
            <w:r w:rsidRPr="009759DF">
              <w:rPr>
                <w:sz w:val="20"/>
              </w:rPr>
              <w:t xml:space="preserve"> </w:t>
            </w:r>
          </w:p>
        </w:tc>
      </w:tr>
    </w:tbl>
    <w:p w14:paraId="3EE7087D" w14:textId="692DE78B" w:rsidR="00CE0619" w:rsidRDefault="00CE0619" w:rsidP="00856097"/>
    <w:p w14:paraId="33B07C76" w14:textId="77777777" w:rsidR="00221494" w:rsidRPr="009F3871" w:rsidRDefault="00221494" w:rsidP="00221494">
      <w:pPr>
        <w:rPr>
          <w:iCs/>
          <w:u w:val="single"/>
        </w:rPr>
      </w:pPr>
      <w:r w:rsidRPr="009F3871">
        <w:rPr>
          <w:iCs/>
          <w:u w:val="single"/>
        </w:rPr>
        <w:t>Size of FDRA field</w:t>
      </w:r>
    </w:p>
    <w:p w14:paraId="6297E66B" w14:textId="66DC20EF" w:rsidR="002070BD" w:rsidRDefault="002070BD" w:rsidP="00856097">
      <w:r>
        <w:rPr>
          <w:rFonts w:hint="eastAsia"/>
        </w:rPr>
        <w:t>B</w:t>
      </w:r>
      <w:r>
        <w:t>efore considering between listed options, one issue regarding frequency domain resource allocation (FDRA) field should be clarified.</w:t>
      </w:r>
    </w:p>
    <w:p w14:paraId="58E5EB3D" w14:textId="77777777" w:rsidR="0071547A" w:rsidRDefault="002070BD" w:rsidP="00856097">
      <w:pPr>
        <w:rPr>
          <w:iCs/>
          <w:lang w:val="en-US"/>
        </w:rPr>
      </w:pPr>
      <w:r>
        <w:rPr>
          <w:rFonts w:hint="eastAsia"/>
        </w:rPr>
        <w:t>I</w:t>
      </w:r>
      <w:r>
        <w:t xml:space="preserve">n current specification 38.212, the size of FDRA field is determined based on </w:t>
      </w:r>
      <w:r w:rsidRPr="00BC5DE6">
        <w:rPr>
          <w:iCs/>
          <w:lang w:val="en-US"/>
        </w:rPr>
        <w:t>‘</w:t>
      </w:r>
      <w:r w:rsidRPr="00BC5DE6">
        <w:rPr>
          <w:i/>
          <w:lang w:val="en-US"/>
        </w:rPr>
        <w:t>resourceAllocation</w:t>
      </w:r>
      <w:r w:rsidRPr="00BC5DE6">
        <w:rPr>
          <w:iCs/>
          <w:lang w:val="en-US"/>
        </w:rPr>
        <w:t xml:space="preserve">’ </w:t>
      </w:r>
      <w:r w:rsidR="00EF264A">
        <w:rPr>
          <w:iCs/>
          <w:lang w:val="en-US"/>
        </w:rPr>
        <w:t>({</w:t>
      </w:r>
      <w:r w:rsidR="00EF264A" w:rsidRPr="00EF264A">
        <w:rPr>
          <w:i/>
          <w:lang w:val="en-US"/>
        </w:rPr>
        <w:t>resourceAllocationType0</w:t>
      </w:r>
      <w:r w:rsidR="00EF264A" w:rsidRPr="00EF264A">
        <w:rPr>
          <w:iCs/>
          <w:lang w:val="en-US"/>
        </w:rPr>
        <w:t xml:space="preserve">, </w:t>
      </w:r>
      <w:r w:rsidR="00EF264A" w:rsidRPr="00EF264A">
        <w:rPr>
          <w:i/>
          <w:lang w:val="en-US"/>
        </w:rPr>
        <w:t>resourceAllocationType1</w:t>
      </w:r>
      <w:r w:rsidR="00EF264A" w:rsidRPr="00EF264A">
        <w:rPr>
          <w:iCs/>
          <w:lang w:val="en-US"/>
        </w:rPr>
        <w:t xml:space="preserve">, </w:t>
      </w:r>
      <w:r w:rsidR="00EF264A" w:rsidRPr="00EF264A">
        <w:rPr>
          <w:i/>
          <w:lang w:val="en-US"/>
        </w:rPr>
        <w:t>dynamicSwitch</w:t>
      </w:r>
      <w:r w:rsidR="00EF264A">
        <w:rPr>
          <w:i/>
          <w:lang w:val="en-US"/>
        </w:rPr>
        <w:t>}</w:t>
      </w:r>
      <w:r>
        <w:rPr>
          <w:iCs/>
          <w:lang w:val="en-US"/>
        </w:rPr>
        <w:t>)</w:t>
      </w:r>
      <w:r w:rsidR="00EF264A">
        <w:rPr>
          <w:iCs/>
          <w:lang w:val="en-US"/>
        </w:rPr>
        <w:t xml:space="preserve"> </w:t>
      </w:r>
      <w:r w:rsidRPr="00BC5DE6">
        <w:rPr>
          <w:iCs/>
          <w:lang w:val="en-US"/>
        </w:rPr>
        <w:t>which is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w:t>
      </w:r>
    </w:p>
    <w:p w14:paraId="4E8369C9" w14:textId="22E471FE" w:rsidR="0071547A" w:rsidRDefault="0071547A" w:rsidP="0071547A">
      <w:pPr>
        <w:rPr>
          <w:iCs/>
          <w:lang w:val="en-US"/>
        </w:rPr>
      </w:pPr>
      <w:r>
        <w:rPr>
          <w:b/>
          <w:bCs/>
          <w:u w:val="single"/>
          <w:lang w:val="en-US"/>
        </w:rPr>
        <w:t>Observation 1</w:t>
      </w:r>
      <w:r w:rsidRPr="00000317">
        <w:rPr>
          <w:b/>
          <w:bCs/>
          <w:u w:val="single"/>
          <w:lang w:val="en-US"/>
        </w:rPr>
        <w:t>:</w:t>
      </w:r>
      <w:r w:rsidRPr="00000317">
        <w:rPr>
          <w:lang w:val="en-US"/>
        </w:rPr>
        <w:t xml:space="preserve"> </w:t>
      </w:r>
      <w:r>
        <w:rPr>
          <w:lang w:val="en-US"/>
        </w:rPr>
        <w:t xml:space="preserve">In current specification, </w:t>
      </w:r>
      <w:r>
        <w:t xml:space="preserve">the size of FDRA field is determined based on </w:t>
      </w:r>
      <w:r w:rsidRPr="00BC5DE6">
        <w:rPr>
          <w:iCs/>
          <w:lang w:val="en-US"/>
        </w:rPr>
        <w:t>‘</w:t>
      </w:r>
      <w:r w:rsidRPr="00BC5DE6">
        <w:rPr>
          <w:i/>
          <w:lang w:val="en-US"/>
        </w:rPr>
        <w:t>resourceAllocation</w:t>
      </w:r>
      <w:r w:rsidRPr="00BC5DE6">
        <w:rPr>
          <w:iCs/>
          <w:lang w:val="en-US"/>
        </w:rPr>
        <w:t>’</w:t>
      </w:r>
      <w:r>
        <w:rPr>
          <w:iCs/>
          <w:lang w:val="en-US"/>
        </w:rPr>
        <w:t>.</w:t>
      </w:r>
    </w:p>
    <w:p w14:paraId="25E8560E" w14:textId="546C8F16" w:rsidR="002070BD" w:rsidRDefault="002070BD" w:rsidP="00856097">
      <w:pPr>
        <w:rPr>
          <w:iCs/>
          <w:lang w:val="en-US"/>
        </w:rPr>
      </w:pPr>
      <w:r>
        <w:rPr>
          <w:iCs/>
          <w:lang w:val="en-US"/>
        </w:rPr>
        <w:t xml:space="preserve">On the other hand, in 38.214, </w:t>
      </w:r>
      <w:r w:rsidRPr="002070BD">
        <w:rPr>
          <w:iCs/>
          <w:lang w:val="en-US"/>
        </w:rPr>
        <w:t>uplink resource allocation scheme type 0 is not supported</w:t>
      </w:r>
      <w:r w:rsidR="00EF264A">
        <w:rPr>
          <w:iCs/>
          <w:lang w:val="en-US"/>
        </w:rPr>
        <w:t xml:space="preserve"> for DFT-S-OFDM. </w:t>
      </w:r>
      <w:r w:rsidR="0071547A">
        <w:rPr>
          <w:iCs/>
          <w:lang w:val="en-US"/>
        </w:rPr>
        <w:t xml:space="preserve">From these two specifications, </w:t>
      </w:r>
      <w:proofErr w:type="gramStart"/>
      <w:r w:rsidR="0071547A">
        <w:rPr>
          <w:iCs/>
          <w:lang w:val="en-US"/>
        </w:rPr>
        <w:t>it is clear that the</w:t>
      </w:r>
      <w:proofErr w:type="gramEnd"/>
      <w:r w:rsidR="0071547A">
        <w:rPr>
          <w:iCs/>
          <w:lang w:val="en-US"/>
        </w:rPr>
        <w:t xml:space="preserve"> size of FDRA field for DFT-S-OFDM case is always based on </w:t>
      </w:r>
      <w:r w:rsidR="0071547A" w:rsidRPr="002070BD">
        <w:rPr>
          <w:iCs/>
          <w:lang w:val="en-US"/>
        </w:rPr>
        <w:t xml:space="preserve">uplink resource allocation scheme type </w:t>
      </w:r>
      <w:r w:rsidR="0071547A">
        <w:rPr>
          <w:iCs/>
          <w:lang w:val="en-US"/>
        </w:rPr>
        <w:t>1.</w:t>
      </w:r>
      <w:r w:rsidR="00EF264A">
        <w:rPr>
          <w:iCs/>
          <w:lang w:val="en-US"/>
        </w:rPr>
        <w:t xml:space="preserve"> </w:t>
      </w:r>
      <w:r w:rsidR="0071547A">
        <w:rPr>
          <w:iCs/>
          <w:lang w:val="en-US"/>
        </w:rPr>
        <w:t>However, there may be two interpretations as following:</w:t>
      </w:r>
    </w:p>
    <w:tbl>
      <w:tblPr>
        <w:tblStyle w:val="af2"/>
        <w:tblW w:w="9649" w:type="dxa"/>
        <w:tblInd w:w="240" w:type="dxa"/>
        <w:tblLook w:val="04A0" w:firstRow="1" w:lastRow="0" w:firstColumn="1" w:lastColumn="0" w:noHBand="0" w:noVBand="1"/>
      </w:tblPr>
      <w:tblGrid>
        <w:gridCol w:w="9649"/>
      </w:tblGrid>
      <w:tr w:rsidR="0071547A" w:rsidRPr="00683FDE" w14:paraId="347A405E" w14:textId="77777777" w:rsidTr="0071547A">
        <w:trPr>
          <w:trHeight w:val="2157"/>
        </w:trPr>
        <w:tc>
          <w:tcPr>
            <w:tcW w:w="9649" w:type="dxa"/>
          </w:tcPr>
          <w:p w14:paraId="553B9288" w14:textId="35222F9A" w:rsidR="0071547A" w:rsidRDefault="0071547A" w:rsidP="0071547A">
            <w:pPr>
              <w:rPr>
                <w:iCs/>
                <w:lang w:val="en-US"/>
              </w:rPr>
            </w:pPr>
            <w:r>
              <w:rPr>
                <w:iCs/>
                <w:lang w:val="en-US"/>
              </w:rPr>
              <w:t>FDRA size determination in current specifications</w:t>
            </w:r>
          </w:p>
          <w:p w14:paraId="5FE094A3" w14:textId="4B06DE23" w:rsidR="0071547A" w:rsidRDefault="0071547A" w:rsidP="0071547A">
            <w:pPr>
              <w:rPr>
                <w:iCs/>
                <w:lang w:val="en-US"/>
              </w:rPr>
            </w:pPr>
            <w:r>
              <w:rPr>
                <w:rFonts w:hint="eastAsia"/>
                <w:iCs/>
                <w:lang w:val="en-US"/>
              </w:rPr>
              <w:t>-</w:t>
            </w:r>
            <w:r>
              <w:rPr>
                <w:iCs/>
                <w:lang w:val="en-US"/>
              </w:rPr>
              <w:t xml:space="preserve"> </w:t>
            </w:r>
            <w:r w:rsidRPr="0071547A">
              <w:rPr>
                <w:b/>
                <w:bCs/>
                <w:iCs/>
                <w:lang w:val="en-US"/>
              </w:rPr>
              <w:t>Interpretation 1</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applicable irrespective configured waveforms and </w:t>
            </w:r>
            <w:r w:rsidRPr="00BC5DE6">
              <w:rPr>
                <w:iCs/>
                <w:lang w:val="en-US"/>
              </w:rPr>
              <w:t>‘</w:t>
            </w:r>
            <w:r w:rsidRPr="00BC5DE6">
              <w:rPr>
                <w:i/>
                <w:lang w:val="en-US"/>
              </w:rPr>
              <w:t>resourceAllocation</w:t>
            </w:r>
            <w:r w:rsidRPr="00BC5DE6">
              <w:rPr>
                <w:iCs/>
                <w:lang w:val="en-US"/>
              </w:rPr>
              <w:t>’</w:t>
            </w:r>
            <w:r>
              <w:rPr>
                <w:iCs/>
                <w:lang w:val="en-US"/>
              </w:rPr>
              <w:t xml:space="preserve"> is always set to ‘</w:t>
            </w:r>
            <w:r w:rsidRPr="00EF264A">
              <w:rPr>
                <w:i/>
                <w:lang w:val="en-US"/>
              </w:rPr>
              <w:t>resourceAllocationType1</w:t>
            </w:r>
            <w:r>
              <w:rPr>
                <w:iCs/>
                <w:lang w:val="en-US"/>
              </w:rPr>
              <w:t>’ for DFT-S-OFDM case</w:t>
            </w:r>
          </w:p>
          <w:p w14:paraId="5B93142F" w14:textId="2533E2A8" w:rsidR="0071547A" w:rsidRPr="00C324CE" w:rsidRDefault="0071547A" w:rsidP="0071547A">
            <w:pPr>
              <w:rPr>
                <w:color w:val="000000"/>
              </w:rPr>
            </w:pPr>
            <w:r>
              <w:rPr>
                <w:rFonts w:hint="eastAsia"/>
                <w:iCs/>
                <w:lang w:val="en-US"/>
              </w:rPr>
              <w:t>-</w:t>
            </w:r>
            <w:r>
              <w:rPr>
                <w:iCs/>
                <w:lang w:val="en-US"/>
              </w:rPr>
              <w:t xml:space="preserve"> </w:t>
            </w:r>
            <w:r w:rsidRPr="0071547A">
              <w:rPr>
                <w:b/>
                <w:bCs/>
                <w:iCs/>
                <w:lang w:val="en-US"/>
              </w:rPr>
              <w:t>Interpretation 2</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only applicable for CP-OFDM case, and FDRA field size for DFT-S-OFDM is based on </w:t>
            </w:r>
            <w:r w:rsidRPr="002070BD">
              <w:rPr>
                <w:iCs/>
                <w:lang w:val="en-US"/>
              </w:rPr>
              <w:t xml:space="preserve">uplink resource allocation scheme type </w:t>
            </w:r>
            <w:r>
              <w:rPr>
                <w:iCs/>
                <w:lang w:val="en-US"/>
              </w:rPr>
              <w:t>1</w:t>
            </w:r>
          </w:p>
        </w:tc>
      </w:tr>
    </w:tbl>
    <w:p w14:paraId="04890071" w14:textId="109F3087" w:rsidR="0071547A" w:rsidRDefault="0071547A" w:rsidP="00856097">
      <w:pPr>
        <w:rPr>
          <w:iCs/>
        </w:rPr>
      </w:pPr>
    </w:p>
    <w:p w14:paraId="24A61069" w14:textId="6537F050" w:rsidR="0071547A" w:rsidRDefault="0071547A" w:rsidP="00856097">
      <w:pPr>
        <w:rPr>
          <w:iCs/>
          <w:lang w:val="en-US"/>
        </w:rPr>
      </w:pPr>
      <w:r>
        <w:rPr>
          <w:rFonts w:hint="eastAsia"/>
          <w:iCs/>
        </w:rPr>
        <w:t>T</w:t>
      </w:r>
      <w:r>
        <w:rPr>
          <w:iCs/>
        </w:rPr>
        <w:t xml:space="preserve">here is not much difference between two interpretations for the case that the waveform is semi-statically configured, since </w:t>
      </w:r>
      <w:r w:rsidRPr="00BC5DE6">
        <w:rPr>
          <w:iCs/>
          <w:lang w:val="en-US"/>
        </w:rPr>
        <w:t>‘</w:t>
      </w:r>
      <w:r w:rsidRPr="00BC5DE6">
        <w:rPr>
          <w:i/>
          <w:lang w:val="en-US"/>
        </w:rPr>
        <w:t>resourceAllocation</w:t>
      </w:r>
      <w:r w:rsidRPr="00BC5DE6">
        <w:rPr>
          <w:iCs/>
          <w:lang w:val="en-US"/>
        </w:rPr>
        <w:t>’</w:t>
      </w:r>
      <w:r>
        <w:rPr>
          <w:iCs/>
          <w:lang w:val="en-US"/>
        </w:rPr>
        <w:t xml:space="preserve"> is also semi-statically configured as same as the waveform</w:t>
      </w:r>
      <w:r>
        <w:rPr>
          <w:iCs/>
        </w:rPr>
        <w:t>.</w:t>
      </w:r>
      <w:r w:rsidR="00567AC6">
        <w:rPr>
          <w:iCs/>
        </w:rPr>
        <w:t xml:space="preserve"> </w:t>
      </w:r>
      <w:r w:rsidR="00EF264A">
        <w:rPr>
          <w:rFonts w:hint="eastAsia"/>
          <w:iCs/>
          <w:lang w:val="en-US"/>
        </w:rPr>
        <w:t>H</w:t>
      </w:r>
      <w:r w:rsidR="00EF264A">
        <w:rPr>
          <w:iCs/>
          <w:lang w:val="en-US"/>
        </w:rPr>
        <w:t xml:space="preserve">owever, for dynamic waveform switching, </w:t>
      </w:r>
      <w:r>
        <w:rPr>
          <w:iCs/>
          <w:lang w:val="en-US"/>
        </w:rPr>
        <w:t>the difference between two interpretations will be critical.</w:t>
      </w:r>
    </w:p>
    <w:p w14:paraId="7782D81B" w14:textId="12B5A305" w:rsidR="00EF264A" w:rsidRDefault="0071547A" w:rsidP="00856097">
      <w:pPr>
        <w:rPr>
          <w:iCs/>
          <w:lang w:val="en-US"/>
        </w:rPr>
      </w:pPr>
      <w:r>
        <w:rPr>
          <w:rFonts w:hint="eastAsia"/>
          <w:iCs/>
          <w:lang w:val="en-US"/>
        </w:rPr>
        <w:t>I</w:t>
      </w:r>
      <w:r>
        <w:rPr>
          <w:iCs/>
          <w:lang w:val="en-US"/>
        </w:rPr>
        <w:t xml:space="preserve">f following interpretation 1, the </w:t>
      </w:r>
      <w:r w:rsidR="00EF264A">
        <w:rPr>
          <w:iCs/>
          <w:lang w:val="en-US"/>
        </w:rPr>
        <w:t>semi-static parameter ‘</w:t>
      </w:r>
      <w:r w:rsidR="00EF264A" w:rsidRPr="00BC5DE6">
        <w:rPr>
          <w:i/>
          <w:lang w:val="en-US"/>
        </w:rPr>
        <w:t>resourceAllocation</w:t>
      </w:r>
      <w:r w:rsidR="00EF264A">
        <w:rPr>
          <w:iCs/>
          <w:lang w:val="en-US"/>
        </w:rPr>
        <w:t xml:space="preserve">’ will be a common parameter for both CP-OFDM and DFT-S-OFDM. This means semi-static configuration of </w:t>
      </w:r>
      <w:r w:rsidR="004B3C66" w:rsidRPr="002070BD">
        <w:rPr>
          <w:iCs/>
          <w:lang w:val="en-US"/>
        </w:rPr>
        <w:t>uplink resource allocation scheme type 0</w:t>
      </w:r>
      <w:r w:rsidR="004B3C66">
        <w:rPr>
          <w:iCs/>
          <w:lang w:val="en-US"/>
        </w:rPr>
        <w:t xml:space="preserve"> for CP-OFDM is not allowed and </w:t>
      </w:r>
      <w:r w:rsidR="00567AC6">
        <w:rPr>
          <w:iCs/>
          <w:lang w:val="en-US"/>
        </w:rPr>
        <w:t>‘</w:t>
      </w:r>
      <w:r w:rsidR="00567AC6" w:rsidRPr="00BC5DE6">
        <w:rPr>
          <w:i/>
          <w:lang w:val="en-US"/>
        </w:rPr>
        <w:t>resourceAllocation</w:t>
      </w:r>
      <w:r w:rsidR="00567AC6">
        <w:rPr>
          <w:iCs/>
          <w:lang w:val="en-US"/>
        </w:rPr>
        <w:t>’ can be configured to only either of ‘</w:t>
      </w:r>
      <w:r w:rsidR="00567AC6" w:rsidRPr="00EF264A">
        <w:rPr>
          <w:i/>
          <w:lang w:val="en-US"/>
        </w:rPr>
        <w:t>resourceAllocationType1</w:t>
      </w:r>
      <w:r w:rsidR="00567AC6">
        <w:rPr>
          <w:iCs/>
          <w:lang w:val="en-US"/>
        </w:rPr>
        <w:t xml:space="preserve">’ and </w:t>
      </w:r>
      <w:r w:rsidR="004B3C66">
        <w:rPr>
          <w:iCs/>
          <w:lang w:val="en-US"/>
        </w:rPr>
        <w:t>‘</w:t>
      </w:r>
      <w:r w:rsidR="004B3C66" w:rsidRPr="00705ED4">
        <w:rPr>
          <w:i/>
          <w:lang w:val="en-US"/>
        </w:rPr>
        <w:t>dynamicSwitch</w:t>
      </w:r>
      <w:r w:rsidR="004B3C66">
        <w:rPr>
          <w:iCs/>
          <w:lang w:val="en-US"/>
        </w:rPr>
        <w:t>’</w:t>
      </w:r>
      <w:r w:rsidR="00567AC6">
        <w:rPr>
          <w:iCs/>
          <w:lang w:val="en-US"/>
        </w:rPr>
        <w:t xml:space="preserve"> to cover the case to dynamically switch to DFT-S-OFDM</w:t>
      </w:r>
      <w:r w:rsidR="004B3C66">
        <w:rPr>
          <w:iCs/>
          <w:lang w:val="en-US"/>
        </w:rPr>
        <w:t>.</w:t>
      </w:r>
      <w:r w:rsidR="00567AC6">
        <w:rPr>
          <w:iCs/>
          <w:lang w:val="en-US"/>
        </w:rPr>
        <w:t xml:space="preserve"> </w:t>
      </w:r>
      <w:r w:rsidR="00783E3A">
        <w:rPr>
          <w:iCs/>
          <w:lang w:val="en-US"/>
        </w:rPr>
        <w:t xml:space="preserve">It requires unnecessary overhead for FDRA field in some cases and the UE is required to determine the </w:t>
      </w:r>
      <w:r w:rsidR="004C2C4E">
        <w:rPr>
          <w:iCs/>
          <w:lang w:val="en-US"/>
        </w:rPr>
        <w:t>FDRA field size based on ‘</w:t>
      </w:r>
      <w:r w:rsidR="004C2C4E" w:rsidRPr="00BC5DE6">
        <w:rPr>
          <w:i/>
          <w:lang w:val="en-US"/>
        </w:rPr>
        <w:t>resourceAllocation</w:t>
      </w:r>
      <w:r w:rsidR="004C2C4E">
        <w:rPr>
          <w:iCs/>
          <w:lang w:val="en-US"/>
        </w:rPr>
        <w:t xml:space="preserve">’ even for DFT-S-OFDM case. </w:t>
      </w:r>
      <w:r w:rsidR="004B3C66">
        <w:rPr>
          <w:iCs/>
          <w:lang w:val="en-US"/>
        </w:rPr>
        <w:t>If following this principle, the size of FDRA field does not depend on the waveform</w:t>
      </w:r>
      <w:r>
        <w:rPr>
          <w:iCs/>
          <w:lang w:val="en-US"/>
        </w:rPr>
        <w:t xml:space="preserve">. </w:t>
      </w:r>
    </w:p>
    <w:p w14:paraId="1428B09E" w14:textId="1E1F225D" w:rsidR="00451603" w:rsidRDefault="0071547A" w:rsidP="004C2C4E">
      <w:pPr>
        <w:rPr>
          <w:iCs/>
          <w:lang w:val="en-US"/>
        </w:rPr>
      </w:pPr>
      <w:r>
        <w:rPr>
          <w:iCs/>
          <w:lang w:val="en-US"/>
        </w:rPr>
        <w:lastRenderedPageBreak/>
        <w:t>On the other hand, if following interpretation 2</w:t>
      </w:r>
      <w:r w:rsidR="004C2C4E">
        <w:rPr>
          <w:iCs/>
          <w:lang w:val="en-US"/>
        </w:rPr>
        <w:t xml:space="preserve">, there is no difference with legacy procedure. (i.e. </w:t>
      </w:r>
      <w:r w:rsidR="004C2C4E">
        <w:t xml:space="preserve">FDRA field size is determined based on </w:t>
      </w:r>
      <w:r w:rsidR="004C2C4E" w:rsidRPr="00BC5DE6">
        <w:rPr>
          <w:iCs/>
          <w:lang w:val="en-US"/>
        </w:rPr>
        <w:t>‘</w:t>
      </w:r>
      <w:r w:rsidR="004C2C4E" w:rsidRPr="00BC5DE6">
        <w:rPr>
          <w:i/>
          <w:lang w:val="en-US"/>
        </w:rPr>
        <w:t>resourceAllocation</w:t>
      </w:r>
      <w:r w:rsidR="004C2C4E" w:rsidRPr="00BC5DE6">
        <w:rPr>
          <w:iCs/>
          <w:lang w:val="en-US"/>
        </w:rPr>
        <w:t>’</w:t>
      </w:r>
      <w:r w:rsidR="004C2C4E">
        <w:rPr>
          <w:iCs/>
          <w:lang w:val="en-US"/>
        </w:rPr>
        <w:t xml:space="preserve"> for CP-OFDM </w:t>
      </w:r>
      <w:proofErr w:type="gramStart"/>
      <w:r w:rsidR="004C2C4E">
        <w:rPr>
          <w:iCs/>
          <w:lang w:val="en-US"/>
        </w:rPr>
        <w:t>case, and</w:t>
      </w:r>
      <w:proofErr w:type="gramEnd"/>
      <w:r w:rsidR="004C2C4E">
        <w:rPr>
          <w:iCs/>
          <w:lang w:val="en-US"/>
        </w:rPr>
        <w:t xml:space="preserve"> based on </w:t>
      </w:r>
      <w:r w:rsidR="004C2C4E" w:rsidRPr="002070BD">
        <w:rPr>
          <w:iCs/>
          <w:lang w:val="en-US"/>
        </w:rPr>
        <w:t xml:space="preserve">uplink resource allocation scheme type </w:t>
      </w:r>
      <w:r w:rsidR="004C2C4E">
        <w:rPr>
          <w:iCs/>
          <w:lang w:val="en-US"/>
        </w:rPr>
        <w:t>1 for DFT-S-OFDM case)</w:t>
      </w:r>
      <w:r w:rsidR="000A6DAB">
        <w:rPr>
          <w:rFonts w:hint="eastAsia"/>
          <w:iCs/>
          <w:lang w:val="en-US"/>
        </w:rPr>
        <w:t xml:space="preserve"> </w:t>
      </w:r>
      <w:r w:rsidR="00451603">
        <w:rPr>
          <w:iCs/>
          <w:lang w:val="en-US"/>
        </w:rPr>
        <w:t>In this case, the size of FDRA field (before field size alignment) depends on the waveform.</w:t>
      </w:r>
    </w:p>
    <w:p w14:paraId="0B7C0282" w14:textId="457D3C21" w:rsidR="00451603" w:rsidRPr="000A6DAB" w:rsidRDefault="00451603" w:rsidP="00856097">
      <w:pPr>
        <w:rPr>
          <w:iCs/>
          <w:lang w:val="en-US"/>
        </w:rPr>
      </w:pPr>
      <w:r>
        <w:rPr>
          <w:iCs/>
          <w:lang w:val="en-US"/>
        </w:rPr>
        <w:t xml:space="preserve">Comparing these two </w:t>
      </w:r>
      <w:r w:rsidR="004C2C4E">
        <w:rPr>
          <w:iCs/>
          <w:lang w:val="en-US"/>
        </w:rPr>
        <w:t>interpretatio</w:t>
      </w:r>
      <w:r>
        <w:rPr>
          <w:iCs/>
          <w:lang w:val="en-US"/>
        </w:rPr>
        <w:t>ns</w:t>
      </w:r>
      <w:r w:rsidR="000A6DAB">
        <w:rPr>
          <w:iCs/>
          <w:lang w:val="en-US"/>
        </w:rPr>
        <w:t>,</w:t>
      </w:r>
      <w:r>
        <w:rPr>
          <w:iCs/>
          <w:lang w:val="en-US"/>
        </w:rPr>
        <w:t xml:space="preserve"> we would like to clarify that, </w:t>
      </w:r>
      <w:r w:rsidR="004C2C4E">
        <w:rPr>
          <w:iCs/>
          <w:lang w:val="en-US"/>
        </w:rPr>
        <w:t>interpretation 2 should be applied at least for dynamic waveform switching case</w:t>
      </w:r>
      <w:r>
        <w:rPr>
          <w:lang w:val="en-US"/>
        </w:rPr>
        <w:t>.</w:t>
      </w:r>
    </w:p>
    <w:p w14:paraId="7A3AB7A6" w14:textId="290D3A18" w:rsidR="001A6E6E" w:rsidRDefault="009F3871" w:rsidP="009F3871">
      <w:pPr>
        <w:spacing w:after="240" w:afterAutospacing="0"/>
        <w:rPr>
          <w:iCs/>
          <w:lang w:val="en-US"/>
        </w:rPr>
      </w:pPr>
      <w:r>
        <w:rPr>
          <w:b/>
          <w:bCs/>
          <w:u w:val="single"/>
          <w:lang w:val="en-US"/>
        </w:rPr>
        <w:t>Proposal 1</w:t>
      </w:r>
      <w:r w:rsidR="001A6E6E" w:rsidRPr="00000317">
        <w:rPr>
          <w:b/>
          <w:bCs/>
          <w:u w:val="single"/>
          <w:lang w:val="en-US"/>
        </w:rPr>
        <w:t>:</w:t>
      </w:r>
      <w:r w:rsidR="001A6E6E" w:rsidRPr="00000317">
        <w:rPr>
          <w:lang w:val="en-US"/>
        </w:rPr>
        <w:t xml:space="preserve"> </w:t>
      </w:r>
      <w:r w:rsidR="004C2C4E">
        <w:rPr>
          <w:lang w:val="en-US"/>
        </w:rPr>
        <w:t>F</w:t>
      </w:r>
      <w:r w:rsidR="001A6E6E">
        <w:rPr>
          <w:iCs/>
          <w:lang w:val="en-US"/>
        </w:rPr>
        <w:t>or the determination of FDRA field</w:t>
      </w:r>
      <w:r w:rsidR="00751CEE">
        <w:rPr>
          <w:iCs/>
          <w:lang w:val="en-US"/>
        </w:rPr>
        <w:t xml:space="preserve"> size</w:t>
      </w:r>
      <w:r w:rsidR="004C2C4E">
        <w:rPr>
          <w:iCs/>
          <w:lang w:val="en-US"/>
        </w:rPr>
        <w:t xml:space="preserve"> in </w:t>
      </w:r>
      <w:r w:rsidR="004C2C4E">
        <w:rPr>
          <w:lang w:val="en-US"/>
        </w:rPr>
        <w:t>dynamic waveform switching case</w:t>
      </w:r>
      <w:r w:rsidR="001A6E6E">
        <w:rPr>
          <w:iCs/>
          <w:lang w:val="en-US"/>
        </w:rPr>
        <w:t xml:space="preserve">, it should be clarified whether </w:t>
      </w:r>
      <w:r w:rsidR="001A6E6E" w:rsidRPr="00BC5DE6">
        <w:rPr>
          <w:iCs/>
          <w:lang w:val="en-US"/>
        </w:rPr>
        <w:t>‘</w:t>
      </w:r>
      <w:r w:rsidR="001A6E6E" w:rsidRPr="00BC5DE6">
        <w:rPr>
          <w:i/>
          <w:lang w:val="en-US"/>
        </w:rPr>
        <w:t>resourceAllocation</w:t>
      </w:r>
      <w:r w:rsidR="001A6E6E" w:rsidRPr="00BC5DE6">
        <w:rPr>
          <w:iCs/>
          <w:lang w:val="en-US"/>
        </w:rPr>
        <w:t>’ configured by ‘</w:t>
      </w:r>
      <w:r w:rsidR="001A6E6E" w:rsidRPr="00BC5DE6">
        <w:rPr>
          <w:i/>
          <w:lang w:val="en-US"/>
        </w:rPr>
        <w:t>PUSCH-Config</w:t>
      </w:r>
      <w:r w:rsidR="001A6E6E" w:rsidRPr="00BC5DE6">
        <w:rPr>
          <w:iCs/>
          <w:lang w:val="en-US"/>
        </w:rPr>
        <w:t>’ or ‘</w:t>
      </w:r>
      <w:r w:rsidR="001A6E6E" w:rsidRPr="00BC5DE6">
        <w:rPr>
          <w:i/>
          <w:lang w:val="en-US"/>
        </w:rPr>
        <w:t>ConfiguredGrantConfig</w:t>
      </w:r>
      <w:r w:rsidR="001A6E6E" w:rsidRPr="00BC5DE6">
        <w:rPr>
          <w:iCs/>
          <w:lang w:val="en-US"/>
        </w:rPr>
        <w:t>’</w:t>
      </w:r>
      <w:r w:rsidR="001A6E6E">
        <w:rPr>
          <w:iCs/>
          <w:lang w:val="en-US"/>
        </w:rPr>
        <w:t xml:space="preserve"> is applied for both waveforms </w:t>
      </w:r>
      <w:proofErr w:type="gramStart"/>
      <w:r w:rsidR="001A6E6E">
        <w:rPr>
          <w:iCs/>
          <w:lang w:val="en-US"/>
        </w:rPr>
        <w:t>or</w:t>
      </w:r>
      <w:proofErr w:type="gramEnd"/>
      <w:r w:rsidR="001A6E6E">
        <w:rPr>
          <w:iCs/>
          <w:lang w:val="en-US"/>
        </w:rPr>
        <w:t xml:space="preserve"> only for CP-OFDM.</w:t>
      </w:r>
    </w:p>
    <w:p w14:paraId="0B321188" w14:textId="53D212B7" w:rsidR="00451603" w:rsidRDefault="002E41EC" w:rsidP="009F3871">
      <w:pPr>
        <w:spacing w:after="0" w:afterAutospacing="0"/>
        <w:rPr>
          <w:lang w:val="en-US"/>
        </w:rPr>
      </w:pPr>
      <w:r>
        <w:rPr>
          <w:b/>
          <w:bCs/>
          <w:u w:val="single"/>
          <w:lang w:val="en-US"/>
        </w:rPr>
        <w:t>Proposal</w:t>
      </w:r>
      <w:r w:rsidR="004C2C4E">
        <w:rPr>
          <w:b/>
          <w:bCs/>
          <w:u w:val="single"/>
          <w:lang w:val="en-US"/>
        </w:rPr>
        <w:t xml:space="preserve"> </w:t>
      </w:r>
      <w:r w:rsidR="009F3871">
        <w:rPr>
          <w:b/>
          <w:bCs/>
          <w:u w:val="single"/>
          <w:lang w:val="en-US"/>
        </w:rPr>
        <w:t>2</w:t>
      </w:r>
      <w:r w:rsidRPr="00000317">
        <w:rPr>
          <w:b/>
          <w:bCs/>
          <w:u w:val="single"/>
          <w:lang w:val="en-US"/>
        </w:rPr>
        <w:t>:</w:t>
      </w:r>
      <w:r w:rsidRPr="00000317">
        <w:rPr>
          <w:lang w:val="en-US"/>
        </w:rPr>
        <w:t xml:space="preserve"> </w:t>
      </w:r>
      <w:r>
        <w:rPr>
          <w:lang w:val="en-US"/>
        </w:rPr>
        <w:t xml:space="preserve">At least for the determination of FDRA field size, </w:t>
      </w:r>
      <w:r w:rsidRPr="00BC5DE6">
        <w:rPr>
          <w:iCs/>
          <w:lang w:val="en-US"/>
        </w:rPr>
        <w:t>‘</w:t>
      </w:r>
      <w:r w:rsidRPr="00BC5DE6">
        <w:rPr>
          <w:i/>
          <w:lang w:val="en-US"/>
        </w:rPr>
        <w:t>resourceAllocation</w:t>
      </w:r>
      <w:r w:rsidRPr="00BC5DE6">
        <w:rPr>
          <w:iCs/>
          <w:lang w:val="en-US"/>
        </w:rPr>
        <w:t>’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is applied only for CP-OFDM, and the field size of </w:t>
      </w:r>
      <w:r w:rsidRPr="00963A68">
        <w:rPr>
          <w:lang w:val="en-US"/>
        </w:rPr>
        <w:t xml:space="preserve">resource allocation scheme type </w:t>
      </w:r>
      <w:r>
        <w:rPr>
          <w:lang w:val="en-US"/>
        </w:rPr>
        <w:t>1 should be applied for DFT-S-OFDM</w:t>
      </w:r>
    </w:p>
    <w:p w14:paraId="3D24CA07" w14:textId="7A5AD1DE" w:rsidR="009F3871" w:rsidRPr="009F3871" w:rsidRDefault="009F3871" w:rsidP="009F3871">
      <w:pPr>
        <w:pStyle w:val="aff9"/>
        <w:numPr>
          <w:ilvl w:val="0"/>
          <w:numId w:val="43"/>
        </w:numPr>
        <w:ind w:firstLineChars="0"/>
        <w:rPr>
          <w:b/>
          <w:bCs/>
          <w:u w:val="single"/>
          <w:lang w:val="en-US"/>
        </w:rPr>
      </w:pPr>
      <w:r>
        <w:rPr>
          <w:lang w:val="en-US"/>
        </w:rPr>
        <w:t>The size of FDRA field (before field size alignment) depends on the indicated waveform</w:t>
      </w:r>
    </w:p>
    <w:p w14:paraId="0F52C81A" w14:textId="77777777" w:rsidR="009F3871" w:rsidRPr="009F3871" w:rsidRDefault="009F3871" w:rsidP="009F3871">
      <w:pPr>
        <w:rPr>
          <w:iCs/>
          <w:u w:val="single"/>
        </w:rPr>
      </w:pPr>
      <w:r>
        <w:rPr>
          <w:iCs/>
          <w:u w:val="single"/>
        </w:rPr>
        <w:t>Position of NDI field</w:t>
      </w:r>
    </w:p>
    <w:p w14:paraId="5D56CB59" w14:textId="68C97082" w:rsidR="00451603" w:rsidRPr="00451603" w:rsidRDefault="00311867" w:rsidP="00801508">
      <w:pPr>
        <w:rPr>
          <w:lang w:val="en-US"/>
        </w:rPr>
      </w:pPr>
      <w:r>
        <w:rPr>
          <w:lang w:val="en-US"/>
        </w:rPr>
        <w:t>For the</w:t>
      </w:r>
      <w:r w:rsidR="00451603">
        <w:rPr>
          <w:lang w:val="en-US"/>
        </w:rPr>
        <w:t xml:space="preserve"> case of </w:t>
      </w:r>
      <w:r w:rsidRPr="00311867">
        <w:rPr>
          <w:lang w:val="en-US"/>
        </w:rPr>
        <w:t>CG type 2</w:t>
      </w:r>
      <w:r>
        <w:rPr>
          <w:lang w:val="en-US"/>
        </w:rPr>
        <w:t xml:space="preserve">, finding position of NDI field </w:t>
      </w:r>
      <w:r w:rsidR="009F3871">
        <w:rPr>
          <w:lang w:val="en-US"/>
        </w:rPr>
        <w:t>should be carefully considered</w:t>
      </w:r>
      <w:r>
        <w:rPr>
          <w:lang w:val="en-US"/>
        </w:rPr>
        <w:t>. As same as legacy procedure, fixing the position of NDI field irrespective of the value of NDI field and irrespective of indicated waveform (i.e. DWS field) is preferrable. Therefore, at least for the field (including FDRA field) preceding NDI field, per-field size alignment should be supported.</w:t>
      </w:r>
    </w:p>
    <w:p w14:paraId="51F274A3" w14:textId="153D98DB" w:rsidR="0013179D" w:rsidRPr="00751CEE" w:rsidRDefault="0013179D" w:rsidP="0013179D">
      <w:pPr>
        <w:rPr>
          <w:b/>
          <w:bCs/>
          <w:u w:val="single"/>
          <w:lang w:val="en-US"/>
        </w:rPr>
      </w:pPr>
      <w:r>
        <w:rPr>
          <w:b/>
          <w:bCs/>
          <w:u w:val="single"/>
          <w:lang w:val="en-US"/>
        </w:rPr>
        <w:t>Proposal</w:t>
      </w:r>
      <w:r w:rsidR="009F3871">
        <w:rPr>
          <w:b/>
          <w:bCs/>
          <w:u w:val="single"/>
          <w:lang w:val="en-US"/>
        </w:rPr>
        <w:t xml:space="preserve"> 3</w:t>
      </w:r>
      <w:r w:rsidRPr="00000317">
        <w:rPr>
          <w:b/>
          <w:bCs/>
          <w:u w:val="single"/>
          <w:lang w:val="en-US"/>
        </w:rPr>
        <w:t>:</w:t>
      </w:r>
      <w:r w:rsidRPr="00000317">
        <w:rPr>
          <w:lang w:val="en-US"/>
        </w:rPr>
        <w:t xml:space="preserve"> </w:t>
      </w:r>
      <w:r>
        <w:rPr>
          <w:lang w:val="en-US"/>
        </w:rPr>
        <w:t>The start position of NDI field should be fixed irrespective of the value of DWS field</w:t>
      </w:r>
    </w:p>
    <w:p w14:paraId="0E151788" w14:textId="4B9EFA29" w:rsidR="0013179D" w:rsidRPr="00751CEE" w:rsidRDefault="0013179D" w:rsidP="0013179D">
      <w:pPr>
        <w:rPr>
          <w:b/>
          <w:bCs/>
          <w:u w:val="single"/>
          <w:lang w:val="en-US"/>
        </w:rPr>
      </w:pPr>
      <w:r>
        <w:rPr>
          <w:b/>
          <w:bCs/>
          <w:u w:val="single"/>
          <w:lang w:val="en-US"/>
        </w:rPr>
        <w:t>Proposal</w:t>
      </w:r>
      <w:r w:rsidR="009F3871">
        <w:rPr>
          <w:b/>
          <w:bCs/>
          <w:u w:val="single"/>
          <w:lang w:val="en-US"/>
        </w:rPr>
        <w:t xml:space="preserve"> 4</w:t>
      </w:r>
      <w:r w:rsidRPr="00000317">
        <w:rPr>
          <w:b/>
          <w:bCs/>
          <w:u w:val="single"/>
          <w:lang w:val="en-US"/>
        </w:rPr>
        <w:t>:</w:t>
      </w:r>
      <w:r w:rsidRPr="00000317">
        <w:rPr>
          <w:lang w:val="en-US"/>
        </w:rPr>
        <w:t xml:space="preserve"> </w:t>
      </w:r>
      <w:r>
        <w:rPr>
          <w:lang w:val="en-US"/>
        </w:rPr>
        <w:t xml:space="preserve">At least, per-field size alignment </w:t>
      </w:r>
      <w:r w:rsidR="007200CD">
        <w:rPr>
          <w:lang w:val="en-US"/>
        </w:rPr>
        <w:t xml:space="preserve">for the fields preceding NDI field </w:t>
      </w:r>
      <w:r w:rsidR="00393020">
        <w:rPr>
          <w:lang w:val="en-US"/>
        </w:rPr>
        <w:t>is supported</w:t>
      </w:r>
      <w:r w:rsidR="007200CD">
        <w:rPr>
          <w:lang w:val="en-US"/>
        </w:rPr>
        <w:t>.</w:t>
      </w:r>
    </w:p>
    <w:p w14:paraId="60131696" w14:textId="77777777" w:rsidR="009F3871" w:rsidRPr="009F3871" w:rsidRDefault="009F3871" w:rsidP="009F3871">
      <w:pPr>
        <w:rPr>
          <w:iCs/>
          <w:u w:val="single"/>
        </w:rPr>
      </w:pPr>
      <w:r>
        <w:rPr>
          <w:iCs/>
          <w:u w:val="single"/>
        </w:rPr>
        <w:t>Comparison of o</w:t>
      </w:r>
      <w:r w:rsidRPr="009F3871">
        <w:rPr>
          <w:iCs/>
          <w:u w:val="single"/>
        </w:rPr>
        <w:t>ptions for DCI size alignment</w:t>
      </w:r>
    </w:p>
    <w:p w14:paraId="73EBE80C" w14:textId="510EEB67" w:rsidR="009577BA" w:rsidRPr="009577BA" w:rsidRDefault="00311867" w:rsidP="00856097">
      <w:pPr>
        <w:rPr>
          <w:iCs/>
          <w:lang w:val="en-US"/>
        </w:rPr>
      </w:pPr>
      <w:r>
        <w:rPr>
          <w:rFonts w:hint="eastAsia"/>
          <w:lang w:val="en-US"/>
        </w:rPr>
        <w:t>B</w:t>
      </w:r>
      <w:r>
        <w:rPr>
          <w:lang w:val="en-US"/>
        </w:rPr>
        <w:t>ased on our preference above, candidate options for DCI size alignment are option 2, option 3 and option 4.</w:t>
      </w:r>
      <w:r w:rsidR="009577BA">
        <w:rPr>
          <w:lang w:val="en-US"/>
        </w:rPr>
        <w:t xml:space="preserve"> The different between these options are basically the number of zero padding bits. For current specification, there is no case that the field </w:t>
      </w:r>
      <w:r w:rsidR="009577BA" w:rsidRPr="00362B20">
        <w:rPr>
          <w:lang w:val="en-US"/>
        </w:rPr>
        <w:t xml:space="preserve">size for CP-OFDM </w:t>
      </w:r>
      <w:r w:rsidR="009577BA">
        <w:rPr>
          <w:lang w:val="en-US"/>
        </w:rPr>
        <w:t>can be smaller than the</w:t>
      </w:r>
      <w:r w:rsidR="009577BA" w:rsidRPr="00362B20">
        <w:rPr>
          <w:lang w:val="en-US"/>
        </w:rPr>
        <w:t xml:space="preserve"> size for DFT-S-OFDM</w:t>
      </w:r>
      <w:r w:rsidR="009577BA">
        <w:rPr>
          <w:lang w:val="en-US"/>
        </w:rPr>
        <w:t xml:space="preserve">. For that case, </w:t>
      </w:r>
      <w:r w:rsidR="009577BA">
        <w:rPr>
          <w:iCs/>
          <w:lang w:val="en-US"/>
        </w:rPr>
        <w:t>there is no difference on total number of zero padding bits between all options.</w:t>
      </w:r>
      <w:r w:rsidR="009577BA">
        <w:rPr>
          <w:rFonts w:hint="eastAsia"/>
          <w:iCs/>
          <w:lang w:val="en-US"/>
        </w:rPr>
        <w:t xml:space="preserve"> </w:t>
      </w:r>
      <w:r w:rsidR="009577BA">
        <w:rPr>
          <w:iCs/>
          <w:lang w:val="en-US"/>
        </w:rPr>
        <w:t>E</w:t>
      </w:r>
      <w:r w:rsidR="009577BA" w:rsidRPr="009577BA">
        <w:rPr>
          <w:lang w:val="en-US"/>
        </w:rPr>
        <w:t xml:space="preserve">ven considering the field introduced in future specs (i.e. possibility that the field size for CP-OFDM can be smaller than the size for DFT-S-OFDM), </w:t>
      </w:r>
      <w:r w:rsidR="00BE4764">
        <w:rPr>
          <w:lang w:val="en-US"/>
        </w:rPr>
        <w:t>additional number of bits for zero padding in the DCI format 0_1 does not lead to actual overhead increase in most cases</w:t>
      </w:r>
      <w:r w:rsidR="009577BA" w:rsidRPr="009577BA">
        <w:rPr>
          <w:lang w:val="en-US"/>
        </w:rPr>
        <w:t>.</w:t>
      </w:r>
      <w:r w:rsidR="00BE4764">
        <w:rPr>
          <w:lang w:val="en-US"/>
        </w:rPr>
        <w:t xml:space="preserve"> Link adaptation of PDCCH is based on the aggregation level selection. A typical payload size of DCI format 0_1 is more than 40 bits. With this range of payload size, even if 1 bit is added, the network may not need to select higher aggregation levels to satisfy a target error rate in most cases. In addition, even with additional zero padding is included, the typical payload size of DCI format 0_1 is still smaller than a typical payload size of DCI format 1_1. Therefore, the number of zero padding does not cause actual overhead increase.</w:t>
      </w:r>
    </w:p>
    <w:p w14:paraId="64EE2455" w14:textId="01F3A0E5" w:rsidR="007200CD" w:rsidRDefault="007200CD" w:rsidP="00BE4764">
      <w:pPr>
        <w:spacing w:after="0" w:afterAutospacing="0"/>
        <w:rPr>
          <w:iCs/>
          <w:lang w:val="en-US"/>
        </w:rPr>
      </w:pPr>
      <w:r>
        <w:rPr>
          <w:b/>
          <w:bCs/>
          <w:u w:val="single"/>
          <w:lang w:val="en-US"/>
        </w:rPr>
        <w:t>Observation</w:t>
      </w:r>
      <w:r w:rsidR="009F3871">
        <w:rPr>
          <w:b/>
          <w:bCs/>
          <w:u w:val="single"/>
          <w:lang w:val="en-US"/>
        </w:rPr>
        <w:t xml:space="preserve"> </w:t>
      </w:r>
      <w:r w:rsidR="00BE4764">
        <w:rPr>
          <w:b/>
          <w:bCs/>
          <w:u w:val="single"/>
          <w:lang w:val="en-US"/>
        </w:rPr>
        <w:t>2</w:t>
      </w:r>
      <w:r w:rsidRPr="00000317">
        <w:rPr>
          <w:b/>
          <w:bCs/>
          <w:u w:val="single"/>
          <w:lang w:val="en-US"/>
        </w:rPr>
        <w:t>:</w:t>
      </w:r>
      <w:r w:rsidRPr="00000317">
        <w:rPr>
          <w:lang w:val="en-US"/>
        </w:rPr>
        <w:t xml:space="preserve"> </w:t>
      </w:r>
      <w:r>
        <w:rPr>
          <w:iCs/>
          <w:lang w:val="en-US"/>
        </w:rPr>
        <w:t>If each field in DCI for CP-OFDM is always equal to or larger than that for DFT-S-OFDM, there is no difference on overhead (i.e. number of padding bits) between all options</w:t>
      </w:r>
      <w:r w:rsidR="00362B20">
        <w:rPr>
          <w:iCs/>
          <w:lang w:val="en-US"/>
        </w:rPr>
        <w:t>.</w:t>
      </w:r>
    </w:p>
    <w:p w14:paraId="2FAEEE06" w14:textId="5E362331" w:rsidR="007200CD" w:rsidRDefault="007200CD" w:rsidP="007200CD">
      <w:pPr>
        <w:pStyle w:val="aff9"/>
        <w:numPr>
          <w:ilvl w:val="0"/>
          <w:numId w:val="42"/>
        </w:numPr>
        <w:ind w:firstLineChars="0"/>
        <w:rPr>
          <w:lang w:val="en-US"/>
        </w:rPr>
      </w:pPr>
      <w:r>
        <w:rPr>
          <w:rFonts w:hint="eastAsia"/>
          <w:lang w:val="en-US"/>
        </w:rPr>
        <w:t>e</w:t>
      </w:r>
      <w:r>
        <w:rPr>
          <w:lang w:val="en-US"/>
        </w:rPr>
        <w:t xml:space="preserve">ven </w:t>
      </w:r>
      <w:r w:rsidR="00362B20">
        <w:rPr>
          <w:lang w:val="en-US"/>
        </w:rPr>
        <w:t>considering</w:t>
      </w:r>
      <w:r>
        <w:rPr>
          <w:lang w:val="en-US"/>
        </w:rPr>
        <w:t xml:space="preserve"> the </w:t>
      </w:r>
      <w:r w:rsidR="00362B20">
        <w:rPr>
          <w:lang w:val="en-US"/>
        </w:rPr>
        <w:t>f</w:t>
      </w:r>
      <w:r w:rsidR="00362B20" w:rsidRPr="00362B20">
        <w:rPr>
          <w:lang w:val="en-US"/>
        </w:rPr>
        <w:t>ield introduced in future specs</w:t>
      </w:r>
      <w:r w:rsidR="00362B20">
        <w:rPr>
          <w:lang w:val="en-US"/>
        </w:rPr>
        <w:t>, the impact on the number of zero padding is marginal.</w:t>
      </w:r>
    </w:p>
    <w:p w14:paraId="61C722D6" w14:textId="62091222" w:rsidR="00362B20" w:rsidRDefault="009577BA" w:rsidP="00362B20">
      <w:pPr>
        <w:rPr>
          <w:lang w:val="en-US"/>
        </w:rPr>
      </w:pPr>
      <w:r>
        <w:rPr>
          <w:lang w:val="en-US"/>
        </w:rPr>
        <w:lastRenderedPageBreak/>
        <w:t>Regarding option 4, limitation of the flexibility of field size introduced in future release is not preferrable. Between option 2 and option 3, we don’t feel much difference</w:t>
      </w:r>
      <w:r w:rsidR="00936A31">
        <w:rPr>
          <w:lang w:val="en-US"/>
        </w:rPr>
        <w:t>, but slight preference on option 2 for the simplicity.</w:t>
      </w:r>
      <w:r>
        <w:rPr>
          <w:lang w:val="en-US"/>
        </w:rPr>
        <w:t xml:space="preserve"> </w:t>
      </w:r>
    </w:p>
    <w:p w14:paraId="0A6C3AA7" w14:textId="3C0D5C5B" w:rsidR="00362B20" w:rsidRPr="00751CEE" w:rsidRDefault="00362B20" w:rsidP="00362B20">
      <w:pPr>
        <w:rPr>
          <w:b/>
          <w:bCs/>
          <w:u w:val="single"/>
          <w:lang w:val="en-US"/>
        </w:rPr>
      </w:pPr>
      <w:r>
        <w:rPr>
          <w:b/>
          <w:bCs/>
          <w:u w:val="single"/>
          <w:lang w:val="en-US"/>
        </w:rPr>
        <w:t>Proposal</w:t>
      </w:r>
      <w:r w:rsidR="00BE4764">
        <w:rPr>
          <w:b/>
          <w:bCs/>
          <w:u w:val="single"/>
          <w:lang w:val="en-US"/>
        </w:rPr>
        <w:t xml:space="preserve"> 5</w:t>
      </w:r>
      <w:r w:rsidRPr="00000317">
        <w:rPr>
          <w:b/>
          <w:bCs/>
          <w:u w:val="single"/>
          <w:lang w:val="en-US"/>
        </w:rPr>
        <w:t>:</w:t>
      </w:r>
      <w:r w:rsidRPr="00000317">
        <w:rPr>
          <w:lang w:val="en-US"/>
        </w:rPr>
        <w:t xml:space="preserve"> </w:t>
      </w:r>
      <w:r w:rsidRPr="00362B20">
        <w:rPr>
          <w:lang w:val="en-US"/>
        </w:rPr>
        <w:t>Per-field alignment</w:t>
      </w:r>
      <w:r>
        <w:rPr>
          <w:lang w:val="en-US"/>
        </w:rPr>
        <w:t xml:space="preserve"> </w:t>
      </w:r>
      <w:r w:rsidRPr="00362B20">
        <w:rPr>
          <w:lang w:val="en-US"/>
        </w:rPr>
        <w:t>is applied between two waveforms for DCI formats with C-RNTI.</w:t>
      </w:r>
    </w:p>
    <w:p w14:paraId="110AA6CB" w14:textId="5015EC07" w:rsidR="008C421E" w:rsidRDefault="008C421E" w:rsidP="008C421E">
      <w:pPr>
        <w:pStyle w:val="20"/>
        <w:rPr>
          <w:lang w:val="en-US"/>
        </w:rPr>
      </w:pPr>
      <w:r>
        <w:rPr>
          <w:lang w:val="en-US"/>
        </w:rPr>
        <w:t>Applicability to DCI format 0_0</w:t>
      </w:r>
    </w:p>
    <w:p w14:paraId="29F8DF5F" w14:textId="79B99C95" w:rsidR="0012266E" w:rsidRPr="0054147F" w:rsidRDefault="008C421E" w:rsidP="005E68FD">
      <w:pPr>
        <w:rPr>
          <w:lang w:val="en-US"/>
        </w:rPr>
      </w:pPr>
      <w:r>
        <w:rPr>
          <w:rFonts w:hint="eastAsia"/>
          <w:lang w:val="en-US"/>
        </w:rPr>
        <w:t>A</w:t>
      </w:r>
      <w:r>
        <w:rPr>
          <w:lang w:val="en-US"/>
        </w:rPr>
        <w:t xml:space="preserve">s agreed in RAN1#111, a new 1bit field for dynamic waveform indication is introduced. However, </w:t>
      </w:r>
      <w:proofErr w:type="gramStart"/>
      <w:r w:rsidR="00D95FAB">
        <w:rPr>
          <w:lang w:val="en-US"/>
        </w:rPr>
        <w:t>in order to</w:t>
      </w:r>
      <w:proofErr w:type="gramEnd"/>
      <w:r w:rsidR="00D95FAB">
        <w:rPr>
          <w:lang w:val="en-US"/>
        </w:rPr>
        <w:t xml:space="preserve"> ensure the existing fallback operation</w:t>
      </w:r>
      <w:r>
        <w:rPr>
          <w:lang w:val="en-US"/>
        </w:rPr>
        <w:t xml:space="preserve">, the size of DCI format 0_0 has to remain unchanged from the legacy. Therefore, it cannot have the new 1-bit field. </w:t>
      </w:r>
      <w:r w:rsidR="0054147F">
        <w:rPr>
          <w:lang w:val="en-US"/>
        </w:rPr>
        <w:t xml:space="preserve">Considering the standardization efforts and timeline, it should be avoided to introduce different solutions for different DCI formats to support dynamic switching. Therefore, it is proposed that </w:t>
      </w:r>
      <w:r w:rsidR="0054147F" w:rsidRPr="0054147F">
        <w:rPr>
          <w:lang w:val="en-US"/>
        </w:rPr>
        <w:t>PUSCH scheduled/activated by DCI format 0_0 does not support dynamic waveform indication.</w:t>
      </w:r>
    </w:p>
    <w:p w14:paraId="0F361FC5" w14:textId="5C03B508" w:rsidR="00856097" w:rsidRPr="00CA3773" w:rsidRDefault="00856097" w:rsidP="00BE4764">
      <w:pPr>
        <w:rPr>
          <w:lang w:val="en-US"/>
        </w:rPr>
      </w:pPr>
      <w:r>
        <w:rPr>
          <w:b/>
          <w:bCs/>
          <w:u w:val="single"/>
          <w:lang w:val="en-US"/>
        </w:rPr>
        <w:t>Observation</w:t>
      </w:r>
      <w:r w:rsidR="00BE4764">
        <w:rPr>
          <w:b/>
          <w:bCs/>
          <w:u w:val="single"/>
          <w:lang w:val="en-US"/>
        </w:rPr>
        <w:t xml:space="preserve"> 3</w:t>
      </w:r>
      <w:r w:rsidRPr="00000317">
        <w:rPr>
          <w:b/>
          <w:bCs/>
          <w:u w:val="single"/>
          <w:lang w:val="en-US"/>
        </w:rPr>
        <w:t>:</w:t>
      </w:r>
      <w:r w:rsidRPr="00000317">
        <w:rPr>
          <w:lang w:val="en-US"/>
        </w:rPr>
        <w:t xml:space="preserve"> </w:t>
      </w:r>
      <w:r>
        <w:rPr>
          <w:iCs/>
          <w:lang w:val="en-US"/>
        </w:rPr>
        <w:t xml:space="preserve">DCI format 0_0 cannot have the </w:t>
      </w:r>
      <w:r>
        <w:rPr>
          <w:rFonts w:eastAsia="DengXian"/>
          <w:lang w:eastAsia="zh-CN"/>
        </w:rPr>
        <w:t>new 1-bit field for dynamic waveform indication</w:t>
      </w:r>
      <w:r>
        <w:rPr>
          <w:iCs/>
          <w:lang w:val="en-US"/>
        </w:rPr>
        <w:t>.</w:t>
      </w:r>
    </w:p>
    <w:p w14:paraId="2C5B9343" w14:textId="08C3D65F" w:rsidR="00856097" w:rsidRDefault="00856097" w:rsidP="00BE4764">
      <w:pPr>
        <w:rPr>
          <w:lang w:val="en-US"/>
        </w:rPr>
      </w:pPr>
      <w:r w:rsidRPr="00000317">
        <w:rPr>
          <w:b/>
          <w:bCs/>
          <w:u w:val="single"/>
          <w:lang w:val="en-US"/>
        </w:rPr>
        <w:t>Proposal</w:t>
      </w:r>
      <w:r w:rsidR="00BE4764">
        <w:rPr>
          <w:b/>
          <w:bCs/>
          <w:u w:val="single"/>
          <w:lang w:val="en-US"/>
        </w:rPr>
        <w:t xml:space="preserve"> 6</w:t>
      </w:r>
      <w:r w:rsidRPr="00000317">
        <w:rPr>
          <w:b/>
          <w:bCs/>
          <w:u w:val="single"/>
          <w:lang w:val="en-US"/>
        </w:rPr>
        <w:t>:</w:t>
      </w:r>
      <w:r w:rsidRPr="00000317">
        <w:rPr>
          <w:lang w:val="en-US"/>
        </w:rPr>
        <w:t xml:space="preserve"> </w:t>
      </w:r>
      <w:r>
        <w:rPr>
          <w:iCs/>
          <w:lang w:val="en-US"/>
        </w:rPr>
        <w:t>PUSCH scheduled/a</w:t>
      </w:r>
      <w:r w:rsidR="008C421E">
        <w:rPr>
          <w:iCs/>
          <w:lang w:val="en-US"/>
        </w:rPr>
        <w:t>c</w:t>
      </w:r>
      <w:r>
        <w:rPr>
          <w:iCs/>
          <w:lang w:val="en-US"/>
        </w:rPr>
        <w:t>tivate</w:t>
      </w:r>
      <w:r w:rsidR="00D95FAB">
        <w:rPr>
          <w:iCs/>
          <w:lang w:val="en-US"/>
        </w:rPr>
        <w:t>d</w:t>
      </w:r>
      <w:r>
        <w:rPr>
          <w:iCs/>
          <w:lang w:val="en-US"/>
        </w:rPr>
        <w:t xml:space="preserve"> by DCI format 0_0 does not support </w:t>
      </w:r>
      <w:r>
        <w:rPr>
          <w:rFonts w:eastAsia="DengXian"/>
          <w:lang w:eastAsia="zh-CN"/>
        </w:rPr>
        <w:t>dynamic waveform indication</w:t>
      </w:r>
      <w:r>
        <w:rPr>
          <w:iCs/>
          <w:lang w:val="en-US"/>
        </w:rPr>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3DED6913" w14:textId="77777777" w:rsidR="00BE4764" w:rsidRDefault="00BE4764" w:rsidP="00BE4764">
      <w:pPr>
        <w:spacing w:after="240" w:afterAutospacing="0"/>
        <w:rPr>
          <w:iCs/>
          <w:lang w:val="en-US"/>
        </w:rPr>
      </w:pPr>
      <w:r>
        <w:rPr>
          <w:b/>
          <w:bCs/>
          <w:u w:val="single"/>
          <w:lang w:val="en-US"/>
        </w:rPr>
        <w:t>Proposal 1</w:t>
      </w:r>
      <w:r w:rsidRPr="00000317">
        <w:rPr>
          <w:b/>
          <w:bCs/>
          <w:u w:val="single"/>
          <w:lang w:val="en-US"/>
        </w:rPr>
        <w:t>:</w:t>
      </w:r>
      <w:r w:rsidRPr="00000317">
        <w:rPr>
          <w:lang w:val="en-US"/>
        </w:rPr>
        <w:t xml:space="preserve"> </w:t>
      </w:r>
      <w:r>
        <w:rPr>
          <w:lang w:val="en-US"/>
        </w:rPr>
        <w:t>F</w:t>
      </w:r>
      <w:r>
        <w:rPr>
          <w:iCs/>
          <w:lang w:val="en-US"/>
        </w:rPr>
        <w:t xml:space="preserve">or the determination of FDRA field size in </w:t>
      </w:r>
      <w:r>
        <w:rPr>
          <w:lang w:val="en-US"/>
        </w:rPr>
        <w:t>dynamic waveform switching case</w:t>
      </w:r>
      <w:r>
        <w:rPr>
          <w:iCs/>
          <w:lang w:val="en-US"/>
        </w:rPr>
        <w:t xml:space="preserve">, it should be clarified whether </w:t>
      </w:r>
      <w:r w:rsidRPr="00BC5DE6">
        <w:rPr>
          <w:iCs/>
          <w:lang w:val="en-US"/>
        </w:rPr>
        <w:t>‘</w:t>
      </w:r>
      <w:r w:rsidRPr="00BC5DE6">
        <w:rPr>
          <w:i/>
          <w:lang w:val="en-US"/>
        </w:rPr>
        <w:t>resourceAllocation</w:t>
      </w:r>
      <w:r w:rsidRPr="00BC5DE6">
        <w:rPr>
          <w:iCs/>
          <w:lang w:val="en-US"/>
        </w:rPr>
        <w:t>’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is applied for both waveforms </w:t>
      </w:r>
      <w:proofErr w:type="gramStart"/>
      <w:r>
        <w:rPr>
          <w:iCs/>
          <w:lang w:val="en-US"/>
        </w:rPr>
        <w:t>or</w:t>
      </w:r>
      <w:proofErr w:type="gramEnd"/>
      <w:r>
        <w:rPr>
          <w:iCs/>
          <w:lang w:val="en-US"/>
        </w:rPr>
        <w:t xml:space="preserve"> only for CP-OFDM.</w:t>
      </w:r>
    </w:p>
    <w:p w14:paraId="57E4C096" w14:textId="77777777" w:rsidR="00BE4764" w:rsidRDefault="00BE4764" w:rsidP="00BE4764">
      <w:pPr>
        <w:spacing w:after="0" w:afterAutospacing="0"/>
        <w:rPr>
          <w:lang w:val="en-US"/>
        </w:rPr>
      </w:pPr>
      <w:r>
        <w:rPr>
          <w:b/>
          <w:bCs/>
          <w:u w:val="single"/>
          <w:lang w:val="en-US"/>
        </w:rPr>
        <w:t>Proposal 2</w:t>
      </w:r>
      <w:r w:rsidRPr="00000317">
        <w:rPr>
          <w:b/>
          <w:bCs/>
          <w:u w:val="single"/>
          <w:lang w:val="en-US"/>
        </w:rPr>
        <w:t>:</w:t>
      </w:r>
      <w:r w:rsidRPr="00000317">
        <w:rPr>
          <w:lang w:val="en-US"/>
        </w:rPr>
        <w:t xml:space="preserve"> </w:t>
      </w:r>
      <w:r>
        <w:rPr>
          <w:lang w:val="en-US"/>
        </w:rPr>
        <w:t xml:space="preserve">At least for the determination of FDRA field size, </w:t>
      </w:r>
      <w:r w:rsidRPr="00BC5DE6">
        <w:rPr>
          <w:iCs/>
          <w:lang w:val="en-US"/>
        </w:rPr>
        <w:t>‘</w:t>
      </w:r>
      <w:r w:rsidRPr="00BC5DE6">
        <w:rPr>
          <w:i/>
          <w:lang w:val="en-US"/>
        </w:rPr>
        <w:t>resourceAllocation</w:t>
      </w:r>
      <w:r w:rsidRPr="00BC5DE6">
        <w:rPr>
          <w:iCs/>
          <w:lang w:val="en-US"/>
        </w:rPr>
        <w:t>’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is applied only for CP-OFDM, and the field size of </w:t>
      </w:r>
      <w:r w:rsidRPr="00963A68">
        <w:rPr>
          <w:lang w:val="en-US"/>
        </w:rPr>
        <w:t xml:space="preserve">resource allocation scheme type </w:t>
      </w:r>
      <w:r>
        <w:rPr>
          <w:lang w:val="en-US"/>
        </w:rPr>
        <w:t>1 should be applied for DFT-S-OFDM</w:t>
      </w:r>
    </w:p>
    <w:p w14:paraId="7DBD2DA7" w14:textId="77777777" w:rsidR="00BE4764" w:rsidRPr="009F3871" w:rsidRDefault="00BE4764" w:rsidP="00BE4764">
      <w:pPr>
        <w:numPr>
          <w:ilvl w:val="0"/>
          <w:numId w:val="43"/>
        </w:numPr>
        <w:rPr>
          <w:b/>
          <w:bCs/>
          <w:u w:val="single"/>
          <w:lang w:val="en-US"/>
        </w:rPr>
      </w:pPr>
      <w:r>
        <w:rPr>
          <w:lang w:val="en-US"/>
        </w:rPr>
        <w:t>The size of FDRA field (before field size alignment) depends on the indicated waveform</w:t>
      </w:r>
    </w:p>
    <w:p w14:paraId="45F7B794" w14:textId="77777777" w:rsidR="00BE4764" w:rsidRPr="00751CEE" w:rsidRDefault="00BE4764" w:rsidP="00BE4764">
      <w:pPr>
        <w:rPr>
          <w:b/>
          <w:bCs/>
          <w:u w:val="single"/>
          <w:lang w:val="en-US"/>
        </w:rPr>
      </w:pPr>
      <w:r>
        <w:rPr>
          <w:b/>
          <w:bCs/>
          <w:u w:val="single"/>
          <w:lang w:val="en-US"/>
        </w:rPr>
        <w:t>Proposal 3</w:t>
      </w:r>
      <w:r w:rsidRPr="00000317">
        <w:rPr>
          <w:b/>
          <w:bCs/>
          <w:u w:val="single"/>
          <w:lang w:val="en-US"/>
        </w:rPr>
        <w:t>:</w:t>
      </w:r>
      <w:r w:rsidRPr="00000317">
        <w:rPr>
          <w:lang w:val="en-US"/>
        </w:rPr>
        <w:t xml:space="preserve"> </w:t>
      </w:r>
      <w:r>
        <w:rPr>
          <w:lang w:val="en-US"/>
        </w:rPr>
        <w:t>The start position of NDI field should be fixed irrespective of the value of DWS field</w:t>
      </w:r>
    </w:p>
    <w:p w14:paraId="4B4A8959" w14:textId="77777777" w:rsidR="00BE4764" w:rsidRPr="00751CEE" w:rsidRDefault="00BE4764" w:rsidP="00BE4764">
      <w:pPr>
        <w:rPr>
          <w:b/>
          <w:bCs/>
          <w:u w:val="single"/>
          <w:lang w:val="en-US"/>
        </w:rPr>
      </w:pPr>
      <w:r>
        <w:rPr>
          <w:b/>
          <w:bCs/>
          <w:u w:val="single"/>
          <w:lang w:val="en-US"/>
        </w:rPr>
        <w:t>Proposal 4</w:t>
      </w:r>
      <w:r w:rsidRPr="00000317">
        <w:rPr>
          <w:b/>
          <w:bCs/>
          <w:u w:val="single"/>
          <w:lang w:val="en-US"/>
        </w:rPr>
        <w:t>:</w:t>
      </w:r>
      <w:r w:rsidRPr="00000317">
        <w:rPr>
          <w:lang w:val="en-US"/>
        </w:rPr>
        <w:t xml:space="preserve"> </w:t>
      </w:r>
      <w:r>
        <w:rPr>
          <w:lang w:val="en-US"/>
        </w:rPr>
        <w:t>At least, per-field size alignment for the fields preceding NDI field is supported.</w:t>
      </w:r>
    </w:p>
    <w:p w14:paraId="59D7A376" w14:textId="77777777" w:rsidR="00BE4764" w:rsidRDefault="00BE4764" w:rsidP="00BE4764">
      <w:pPr>
        <w:spacing w:after="0" w:afterAutospacing="0"/>
        <w:rPr>
          <w:iCs/>
          <w:lang w:val="en-US"/>
        </w:rPr>
      </w:pPr>
      <w:r>
        <w:rPr>
          <w:b/>
          <w:bCs/>
          <w:u w:val="single"/>
          <w:lang w:val="en-US"/>
        </w:rPr>
        <w:t>Observation 2</w:t>
      </w:r>
      <w:r w:rsidRPr="00000317">
        <w:rPr>
          <w:b/>
          <w:bCs/>
          <w:u w:val="single"/>
          <w:lang w:val="en-US"/>
        </w:rPr>
        <w:t>:</w:t>
      </w:r>
      <w:r w:rsidRPr="00000317">
        <w:rPr>
          <w:lang w:val="en-US"/>
        </w:rPr>
        <w:t xml:space="preserve"> </w:t>
      </w:r>
      <w:r>
        <w:rPr>
          <w:iCs/>
          <w:lang w:val="en-US"/>
        </w:rPr>
        <w:t>If each field in DCI for CP-OFDM is always equal to or larger than that for DFT-S-OFDM, there is no difference on overhead (i.e. number of padding bits) between all options.</w:t>
      </w:r>
    </w:p>
    <w:p w14:paraId="40A6D8A8" w14:textId="77777777" w:rsidR="00BE4764" w:rsidRDefault="00BE4764" w:rsidP="00BE4764">
      <w:pPr>
        <w:pStyle w:val="aff9"/>
        <w:numPr>
          <w:ilvl w:val="0"/>
          <w:numId w:val="42"/>
        </w:numPr>
        <w:ind w:firstLineChars="0"/>
        <w:rPr>
          <w:lang w:val="en-US"/>
        </w:rPr>
      </w:pPr>
      <w:r>
        <w:rPr>
          <w:rFonts w:hint="eastAsia"/>
          <w:lang w:val="en-US"/>
        </w:rPr>
        <w:t>e</w:t>
      </w:r>
      <w:r>
        <w:rPr>
          <w:lang w:val="en-US"/>
        </w:rPr>
        <w:t>ven considering the f</w:t>
      </w:r>
      <w:r w:rsidRPr="00362B20">
        <w:rPr>
          <w:lang w:val="en-US"/>
        </w:rPr>
        <w:t>ield introduced in future specs</w:t>
      </w:r>
      <w:r>
        <w:rPr>
          <w:lang w:val="en-US"/>
        </w:rPr>
        <w:t>, the impact on the number of zero padding is marginal.</w:t>
      </w:r>
    </w:p>
    <w:p w14:paraId="732926C2" w14:textId="77777777" w:rsidR="00BE4764" w:rsidRPr="00751CEE" w:rsidRDefault="00BE4764" w:rsidP="00BE4764">
      <w:pPr>
        <w:rPr>
          <w:b/>
          <w:bCs/>
          <w:u w:val="single"/>
          <w:lang w:val="en-US"/>
        </w:rPr>
      </w:pPr>
      <w:r>
        <w:rPr>
          <w:b/>
          <w:bCs/>
          <w:u w:val="single"/>
          <w:lang w:val="en-US"/>
        </w:rPr>
        <w:t>Proposal 5</w:t>
      </w:r>
      <w:r w:rsidRPr="00000317">
        <w:rPr>
          <w:b/>
          <w:bCs/>
          <w:u w:val="single"/>
          <w:lang w:val="en-US"/>
        </w:rPr>
        <w:t>:</w:t>
      </w:r>
      <w:r w:rsidRPr="00000317">
        <w:rPr>
          <w:lang w:val="en-US"/>
        </w:rPr>
        <w:t xml:space="preserve"> </w:t>
      </w:r>
      <w:r w:rsidRPr="00362B20">
        <w:rPr>
          <w:lang w:val="en-US"/>
        </w:rPr>
        <w:t>Per-field alignment</w:t>
      </w:r>
      <w:r>
        <w:rPr>
          <w:lang w:val="en-US"/>
        </w:rPr>
        <w:t xml:space="preserve"> </w:t>
      </w:r>
      <w:r w:rsidRPr="00362B20">
        <w:rPr>
          <w:lang w:val="en-US"/>
        </w:rPr>
        <w:t>is applied between two waveforms for DCI formats with C-RNTI.</w:t>
      </w:r>
    </w:p>
    <w:p w14:paraId="09B6F013" w14:textId="77777777" w:rsidR="00BE4764" w:rsidRPr="00CA3773" w:rsidRDefault="00BE4764" w:rsidP="00BE4764">
      <w:pPr>
        <w:rPr>
          <w:lang w:val="en-US"/>
        </w:rPr>
      </w:pPr>
      <w:r>
        <w:rPr>
          <w:b/>
          <w:bCs/>
          <w:u w:val="single"/>
          <w:lang w:val="en-US"/>
        </w:rPr>
        <w:t>Observation 3</w:t>
      </w:r>
      <w:r w:rsidRPr="00000317">
        <w:rPr>
          <w:b/>
          <w:bCs/>
          <w:u w:val="single"/>
          <w:lang w:val="en-US"/>
        </w:rPr>
        <w:t>:</w:t>
      </w:r>
      <w:r w:rsidRPr="00000317">
        <w:rPr>
          <w:lang w:val="en-US"/>
        </w:rPr>
        <w:t xml:space="preserve"> </w:t>
      </w:r>
      <w:r>
        <w:rPr>
          <w:iCs/>
          <w:lang w:val="en-US"/>
        </w:rPr>
        <w:t xml:space="preserve">DCI format 0_0 cannot have the </w:t>
      </w:r>
      <w:r>
        <w:rPr>
          <w:rFonts w:eastAsia="DengXian"/>
          <w:lang w:eastAsia="zh-CN"/>
        </w:rPr>
        <w:t>new 1-bit field for dynamic waveform indication</w:t>
      </w:r>
      <w:r>
        <w:rPr>
          <w:iCs/>
          <w:lang w:val="en-US"/>
        </w:rPr>
        <w:t>.</w:t>
      </w:r>
    </w:p>
    <w:p w14:paraId="4A24AEE4" w14:textId="77777777" w:rsidR="00BE4764" w:rsidRDefault="00BE4764" w:rsidP="00BE4764">
      <w:pPr>
        <w:rPr>
          <w:lang w:val="en-US"/>
        </w:rPr>
      </w:pPr>
      <w:r w:rsidRPr="00000317">
        <w:rPr>
          <w:b/>
          <w:bCs/>
          <w:u w:val="single"/>
          <w:lang w:val="en-US"/>
        </w:rPr>
        <w:lastRenderedPageBreak/>
        <w:t>Proposal</w:t>
      </w:r>
      <w:r>
        <w:rPr>
          <w:b/>
          <w:bCs/>
          <w:u w:val="single"/>
          <w:lang w:val="en-US"/>
        </w:rPr>
        <w:t xml:space="preserve"> 6</w:t>
      </w:r>
      <w:r w:rsidRPr="00000317">
        <w:rPr>
          <w:b/>
          <w:bCs/>
          <w:u w:val="single"/>
          <w:lang w:val="en-US"/>
        </w:rPr>
        <w:t>:</w:t>
      </w:r>
      <w:r w:rsidRPr="00000317">
        <w:rPr>
          <w:lang w:val="en-US"/>
        </w:rPr>
        <w:t xml:space="preserve"> </w:t>
      </w:r>
      <w:r>
        <w:rPr>
          <w:iCs/>
          <w:lang w:val="en-US"/>
        </w:rPr>
        <w:t xml:space="preserve">PUSCH scheduled/activated by DCI format 0_0 does not support </w:t>
      </w:r>
      <w:r>
        <w:rPr>
          <w:rFonts w:eastAsia="DengXian"/>
          <w:lang w:eastAsia="zh-CN"/>
        </w:rPr>
        <w:t>dynamic waveform indication</w:t>
      </w:r>
      <w:r>
        <w:rPr>
          <w:iCs/>
          <w:lang w:val="en-US"/>
        </w:rPr>
        <w:t>.</w:t>
      </w:r>
    </w:p>
    <w:p w14:paraId="3164CA35" w14:textId="77777777" w:rsidR="00795B64" w:rsidRPr="00BE4764" w:rsidRDefault="00795B64"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0745CDD" w:rsidR="00F67A3B" w:rsidRPr="00C33FA5" w:rsidRDefault="00F4019B" w:rsidP="002E4229">
      <w:pPr>
        <w:pStyle w:val="textintend2"/>
        <w:rPr>
          <w:color w:val="000000" w:themeColor="text1"/>
          <w:szCs w:val="24"/>
        </w:rPr>
      </w:pPr>
      <w:r>
        <w:rPr>
          <w:color w:val="000000" w:themeColor="text1"/>
          <w:szCs w:val="24"/>
          <w:lang w:eastAsia="ja-JP"/>
        </w:rPr>
        <w:t xml:space="preserve">3GPP </w:t>
      </w:r>
      <w:r w:rsidR="009E5ED6">
        <w:rPr>
          <w:color w:val="000000" w:themeColor="text1"/>
          <w:szCs w:val="24"/>
          <w:lang w:eastAsia="ja-JP"/>
        </w:rPr>
        <w:t xml:space="preserve">RAN1#111 </w:t>
      </w:r>
      <w:r w:rsidR="00F0384C">
        <w:rPr>
          <w:color w:val="000000" w:themeColor="text1"/>
          <w:szCs w:val="24"/>
          <w:lang w:eastAsia="ja-JP"/>
        </w:rPr>
        <w:t>Chairman’s note</w:t>
      </w:r>
      <w:r w:rsidR="00524223">
        <w:rPr>
          <w:color w:val="000000" w:themeColor="text1"/>
          <w:szCs w:val="24"/>
          <w:lang w:eastAsia="ja-JP"/>
        </w:rPr>
        <w:t>, November 2022</w:t>
      </w:r>
    </w:p>
    <w:p w14:paraId="755C20A3" w14:textId="0264DA42" w:rsidR="009831A4" w:rsidRDefault="009831A4" w:rsidP="002E4229">
      <w:pPr>
        <w:pStyle w:val="textintend2"/>
        <w:rPr>
          <w:color w:val="000000" w:themeColor="text1"/>
          <w:szCs w:val="24"/>
        </w:rPr>
      </w:pPr>
      <w:r w:rsidRPr="009831A4">
        <w:rPr>
          <w:color w:val="000000" w:themeColor="text1"/>
          <w:szCs w:val="24"/>
        </w:rPr>
        <w:t>RP-221858</w:t>
      </w:r>
      <w:r>
        <w:rPr>
          <w:color w:val="000000" w:themeColor="text1"/>
          <w:szCs w:val="24"/>
        </w:rPr>
        <w:t>, “</w:t>
      </w:r>
      <w:r w:rsidRPr="009831A4">
        <w:rPr>
          <w:color w:val="000000" w:themeColor="text1"/>
          <w:szCs w:val="24"/>
        </w:rPr>
        <w:t>Revised WID on Further NR coverage enhancements</w:t>
      </w:r>
      <w:r>
        <w:rPr>
          <w:color w:val="000000" w:themeColor="text1"/>
          <w:szCs w:val="24"/>
        </w:rPr>
        <w:t xml:space="preserve">”, </w:t>
      </w:r>
      <w:r w:rsidRPr="009831A4">
        <w:rPr>
          <w:color w:val="000000" w:themeColor="text1"/>
          <w:szCs w:val="24"/>
        </w:rPr>
        <w:t>China Telecom</w:t>
      </w:r>
      <w:r>
        <w:rPr>
          <w:color w:val="000000" w:themeColor="text1"/>
          <w:szCs w:val="24"/>
        </w:rPr>
        <w:t>, June 2022</w:t>
      </w:r>
    </w:p>
    <w:p w14:paraId="7215D6C9" w14:textId="0A714C9C" w:rsidR="009831A4" w:rsidRPr="002E4229" w:rsidRDefault="00E20CE2" w:rsidP="002E4229">
      <w:pPr>
        <w:pStyle w:val="textintend2"/>
        <w:rPr>
          <w:color w:val="000000" w:themeColor="text1"/>
          <w:szCs w:val="24"/>
        </w:rPr>
      </w:pPr>
      <w:r>
        <w:rPr>
          <w:color w:val="000000" w:themeColor="text1"/>
          <w:szCs w:val="24"/>
          <w:lang w:eastAsia="ja-JP"/>
        </w:rPr>
        <w:t xml:space="preserve">3GPP </w:t>
      </w:r>
      <w:r w:rsidR="009831A4">
        <w:rPr>
          <w:rFonts w:hint="eastAsia"/>
          <w:color w:val="000000" w:themeColor="text1"/>
          <w:szCs w:val="24"/>
          <w:lang w:eastAsia="ja-JP"/>
        </w:rPr>
        <w:t>T</w:t>
      </w:r>
      <w:r w:rsidR="009831A4">
        <w:rPr>
          <w:color w:val="000000" w:themeColor="text1"/>
          <w:szCs w:val="24"/>
          <w:lang w:eastAsia="ja-JP"/>
        </w:rPr>
        <w:t>S 38.212</w:t>
      </w:r>
      <w:r>
        <w:rPr>
          <w:color w:val="000000" w:themeColor="text1"/>
          <w:szCs w:val="24"/>
          <w:lang w:eastAsia="ja-JP"/>
        </w:rPr>
        <w:t xml:space="preserve"> V17.4.0, December 2022</w:t>
      </w:r>
    </w:p>
    <w:sectPr w:rsidR="009831A4"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6819" w14:textId="77777777" w:rsidR="006E701F" w:rsidRDefault="006E701F">
      <w:r>
        <w:separator/>
      </w:r>
    </w:p>
  </w:endnote>
  <w:endnote w:type="continuationSeparator" w:id="0">
    <w:p w14:paraId="368B2A5D" w14:textId="77777777" w:rsidR="006E701F" w:rsidRDefault="006E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97529" w14:textId="77777777" w:rsidR="006E701F" w:rsidRDefault="006E701F">
      <w:r>
        <w:separator/>
      </w:r>
    </w:p>
  </w:footnote>
  <w:footnote w:type="continuationSeparator" w:id="0">
    <w:p w14:paraId="76FE6C9B" w14:textId="77777777" w:rsidR="006E701F" w:rsidRDefault="006E7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541"/>
    <w:multiLevelType w:val="hybridMultilevel"/>
    <w:tmpl w:val="302EC6FA"/>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71982"/>
    <w:multiLevelType w:val="hybridMultilevel"/>
    <w:tmpl w:val="C69612DA"/>
    <w:lvl w:ilvl="0" w:tplc="BB72B402">
      <w:start w:val="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C1012"/>
    <w:multiLevelType w:val="hybridMultilevel"/>
    <w:tmpl w:val="8FE249F4"/>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5C5DFA"/>
    <w:multiLevelType w:val="hybridMultilevel"/>
    <w:tmpl w:val="1AC08BC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3"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9A26C3"/>
    <w:multiLevelType w:val="hybridMultilevel"/>
    <w:tmpl w:val="914EDCB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0A5C74"/>
    <w:multiLevelType w:val="hybridMultilevel"/>
    <w:tmpl w:val="6526E48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57A169E"/>
    <w:multiLevelType w:val="hybridMultilevel"/>
    <w:tmpl w:val="35D8E76A"/>
    <w:lvl w:ilvl="0" w:tplc="7DC2F8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6776200">
    <w:abstractNumId w:val="35"/>
  </w:num>
  <w:num w:numId="2" w16cid:durableId="1936285366">
    <w:abstractNumId w:val="6"/>
  </w:num>
  <w:num w:numId="3" w16cid:durableId="1340423991">
    <w:abstractNumId w:val="11"/>
  </w:num>
  <w:num w:numId="4" w16cid:durableId="1311863156">
    <w:abstractNumId w:val="36"/>
  </w:num>
  <w:num w:numId="5" w16cid:durableId="115368946">
    <w:abstractNumId w:val="25"/>
  </w:num>
  <w:num w:numId="6" w16cid:durableId="1863323368">
    <w:abstractNumId w:val="26"/>
  </w:num>
  <w:num w:numId="7" w16cid:durableId="843282414">
    <w:abstractNumId w:val="22"/>
  </w:num>
  <w:num w:numId="8" w16cid:durableId="1779325356">
    <w:abstractNumId w:val="3"/>
  </w:num>
  <w:num w:numId="9" w16cid:durableId="1010790278">
    <w:abstractNumId w:val="40"/>
  </w:num>
  <w:num w:numId="10" w16cid:durableId="1652754926">
    <w:abstractNumId w:val="19"/>
  </w:num>
  <w:num w:numId="11" w16cid:durableId="574050814">
    <w:abstractNumId w:val="31"/>
  </w:num>
  <w:num w:numId="12" w16cid:durableId="726270071">
    <w:abstractNumId w:val="9"/>
  </w:num>
  <w:num w:numId="13" w16cid:durableId="65495450">
    <w:abstractNumId w:val="13"/>
  </w:num>
  <w:num w:numId="14" w16cid:durableId="754277356">
    <w:abstractNumId w:val="9"/>
  </w:num>
  <w:num w:numId="15" w16cid:durableId="449785305">
    <w:abstractNumId w:val="32"/>
  </w:num>
  <w:num w:numId="16" w16cid:durableId="1927421150">
    <w:abstractNumId w:val="10"/>
  </w:num>
  <w:num w:numId="17" w16cid:durableId="1802266651">
    <w:abstractNumId w:val="12"/>
  </w:num>
  <w:num w:numId="18" w16cid:durableId="323122558">
    <w:abstractNumId w:val="23"/>
  </w:num>
  <w:num w:numId="19" w16cid:durableId="1732456834">
    <w:abstractNumId w:val="20"/>
  </w:num>
  <w:num w:numId="20" w16cid:durableId="1519543342">
    <w:abstractNumId w:val="7"/>
  </w:num>
  <w:num w:numId="21" w16cid:durableId="77873410">
    <w:abstractNumId w:val="29"/>
  </w:num>
  <w:num w:numId="22" w16cid:durableId="723256294">
    <w:abstractNumId w:val="30"/>
  </w:num>
  <w:num w:numId="23" w16cid:durableId="1833445503">
    <w:abstractNumId w:val="2"/>
  </w:num>
  <w:num w:numId="24" w16cid:durableId="232006857">
    <w:abstractNumId w:val="24"/>
  </w:num>
  <w:num w:numId="25" w16cid:durableId="239679325">
    <w:abstractNumId w:val="37"/>
  </w:num>
  <w:num w:numId="26" w16cid:durableId="2027051996">
    <w:abstractNumId w:val="18"/>
  </w:num>
  <w:num w:numId="27" w16cid:durableId="1010450121">
    <w:abstractNumId w:val="39"/>
  </w:num>
  <w:num w:numId="28" w16cid:durableId="638654742">
    <w:abstractNumId w:val="34"/>
  </w:num>
  <w:num w:numId="29" w16cid:durableId="383065041">
    <w:abstractNumId w:val="15"/>
  </w:num>
  <w:num w:numId="30" w16cid:durableId="2051950834">
    <w:abstractNumId w:val="28"/>
  </w:num>
  <w:num w:numId="31" w16cid:durableId="1533573681">
    <w:abstractNumId w:val="16"/>
  </w:num>
  <w:num w:numId="32" w16cid:durableId="1854680713">
    <w:abstractNumId w:val="21"/>
  </w:num>
  <w:num w:numId="33" w16cid:durableId="1487747884">
    <w:abstractNumId w:val="4"/>
  </w:num>
  <w:num w:numId="34" w16cid:durableId="1652057035">
    <w:abstractNumId w:val="14"/>
  </w:num>
  <w:num w:numId="35" w16cid:durableId="1682782451">
    <w:abstractNumId w:val="38"/>
  </w:num>
  <w:num w:numId="36" w16cid:durableId="48115490">
    <w:abstractNumId w:val="8"/>
  </w:num>
  <w:num w:numId="37" w16cid:durableId="267928181">
    <w:abstractNumId w:val="41"/>
  </w:num>
  <w:num w:numId="38" w16cid:durableId="327101868">
    <w:abstractNumId w:val="33"/>
  </w:num>
  <w:num w:numId="39" w16cid:durableId="124128449">
    <w:abstractNumId w:val="17"/>
  </w:num>
  <w:num w:numId="40" w16cid:durableId="1442728112">
    <w:abstractNumId w:val="27"/>
  </w:num>
  <w:num w:numId="41" w16cid:durableId="1088422878">
    <w:abstractNumId w:val="0"/>
  </w:num>
  <w:num w:numId="42" w16cid:durableId="585194735">
    <w:abstractNumId w:val="5"/>
  </w:num>
  <w:num w:numId="43" w16cid:durableId="18061223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3977"/>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B3"/>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36"/>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E8"/>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FD"/>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70C"/>
    <w:rsid w:val="000A5E31"/>
    <w:rsid w:val="000A63B3"/>
    <w:rsid w:val="000A6DAB"/>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0CA6"/>
    <w:rsid w:val="000E1436"/>
    <w:rsid w:val="000E167A"/>
    <w:rsid w:val="000E2107"/>
    <w:rsid w:val="000E229C"/>
    <w:rsid w:val="000E25A0"/>
    <w:rsid w:val="000E2AC6"/>
    <w:rsid w:val="000E2B78"/>
    <w:rsid w:val="000E3548"/>
    <w:rsid w:val="000E3591"/>
    <w:rsid w:val="000E3DC5"/>
    <w:rsid w:val="000E4307"/>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72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E2"/>
    <w:rsid w:val="00121BF6"/>
    <w:rsid w:val="0012251C"/>
    <w:rsid w:val="0012266E"/>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79D"/>
    <w:rsid w:val="00131A92"/>
    <w:rsid w:val="00131C49"/>
    <w:rsid w:val="001323C4"/>
    <w:rsid w:val="00132703"/>
    <w:rsid w:val="00132752"/>
    <w:rsid w:val="00132A9D"/>
    <w:rsid w:val="00132BC8"/>
    <w:rsid w:val="0013361F"/>
    <w:rsid w:val="001336E3"/>
    <w:rsid w:val="00133940"/>
    <w:rsid w:val="00133C79"/>
    <w:rsid w:val="00133E92"/>
    <w:rsid w:val="00134170"/>
    <w:rsid w:val="001344E4"/>
    <w:rsid w:val="001348D0"/>
    <w:rsid w:val="00134906"/>
    <w:rsid w:val="00134962"/>
    <w:rsid w:val="00135012"/>
    <w:rsid w:val="00135849"/>
    <w:rsid w:val="00135903"/>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5E01"/>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1E84"/>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8EE"/>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E6E"/>
    <w:rsid w:val="001A6FB3"/>
    <w:rsid w:val="001A743A"/>
    <w:rsid w:val="001B00D7"/>
    <w:rsid w:val="001B09EF"/>
    <w:rsid w:val="001B0C47"/>
    <w:rsid w:val="001B12B9"/>
    <w:rsid w:val="001B1453"/>
    <w:rsid w:val="001B167E"/>
    <w:rsid w:val="001B1687"/>
    <w:rsid w:val="001B19F6"/>
    <w:rsid w:val="001B2EC7"/>
    <w:rsid w:val="001B3394"/>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375"/>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0BD"/>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494"/>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1C1"/>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57A08"/>
    <w:rsid w:val="002601E5"/>
    <w:rsid w:val="002603A0"/>
    <w:rsid w:val="00260555"/>
    <w:rsid w:val="002607F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2E8"/>
    <w:rsid w:val="002B1313"/>
    <w:rsid w:val="002B1CE8"/>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1EC"/>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4843"/>
    <w:rsid w:val="00305EEB"/>
    <w:rsid w:val="003063DE"/>
    <w:rsid w:val="003064DE"/>
    <w:rsid w:val="00306945"/>
    <w:rsid w:val="00306FC1"/>
    <w:rsid w:val="00307809"/>
    <w:rsid w:val="00310414"/>
    <w:rsid w:val="0031063A"/>
    <w:rsid w:val="00310C71"/>
    <w:rsid w:val="00310FED"/>
    <w:rsid w:val="0031114E"/>
    <w:rsid w:val="00311470"/>
    <w:rsid w:val="003115AC"/>
    <w:rsid w:val="00311867"/>
    <w:rsid w:val="003119B7"/>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89D"/>
    <w:rsid w:val="00336920"/>
    <w:rsid w:val="00336E9C"/>
    <w:rsid w:val="00337153"/>
    <w:rsid w:val="00337859"/>
    <w:rsid w:val="00340184"/>
    <w:rsid w:val="003401B9"/>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2B20"/>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86"/>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776D2"/>
    <w:rsid w:val="003806A7"/>
    <w:rsid w:val="00380B27"/>
    <w:rsid w:val="00381A21"/>
    <w:rsid w:val="00382084"/>
    <w:rsid w:val="003820CF"/>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46A"/>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020"/>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0D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A7D"/>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CF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55E"/>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3D5"/>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B0E"/>
    <w:rsid w:val="00445C54"/>
    <w:rsid w:val="00445D97"/>
    <w:rsid w:val="0044634A"/>
    <w:rsid w:val="00446629"/>
    <w:rsid w:val="004468EC"/>
    <w:rsid w:val="00446971"/>
    <w:rsid w:val="0044701F"/>
    <w:rsid w:val="00450311"/>
    <w:rsid w:val="00450456"/>
    <w:rsid w:val="004509D6"/>
    <w:rsid w:val="00451603"/>
    <w:rsid w:val="004516C1"/>
    <w:rsid w:val="00451F9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2C2"/>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BB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F68"/>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3C6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769"/>
    <w:rsid w:val="004C19C9"/>
    <w:rsid w:val="004C1C44"/>
    <w:rsid w:val="004C23B4"/>
    <w:rsid w:val="004C27C8"/>
    <w:rsid w:val="004C2ACB"/>
    <w:rsid w:val="004C2C4E"/>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AAD"/>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0F"/>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064"/>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CAF"/>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223"/>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65"/>
    <w:rsid w:val="00530D9F"/>
    <w:rsid w:val="00530EFB"/>
    <w:rsid w:val="00531B7A"/>
    <w:rsid w:val="005323DF"/>
    <w:rsid w:val="00533559"/>
    <w:rsid w:val="00533562"/>
    <w:rsid w:val="0053386B"/>
    <w:rsid w:val="00533D52"/>
    <w:rsid w:val="00533DCC"/>
    <w:rsid w:val="005343E9"/>
    <w:rsid w:val="00534A7C"/>
    <w:rsid w:val="00534B31"/>
    <w:rsid w:val="00534C24"/>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47F"/>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8F"/>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660"/>
    <w:rsid w:val="0056571E"/>
    <w:rsid w:val="0056663D"/>
    <w:rsid w:val="00566670"/>
    <w:rsid w:val="005668C9"/>
    <w:rsid w:val="00566BAD"/>
    <w:rsid w:val="00566D4C"/>
    <w:rsid w:val="00566E12"/>
    <w:rsid w:val="00566F26"/>
    <w:rsid w:val="005676E2"/>
    <w:rsid w:val="00567715"/>
    <w:rsid w:val="00567AC6"/>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8CE"/>
    <w:rsid w:val="00586A1B"/>
    <w:rsid w:val="00587A87"/>
    <w:rsid w:val="00590921"/>
    <w:rsid w:val="005909AF"/>
    <w:rsid w:val="0059174A"/>
    <w:rsid w:val="00591A02"/>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D75"/>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C1B"/>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715"/>
    <w:rsid w:val="00600D47"/>
    <w:rsid w:val="0060163B"/>
    <w:rsid w:val="00602426"/>
    <w:rsid w:val="00602457"/>
    <w:rsid w:val="00602956"/>
    <w:rsid w:val="00602B7B"/>
    <w:rsid w:val="00602DD2"/>
    <w:rsid w:val="006032A9"/>
    <w:rsid w:val="00603CAE"/>
    <w:rsid w:val="00603F94"/>
    <w:rsid w:val="0060441A"/>
    <w:rsid w:val="006044D5"/>
    <w:rsid w:val="00604F5E"/>
    <w:rsid w:val="0060522A"/>
    <w:rsid w:val="006054E6"/>
    <w:rsid w:val="006057CF"/>
    <w:rsid w:val="00605919"/>
    <w:rsid w:val="00605B90"/>
    <w:rsid w:val="00605F60"/>
    <w:rsid w:val="0060661B"/>
    <w:rsid w:val="00607120"/>
    <w:rsid w:val="00607295"/>
    <w:rsid w:val="006075C8"/>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3FB"/>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E5"/>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E2D"/>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4C2"/>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AA1"/>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26"/>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01F"/>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47B"/>
    <w:rsid w:val="007025E8"/>
    <w:rsid w:val="00702E74"/>
    <w:rsid w:val="00702FC6"/>
    <w:rsid w:val="0070325A"/>
    <w:rsid w:val="00704479"/>
    <w:rsid w:val="0070452B"/>
    <w:rsid w:val="00704807"/>
    <w:rsid w:val="00704DFD"/>
    <w:rsid w:val="00705633"/>
    <w:rsid w:val="0070571D"/>
    <w:rsid w:val="00705ED4"/>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47A"/>
    <w:rsid w:val="007159D6"/>
    <w:rsid w:val="00715D1D"/>
    <w:rsid w:val="0071671F"/>
    <w:rsid w:val="00716843"/>
    <w:rsid w:val="0071783F"/>
    <w:rsid w:val="00717964"/>
    <w:rsid w:val="00717B07"/>
    <w:rsid w:val="00717E4B"/>
    <w:rsid w:val="007200CD"/>
    <w:rsid w:val="007213CB"/>
    <w:rsid w:val="007219BC"/>
    <w:rsid w:val="00721DDF"/>
    <w:rsid w:val="00721E1B"/>
    <w:rsid w:val="0072213F"/>
    <w:rsid w:val="007230A9"/>
    <w:rsid w:val="007231FF"/>
    <w:rsid w:val="007234F3"/>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CEE"/>
    <w:rsid w:val="00751F1E"/>
    <w:rsid w:val="007524D3"/>
    <w:rsid w:val="00753CF4"/>
    <w:rsid w:val="007540A6"/>
    <w:rsid w:val="00754802"/>
    <w:rsid w:val="007550DC"/>
    <w:rsid w:val="00755160"/>
    <w:rsid w:val="00755545"/>
    <w:rsid w:val="007557C1"/>
    <w:rsid w:val="00755AB8"/>
    <w:rsid w:val="00755B3C"/>
    <w:rsid w:val="00755F60"/>
    <w:rsid w:val="007563AE"/>
    <w:rsid w:val="007563B7"/>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5A2"/>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768"/>
    <w:rsid w:val="007757A0"/>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3E3A"/>
    <w:rsid w:val="007842BD"/>
    <w:rsid w:val="00784D8C"/>
    <w:rsid w:val="00785389"/>
    <w:rsid w:val="0078560D"/>
    <w:rsid w:val="00785ACF"/>
    <w:rsid w:val="00785DF4"/>
    <w:rsid w:val="00786925"/>
    <w:rsid w:val="00786998"/>
    <w:rsid w:val="00786B2D"/>
    <w:rsid w:val="007878A2"/>
    <w:rsid w:val="00787974"/>
    <w:rsid w:val="00787F65"/>
    <w:rsid w:val="0079054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6AB"/>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0891"/>
    <w:rsid w:val="007D116A"/>
    <w:rsid w:val="007D1202"/>
    <w:rsid w:val="007D1295"/>
    <w:rsid w:val="007D16CB"/>
    <w:rsid w:val="007D171E"/>
    <w:rsid w:val="007D17D0"/>
    <w:rsid w:val="007D1818"/>
    <w:rsid w:val="007D1A09"/>
    <w:rsid w:val="007D1C4E"/>
    <w:rsid w:val="007D2127"/>
    <w:rsid w:val="007D2712"/>
    <w:rsid w:val="007D2A79"/>
    <w:rsid w:val="007D2C50"/>
    <w:rsid w:val="007D37A6"/>
    <w:rsid w:val="007D3987"/>
    <w:rsid w:val="007D43DE"/>
    <w:rsid w:val="007D441F"/>
    <w:rsid w:val="007D444F"/>
    <w:rsid w:val="007D515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45A"/>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8BE"/>
    <w:rsid w:val="007F7B45"/>
    <w:rsid w:val="007F7FCC"/>
    <w:rsid w:val="008002C9"/>
    <w:rsid w:val="00801508"/>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0C1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452"/>
    <w:rsid w:val="008316DC"/>
    <w:rsid w:val="008320B9"/>
    <w:rsid w:val="008322B3"/>
    <w:rsid w:val="00832B6F"/>
    <w:rsid w:val="00832CBD"/>
    <w:rsid w:val="00834781"/>
    <w:rsid w:val="00835188"/>
    <w:rsid w:val="00835D8D"/>
    <w:rsid w:val="00835F16"/>
    <w:rsid w:val="008365D1"/>
    <w:rsid w:val="008368EE"/>
    <w:rsid w:val="008370E4"/>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014"/>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6B0E"/>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097"/>
    <w:rsid w:val="00856C22"/>
    <w:rsid w:val="00856E46"/>
    <w:rsid w:val="008572B8"/>
    <w:rsid w:val="008577FA"/>
    <w:rsid w:val="00857EB0"/>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13B"/>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0A"/>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A10"/>
    <w:rsid w:val="008B3CBA"/>
    <w:rsid w:val="008B436E"/>
    <w:rsid w:val="008B4795"/>
    <w:rsid w:val="008B4910"/>
    <w:rsid w:val="008B4CAB"/>
    <w:rsid w:val="008B4FC4"/>
    <w:rsid w:val="008B58DC"/>
    <w:rsid w:val="008B6C83"/>
    <w:rsid w:val="008B7081"/>
    <w:rsid w:val="008B7161"/>
    <w:rsid w:val="008B7240"/>
    <w:rsid w:val="008C0105"/>
    <w:rsid w:val="008C053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21E"/>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4AE"/>
    <w:rsid w:val="008D39C6"/>
    <w:rsid w:val="008D3FDC"/>
    <w:rsid w:val="008D4110"/>
    <w:rsid w:val="008D42AA"/>
    <w:rsid w:val="008D4685"/>
    <w:rsid w:val="008D49B4"/>
    <w:rsid w:val="008D4FFA"/>
    <w:rsid w:val="008D58F8"/>
    <w:rsid w:val="008D608A"/>
    <w:rsid w:val="008D63A1"/>
    <w:rsid w:val="008D63F8"/>
    <w:rsid w:val="008D68F4"/>
    <w:rsid w:val="008D6CC9"/>
    <w:rsid w:val="008D75DA"/>
    <w:rsid w:val="008D791A"/>
    <w:rsid w:val="008D79F1"/>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31"/>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7BA"/>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A68"/>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4EF"/>
    <w:rsid w:val="00975642"/>
    <w:rsid w:val="00975665"/>
    <w:rsid w:val="00975967"/>
    <w:rsid w:val="0097598E"/>
    <w:rsid w:val="00975CF5"/>
    <w:rsid w:val="00975D36"/>
    <w:rsid w:val="00975F36"/>
    <w:rsid w:val="009761A5"/>
    <w:rsid w:val="009763E2"/>
    <w:rsid w:val="009767C4"/>
    <w:rsid w:val="00977D04"/>
    <w:rsid w:val="009804CC"/>
    <w:rsid w:val="00980D93"/>
    <w:rsid w:val="00981155"/>
    <w:rsid w:val="009816D3"/>
    <w:rsid w:val="009817D2"/>
    <w:rsid w:val="00981FB9"/>
    <w:rsid w:val="0098201C"/>
    <w:rsid w:val="00982CB6"/>
    <w:rsid w:val="009831A4"/>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C03"/>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8D6"/>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8D"/>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4DC"/>
    <w:rsid w:val="009C78BF"/>
    <w:rsid w:val="009C7E91"/>
    <w:rsid w:val="009C7FD3"/>
    <w:rsid w:val="009D0110"/>
    <w:rsid w:val="009D150C"/>
    <w:rsid w:val="009D1D90"/>
    <w:rsid w:val="009D21A0"/>
    <w:rsid w:val="009D293E"/>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ED6"/>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871"/>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3EE"/>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5F56"/>
    <w:rsid w:val="00A360A2"/>
    <w:rsid w:val="00A361CA"/>
    <w:rsid w:val="00A363C5"/>
    <w:rsid w:val="00A3690B"/>
    <w:rsid w:val="00A36BF7"/>
    <w:rsid w:val="00A371B2"/>
    <w:rsid w:val="00A37829"/>
    <w:rsid w:val="00A40FEE"/>
    <w:rsid w:val="00A41745"/>
    <w:rsid w:val="00A41A6A"/>
    <w:rsid w:val="00A41ACF"/>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497"/>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474"/>
    <w:rsid w:val="00A8091E"/>
    <w:rsid w:val="00A80E8F"/>
    <w:rsid w:val="00A81FE5"/>
    <w:rsid w:val="00A82222"/>
    <w:rsid w:val="00A8284E"/>
    <w:rsid w:val="00A82E7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3E1D"/>
    <w:rsid w:val="00A946C9"/>
    <w:rsid w:val="00A94726"/>
    <w:rsid w:val="00A94786"/>
    <w:rsid w:val="00A94E79"/>
    <w:rsid w:val="00A95D07"/>
    <w:rsid w:val="00A95FEB"/>
    <w:rsid w:val="00A96196"/>
    <w:rsid w:val="00A962D7"/>
    <w:rsid w:val="00A966C9"/>
    <w:rsid w:val="00A96784"/>
    <w:rsid w:val="00A96A7E"/>
    <w:rsid w:val="00A96B66"/>
    <w:rsid w:val="00A9727E"/>
    <w:rsid w:val="00A975DC"/>
    <w:rsid w:val="00A97688"/>
    <w:rsid w:val="00A9781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5BA0"/>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2A7"/>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4CB"/>
    <w:rsid w:val="00B117B6"/>
    <w:rsid w:val="00B11A2C"/>
    <w:rsid w:val="00B12C1B"/>
    <w:rsid w:val="00B12EB4"/>
    <w:rsid w:val="00B13528"/>
    <w:rsid w:val="00B1355B"/>
    <w:rsid w:val="00B137E8"/>
    <w:rsid w:val="00B138A4"/>
    <w:rsid w:val="00B13B65"/>
    <w:rsid w:val="00B14313"/>
    <w:rsid w:val="00B1519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4FA"/>
    <w:rsid w:val="00B255B4"/>
    <w:rsid w:val="00B2590D"/>
    <w:rsid w:val="00B25974"/>
    <w:rsid w:val="00B25F4C"/>
    <w:rsid w:val="00B264D9"/>
    <w:rsid w:val="00B269DC"/>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15F"/>
    <w:rsid w:val="00B3762D"/>
    <w:rsid w:val="00B400B6"/>
    <w:rsid w:val="00B403FA"/>
    <w:rsid w:val="00B405F4"/>
    <w:rsid w:val="00B4165D"/>
    <w:rsid w:val="00B416C6"/>
    <w:rsid w:val="00B41E54"/>
    <w:rsid w:val="00B42AC4"/>
    <w:rsid w:val="00B42B98"/>
    <w:rsid w:val="00B433D1"/>
    <w:rsid w:val="00B43488"/>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859"/>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6F5"/>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0C4"/>
    <w:rsid w:val="00B6674F"/>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C8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9F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2771"/>
    <w:rsid w:val="00BC3515"/>
    <w:rsid w:val="00BC3637"/>
    <w:rsid w:val="00BC39CD"/>
    <w:rsid w:val="00BC3EE7"/>
    <w:rsid w:val="00BC4399"/>
    <w:rsid w:val="00BC45BD"/>
    <w:rsid w:val="00BC4AFB"/>
    <w:rsid w:val="00BC513E"/>
    <w:rsid w:val="00BC5889"/>
    <w:rsid w:val="00BC5DE6"/>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764"/>
    <w:rsid w:val="00BE4855"/>
    <w:rsid w:val="00BE574C"/>
    <w:rsid w:val="00BE5E7A"/>
    <w:rsid w:val="00BE602C"/>
    <w:rsid w:val="00BE6EC1"/>
    <w:rsid w:val="00BE75E5"/>
    <w:rsid w:val="00BE7996"/>
    <w:rsid w:val="00BE7E8B"/>
    <w:rsid w:val="00BF0124"/>
    <w:rsid w:val="00BF0388"/>
    <w:rsid w:val="00BF0A79"/>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42"/>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4CE"/>
    <w:rsid w:val="00C32840"/>
    <w:rsid w:val="00C328D3"/>
    <w:rsid w:val="00C33130"/>
    <w:rsid w:val="00C33BDA"/>
    <w:rsid w:val="00C33FA5"/>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6F67"/>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6E9"/>
    <w:rsid w:val="00C53A26"/>
    <w:rsid w:val="00C53C03"/>
    <w:rsid w:val="00C545CA"/>
    <w:rsid w:val="00C547E9"/>
    <w:rsid w:val="00C5480A"/>
    <w:rsid w:val="00C54A42"/>
    <w:rsid w:val="00C54ABE"/>
    <w:rsid w:val="00C54AF7"/>
    <w:rsid w:val="00C54EAF"/>
    <w:rsid w:val="00C55A32"/>
    <w:rsid w:val="00C56724"/>
    <w:rsid w:val="00C5725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D2B"/>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3773"/>
    <w:rsid w:val="00CA42E4"/>
    <w:rsid w:val="00CA4BCC"/>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4E72"/>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067"/>
    <w:rsid w:val="00CD678F"/>
    <w:rsid w:val="00CD6F90"/>
    <w:rsid w:val="00CD7375"/>
    <w:rsid w:val="00CD7635"/>
    <w:rsid w:val="00CD799E"/>
    <w:rsid w:val="00CD7A2C"/>
    <w:rsid w:val="00CD7FBF"/>
    <w:rsid w:val="00CE010B"/>
    <w:rsid w:val="00CE0619"/>
    <w:rsid w:val="00CE0D84"/>
    <w:rsid w:val="00CE1314"/>
    <w:rsid w:val="00CE1AB8"/>
    <w:rsid w:val="00CE1BE3"/>
    <w:rsid w:val="00CE1F14"/>
    <w:rsid w:val="00CE2A27"/>
    <w:rsid w:val="00CE2B36"/>
    <w:rsid w:val="00CE2B74"/>
    <w:rsid w:val="00CE2F15"/>
    <w:rsid w:val="00CE302F"/>
    <w:rsid w:val="00CE3AD9"/>
    <w:rsid w:val="00CE4500"/>
    <w:rsid w:val="00CE4557"/>
    <w:rsid w:val="00CE48A8"/>
    <w:rsid w:val="00CE4CD2"/>
    <w:rsid w:val="00CE4DB6"/>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6F9"/>
    <w:rsid w:val="00D008FA"/>
    <w:rsid w:val="00D00ABB"/>
    <w:rsid w:val="00D00CC5"/>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608"/>
    <w:rsid w:val="00D1374D"/>
    <w:rsid w:val="00D1455C"/>
    <w:rsid w:val="00D148F6"/>
    <w:rsid w:val="00D14B07"/>
    <w:rsid w:val="00D15541"/>
    <w:rsid w:val="00D155C1"/>
    <w:rsid w:val="00D157F1"/>
    <w:rsid w:val="00D1589A"/>
    <w:rsid w:val="00D16437"/>
    <w:rsid w:val="00D165C2"/>
    <w:rsid w:val="00D16D98"/>
    <w:rsid w:val="00D16F48"/>
    <w:rsid w:val="00D1752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505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8FF"/>
    <w:rsid w:val="00D44D4C"/>
    <w:rsid w:val="00D44E50"/>
    <w:rsid w:val="00D451B2"/>
    <w:rsid w:val="00D45317"/>
    <w:rsid w:val="00D459CA"/>
    <w:rsid w:val="00D45DAE"/>
    <w:rsid w:val="00D460F8"/>
    <w:rsid w:val="00D46233"/>
    <w:rsid w:val="00D46364"/>
    <w:rsid w:val="00D4684B"/>
    <w:rsid w:val="00D46914"/>
    <w:rsid w:val="00D46C2C"/>
    <w:rsid w:val="00D46EA9"/>
    <w:rsid w:val="00D470D7"/>
    <w:rsid w:val="00D4722C"/>
    <w:rsid w:val="00D47C62"/>
    <w:rsid w:val="00D47CCB"/>
    <w:rsid w:val="00D502A3"/>
    <w:rsid w:val="00D50784"/>
    <w:rsid w:val="00D50BBD"/>
    <w:rsid w:val="00D50D73"/>
    <w:rsid w:val="00D5109C"/>
    <w:rsid w:val="00D516A7"/>
    <w:rsid w:val="00D51F2B"/>
    <w:rsid w:val="00D520C1"/>
    <w:rsid w:val="00D521DD"/>
    <w:rsid w:val="00D523DA"/>
    <w:rsid w:val="00D52631"/>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0B23"/>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CEA"/>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634"/>
    <w:rsid w:val="00D85C7A"/>
    <w:rsid w:val="00D85C84"/>
    <w:rsid w:val="00D85F17"/>
    <w:rsid w:val="00D8690E"/>
    <w:rsid w:val="00D86B85"/>
    <w:rsid w:val="00D87100"/>
    <w:rsid w:val="00D872C9"/>
    <w:rsid w:val="00D873DC"/>
    <w:rsid w:val="00D87A07"/>
    <w:rsid w:val="00D87F43"/>
    <w:rsid w:val="00D90185"/>
    <w:rsid w:val="00D901F1"/>
    <w:rsid w:val="00D912CA"/>
    <w:rsid w:val="00D91664"/>
    <w:rsid w:val="00D91696"/>
    <w:rsid w:val="00D91AEF"/>
    <w:rsid w:val="00D91B4D"/>
    <w:rsid w:val="00D91F94"/>
    <w:rsid w:val="00D922F5"/>
    <w:rsid w:val="00D926EC"/>
    <w:rsid w:val="00D92ED2"/>
    <w:rsid w:val="00D934E5"/>
    <w:rsid w:val="00D93630"/>
    <w:rsid w:val="00D9372C"/>
    <w:rsid w:val="00D937BC"/>
    <w:rsid w:val="00D93F22"/>
    <w:rsid w:val="00D94F0E"/>
    <w:rsid w:val="00D952F3"/>
    <w:rsid w:val="00D95463"/>
    <w:rsid w:val="00D955DF"/>
    <w:rsid w:val="00D95A4B"/>
    <w:rsid w:val="00D95A6D"/>
    <w:rsid w:val="00D95E25"/>
    <w:rsid w:val="00D95FAB"/>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27A"/>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96B"/>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A63"/>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CE2"/>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6C86"/>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1CE"/>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259"/>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214"/>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328"/>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239"/>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64A"/>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4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3E44"/>
    <w:rsid w:val="00F3501B"/>
    <w:rsid w:val="00F362CD"/>
    <w:rsid w:val="00F36653"/>
    <w:rsid w:val="00F3682C"/>
    <w:rsid w:val="00F376A6"/>
    <w:rsid w:val="00F4019B"/>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006"/>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8A"/>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AA4"/>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E96"/>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7EF"/>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2B625C5-43A3-448E-A9AD-2D525F35D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9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Pages>
  <Words>1984</Words>
  <Characters>11311</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5</cp:revision>
  <cp:lastPrinted>2019-02-13T08:31:00Z</cp:lastPrinted>
  <dcterms:created xsi:type="dcterms:W3CDTF">2023-04-04T08:36:00Z</dcterms:created>
  <dcterms:modified xsi:type="dcterms:W3CDTF">2023-04-07T05:39:00Z</dcterms:modified>
</cp:coreProperties>
</file>