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21D21" w14:textId="1F4D50E4" w:rsidR="0088568D" w:rsidRPr="007B519D" w:rsidRDefault="0088568D" w:rsidP="0088568D">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0A06B5">
        <w:rPr>
          <w:rFonts w:asciiTheme="minorBidi" w:hAnsiTheme="minorBidi"/>
          <w:b/>
          <w:bCs/>
          <w:snapToGrid w:val="0"/>
          <w:sz w:val="24"/>
          <w:szCs w:val="24"/>
          <w:lang w:val="en-US"/>
        </w:rPr>
        <w:t>2</w:t>
      </w:r>
      <w:r w:rsidR="00B17270">
        <w:rPr>
          <w:rFonts w:asciiTheme="minorBidi" w:hAnsiTheme="minorBidi"/>
          <w:b/>
          <w:bCs/>
          <w:snapToGrid w:val="0"/>
          <w:sz w:val="24"/>
          <w:szCs w:val="24"/>
          <w:lang w:val="en-US"/>
        </w:rPr>
        <w:t>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65571C">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007C3D3A" w:rsidRPr="007C3D3A">
        <w:rPr>
          <w:rFonts w:asciiTheme="minorBidi" w:hAnsiTheme="minorBidi"/>
          <w:b/>
          <w:bCs/>
          <w:snapToGrid w:val="0"/>
          <w:sz w:val="24"/>
          <w:szCs w:val="24"/>
          <w:lang w:val="en-US"/>
        </w:rPr>
        <w:t>R1-2303540</w:t>
      </w:r>
    </w:p>
    <w:p w14:paraId="1A8E789E" w14:textId="17F1AA34" w:rsidR="000A06B5" w:rsidRDefault="00B17270" w:rsidP="000A06B5">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e-Meeting</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477737">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 26</w:t>
      </w:r>
      <w:r w:rsidRPr="00477737">
        <w:rPr>
          <w:rFonts w:asciiTheme="minorBidi" w:hAnsiTheme="minorBidi"/>
          <w:b/>
          <w:bCs/>
          <w:snapToGrid w:val="0"/>
          <w:sz w:val="24"/>
          <w:szCs w:val="24"/>
          <w:vertAlign w:val="superscript"/>
          <w:lang w:val="en-US"/>
        </w:rPr>
        <w:t>th</w:t>
      </w:r>
      <w:r w:rsidR="000A06B5">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3837DA3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0F980AD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C576C">
        <w:rPr>
          <w:rFonts w:asciiTheme="minorBidi" w:hAnsiTheme="minorBidi"/>
          <w:b/>
          <w:bCs/>
          <w:snapToGrid w:val="0"/>
          <w:sz w:val="24"/>
          <w:szCs w:val="24"/>
          <w:lang w:val="en-US"/>
        </w:rPr>
        <w:t>Discussion on Co-Channel Coexistence for LTE and NR Sidelink</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F64AE73" w14:textId="5BF5992D" w:rsidR="002872AB"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A25160">
        <w:t>9</w:t>
      </w:r>
      <w:r w:rsidR="00585DA5">
        <w:t> </w:t>
      </w:r>
      <w:r>
        <w:t xml:space="preserve">[1], and the following </w:t>
      </w:r>
      <w:r w:rsidR="00ED6D7C">
        <w:t xml:space="preserve">agreements </w:t>
      </w:r>
      <w:r w:rsidR="001A1990">
        <w:t xml:space="preserve">[2] [3] </w:t>
      </w:r>
      <w:r w:rsidR="00ED6D7C">
        <w:t xml:space="preserve">were made </w:t>
      </w:r>
      <w:r>
        <w:t xml:space="preserve">in relation to </w:t>
      </w:r>
      <w:r w:rsidR="00627D4D">
        <w:t xml:space="preserve">the </w:t>
      </w:r>
      <w:r w:rsidR="00CC576C">
        <w:t>co-channel coexistence between LTE and NR sidelink</w:t>
      </w:r>
      <w:r>
        <w:t>:</w:t>
      </w:r>
    </w:p>
    <w:tbl>
      <w:tblPr>
        <w:tblStyle w:val="TableGrid"/>
        <w:tblW w:w="0" w:type="auto"/>
        <w:tblLook w:val="04A0" w:firstRow="1" w:lastRow="0" w:firstColumn="1" w:lastColumn="0" w:noHBand="0" w:noVBand="1"/>
      </w:tblPr>
      <w:tblGrid>
        <w:gridCol w:w="9962"/>
      </w:tblGrid>
      <w:tr w:rsidR="002872AB" w14:paraId="1D7D9FC3" w14:textId="77777777" w:rsidTr="002872AB">
        <w:tc>
          <w:tcPr>
            <w:tcW w:w="9962" w:type="dxa"/>
          </w:tcPr>
          <w:p w14:paraId="2B9820C9" w14:textId="70AEFEB0" w:rsidR="00E5256B" w:rsidRPr="00226FDB" w:rsidRDefault="00E5256B" w:rsidP="00AA1DFC">
            <w:pPr>
              <w:spacing w:before="0" w:after="60" w:line="240" w:lineRule="auto"/>
              <w:rPr>
                <w:b/>
                <w:iCs/>
              </w:rPr>
            </w:pPr>
            <w:r w:rsidRPr="00226FDB">
              <w:rPr>
                <w:b/>
                <w:iCs/>
              </w:rPr>
              <w:t xml:space="preserve">Guidance from </w:t>
            </w:r>
            <w:r w:rsidR="009B4422" w:rsidRPr="00226FDB">
              <w:rPr>
                <w:b/>
                <w:iCs/>
              </w:rPr>
              <w:t>RAN p</w:t>
            </w:r>
            <w:r w:rsidRPr="00226FDB">
              <w:rPr>
                <w:b/>
                <w:iCs/>
              </w:rPr>
              <w:t>lenary</w:t>
            </w:r>
            <w:r w:rsidR="009B4422" w:rsidRPr="00226FDB">
              <w:rPr>
                <w:b/>
                <w:iCs/>
              </w:rPr>
              <w:t xml:space="preserve"> </w:t>
            </w:r>
            <w:r w:rsidR="00522D2C" w:rsidRPr="00226FDB">
              <w:rPr>
                <w:b/>
                <w:iCs/>
              </w:rPr>
              <w:t xml:space="preserve">[1] </w:t>
            </w:r>
            <w:r w:rsidR="009B4422" w:rsidRPr="00226FDB">
              <w:rPr>
                <w:b/>
                <w:iCs/>
              </w:rPr>
              <w:t xml:space="preserve">– the following </w:t>
            </w:r>
            <w:r w:rsidR="00522D2C" w:rsidRPr="00226FDB">
              <w:rPr>
                <w:b/>
                <w:iCs/>
              </w:rPr>
              <w:t xml:space="preserve">additions were made </w:t>
            </w:r>
            <w:proofErr w:type="spellStart"/>
            <w:r w:rsidR="00522D2C" w:rsidRPr="00226FDB">
              <w:rPr>
                <w:b/>
                <w:iCs/>
              </w:rPr>
              <w:t>wrt</w:t>
            </w:r>
            <w:proofErr w:type="spellEnd"/>
            <w:r w:rsidR="00522D2C" w:rsidRPr="00226FDB">
              <w:rPr>
                <w:b/>
                <w:iCs/>
              </w:rPr>
              <w:t xml:space="preserve">. SL </w:t>
            </w:r>
            <w:r w:rsidR="009B4422" w:rsidRPr="00226FDB">
              <w:rPr>
                <w:b/>
                <w:iCs/>
              </w:rPr>
              <w:t>co-channel coexistence</w:t>
            </w:r>
            <w:r w:rsidR="00522D2C" w:rsidRPr="00226FDB">
              <w:rPr>
                <w:b/>
                <w:iCs/>
              </w:rPr>
              <w:t>:</w:t>
            </w:r>
          </w:p>
          <w:p w14:paraId="1D9A8A08" w14:textId="77777777" w:rsidR="009B4422" w:rsidRPr="00226FDB" w:rsidRDefault="009B4422" w:rsidP="00AA1DFC">
            <w:pPr>
              <w:numPr>
                <w:ilvl w:val="0"/>
                <w:numId w:val="23"/>
              </w:numPr>
              <w:tabs>
                <w:tab w:val="clear" w:pos="720"/>
              </w:tabs>
              <w:spacing w:before="0" w:after="0" w:line="240" w:lineRule="auto"/>
              <w:ind w:left="360"/>
              <w:rPr>
                <w:b/>
                <w:iCs/>
                <w:lang w:val="en-DE"/>
              </w:rPr>
            </w:pPr>
            <w:r w:rsidRPr="00226FDB">
              <w:rPr>
                <w:b/>
                <w:iCs/>
                <w:lang w:val="en-US"/>
              </w:rPr>
              <w:t>RAN1 is tasked to support only 15 and 30 kHz SCSs for dynamic resource pool sharing. Existing RAN1 agreements for dynamic resource pool sharing apply to support of 30 kHz.</w:t>
            </w:r>
          </w:p>
          <w:p w14:paraId="4CAE295A" w14:textId="77777777" w:rsidR="009B4422" w:rsidRPr="00226FDB" w:rsidRDefault="009B4422" w:rsidP="00AA1DFC">
            <w:pPr>
              <w:numPr>
                <w:ilvl w:val="1"/>
                <w:numId w:val="23"/>
              </w:numPr>
              <w:spacing w:before="0" w:after="0" w:line="240" w:lineRule="auto"/>
              <w:ind w:left="723" w:hanging="357"/>
              <w:rPr>
                <w:bCs/>
                <w:iCs/>
                <w:lang w:val="en-DE"/>
              </w:rPr>
            </w:pPr>
            <w:r w:rsidRPr="00226FDB">
              <w:rPr>
                <w:bCs/>
                <w:iCs/>
                <w:lang w:val="en-US"/>
              </w:rPr>
              <w:t xml:space="preserve">For NR PSCCH/PSSCH transmissions in 30kHz SCS, NR SL UE selects in MAC layer at least the first of NR SL slots overlapping with an LTE SL subframe, and can select the subsequent overlapping NR SL slot in MAC </w:t>
            </w:r>
            <w:proofErr w:type="gramStart"/>
            <w:r w:rsidRPr="00226FDB">
              <w:rPr>
                <w:bCs/>
                <w:iCs/>
                <w:lang w:val="en-US"/>
              </w:rPr>
              <w:t>layer</w:t>
            </w:r>
            <w:proofErr w:type="gramEnd"/>
          </w:p>
          <w:p w14:paraId="5075305F" w14:textId="77777777" w:rsidR="009B4422" w:rsidRPr="00226FDB" w:rsidRDefault="009B4422" w:rsidP="00AA1DFC">
            <w:pPr>
              <w:numPr>
                <w:ilvl w:val="2"/>
                <w:numId w:val="23"/>
              </w:numPr>
              <w:tabs>
                <w:tab w:val="clear" w:pos="2160"/>
              </w:tabs>
              <w:spacing w:before="0" w:after="0" w:line="240" w:lineRule="auto"/>
              <w:ind w:left="1443" w:hanging="357"/>
              <w:rPr>
                <w:bCs/>
                <w:iCs/>
                <w:lang w:val="en-DE"/>
              </w:rPr>
            </w:pPr>
            <w:r w:rsidRPr="00226FDB">
              <w:rPr>
                <w:bCs/>
                <w:iCs/>
                <w:lang w:val="en-US"/>
              </w:rPr>
              <w:t>No change to the R16/17 resource allocation procedure in PHY due to this restriction</w:t>
            </w:r>
          </w:p>
          <w:p w14:paraId="3ACD7BB6" w14:textId="77777777" w:rsidR="009B4422" w:rsidRPr="00226FDB" w:rsidRDefault="009B4422" w:rsidP="00AA1DFC">
            <w:pPr>
              <w:numPr>
                <w:ilvl w:val="2"/>
                <w:numId w:val="23"/>
              </w:numPr>
              <w:tabs>
                <w:tab w:val="clear" w:pos="2160"/>
              </w:tabs>
              <w:spacing w:before="0" w:after="0" w:line="240" w:lineRule="auto"/>
              <w:ind w:left="1443" w:hanging="357"/>
              <w:rPr>
                <w:bCs/>
                <w:iCs/>
                <w:lang w:val="en-DE"/>
              </w:rPr>
            </w:pPr>
            <w:r w:rsidRPr="00226FDB">
              <w:rPr>
                <w:bCs/>
                <w:iCs/>
                <w:lang w:val="en-US"/>
              </w:rPr>
              <w:t xml:space="preserve">The existing SL slot structure from Rel-16 is </w:t>
            </w:r>
            <w:proofErr w:type="gramStart"/>
            <w:r w:rsidRPr="00226FDB">
              <w:rPr>
                <w:bCs/>
                <w:iCs/>
                <w:lang w:val="en-US"/>
              </w:rPr>
              <w:t>unchanged</w:t>
            </w:r>
            <w:proofErr w:type="gramEnd"/>
          </w:p>
          <w:p w14:paraId="780FCEBA" w14:textId="77777777" w:rsidR="009B4422" w:rsidRPr="00226FDB" w:rsidRDefault="009B4422" w:rsidP="00AA1DFC">
            <w:pPr>
              <w:numPr>
                <w:ilvl w:val="2"/>
                <w:numId w:val="23"/>
              </w:numPr>
              <w:tabs>
                <w:tab w:val="clear" w:pos="2160"/>
              </w:tabs>
              <w:spacing w:before="0" w:after="0" w:line="240" w:lineRule="auto"/>
              <w:ind w:left="1443" w:hanging="357"/>
              <w:rPr>
                <w:bCs/>
                <w:iCs/>
                <w:lang w:val="en-DE"/>
              </w:rPr>
            </w:pPr>
            <w:r w:rsidRPr="00226FDB">
              <w:rPr>
                <w:bCs/>
                <w:iCs/>
                <w:lang w:val="en-US"/>
              </w:rPr>
              <w:t xml:space="preserve">The starting symbol of the first of the overlapping NR SL slots is assumed to be aligned with the first symbol of the LTE SL </w:t>
            </w:r>
            <w:proofErr w:type="gramStart"/>
            <w:r w:rsidRPr="00226FDB">
              <w:rPr>
                <w:bCs/>
                <w:iCs/>
                <w:lang w:val="en-US"/>
              </w:rPr>
              <w:t>subframe</w:t>
            </w:r>
            <w:proofErr w:type="gramEnd"/>
          </w:p>
          <w:p w14:paraId="117ABF11" w14:textId="77777777" w:rsidR="009B4422" w:rsidRPr="00226FDB" w:rsidRDefault="009B4422" w:rsidP="00AA1DFC">
            <w:pPr>
              <w:numPr>
                <w:ilvl w:val="1"/>
                <w:numId w:val="23"/>
              </w:numPr>
              <w:spacing w:before="0" w:after="0" w:line="240" w:lineRule="auto"/>
              <w:ind w:left="720" w:hanging="357"/>
              <w:rPr>
                <w:bCs/>
                <w:iCs/>
                <w:lang w:val="en-DE"/>
              </w:rPr>
            </w:pPr>
            <w:r w:rsidRPr="00226FDB">
              <w:rPr>
                <w:bCs/>
                <w:iCs/>
                <w:lang w:val="en-US"/>
              </w:rPr>
              <w:t xml:space="preserve">For NR SL with 15/30kHz SCSs, NR SL UE avoids selecting resources for PSCCH/PSSCH transmissions where the corresponding PSFCH transmission occasions overlap with LTE SL reservations in time </w:t>
            </w:r>
            <w:proofErr w:type="gramStart"/>
            <w:r w:rsidRPr="00226FDB">
              <w:rPr>
                <w:bCs/>
                <w:iCs/>
                <w:lang w:val="en-US"/>
              </w:rPr>
              <w:t>domain</w:t>
            </w:r>
            <w:proofErr w:type="gramEnd"/>
          </w:p>
          <w:p w14:paraId="2D00AEA4" w14:textId="77777777" w:rsidR="009B4422" w:rsidRPr="00226FDB" w:rsidRDefault="009B4422" w:rsidP="00AA1DFC">
            <w:pPr>
              <w:numPr>
                <w:ilvl w:val="2"/>
                <w:numId w:val="23"/>
              </w:numPr>
              <w:spacing w:before="0" w:after="0" w:line="240" w:lineRule="auto"/>
              <w:ind w:left="1440" w:hanging="357"/>
              <w:rPr>
                <w:b/>
                <w:iCs/>
                <w:lang w:val="en-DE"/>
              </w:rPr>
            </w:pPr>
            <w:r w:rsidRPr="00226FDB">
              <w:rPr>
                <w:b/>
                <w:iCs/>
                <w:lang w:val="en-US"/>
              </w:rPr>
              <w:t xml:space="preserve">Note, this is </w:t>
            </w:r>
            <w:proofErr w:type="spellStart"/>
            <w:r w:rsidRPr="00226FDB">
              <w:rPr>
                <w:b/>
                <w:iCs/>
                <w:lang w:val="en-US"/>
              </w:rPr>
              <w:t>inline</w:t>
            </w:r>
            <w:proofErr w:type="spellEnd"/>
            <w:r w:rsidRPr="00226FDB">
              <w:rPr>
                <w:b/>
                <w:iCs/>
                <w:lang w:val="en-US"/>
              </w:rPr>
              <w:t xml:space="preserve"> with Option 1-2 in the working assumption made in RAN1#112. No other options from the working assumption need to be considered.</w:t>
            </w:r>
          </w:p>
          <w:p w14:paraId="1513D670" w14:textId="0FD94AD3" w:rsidR="00E5256B" w:rsidRPr="00226FDB" w:rsidRDefault="009B4422" w:rsidP="00226FDB">
            <w:pPr>
              <w:numPr>
                <w:ilvl w:val="1"/>
                <w:numId w:val="23"/>
              </w:numPr>
              <w:spacing w:before="0" w:line="240" w:lineRule="auto"/>
              <w:ind w:left="720" w:hanging="357"/>
              <w:rPr>
                <w:b/>
                <w:iCs/>
                <w:lang w:val="en-DE"/>
              </w:rPr>
            </w:pPr>
            <w:r w:rsidRPr="00226FDB">
              <w:rPr>
                <w:b/>
                <w:iCs/>
                <w:lang w:val="en-US"/>
              </w:rPr>
              <w:t>Mode 2 operation only</w:t>
            </w:r>
          </w:p>
          <w:p w14:paraId="6362F340" w14:textId="5FC4B3D6" w:rsidR="00E5256B" w:rsidRPr="00226FDB" w:rsidRDefault="00E5256B" w:rsidP="00AA1DFC">
            <w:pPr>
              <w:spacing w:before="0" w:after="60" w:line="240" w:lineRule="auto"/>
              <w:rPr>
                <w:b/>
                <w:iCs/>
              </w:rPr>
            </w:pPr>
            <w:r w:rsidRPr="00226FDB">
              <w:rPr>
                <w:b/>
                <w:iCs/>
              </w:rPr>
              <w:t xml:space="preserve">Progress </w:t>
            </w:r>
            <w:r w:rsidR="00B95F31" w:rsidRPr="00226FDB">
              <w:rPr>
                <w:b/>
                <w:iCs/>
              </w:rPr>
              <w:t xml:space="preserve">made </w:t>
            </w:r>
            <w:r w:rsidRPr="00226FDB">
              <w:rPr>
                <w:b/>
                <w:iCs/>
              </w:rPr>
              <w:t>in RAN1</w:t>
            </w:r>
            <w:r w:rsidR="00CE75A4" w:rsidRPr="00226FDB">
              <w:rPr>
                <w:b/>
                <w:iCs/>
              </w:rPr>
              <w:t xml:space="preserve"> </w:t>
            </w:r>
            <w:r w:rsidR="003E28A5" w:rsidRPr="00226FDB">
              <w:rPr>
                <w:b/>
                <w:iCs/>
              </w:rPr>
              <w:t>[2] [3]</w:t>
            </w:r>
          </w:p>
          <w:p w14:paraId="0055E35B" w14:textId="141B65DB" w:rsidR="007E66A2" w:rsidRPr="00226FDB" w:rsidRDefault="007E66A2" w:rsidP="00AA1DFC">
            <w:pPr>
              <w:spacing w:before="0" w:after="0" w:line="240" w:lineRule="auto"/>
              <w:rPr>
                <w:b/>
                <w:iCs/>
              </w:rPr>
            </w:pPr>
            <w:r w:rsidRPr="00226FDB">
              <w:rPr>
                <w:b/>
                <w:iCs/>
              </w:rPr>
              <w:t>Agreement</w:t>
            </w:r>
          </w:p>
          <w:p w14:paraId="79FFBB53" w14:textId="77777777" w:rsidR="007E66A2" w:rsidRPr="00226FDB" w:rsidRDefault="007E66A2" w:rsidP="00AA1DFC">
            <w:pPr>
              <w:spacing w:before="0" w:after="0" w:line="240" w:lineRule="auto"/>
            </w:pPr>
            <w:r w:rsidRPr="00226FDB">
              <w:t xml:space="preserve">In NR SL resource (re)selection procedure, option 1 is adopted for how to determine candidate resource set for NR SL considering the LTE SL reserved resources by other LTE SL UE </w:t>
            </w:r>
          </w:p>
          <w:p w14:paraId="62C251DE"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w:t>
            </w:r>
            <w:proofErr w:type="gramStart"/>
            <w:r w:rsidRPr="00226FDB">
              <w:rPr>
                <w:rFonts w:ascii="Times New Roman" w:hAnsi="Times New Roman"/>
                <w:sz w:val="20"/>
                <w:szCs w:val="20"/>
              </w:rPr>
              <w:t>transmission</w:t>
            </w:r>
            <w:proofErr w:type="gramEnd"/>
          </w:p>
          <w:p w14:paraId="53CB9D78"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 xml:space="preserve">For the list of the above initial SL RSRP threshold, </w:t>
            </w:r>
            <w:proofErr w:type="gramStart"/>
            <w:r w:rsidRPr="00226FDB">
              <w:rPr>
                <w:rFonts w:ascii="Times New Roman" w:hAnsi="Times New Roman"/>
                <w:sz w:val="20"/>
                <w:szCs w:val="20"/>
              </w:rPr>
              <w:t>down-select</w:t>
            </w:r>
            <w:proofErr w:type="gramEnd"/>
            <w:r w:rsidRPr="00226FDB">
              <w:rPr>
                <w:rFonts w:ascii="Times New Roman" w:hAnsi="Times New Roman"/>
                <w:sz w:val="20"/>
                <w:szCs w:val="20"/>
              </w:rPr>
              <w:t xml:space="preserve"> one of followings:</w:t>
            </w:r>
          </w:p>
          <w:p w14:paraId="4564ED0B"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Alt 1: NR SL RSRP threshold list (pre)configured in a NR SL resource </w:t>
            </w:r>
            <w:proofErr w:type="gramStart"/>
            <w:r w:rsidRPr="00226FDB">
              <w:rPr>
                <w:rFonts w:ascii="Times New Roman" w:hAnsi="Times New Roman"/>
                <w:sz w:val="20"/>
                <w:szCs w:val="20"/>
              </w:rPr>
              <w:t>pool</w:t>
            </w:r>
            <w:proofErr w:type="gramEnd"/>
          </w:p>
          <w:p w14:paraId="4BE6A0C7"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Alt 2: LTE SL RSRP threshold list (pre)configured in </w:t>
            </w:r>
            <w:proofErr w:type="gramStart"/>
            <w:r w:rsidRPr="00226FDB">
              <w:rPr>
                <w:rFonts w:ascii="Times New Roman" w:hAnsi="Times New Roman"/>
                <w:sz w:val="20"/>
                <w:szCs w:val="20"/>
              </w:rPr>
              <w:t>a</w:t>
            </w:r>
            <w:proofErr w:type="gramEnd"/>
            <w:r w:rsidRPr="00226FDB">
              <w:rPr>
                <w:rFonts w:ascii="Times New Roman" w:hAnsi="Times New Roman"/>
                <w:sz w:val="20"/>
                <w:szCs w:val="20"/>
              </w:rPr>
              <w:t xml:space="preserve"> LTE SL resource pool</w:t>
            </w:r>
          </w:p>
          <w:p w14:paraId="21F3B7F8" w14:textId="77777777" w:rsidR="00686C0C" w:rsidRPr="00226FDB" w:rsidRDefault="007E66A2">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Alt 3: SL RSRP threshold list separately (pre)configured for dynamic resource pool </w:t>
            </w:r>
            <w:proofErr w:type="gramStart"/>
            <w:r w:rsidRPr="00226FDB">
              <w:rPr>
                <w:rFonts w:ascii="Times New Roman" w:hAnsi="Times New Roman"/>
                <w:sz w:val="20"/>
                <w:szCs w:val="20"/>
              </w:rPr>
              <w:t>sharing</w:t>
            </w:r>
            <w:proofErr w:type="gramEnd"/>
          </w:p>
          <w:p w14:paraId="69B2CDB4" w14:textId="191050AD"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Alt 4: SL RSRP threshold list separately (pre)configured for dynamic resource pool </w:t>
            </w:r>
            <w:proofErr w:type="gramStart"/>
            <w:r w:rsidRPr="00226FDB">
              <w:rPr>
                <w:rFonts w:ascii="Times New Roman" w:hAnsi="Times New Roman"/>
                <w:sz w:val="20"/>
                <w:szCs w:val="20"/>
              </w:rPr>
              <w:t>sharing</w:t>
            </w:r>
            <w:proofErr w:type="gramEnd"/>
          </w:p>
          <w:p w14:paraId="0B8A6350" w14:textId="77777777" w:rsidR="007E66A2" w:rsidRPr="00226FDB" w:rsidRDefault="007E66A2" w:rsidP="00AA1DFC">
            <w:pPr>
              <w:pStyle w:val="ListParagraph"/>
              <w:numPr>
                <w:ilvl w:val="3"/>
                <w:numId w:val="19"/>
              </w:numPr>
              <w:autoSpaceDE w:val="0"/>
              <w:autoSpaceDN w:val="0"/>
              <w:spacing w:before="0" w:line="240" w:lineRule="auto"/>
              <w:ind w:left="2163"/>
              <w:rPr>
                <w:rFonts w:ascii="Times New Roman" w:hAnsi="Times New Roman"/>
                <w:sz w:val="20"/>
                <w:szCs w:val="20"/>
              </w:rPr>
            </w:pPr>
            <w:r w:rsidRPr="00226FDB">
              <w:rPr>
                <w:rFonts w:ascii="Times New Roman" w:hAnsi="Times New Roman"/>
                <w:sz w:val="20"/>
                <w:szCs w:val="20"/>
              </w:rPr>
              <w:t>A different SL RSRP threshold list may be (pre)configured for selecting single slot resources in NR SL slots with NR PSFCH</w:t>
            </w:r>
          </w:p>
          <w:p w14:paraId="57109D46"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 xml:space="preserve">For the LTE SL periodic reserved resources by other LTE SL UE, </w:t>
            </w:r>
          </w:p>
          <w:p w14:paraId="336E5C86"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For determining the above LTE SL reserved resources, the time-and-frequency resources of LTE SL reserved resources by other LTE SL UE are repeated Q times according to the LTE SL resource reservation </w:t>
            </w:r>
            <w:proofErr w:type="gramStart"/>
            <w:r w:rsidRPr="00226FDB">
              <w:rPr>
                <w:rFonts w:ascii="Times New Roman" w:hAnsi="Times New Roman"/>
                <w:sz w:val="20"/>
                <w:szCs w:val="20"/>
              </w:rPr>
              <w:t>period</w:t>
            </w:r>
            <w:proofErr w:type="gramEnd"/>
          </w:p>
          <w:p w14:paraId="2BE04F35" w14:textId="77777777" w:rsidR="007E66A2" w:rsidRPr="00226FDB" w:rsidRDefault="007E66A2" w:rsidP="00AA1DFC">
            <w:pPr>
              <w:pStyle w:val="ListParagraph"/>
              <w:numPr>
                <w:ilvl w:val="3"/>
                <w:numId w:val="19"/>
              </w:numPr>
              <w:autoSpaceDE w:val="0"/>
              <w:autoSpaceDN w:val="0"/>
              <w:spacing w:before="0" w:line="240" w:lineRule="auto"/>
              <w:ind w:left="2163"/>
              <w:rPr>
                <w:rFonts w:ascii="Times New Roman" w:hAnsi="Times New Roman"/>
                <w:sz w:val="20"/>
                <w:szCs w:val="20"/>
              </w:rPr>
            </w:pPr>
            <w:r w:rsidRPr="00226FDB">
              <w:rPr>
                <w:rFonts w:ascii="Times New Roman" w:hAnsi="Times New Roman"/>
                <w:sz w:val="20"/>
                <w:szCs w:val="20"/>
              </w:rPr>
              <w:t xml:space="preserve">FFS details including at least whether the formula of Q in Section 14.1.1.6 in TS 36.213 or the formula of Q in Section 8.1.4 in TS 38.214 is </w:t>
            </w:r>
            <w:proofErr w:type="gramStart"/>
            <w:r w:rsidRPr="00226FDB">
              <w:rPr>
                <w:rFonts w:ascii="Times New Roman" w:hAnsi="Times New Roman"/>
                <w:sz w:val="20"/>
                <w:szCs w:val="20"/>
              </w:rPr>
              <w:t>used</w:t>
            </w:r>
            <w:proofErr w:type="gramEnd"/>
            <w:r w:rsidRPr="00226FDB">
              <w:rPr>
                <w:rFonts w:ascii="Times New Roman" w:hAnsi="Times New Roman"/>
                <w:sz w:val="20"/>
                <w:szCs w:val="20"/>
              </w:rPr>
              <w:t xml:space="preserve"> </w:t>
            </w:r>
          </w:p>
          <w:p w14:paraId="574B6584"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The PHY layer of NR module applies the above procedure in Step 6 in Section 8.1.4 of TS 38.214</w:t>
            </w:r>
          </w:p>
          <w:p w14:paraId="02825AD0"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Note: For periodic resource reservation of NR SL transmission, the PHY layer of NR SL module further excludes NR SL candidate resources of which NR SL periodic resources are overlapping with LTE SL </w:t>
            </w:r>
            <w:r w:rsidRPr="00226FDB">
              <w:rPr>
                <w:rFonts w:ascii="Times New Roman" w:hAnsi="Times New Roman"/>
                <w:sz w:val="20"/>
                <w:szCs w:val="20"/>
              </w:rPr>
              <w:lastRenderedPageBreak/>
              <w:t>reserved resources by other LTE SL UE when the SL RSRP value associated with the LTE SL reserved resources is higher than a SL RSRP threshold according to condition c in Step 6 in Section 8.1.4 of TS 38.214</w:t>
            </w:r>
          </w:p>
          <w:p w14:paraId="5DE29994"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Note: It is assumed that the information relevant to LTE SL reserved resources by other LTE SL UE used in the above procedure is shared from LTE SL module to NR SL module</w:t>
            </w:r>
          </w:p>
          <w:p w14:paraId="559E0E43" w14:textId="4AE9E017" w:rsidR="007E66A2" w:rsidRPr="00226FDB" w:rsidRDefault="007E66A2" w:rsidP="00AA1DFC">
            <w:pPr>
              <w:pStyle w:val="ListParagraph"/>
              <w:numPr>
                <w:ilvl w:val="1"/>
                <w:numId w:val="19"/>
              </w:numPr>
              <w:autoSpaceDE w:val="0"/>
              <w:autoSpaceDN w:val="0"/>
              <w:spacing w:before="0" w:after="60"/>
              <w:ind w:left="720" w:hanging="357"/>
              <w:rPr>
                <w:sz w:val="20"/>
                <w:szCs w:val="20"/>
              </w:rPr>
            </w:pPr>
            <w:r w:rsidRPr="00226FDB">
              <w:rPr>
                <w:rFonts w:ascii="Times New Roman" w:hAnsi="Times New Roman"/>
                <w:sz w:val="20"/>
                <w:szCs w:val="20"/>
              </w:rPr>
              <w:t xml:space="preserve">FFS whether/how LTE SL RSRP is </w:t>
            </w:r>
            <w:proofErr w:type="gramStart"/>
            <w:r w:rsidRPr="00226FDB">
              <w:rPr>
                <w:rFonts w:ascii="Times New Roman" w:hAnsi="Times New Roman"/>
                <w:sz w:val="20"/>
                <w:szCs w:val="20"/>
              </w:rPr>
              <w:t>applied</w:t>
            </w:r>
            <w:proofErr w:type="gramEnd"/>
          </w:p>
          <w:p w14:paraId="2B961036" w14:textId="77777777" w:rsidR="007E66A2" w:rsidRPr="00226FDB" w:rsidRDefault="007E66A2" w:rsidP="00AA1DFC">
            <w:pPr>
              <w:spacing w:before="0" w:after="0" w:line="240" w:lineRule="auto"/>
              <w:rPr>
                <w:b/>
                <w:iCs/>
              </w:rPr>
            </w:pPr>
            <w:r w:rsidRPr="00226FDB">
              <w:rPr>
                <w:b/>
                <w:bCs/>
                <w:iCs/>
              </w:rPr>
              <w:t>Working assumption</w:t>
            </w:r>
          </w:p>
          <w:p w14:paraId="36F8A25D" w14:textId="77777777" w:rsidR="007E66A2" w:rsidRPr="00226FDB" w:rsidRDefault="007E66A2" w:rsidP="00AA1DFC">
            <w:pPr>
              <w:pStyle w:val="ListParagraph"/>
              <w:spacing w:before="0" w:line="240" w:lineRule="auto"/>
              <w:ind w:left="0"/>
              <w:rPr>
                <w:rFonts w:ascii="Times New Roman" w:eastAsia="MS Mincho" w:hAnsi="Times New Roman"/>
                <w:sz w:val="20"/>
                <w:szCs w:val="20"/>
              </w:rPr>
            </w:pPr>
            <w:r w:rsidRPr="00226FDB">
              <w:rPr>
                <w:rFonts w:ascii="Times New Roman" w:eastAsia="MS Mincho" w:hAnsi="Times New Roman"/>
                <w:sz w:val="20"/>
                <w:szCs w:val="20"/>
              </w:rPr>
              <w:t>For dynamic resource pool sharing, select one option between 1-1 and 1-2, and select one option between 3-1 and 4-1-a, and define how the two selected options can be used in the operation:</w:t>
            </w:r>
          </w:p>
          <w:p w14:paraId="7B798CD8"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1-1: Avoiding PSFCH transmissions overlapping with LTE SL resources reserved for LTE SL transmissions in the time domain is performed by the UE transmitting </w:t>
            </w:r>
            <w:proofErr w:type="gramStart"/>
            <w:r w:rsidRPr="00226FDB">
              <w:rPr>
                <w:rFonts w:ascii="Times New Roman" w:hAnsi="Times New Roman"/>
                <w:sz w:val="20"/>
                <w:szCs w:val="20"/>
              </w:rPr>
              <w:t>PSFCH</w:t>
            </w:r>
            <w:proofErr w:type="gramEnd"/>
          </w:p>
          <w:p w14:paraId="011D2A1E"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 xml:space="preserve">FFS whether/how to define condition(s) under which the UE transmitting PSFCH drops its PSFCH transmission overlapping with the LTE SL resources reserved for LTE SL </w:t>
            </w:r>
            <w:proofErr w:type="gramStart"/>
            <w:r w:rsidRPr="00226FDB">
              <w:rPr>
                <w:rFonts w:ascii="Times New Roman" w:hAnsi="Times New Roman"/>
                <w:sz w:val="20"/>
                <w:szCs w:val="20"/>
              </w:rPr>
              <w:t>transmission</w:t>
            </w:r>
            <w:proofErr w:type="gramEnd"/>
          </w:p>
          <w:p w14:paraId="56E566E3"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1-2: Avoiding PSFCH transmissions overlapping with LTE SL resources reserved for LTE SL transmissions in the time domain is ensured by the UE transmitting </w:t>
            </w:r>
            <w:proofErr w:type="gramStart"/>
            <w:r w:rsidRPr="00226FDB">
              <w:rPr>
                <w:rFonts w:ascii="Times New Roman" w:hAnsi="Times New Roman"/>
                <w:sz w:val="20"/>
                <w:szCs w:val="20"/>
              </w:rPr>
              <w:t>PSSCH</w:t>
            </w:r>
            <w:proofErr w:type="gramEnd"/>
          </w:p>
          <w:p w14:paraId="39A8EFD4"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FFS whether/how to define condition(s) of selecting NR SL candidate resources for NR SL PSCCH/PSSCH</w:t>
            </w:r>
          </w:p>
          <w:p w14:paraId="21056365"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Option 3-1: Additional PSFCH periodicity(</w:t>
            </w:r>
            <w:proofErr w:type="spellStart"/>
            <w:r w:rsidRPr="00226FDB">
              <w:rPr>
                <w:rFonts w:ascii="Times New Roman" w:hAnsi="Times New Roman"/>
                <w:sz w:val="20"/>
                <w:szCs w:val="20"/>
              </w:rPr>
              <w:t>ies</w:t>
            </w:r>
            <w:proofErr w:type="spellEnd"/>
            <w:r w:rsidRPr="00226FDB">
              <w:rPr>
                <w:rFonts w:ascii="Times New Roman" w:hAnsi="Times New Roman"/>
                <w:sz w:val="20"/>
                <w:szCs w:val="20"/>
              </w:rPr>
              <w:t xml:space="preserve">) is </w:t>
            </w:r>
            <w:proofErr w:type="gramStart"/>
            <w:r w:rsidRPr="00226FDB">
              <w:rPr>
                <w:rFonts w:ascii="Times New Roman" w:hAnsi="Times New Roman"/>
                <w:sz w:val="20"/>
                <w:szCs w:val="20"/>
              </w:rPr>
              <w:t>introduced</w:t>
            </w:r>
            <w:proofErr w:type="gramEnd"/>
          </w:p>
          <w:p w14:paraId="66C2E930"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Alt 3-1-a: 10 logical slots</w:t>
            </w:r>
          </w:p>
          <w:p w14:paraId="5E78CBEC"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Alt 3-1-b: 8 logical slots</w:t>
            </w:r>
          </w:p>
          <w:p w14:paraId="5B3415BE"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Alt 3-1-c: 5 logical slots</w:t>
            </w:r>
          </w:p>
          <w:p w14:paraId="78330146"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FFS: Alignment between PSFCH periodicity and LTE logical subframes should be ensured by proper configuration</w:t>
            </w:r>
          </w:p>
          <w:p w14:paraId="57C4BFCE"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4-1: PSFCH resources and LTE SL resources are </w:t>
            </w:r>
            <w:proofErr w:type="spellStart"/>
            <w:proofErr w:type="gramStart"/>
            <w:r w:rsidRPr="00226FDB">
              <w:rPr>
                <w:rFonts w:ascii="Times New Roman" w:hAnsi="Times New Roman"/>
                <w:sz w:val="20"/>
                <w:szCs w:val="20"/>
              </w:rPr>
              <w:t>TDMed</w:t>
            </w:r>
            <w:proofErr w:type="spellEnd"/>
            <w:proofErr w:type="gramEnd"/>
          </w:p>
          <w:p w14:paraId="31FF38E6"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 xml:space="preserve">Alt 4-1-a: PSFCH resources is confined within the guard symbol of the LTE SL subframe in the time </w:t>
            </w:r>
            <w:proofErr w:type="gramStart"/>
            <w:r w:rsidRPr="00226FDB">
              <w:rPr>
                <w:rFonts w:ascii="Times New Roman" w:hAnsi="Times New Roman"/>
                <w:sz w:val="20"/>
                <w:szCs w:val="20"/>
              </w:rPr>
              <w:t>domain</w:t>
            </w:r>
            <w:proofErr w:type="gramEnd"/>
          </w:p>
          <w:p w14:paraId="27369B16" w14:textId="77777777" w:rsidR="007E66A2" w:rsidRPr="00226FDB" w:rsidRDefault="007E66A2" w:rsidP="00AA1DFC">
            <w:pPr>
              <w:spacing w:before="0" w:after="60" w:line="240" w:lineRule="auto"/>
            </w:pPr>
            <w:r w:rsidRPr="00226FDB">
              <w:t>Note: selecting a single option is not precluded</w:t>
            </w:r>
          </w:p>
          <w:p w14:paraId="0FA11D10" w14:textId="77777777" w:rsidR="007E66A2" w:rsidRPr="00226FDB" w:rsidRDefault="007E66A2" w:rsidP="00AA1DFC">
            <w:pPr>
              <w:spacing w:before="0" w:after="0" w:line="240" w:lineRule="auto"/>
              <w:rPr>
                <w:b/>
                <w:iCs/>
              </w:rPr>
            </w:pPr>
            <w:r w:rsidRPr="00226FDB">
              <w:rPr>
                <w:b/>
                <w:iCs/>
              </w:rPr>
              <w:t>Agreement</w:t>
            </w:r>
          </w:p>
          <w:p w14:paraId="32E49BFF" w14:textId="77777777" w:rsidR="007E66A2" w:rsidRPr="00226FDB" w:rsidRDefault="007E66A2" w:rsidP="00AA1DFC">
            <w:pPr>
              <w:pStyle w:val="ListParagraph"/>
              <w:spacing w:before="0" w:line="240" w:lineRule="auto"/>
              <w:ind w:left="0"/>
              <w:rPr>
                <w:rFonts w:ascii="Times New Roman" w:eastAsia="MS Mincho" w:hAnsi="Times New Roman"/>
                <w:sz w:val="20"/>
                <w:szCs w:val="20"/>
              </w:rPr>
            </w:pPr>
            <w:r w:rsidRPr="00226FDB">
              <w:rPr>
                <w:rFonts w:ascii="Times New Roman" w:eastAsia="MS Mincho" w:hAnsi="Times New Roman"/>
                <w:sz w:val="20"/>
                <w:szCs w:val="20"/>
              </w:rPr>
              <w:t xml:space="preserve">In NR SL resource (re)selection procedure, </w:t>
            </w:r>
            <w:proofErr w:type="gramStart"/>
            <w:r w:rsidRPr="00226FDB">
              <w:rPr>
                <w:rFonts w:ascii="Times New Roman" w:eastAsia="MS Mincho" w:hAnsi="Times New Roman"/>
                <w:sz w:val="20"/>
                <w:szCs w:val="20"/>
              </w:rPr>
              <w:t>down-select</w:t>
            </w:r>
            <w:proofErr w:type="gramEnd"/>
            <w:r w:rsidRPr="00226FDB">
              <w:rPr>
                <w:rFonts w:ascii="Times New Roman" w:eastAsia="MS Mincho" w:hAnsi="Times New Roman"/>
                <w:sz w:val="20"/>
                <w:szCs w:val="20"/>
              </w:rPr>
              <w:t xml:space="preserve"> one of followings for how to determine candidate resource set for NR SL considering the LTE SL resources selected to be used for LTE SL module’s own LTE SL transmission</w:t>
            </w:r>
          </w:p>
          <w:p w14:paraId="07414D6C"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1: The PHY layer of NR SL module excludes NR SL candidate resources in a NR SL slot overlapping with LTE SL resources selected to be used for LTE SL module’s own LTE SL </w:t>
            </w:r>
            <w:proofErr w:type="gramStart"/>
            <w:r w:rsidRPr="00226FDB">
              <w:rPr>
                <w:rFonts w:ascii="Times New Roman" w:hAnsi="Times New Roman"/>
                <w:sz w:val="20"/>
                <w:szCs w:val="20"/>
              </w:rPr>
              <w:t>transmission</w:t>
            </w:r>
            <w:proofErr w:type="gramEnd"/>
            <w:r w:rsidRPr="00226FDB">
              <w:rPr>
                <w:rFonts w:ascii="Times New Roman" w:hAnsi="Times New Roman"/>
                <w:sz w:val="20"/>
                <w:szCs w:val="20"/>
              </w:rPr>
              <w:t xml:space="preserve"> </w:t>
            </w:r>
          </w:p>
          <w:p w14:paraId="6F43DC28"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 xml:space="preserve">For the LTE SL periodic resources selected to be used for LTE SL module’s own LTE SL transmission, </w:t>
            </w:r>
          </w:p>
          <w:p w14:paraId="1961E604"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 xml:space="preserve">For determining the above LTE SL selected resources, the time-and-frequency resources of LTE SL resources selected to be used for LTE SL module’s own LTE SL transmission are repeated according to the LTE SL resource reservation period and LTE SL resource reselection </w:t>
            </w:r>
            <w:proofErr w:type="gramStart"/>
            <w:r w:rsidRPr="00226FDB">
              <w:rPr>
                <w:rFonts w:ascii="Times New Roman" w:hAnsi="Times New Roman"/>
                <w:sz w:val="20"/>
                <w:szCs w:val="20"/>
              </w:rPr>
              <w:t>count</w:t>
            </w:r>
            <w:proofErr w:type="gramEnd"/>
          </w:p>
          <w:p w14:paraId="5BC1E81D"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The PHY layer of NR module applies the above procedure in Step 5 in Section 8.1.4 of TS 38.214</w:t>
            </w:r>
          </w:p>
          <w:p w14:paraId="38F2975F"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DA5F47F" w14:textId="77777777" w:rsidR="007E66A2" w:rsidRPr="00226FDB" w:rsidRDefault="007E66A2" w:rsidP="00AA1DFC">
            <w:pPr>
              <w:pStyle w:val="ListParagraph"/>
              <w:numPr>
                <w:ilvl w:val="2"/>
                <w:numId w:val="17"/>
              </w:numPr>
              <w:autoSpaceDE w:val="0"/>
              <w:autoSpaceDN w:val="0"/>
              <w:spacing w:before="0" w:line="240" w:lineRule="auto"/>
              <w:ind w:left="1443"/>
              <w:rPr>
                <w:rFonts w:ascii="Times New Roman" w:hAnsi="Times New Roman"/>
                <w:sz w:val="20"/>
                <w:szCs w:val="20"/>
              </w:rPr>
            </w:pPr>
            <w:r w:rsidRPr="00226FDB">
              <w:rPr>
                <w:rFonts w:ascii="Times New Roman" w:hAnsi="Times New Roman"/>
                <w:sz w:val="20"/>
                <w:szCs w:val="20"/>
              </w:rPr>
              <w:t>Note: When the PHY layer of NR module cancels the above procedure according to Step 5a in Section 8.1.4 of TS 38.214, UE selects either LTE SL transmission or NR SL transmission according to Rel-16 NR SL in-device coexistence rule</w:t>
            </w:r>
          </w:p>
          <w:p w14:paraId="72A195EF"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FFS: whether the above procedure is applied based on the priority of LTE SL transmission and the priority of NR SL transmission</w:t>
            </w:r>
          </w:p>
          <w:p w14:paraId="3C01DDF2" w14:textId="77777777" w:rsidR="007E66A2" w:rsidRPr="00226FDB" w:rsidRDefault="007E66A2" w:rsidP="00AA1DFC">
            <w:pPr>
              <w:pStyle w:val="ListParagraph"/>
              <w:numPr>
                <w:ilvl w:val="1"/>
                <w:numId w:val="19"/>
              </w:numPr>
              <w:autoSpaceDE w:val="0"/>
              <w:autoSpaceDN w:val="0"/>
              <w:spacing w:before="0" w:line="240" w:lineRule="auto"/>
              <w:ind w:left="723"/>
              <w:rPr>
                <w:rFonts w:ascii="Times New Roman" w:hAnsi="Times New Roman"/>
                <w:sz w:val="20"/>
                <w:szCs w:val="20"/>
              </w:rPr>
            </w:pPr>
            <w:r w:rsidRPr="00226FDB">
              <w:rPr>
                <w:rFonts w:ascii="Times New Roman" w:hAnsi="Times New Roman"/>
                <w:sz w:val="20"/>
                <w:szCs w:val="20"/>
              </w:rPr>
              <w:t>Note: It is assumed that the information relevant to LTE SL resources selected to be used for LTE SL module’s own LTE SL transmission used in the above procedure is shared from LTE SL module to NR SL module</w:t>
            </w:r>
          </w:p>
          <w:p w14:paraId="2EAC6AF3" w14:textId="77777777" w:rsidR="007E66A2" w:rsidRPr="00226FDB" w:rsidRDefault="007E66A2" w:rsidP="00AA1DFC">
            <w:pPr>
              <w:pStyle w:val="ListParagraph"/>
              <w:numPr>
                <w:ilvl w:val="0"/>
                <w:numId w:val="19"/>
              </w:numPr>
              <w:autoSpaceDE w:val="0"/>
              <w:autoSpaceDN w:val="0"/>
              <w:spacing w:before="0" w:line="240" w:lineRule="auto"/>
              <w:ind w:left="360"/>
              <w:rPr>
                <w:rFonts w:ascii="Times New Roman" w:hAnsi="Times New Roman"/>
                <w:sz w:val="20"/>
                <w:szCs w:val="20"/>
              </w:rPr>
            </w:pPr>
            <w:r w:rsidRPr="00226FDB">
              <w:rPr>
                <w:rFonts w:ascii="Times New Roman" w:hAnsi="Times New Roman"/>
                <w:sz w:val="20"/>
                <w:szCs w:val="20"/>
              </w:rPr>
              <w:t xml:space="preserve">Option 2: The PHY layer of NR SL module determines NR SL candidate resources regardless of whether the NR SL candidate resources are in a NR SL slot overlapping with LTE SL resources selected to be used for LTE SL module’s own LTE SL </w:t>
            </w:r>
            <w:proofErr w:type="gramStart"/>
            <w:r w:rsidRPr="00226FDB">
              <w:rPr>
                <w:rFonts w:ascii="Times New Roman" w:hAnsi="Times New Roman"/>
                <w:sz w:val="20"/>
                <w:szCs w:val="20"/>
              </w:rPr>
              <w:t>transmission</w:t>
            </w:r>
            <w:proofErr w:type="gramEnd"/>
          </w:p>
          <w:p w14:paraId="5591E8C8" w14:textId="07A5FEEE" w:rsidR="007E66A2" w:rsidRPr="00226FDB" w:rsidRDefault="007E66A2" w:rsidP="00AA1DFC">
            <w:pPr>
              <w:pStyle w:val="ListParagraph"/>
              <w:numPr>
                <w:ilvl w:val="1"/>
                <w:numId w:val="19"/>
              </w:numPr>
              <w:autoSpaceDE w:val="0"/>
              <w:autoSpaceDN w:val="0"/>
              <w:spacing w:before="0" w:line="240" w:lineRule="auto"/>
              <w:ind w:left="720" w:hanging="357"/>
              <w:rPr>
                <w:sz w:val="20"/>
                <w:szCs w:val="20"/>
              </w:rPr>
            </w:pPr>
            <w:r w:rsidRPr="00226FDB">
              <w:rPr>
                <w:rFonts w:ascii="Times New Roman" w:hAnsi="Times New Roman"/>
                <w:sz w:val="20"/>
                <w:szCs w:val="20"/>
              </w:rPr>
              <w:t xml:space="preserve">UE selects either LTE SL transmission or NR SL transmission according to Rel-16 NR SL in-device coexistence </w:t>
            </w:r>
            <w:proofErr w:type="gramStart"/>
            <w:r w:rsidRPr="00226FDB">
              <w:rPr>
                <w:rFonts w:ascii="Times New Roman" w:hAnsi="Times New Roman"/>
                <w:sz w:val="20"/>
                <w:szCs w:val="20"/>
              </w:rPr>
              <w:t>rule</w:t>
            </w:r>
            <w:proofErr w:type="gramEnd"/>
          </w:p>
          <w:p w14:paraId="45530899" w14:textId="13B0B895" w:rsidR="002872AB" w:rsidRPr="00E57091" w:rsidRDefault="002872AB" w:rsidP="00AA1DFC">
            <w:pPr>
              <w:pStyle w:val="3GPPNormalText"/>
              <w:spacing w:before="0" w:after="0" w:line="240" w:lineRule="auto"/>
              <w:rPr>
                <w:rFonts w:eastAsia="Times New Roman"/>
                <w:color w:val="000000"/>
              </w:rPr>
            </w:pPr>
          </w:p>
        </w:tc>
      </w:tr>
    </w:tbl>
    <w:p w14:paraId="51B193DF" w14:textId="6F7CB44C" w:rsidR="002872AB" w:rsidRDefault="002872AB" w:rsidP="002401B6">
      <w:pPr>
        <w:pStyle w:val="3GPPNormalText"/>
        <w:spacing w:after="0"/>
      </w:pPr>
    </w:p>
    <w:p w14:paraId="375D1EA6" w14:textId="7B1679F0" w:rsidR="00210207" w:rsidRDefault="00627D4D" w:rsidP="00210207">
      <w:pPr>
        <w:pStyle w:val="3GPPNormalText"/>
      </w:pPr>
      <w:r w:rsidRPr="003D1BF0">
        <w:t xml:space="preserve">This document focuses on </w:t>
      </w:r>
      <w:r w:rsidR="00C25D5F" w:rsidRPr="003D1BF0">
        <w:t xml:space="preserve">changes required </w:t>
      </w:r>
      <w:r w:rsidR="0050654E" w:rsidRPr="003D1BF0">
        <w:t xml:space="preserve">to </w:t>
      </w:r>
      <w:r w:rsidR="00CC576C" w:rsidRPr="003D1BF0">
        <w:t>enabl</w:t>
      </w:r>
      <w:r w:rsidR="0050654E" w:rsidRPr="003D1BF0">
        <w:t>e</w:t>
      </w:r>
      <w:r w:rsidR="00CC576C" w:rsidRPr="003D1BF0">
        <w:t xml:space="preserve"> the co-channel coexistence between LTE and NR sidelink</w:t>
      </w:r>
      <w:r w:rsidR="0050654E" w:rsidRPr="003D1BF0">
        <w:t>, including aspects regarding the resource pool configurations to be used.</w:t>
      </w:r>
      <w:r w:rsidR="00210207">
        <w:t xml:space="preserve"> It </w:t>
      </w:r>
      <w:proofErr w:type="gramStart"/>
      <w:r w:rsidR="00210207">
        <w:t>has to</w:t>
      </w:r>
      <w:proofErr w:type="gramEnd"/>
      <w:r w:rsidR="00210207">
        <w:t xml:space="preserve"> be borne in mind that the LTE </w:t>
      </w:r>
      <w:r w:rsidR="00374483">
        <w:t>V2X</w:t>
      </w:r>
      <w:r w:rsidR="00210207">
        <w:t xml:space="preserve"> resource pool and the NR SL resource pool have inherently very different designs. The resource pool structure </w:t>
      </w:r>
      <w:r w:rsidR="00210207">
        <w:lastRenderedPageBreak/>
        <w:t xml:space="preserve">in LTE V2X defined the control channel over sub-channels in the frequency domain, and the data was transmitted in similar sub-channels. </w:t>
      </w:r>
      <w:r w:rsidR="00021EC5">
        <w:t xml:space="preserve">LTE </w:t>
      </w:r>
      <w:r w:rsidR="00210207">
        <w:t xml:space="preserve">also did not support feedback and the PSFCH feedback channel. This </w:t>
      </w:r>
      <w:r w:rsidR="004278C5">
        <w:t>contrasts with</w:t>
      </w:r>
      <w:r w:rsidR="00210207">
        <w:t xml:space="preserve"> NR V2X where each time slot within a sub-channel included the PSCCH, PSSCH and PSFCH</w:t>
      </w:r>
      <w:r w:rsidR="00587725">
        <w:t>, for slots with feedback enabled</w:t>
      </w:r>
      <w:r w:rsidR="004278C5">
        <w:t xml:space="preserve"> as depicted in</w:t>
      </w:r>
      <w:r w:rsidR="00210207">
        <w:t xml:space="preserve"> Figure</w:t>
      </w:r>
      <w:r w:rsidR="00587725">
        <w:t> </w:t>
      </w:r>
      <w:r w:rsidR="00210207">
        <w:t>1.</w:t>
      </w:r>
    </w:p>
    <w:p w14:paraId="1527D0F2" w14:textId="3278CDEC" w:rsidR="00210207" w:rsidRDefault="00B05332" w:rsidP="00210207">
      <w:pPr>
        <w:pStyle w:val="3GPPNormalText"/>
        <w:keepNext/>
        <w:jc w:val="center"/>
      </w:pPr>
      <w:r w:rsidRPr="00B05332">
        <w:rPr>
          <w:noProof/>
        </w:rPr>
        <w:t xml:space="preserve"> </w:t>
      </w:r>
      <w:r w:rsidRPr="00B05332">
        <w:rPr>
          <w:noProof/>
        </w:rPr>
        <w:drawing>
          <wp:inline distT="0" distB="0" distL="0" distR="0" wp14:anchorId="376839AA" wp14:editId="5C3843D3">
            <wp:extent cx="6332220" cy="1400810"/>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400810"/>
                    </a:xfrm>
                    <a:prstGeom prst="rect">
                      <a:avLst/>
                    </a:prstGeom>
                  </pic:spPr>
                </pic:pic>
              </a:graphicData>
            </a:graphic>
          </wp:inline>
        </w:drawing>
      </w:r>
    </w:p>
    <w:p w14:paraId="3387927B" w14:textId="0B6D7171" w:rsidR="00210207" w:rsidRPr="00391CA9" w:rsidRDefault="00210207" w:rsidP="00210207">
      <w:pPr>
        <w:pStyle w:val="Caption"/>
        <w:jc w:val="center"/>
        <w:rPr>
          <w:i/>
        </w:rPr>
      </w:pPr>
      <w:r w:rsidRPr="00391CA9">
        <w:rPr>
          <w:i/>
        </w:rPr>
        <w:t xml:space="preserve">Figure </w:t>
      </w:r>
      <w:r w:rsidRPr="00391CA9">
        <w:rPr>
          <w:i/>
        </w:rPr>
        <w:fldChar w:fldCharType="begin"/>
      </w:r>
      <w:r w:rsidRPr="00391CA9">
        <w:rPr>
          <w:i/>
        </w:rPr>
        <w:instrText xml:space="preserve"> SEQ Figure \* ARABIC </w:instrText>
      </w:r>
      <w:r w:rsidRPr="00391CA9">
        <w:rPr>
          <w:i/>
        </w:rPr>
        <w:fldChar w:fldCharType="separate"/>
      </w:r>
      <w:r w:rsidR="002D518A">
        <w:rPr>
          <w:i/>
          <w:noProof/>
        </w:rPr>
        <w:t>1</w:t>
      </w:r>
      <w:r w:rsidRPr="00391CA9">
        <w:rPr>
          <w:i/>
        </w:rPr>
        <w:fldChar w:fldCharType="end"/>
      </w:r>
      <w:r w:rsidRPr="00391CA9">
        <w:rPr>
          <w:i/>
        </w:rPr>
        <w:t xml:space="preserve">: </w:t>
      </w:r>
      <w:r>
        <w:rPr>
          <w:b w:val="0"/>
          <w:i/>
        </w:rPr>
        <w:t>Comparison of</w:t>
      </w:r>
      <w:r w:rsidRPr="00391CA9">
        <w:rPr>
          <w:b w:val="0"/>
          <w:i/>
        </w:rPr>
        <w:t xml:space="preserve"> resource pool structures between NR</w:t>
      </w:r>
      <w:r w:rsidR="004278C5">
        <w:rPr>
          <w:b w:val="0"/>
          <w:i/>
        </w:rPr>
        <w:t xml:space="preserve"> sidelink</w:t>
      </w:r>
      <w:r w:rsidR="00B05332">
        <w:rPr>
          <w:b w:val="0"/>
          <w:i/>
        </w:rPr>
        <w:t xml:space="preserve"> (left)</w:t>
      </w:r>
      <w:r w:rsidRPr="00391CA9">
        <w:rPr>
          <w:b w:val="0"/>
          <w:i/>
        </w:rPr>
        <w:t xml:space="preserve"> and LTE V2X</w:t>
      </w:r>
      <w:r w:rsidR="00B05332">
        <w:rPr>
          <w:b w:val="0"/>
          <w:i/>
        </w:rPr>
        <w:t xml:space="preserve"> (right)</w:t>
      </w:r>
    </w:p>
    <w:p w14:paraId="5EBAD762" w14:textId="4AC62BEF" w:rsidR="002872AB" w:rsidRDefault="00210207" w:rsidP="002E57D6">
      <w:pPr>
        <w:pStyle w:val="3GPPNormalText"/>
      </w:pPr>
      <w:r>
        <w:t>The different configurations that were discussed in the previous meeting were TDM and FDM based resource pool partitioning and dynamic resource pool sharing</w:t>
      </w:r>
      <w:r w:rsidR="00D61B3C">
        <w:t>. In this contribution, we focus on the dynamic resource pool sharing aspects</w:t>
      </w:r>
      <w:r>
        <w:t>, which are explored in further detail in the following sections.</w:t>
      </w:r>
    </w:p>
    <w:p w14:paraId="0EB99B5F" w14:textId="4D61C7D7" w:rsidR="002872AB" w:rsidRDefault="002872AB" w:rsidP="00D61B3C">
      <w:pPr>
        <w:pStyle w:val="Heading1"/>
      </w:pPr>
      <w:r>
        <w:t>Dynamic Resource Pool Sharing</w:t>
      </w:r>
    </w:p>
    <w:p w14:paraId="29F81BF0" w14:textId="4E56E5C8" w:rsidR="00DD0F47" w:rsidRDefault="003E36BF" w:rsidP="00DD0F47">
      <w:pPr>
        <w:pStyle w:val="3GPPNormalText"/>
      </w:pPr>
      <w:r>
        <w:t>Dynamic resource pool sharing is where both the LTE V2X and NR SL resource pools are configured on overlapping resources in time and frequency. In essence, both LTE V2X and NR SL UEs would be sharing the same resources within configured resource pools</w:t>
      </w:r>
      <w:r w:rsidR="00DD0F47">
        <w:t xml:space="preserve">, as seen in Figure </w:t>
      </w:r>
      <w:r w:rsidR="006A3DAA">
        <w:t>2</w:t>
      </w:r>
      <w:r>
        <w:t xml:space="preserve">. </w:t>
      </w:r>
    </w:p>
    <w:p w14:paraId="04271A92" w14:textId="77777777" w:rsidR="002D518A" w:rsidRDefault="006A345A" w:rsidP="002D518A">
      <w:pPr>
        <w:pStyle w:val="3GPPNormalText"/>
        <w:keepNext/>
      </w:pPr>
      <w:r w:rsidRPr="006A345A">
        <w:rPr>
          <w:noProof/>
        </w:rPr>
        <w:drawing>
          <wp:inline distT="0" distB="0" distL="0" distR="0" wp14:anchorId="3A574271" wp14:editId="11854768">
            <wp:extent cx="6332220" cy="143066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430667"/>
                    </a:xfrm>
                    <a:prstGeom prst="rect">
                      <a:avLst/>
                    </a:prstGeom>
                    <a:noFill/>
                    <a:ln>
                      <a:noFill/>
                    </a:ln>
                  </pic:spPr>
                </pic:pic>
              </a:graphicData>
            </a:graphic>
          </wp:inline>
        </w:drawing>
      </w:r>
    </w:p>
    <w:p w14:paraId="1A55C06C" w14:textId="51803797" w:rsidR="006A345A" w:rsidRPr="002D518A" w:rsidRDefault="002D518A" w:rsidP="002D518A">
      <w:pPr>
        <w:pStyle w:val="Caption"/>
        <w:jc w:val="center"/>
        <w:rPr>
          <w:i/>
        </w:rPr>
      </w:pPr>
      <w:r w:rsidRPr="002D518A">
        <w:rPr>
          <w:i/>
        </w:rPr>
        <w:t xml:space="preserve">Figure </w:t>
      </w:r>
      <w:r w:rsidRPr="002D518A">
        <w:rPr>
          <w:i/>
        </w:rPr>
        <w:fldChar w:fldCharType="begin"/>
      </w:r>
      <w:r w:rsidRPr="002D518A">
        <w:rPr>
          <w:i/>
        </w:rPr>
        <w:instrText xml:space="preserve"> SEQ Figure \* ARABIC </w:instrText>
      </w:r>
      <w:r w:rsidRPr="002D518A">
        <w:rPr>
          <w:i/>
        </w:rPr>
        <w:fldChar w:fldCharType="separate"/>
      </w:r>
      <w:r w:rsidR="006A3DAA">
        <w:rPr>
          <w:i/>
          <w:noProof/>
        </w:rPr>
        <w:t>2</w:t>
      </w:r>
      <w:r w:rsidRPr="002D518A">
        <w:rPr>
          <w:i/>
        </w:rPr>
        <w:fldChar w:fldCharType="end"/>
      </w:r>
      <w:r w:rsidRPr="002D518A">
        <w:rPr>
          <w:i/>
        </w:rPr>
        <w:t xml:space="preserve">: </w:t>
      </w:r>
      <w:r w:rsidRPr="002D518A">
        <w:rPr>
          <w:b w:val="0"/>
          <w:i/>
        </w:rPr>
        <w:t>Dynamic resource pool sharing</w:t>
      </w:r>
    </w:p>
    <w:p w14:paraId="762B7625" w14:textId="403F500B" w:rsidR="007C19BA" w:rsidRDefault="002D518A" w:rsidP="003C6C1A">
      <w:pPr>
        <w:pStyle w:val="3GPPNormalText"/>
      </w:pPr>
      <w:r w:rsidRPr="003D1BF0">
        <w:t xml:space="preserve">However, the AGC issues present in the FDM-based resource pool partitioning solution also exists in dynamic resource pools. </w:t>
      </w:r>
      <w:r w:rsidR="00F82732" w:rsidRPr="003D1BF0">
        <w:t>It was agreed in</w:t>
      </w:r>
      <w:r w:rsidR="00EA27EA">
        <w:t xml:space="preserve"> </w:t>
      </w:r>
      <w:r w:rsidR="007C19BA">
        <w:t>RAN#99 to support both 15 and 30 kHz for dynamic resource pool sharing</w:t>
      </w:r>
      <w:r w:rsidR="005156D6">
        <w:t xml:space="preserve"> for UEs operating in Mode 2</w:t>
      </w:r>
      <w:r w:rsidR="007C19BA">
        <w:t xml:space="preserve">. </w:t>
      </w:r>
    </w:p>
    <w:p w14:paraId="35A1E295" w14:textId="1EA46795" w:rsidR="00BC583D" w:rsidRPr="003D1BF0" w:rsidRDefault="00BC583D" w:rsidP="00EC46B4">
      <w:pPr>
        <w:pStyle w:val="Heading2"/>
        <w:tabs>
          <w:tab w:val="clear" w:pos="718"/>
        </w:tabs>
        <w:ind w:left="567"/>
      </w:pPr>
      <w:r w:rsidRPr="003D1BF0">
        <w:t>AGC Issue due to PSFCH Transmissions</w:t>
      </w:r>
    </w:p>
    <w:p w14:paraId="7AE7C370" w14:textId="76504D55" w:rsidR="00C8428C" w:rsidRDefault="00F82732" w:rsidP="003C6C1A">
      <w:pPr>
        <w:pStyle w:val="3GPPNormalText"/>
      </w:pPr>
      <w:r w:rsidRPr="003D1BF0">
        <w:t xml:space="preserve">Regarding the AGC issue caused when the NR SL resource pool is configured with PSFCH symbols that overlap with LTE V2X subframes, two alternatives were discussed and agreed </w:t>
      </w:r>
      <w:r w:rsidR="00711509" w:rsidRPr="003D1BF0">
        <w:t>to be studied</w:t>
      </w:r>
      <w:r w:rsidRPr="003D1BF0">
        <w:t xml:space="preserve"> in</w:t>
      </w:r>
      <w:r w:rsidR="00EA27EA" w:rsidRPr="00EA27EA">
        <w:t xml:space="preserve"> </w:t>
      </w:r>
      <w:r w:rsidR="00EA27EA">
        <w:t>RAN1#110</w:t>
      </w:r>
      <w:r w:rsidR="00CA5B6A">
        <w:t>, respectively in RAN1#112</w:t>
      </w:r>
      <w:r w:rsidRPr="003D1BF0">
        <w:t xml:space="preserve">. </w:t>
      </w:r>
      <w:r w:rsidRPr="00CA5B6A">
        <w:t xml:space="preserve">While </w:t>
      </w:r>
      <w:r w:rsidR="001F5CCE" w:rsidRPr="00CA5B6A">
        <w:t>Option 1</w:t>
      </w:r>
      <w:r w:rsidR="000A1FE4" w:rsidRPr="00CA5B6A">
        <w:t>-1</w:t>
      </w:r>
      <w:r w:rsidR="00CA5B6A" w:rsidRPr="00CA5B6A">
        <w:t xml:space="preserve"> and</w:t>
      </w:r>
      <w:r w:rsidR="00CA5B6A">
        <w:t xml:space="preserve"> </w:t>
      </w:r>
      <w:r w:rsidR="000A1FE4">
        <w:t>1-2</w:t>
      </w:r>
      <w:r w:rsidRPr="003D1BF0">
        <w:t xml:space="preserve"> talk about avoiding PSFCH transmissions in time slots overlapping with the LTE V2X transmissions,</w:t>
      </w:r>
      <w:r w:rsidR="00C8428C">
        <w:t xml:space="preserve"> </w:t>
      </w:r>
      <w:r w:rsidR="00CA5B6A">
        <w:t xml:space="preserve">in </w:t>
      </w:r>
      <w:r w:rsidR="001F5CCE">
        <w:t>Option 3-1</w:t>
      </w:r>
      <w:r w:rsidR="00C8428C">
        <w:t xml:space="preserve">, transmission on PSFCH resources </w:t>
      </w:r>
      <w:proofErr w:type="gramStart"/>
      <w:r w:rsidR="00C8428C">
        <w:t>are</w:t>
      </w:r>
      <w:proofErr w:type="gramEnd"/>
      <w:r w:rsidR="00C8428C">
        <w:t xml:space="preserve"> not avoided but LTE SL UEs avoid transmission on these resources based on their RSSI measurements and ranking of these resources accordingly.</w:t>
      </w:r>
      <w:r w:rsidR="000A1FE4">
        <w:t xml:space="preserve"> </w:t>
      </w:r>
      <w:r w:rsidR="00C8428C">
        <w:t xml:space="preserve">In our view, both alternatives could be supported, since for </w:t>
      </w:r>
      <w:r w:rsidR="00FE258A">
        <w:t>Option 3-1</w:t>
      </w:r>
      <w:r w:rsidR="00C8428C">
        <w:t>, the introduction of additional PSFCH periodicities could ensure alignment between PSFCH and LTE logical subframes</w:t>
      </w:r>
      <w:r w:rsidR="00FE258A">
        <w:t xml:space="preserve"> for both 15 and 30 kHz SCS</w:t>
      </w:r>
      <w:r w:rsidR="00C8428C">
        <w:t xml:space="preserve">. The alternative </w:t>
      </w:r>
      <w:r w:rsidR="00042E94">
        <w:t xml:space="preserve">of no agreement on this topic would be that PSFCH is not supported for dynamic resource pool sharing when NR and LTE coexist. Loosing this option would constrain NR to not use one of its most prominent features, namely the </w:t>
      </w:r>
      <w:r w:rsidR="003167C6">
        <w:t xml:space="preserve">sidelink </w:t>
      </w:r>
      <w:r w:rsidR="00042E94">
        <w:t>feedback channel.</w:t>
      </w:r>
    </w:p>
    <w:p w14:paraId="46A11A05" w14:textId="663A96ED" w:rsidR="00DD0F47" w:rsidRPr="003D1BF0" w:rsidRDefault="005C20C4" w:rsidP="003C6C1A">
      <w:pPr>
        <w:pStyle w:val="3GPPNormalText"/>
      </w:pPr>
      <w:r w:rsidRPr="003D1BF0">
        <w:t xml:space="preserve">Hence, </w:t>
      </w:r>
      <w:r w:rsidR="00EA27EA">
        <w:t xml:space="preserve">we are supportive to have both </w:t>
      </w:r>
      <w:r w:rsidR="00FE258A">
        <w:t>Option 1-1</w:t>
      </w:r>
      <w:r w:rsidR="00EA27EA">
        <w:t xml:space="preserve"> and </w:t>
      </w:r>
      <w:r w:rsidR="00FE258A">
        <w:t>Option 3-1</w:t>
      </w:r>
      <w:r w:rsidR="00EA27EA">
        <w:t xml:space="preserve"> configurable per resource pool</w:t>
      </w:r>
      <w:r w:rsidR="00042E94">
        <w:t xml:space="preserve"> with additional PSFCH periodicities as discussed in the last </w:t>
      </w:r>
      <w:r w:rsidR="00CA5B6A">
        <w:t xml:space="preserve">RAN1 </w:t>
      </w:r>
      <w:r w:rsidR="00042E94">
        <w:t>meeting.</w:t>
      </w:r>
    </w:p>
    <w:p w14:paraId="7936CB99" w14:textId="70BCED8B" w:rsidR="00BF4D4E" w:rsidRDefault="005C20C4" w:rsidP="00EC46B4">
      <w:pPr>
        <w:pStyle w:val="3GPPNormalText"/>
        <w:spacing w:after="0"/>
        <w:rPr>
          <w:b/>
        </w:rPr>
      </w:pPr>
      <w:r w:rsidRPr="003D1BF0">
        <w:rPr>
          <w:b/>
        </w:rPr>
        <w:t xml:space="preserve">Proposal </w:t>
      </w:r>
      <w:r w:rsidR="00BF4D4E">
        <w:rPr>
          <w:b/>
        </w:rPr>
        <w:t>1</w:t>
      </w:r>
      <w:r w:rsidRPr="003D1BF0">
        <w:rPr>
          <w:b/>
        </w:rPr>
        <w:t>: For dynamic resource pool sharing, we propose to use a periodically repeating set of PSFCH slots (</w:t>
      </w:r>
      <w:r w:rsidR="00FE258A">
        <w:rPr>
          <w:b/>
        </w:rPr>
        <w:t>Option 3-1</w:t>
      </w:r>
      <w:r w:rsidRPr="003D1BF0">
        <w:rPr>
          <w:b/>
        </w:rPr>
        <w:t>) to avoid overlaps with LTE V2X transmissions.</w:t>
      </w:r>
    </w:p>
    <w:p w14:paraId="532F36FB" w14:textId="4EA318EA" w:rsidR="00EC46B4" w:rsidRDefault="00BF4D4E" w:rsidP="00EC46B4">
      <w:pPr>
        <w:pStyle w:val="3GPPNormalText"/>
        <w:numPr>
          <w:ilvl w:val="0"/>
          <w:numId w:val="18"/>
        </w:numPr>
        <w:spacing w:after="0"/>
        <w:ind w:left="426" w:hanging="426"/>
        <w:rPr>
          <w:b/>
        </w:rPr>
      </w:pPr>
      <w:r>
        <w:rPr>
          <w:b/>
        </w:rPr>
        <w:t xml:space="preserve">We are supportive of having both </w:t>
      </w:r>
      <w:r w:rsidR="00FE258A">
        <w:rPr>
          <w:b/>
        </w:rPr>
        <w:t>Option 1-1</w:t>
      </w:r>
      <w:r>
        <w:rPr>
          <w:b/>
        </w:rPr>
        <w:t xml:space="preserve"> and</w:t>
      </w:r>
      <w:r w:rsidR="00FE258A">
        <w:rPr>
          <w:b/>
        </w:rPr>
        <w:t xml:space="preserve"> 3-1</w:t>
      </w:r>
      <w:r>
        <w:rPr>
          <w:b/>
        </w:rPr>
        <w:t xml:space="preserve"> configurable per resource pool.</w:t>
      </w:r>
    </w:p>
    <w:p w14:paraId="4A6988CF" w14:textId="3C180A68" w:rsidR="00042E94" w:rsidRDefault="00042E94" w:rsidP="00EC46B4">
      <w:pPr>
        <w:pStyle w:val="3GPPNormalText"/>
        <w:numPr>
          <w:ilvl w:val="0"/>
          <w:numId w:val="18"/>
        </w:numPr>
        <w:spacing w:after="0"/>
        <w:ind w:left="426" w:hanging="426"/>
        <w:rPr>
          <w:b/>
        </w:rPr>
      </w:pPr>
      <w:r>
        <w:rPr>
          <w:b/>
        </w:rPr>
        <w:t xml:space="preserve">We are supportive of introducing </w:t>
      </w:r>
      <w:r w:rsidR="00F075A1">
        <w:rPr>
          <w:b/>
        </w:rPr>
        <w:t>additional</w:t>
      </w:r>
      <w:r>
        <w:rPr>
          <w:b/>
        </w:rPr>
        <w:t xml:space="preserve"> PSFCH periodicities of 5, 8 and 10.</w:t>
      </w:r>
    </w:p>
    <w:p w14:paraId="01C8AAC7" w14:textId="11333A53" w:rsidR="00BC583D" w:rsidRPr="003D1BF0" w:rsidRDefault="00BC583D" w:rsidP="00EC46B4">
      <w:pPr>
        <w:pStyle w:val="Heading2"/>
        <w:tabs>
          <w:tab w:val="clear" w:pos="718"/>
        </w:tabs>
        <w:ind w:left="567"/>
      </w:pPr>
      <w:r w:rsidRPr="003D1BF0">
        <w:t>Obtaining LTE V2X Resource Scheduling Information</w:t>
      </w:r>
    </w:p>
    <w:p w14:paraId="3BAC3128" w14:textId="272B4F9A" w:rsidR="00BC583D" w:rsidRPr="003D1BF0" w:rsidRDefault="003E36BF" w:rsidP="003C6C1A">
      <w:pPr>
        <w:pStyle w:val="3GPPNormalText"/>
      </w:pPr>
      <w:r w:rsidRPr="003D1BF0">
        <w:t>Since no changes can be done to the LTE V2X specifications, as agreed in [</w:t>
      </w:r>
      <w:r w:rsidR="001A1990">
        <w:t>4</w:t>
      </w:r>
      <w:r w:rsidRPr="003D1BF0">
        <w:t xml:space="preserve">], </w:t>
      </w:r>
      <w:r w:rsidR="00BA6979" w:rsidRPr="003D1BF0">
        <w:t xml:space="preserve">for NR SL UEs to operate in a shared resource pool, it needs to be aware of the LTE V2X resource pool configurations, and the resources that are being used by other LTE V2X UEs. </w:t>
      </w:r>
      <w:r w:rsidR="00BC583D" w:rsidRPr="003D1BF0">
        <w:t xml:space="preserve">This can be obtained by the NR SL UEs </w:t>
      </w:r>
      <w:r w:rsidR="00711509" w:rsidRPr="003D1BF0">
        <w:t>using</w:t>
      </w:r>
      <w:r w:rsidR="00BC583D" w:rsidRPr="003D1BF0">
        <w:t xml:space="preserve"> one of the following possibilities:</w:t>
      </w:r>
    </w:p>
    <w:p w14:paraId="7DA67754" w14:textId="7A654C8B" w:rsidR="00BC583D" w:rsidRPr="003D1BF0" w:rsidRDefault="00BC583D" w:rsidP="00D7482E">
      <w:pPr>
        <w:pStyle w:val="3GPPNormalText"/>
        <w:numPr>
          <w:ilvl w:val="0"/>
          <w:numId w:val="15"/>
        </w:numPr>
        <w:ind w:left="360"/>
      </w:pPr>
      <w:r w:rsidRPr="003D1BF0">
        <w:t xml:space="preserve">In the case of </w:t>
      </w:r>
      <w:proofErr w:type="gramStart"/>
      <w:r w:rsidRPr="003D1BF0">
        <w:t>Type</w:t>
      </w:r>
      <w:proofErr w:type="gramEnd"/>
      <w:r w:rsidRPr="003D1BF0">
        <w:t xml:space="preserve"> A devices, the NR SL module can obtain information from the LTE V2X module</w:t>
      </w:r>
      <w:r w:rsidR="00711509" w:rsidRPr="003D1BF0">
        <w:t>, by providing details</w:t>
      </w:r>
      <w:r w:rsidRPr="003D1BF0">
        <w:t xml:space="preserve"> about the resources that are being occupied by LTE V2X transmissions. This is possible when the LTE V2X module forwards or sends this information to the NR SL module.</w:t>
      </w:r>
      <w:r w:rsidR="00D7482E" w:rsidRPr="003D1BF0">
        <w:t xml:space="preserve"> The Rel-16 in-device coexistence procedures can be reused for forwarding such information to the NR SL module.</w:t>
      </w:r>
    </w:p>
    <w:p w14:paraId="718DD6BA" w14:textId="030751E4" w:rsidR="00BC583D" w:rsidRPr="003D1BF0" w:rsidRDefault="00BC583D" w:rsidP="00BC583D">
      <w:pPr>
        <w:pStyle w:val="3GPPNormalText"/>
        <w:numPr>
          <w:ilvl w:val="0"/>
          <w:numId w:val="15"/>
        </w:numPr>
        <w:ind w:left="360"/>
      </w:pPr>
      <w:r w:rsidRPr="003D1BF0">
        <w:t>In the case where the NR SL module does not receive information from the LTE V2X module, it is possible for the NR SL module to perform basic LTE measurements while performing its sensing and resource selection process to identify resources that are being occupied by LTE V2X transmissions.</w:t>
      </w:r>
    </w:p>
    <w:p w14:paraId="4ADD41B6" w14:textId="4E2F53B1" w:rsidR="00BC583D" w:rsidRPr="003D1BF0" w:rsidRDefault="00BC583D" w:rsidP="00BC583D">
      <w:pPr>
        <w:pStyle w:val="3GPPNormalText"/>
        <w:numPr>
          <w:ilvl w:val="0"/>
          <w:numId w:val="15"/>
        </w:numPr>
        <w:ind w:left="360"/>
      </w:pPr>
      <w:r w:rsidRPr="003D1BF0">
        <w:t>Alternatively, the NR SL module can also obtain this information by receiving IUC messages from other UEs that have received LTE V2X sensing information, informing them of the non-preferred resources that are being used by LTE V2X transmissions.</w:t>
      </w:r>
    </w:p>
    <w:p w14:paraId="0B613018" w14:textId="5819B9AF" w:rsidR="00D7482E" w:rsidRPr="003D1BF0" w:rsidRDefault="00D7482E" w:rsidP="00D7482E">
      <w:pPr>
        <w:pStyle w:val="3GPPNormalText"/>
        <w:spacing w:after="0"/>
        <w:rPr>
          <w:b/>
        </w:rPr>
      </w:pPr>
      <w:r w:rsidRPr="003D1BF0">
        <w:rPr>
          <w:b/>
        </w:rPr>
        <w:t xml:space="preserve">Proposal </w:t>
      </w:r>
      <w:r w:rsidR="00BF4D4E">
        <w:rPr>
          <w:b/>
        </w:rPr>
        <w:t>2</w:t>
      </w:r>
      <w:r w:rsidRPr="003D1BF0">
        <w:rPr>
          <w:b/>
        </w:rPr>
        <w:t xml:space="preserve">: For dynamic resource pool sharing, the NR SL module can obtain LTE V2X resource allocation and scheduling </w:t>
      </w:r>
      <w:proofErr w:type="gramStart"/>
      <w:r w:rsidRPr="003D1BF0">
        <w:rPr>
          <w:b/>
        </w:rPr>
        <w:t>information</w:t>
      </w:r>
      <w:proofErr w:type="gramEnd"/>
      <w:r w:rsidRPr="003D1BF0">
        <w:rPr>
          <w:b/>
        </w:rPr>
        <w:t xml:space="preserve"> </w:t>
      </w:r>
    </w:p>
    <w:p w14:paraId="00A23F40" w14:textId="0F518665" w:rsidR="00D7482E" w:rsidRPr="003D1BF0" w:rsidRDefault="00D7482E" w:rsidP="00D7482E">
      <w:pPr>
        <w:pStyle w:val="3GPPNormalText"/>
        <w:numPr>
          <w:ilvl w:val="0"/>
          <w:numId w:val="16"/>
        </w:numPr>
        <w:spacing w:after="0"/>
        <w:ind w:left="360"/>
        <w:rPr>
          <w:b/>
        </w:rPr>
      </w:pPr>
      <w:r w:rsidRPr="003D1BF0">
        <w:rPr>
          <w:b/>
        </w:rPr>
        <w:t>From the co-located LTE V2X module,</w:t>
      </w:r>
    </w:p>
    <w:p w14:paraId="6734F825" w14:textId="08144097" w:rsidR="00D7482E" w:rsidRPr="003D1BF0" w:rsidRDefault="00D7482E" w:rsidP="00D7482E">
      <w:pPr>
        <w:pStyle w:val="3GPPNormalText"/>
        <w:numPr>
          <w:ilvl w:val="0"/>
          <w:numId w:val="16"/>
        </w:numPr>
        <w:spacing w:after="0"/>
        <w:ind w:left="360"/>
        <w:rPr>
          <w:b/>
        </w:rPr>
      </w:pPr>
      <w:r w:rsidRPr="003D1BF0">
        <w:rPr>
          <w:b/>
        </w:rPr>
        <w:t>By performing basic LTE measurements,</w:t>
      </w:r>
    </w:p>
    <w:p w14:paraId="37F5B5B9" w14:textId="2A964104" w:rsidR="00D7482E" w:rsidRPr="003D1BF0" w:rsidRDefault="00D7482E" w:rsidP="00D7482E">
      <w:pPr>
        <w:pStyle w:val="3GPPNormalText"/>
        <w:numPr>
          <w:ilvl w:val="0"/>
          <w:numId w:val="16"/>
        </w:numPr>
        <w:ind w:left="360"/>
        <w:rPr>
          <w:b/>
        </w:rPr>
      </w:pPr>
      <w:r w:rsidRPr="003D1BF0">
        <w:rPr>
          <w:b/>
        </w:rPr>
        <w:t>By receiving IUC messages from other UEs that are aware of LTE V2X sensing information.</w:t>
      </w:r>
    </w:p>
    <w:p w14:paraId="69592E17" w14:textId="55091EE5" w:rsidR="00BA6979" w:rsidRPr="003D1BF0" w:rsidRDefault="00BA6979" w:rsidP="00BA6979">
      <w:pPr>
        <w:pStyle w:val="3GPPNormalText"/>
      </w:pPr>
      <w:r w:rsidRPr="003D1BF0">
        <w:t>In the event the NR SL module is not aware of the resources being used by LTE V2X transmissions, it can choose multiple configuration-based solutions to avoid resource collisions. For example, for periodic transmissions, it can select smaller resource reselection counter values, thereby triggering resource reselection more often. This would avoid consecutive periodic resource collisions with LTE V2X transmissions. It can also be configured to use only certain periodicities that are orthogonal to those being used in LTE V2X transmissions, to avoid any potential collisions. Such solutions can be explored in more detail.</w:t>
      </w:r>
    </w:p>
    <w:p w14:paraId="51FB3EA7" w14:textId="6EA241D4" w:rsidR="00BA6979" w:rsidRDefault="00BA6979" w:rsidP="00D7482E">
      <w:pPr>
        <w:pStyle w:val="3GPPNormalText"/>
      </w:pPr>
      <w:r w:rsidRPr="003D1BF0">
        <w:rPr>
          <w:b/>
        </w:rPr>
        <w:t xml:space="preserve">Proposal </w:t>
      </w:r>
      <w:r w:rsidR="00BF4D4E">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440CA886" w14:textId="48B56C2D" w:rsidR="0088568D" w:rsidRPr="003D1BF0" w:rsidRDefault="0088568D" w:rsidP="00EC46B4">
      <w:pPr>
        <w:pStyle w:val="Heading2"/>
        <w:tabs>
          <w:tab w:val="clear" w:pos="718"/>
        </w:tabs>
        <w:ind w:left="567"/>
      </w:pPr>
      <w:r>
        <w:t>Content of</w:t>
      </w:r>
      <w:r w:rsidRPr="003D1BF0">
        <w:t xml:space="preserve"> LTE V2X Resource Scheduling Information</w:t>
      </w:r>
    </w:p>
    <w:p w14:paraId="7290A0B7" w14:textId="4399837D" w:rsidR="009D4DE4" w:rsidRPr="001C48CB" w:rsidRDefault="00BF4D4E" w:rsidP="001C48CB">
      <w:pPr>
        <w:pStyle w:val="3GPPNormalText"/>
      </w:pPr>
      <w:r w:rsidRPr="001C48CB">
        <w:t xml:space="preserve">For dynamic resource pool sharing, a list of candidate information which is shared by the LTE SL module to the NR SL module was discussed. </w:t>
      </w:r>
      <w:r w:rsidR="001C48CB">
        <w:t>Since it was decided against any LTE specification changes in [</w:t>
      </w:r>
      <w:r w:rsidR="001A1990">
        <w:t>4</w:t>
      </w:r>
      <w:r w:rsidR="001C48CB">
        <w:t>], t</w:t>
      </w:r>
      <w:r w:rsidRPr="001C48CB">
        <w:t xml:space="preserve">he information </w:t>
      </w:r>
      <w:r w:rsidR="00FF04E1">
        <w:t xml:space="preserve">provided by the LTE module can only be time and frequency locations of future transmissions, </w:t>
      </w:r>
      <w:r w:rsidRPr="001C48CB">
        <w:t>where it is the responsibility of the NR SL module to identify the resource</w:t>
      </w:r>
      <w:r w:rsidR="00E95D95" w:rsidRPr="001C48CB">
        <w:t>s</w:t>
      </w:r>
      <w:r w:rsidRPr="001C48CB">
        <w:t xml:space="preserve"> being occupied by LTE transmissions</w:t>
      </w:r>
      <w:r w:rsidR="00FF04E1">
        <w:t xml:space="preserve"> and from this, calculate the</w:t>
      </w:r>
      <w:r w:rsidR="009D4DE4" w:rsidRPr="001C48CB">
        <w:t xml:space="preserve"> candidate resource set.</w:t>
      </w:r>
    </w:p>
    <w:p w14:paraId="69029982" w14:textId="177B3268" w:rsidR="009A4078" w:rsidRDefault="00BC7C8E" w:rsidP="001C48CB">
      <w:pPr>
        <w:pStyle w:val="3GPPNormalText"/>
      </w:pPr>
      <w:r w:rsidRPr="001C48CB">
        <w:t xml:space="preserve">Even if this request-based candidate resource set is internally handled by the device, it brings up the question of how the NR SL module can receive this resource set in a timely manner to avoid that the information provided is not outdated when the NR SL module wants to apply this candidate resource set </w:t>
      </w:r>
      <w:r w:rsidR="00E95D95" w:rsidRPr="001C48CB">
        <w:t xml:space="preserve">for </w:t>
      </w:r>
      <w:r w:rsidRPr="001C48CB">
        <w:t xml:space="preserve">performing resource </w:t>
      </w:r>
      <w:r w:rsidR="00E95D95" w:rsidRPr="001C48CB">
        <w:t>(re-)</w:t>
      </w:r>
      <w:r w:rsidRPr="001C48CB">
        <w:t>selection.</w:t>
      </w:r>
    </w:p>
    <w:p w14:paraId="1063F20F" w14:textId="5F224852" w:rsidR="00BC7C8E" w:rsidRPr="0065571C" w:rsidRDefault="00BC7C8E" w:rsidP="00D7482E">
      <w:pPr>
        <w:pStyle w:val="3GPPNormalText"/>
        <w:rPr>
          <w:b/>
          <w:lang w:val="en-GB"/>
        </w:rPr>
      </w:pPr>
      <w:r w:rsidRPr="003D1BF0">
        <w:rPr>
          <w:b/>
        </w:rPr>
        <w:t xml:space="preserve">Proposal </w:t>
      </w:r>
      <w:r>
        <w:rPr>
          <w:b/>
        </w:rPr>
        <w:t>4</w:t>
      </w:r>
      <w:r w:rsidRPr="003D1BF0">
        <w:rPr>
          <w:b/>
        </w:rPr>
        <w:t>: For dynamic resource pool sharing</w:t>
      </w:r>
      <w:r w:rsidR="004411EA">
        <w:rPr>
          <w:b/>
        </w:rPr>
        <w:t>,</w:t>
      </w:r>
      <w:r w:rsidRPr="003D1BF0">
        <w:rPr>
          <w:b/>
        </w:rPr>
        <w:t xml:space="preserve"> </w:t>
      </w:r>
      <w:r>
        <w:rPr>
          <w:b/>
        </w:rPr>
        <w:t>we are supportive of the LTE module sharing</w:t>
      </w:r>
      <w:r w:rsidR="00337A61">
        <w:rPr>
          <w:b/>
        </w:rPr>
        <w:t xml:space="preserve"> time and frequency resource location</w:t>
      </w:r>
      <w:r>
        <w:rPr>
          <w:b/>
        </w:rPr>
        <w:t xml:space="preserve"> information</w:t>
      </w:r>
      <w:r w:rsidR="004411EA">
        <w:rPr>
          <w:b/>
        </w:rPr>
        <w:t xml:space="preserve"> </w:t>
      </w:r>
      <w:r w:rsidR="00337A61">
        <w:rPr>
          <w:b/>
        </w:rPr>
        <w:t xml:space="preserve">with </w:t>
      </w:r>
      <w:r w:rsidR="004411EA">
        <w:rPr>
          <w:b/>
        </w:rPr>
        <w:t xml:space="preserve">the NR SL module </w:t>
      </w:r>
      <w:r w:rsidR="001E0C5D">
        <w:rPr>
          <w:b/>
        </w:rPr>
        <w:t xml:space="preserve">which </w:t>
      </w:r>
      <w:r w:rsidR="00337A61">
        <w:rPr>
          <w:b/>
        </w:rPr>
        <w:t xml:space="preserve">can use this information </w:t>
      </w:r>
      <w:r w:rsidR="001E0C5D">
        <w:rPr>
          <w:b/>
        </w:rPr>
        <w:t>when forming its</w:t>
      </w:r>
      <w:r>
        <w:rPr>
          <w:b/>
        </w:rPr>
        <w:t xml:space="preserve"> candidate resource set.</w:t>
      </w:r>
    </w:p>
    <w:p w14:paraId="2D729EA2" w14:textId="253D6879" w:rsidR="007E376F" w:rsidRPr="003D1BF0" w:rsidRDefault="007E376F" w:rsidP="00EC46B4">
      <w:pPr>
        <w:pStyle w:val="Heading2"/>
        <w:tabs>
          <w:tab w:val="clear" w:pos="718"/>
        </w:tabs>
        <w:ind w:left="567"/>
      </w:pPr>
      <w:r>
        <w:t>Support for Higher SCSs</w:t>
      </w:r>
    </w:p>
    <w:p w14:paraId="1CA201E0" w14:textId="122135B3" w:rsidR="00FC2053" w:rsidRDefault="00FC2053" w:rsidP="00FC2053">
      <w:pPr>
        <w:pStyle w:val="3GPPNormalText"/>
      </w:pPr>
      <w:r>
        <w:t>For dynamic resource pool sharing, it</w:t>
      </w:r>
      <w:r w:rsidRPr="003D1BF0">
        <w:t xml:space="preserve"> was agreed in</w:t>
      </w:r>
      <w:r>
        <w:t xml:space="preserve"> RAN#99 to support both 15 and 30 kHz SCSs. In our view, one of the key aspects of NR SL is the support of higher SCS to facilitate low delay and high data rates. We believe that the overall system greatly benefits from such configurations.</w:t>
      </w:r>
    </w:p>
    <w:p w14:paraId="7D8A92DE" w14:textId="2359579B" w:rsidR="005F44F9" w:rsidRDefault="005F44F9" w:rsidP="005F44F9">
      <w:pPr>
        <w:pStyle w:val="3GPPNormalText"/>
      </w:pPr>
      <w:r>
        <w:t xml:space="preserve">In </w:t>
      </w:r>
      <w:r w:rsidR="00FC2053">
        <w:t>p</w:t>
      </w:r>
      <w:r>
        <w:t>revious meeting</w:t>
      </w:r>
      <w:r w:rsidR="00FC2053">
        <w:t>s</w:t>
      </w:r>
      <w:r>
        <w:t>, different solutions were discussed</w:t>
      </w:r>
      <w:r w:rsidR="00FC2053">
        <w:t xml:space="preserve"> on how to support higher SCS in coexistence with LTE 15 kHz SCS</w:t>
      </w:r>
      <w:r>
        <w:t xml:space="preserve">. Although slot aggregation or MCSt </w:t>
      </w:r>
      <w:r w:rsidR="00587725">
        <w:t xml:space="preserve">were </w:t>
      </w:r>
      <w:r>
        <w:t xml:space="preserve">a popular choice, companies had expressed concerns on how the specification work for this aspect would be completed within the remaining time of this WID. In </w:t>
      </w:r>
      <w:r w:rsidR="002923E2">
        <w:t>our</w:t>
      </w:r>
      <w:r>
        <w:t xml:space="preserve"> opinion, since the details of MCSt is already discussed in SL-U, we feel that th</w:t>
      </w:r>
      <w:r w:rsidR="002923E2">
        <w:t>e solution agreed in SL-U can be directly reused for SL coexistence minimizing the specification efforts to be spend here.</w:t>
      </w:r>
    </w:p>
    <w:p w14:paraId="64BADD47" w14:textId="4017CDF2" w:rsidR="00A3667A" w:rsidRDefault="00A3667A" w:rsidP="005F44F9">
      <w:pPr>
        <w:pStyle w:val="3GPPNormalText"/>
      </w:pPr>
      <w:r>
        <w:t>Depending on the supported SCSs, the NR SL transmissions need to pe</w:t>
      </w:r>
      <w:r w:rsidR="00CB77AE">
        <w:t>r</w:t>
      </w:r>
      <w:r>
        <w:t xml:space="preserve">form multi-slot transmissions only on the overlapping time slots as LTE SL transmissions, </w:t>
      </w:r>
      <w:proofErr w:type="gramStart"/>
      <w:r>
        <w:t>in order to</w:t>
      </w:r>
      <w:proofErr w:type="gramEnd"/>
      <w:r>
        <w:t xml:space="preserve"> occupy the entirety of the duration of the LTE subframe. For example, in the case of 30 kHz SCS, the NR SL UE would have to transmit two consecutive transmissions in an overlapping subframe </w:t>
      </w:r>
      <w:proofErr w:type="gramStart"/>
      <w:r>
        <w:t>in order to</w:t>
      </w:r>
      <w:proofErr w:type="gramEnd"/>
      <w:r>
        <w:t xml:space="preserve"> overcome the AGC issue in LTE SL UEs.</w:t>
      </w:r>
    </w:p>
    <w:p w14:paraId="15489C4B" w14:textId="6FCB6A64" w:rsidR="00E95D95" w:rsidRPr="00F96DCD" w:rsidRDefault="005F44F9" w:rsidP="003C6C1A">
      <w:pPr>
        <w:pStyle w:val="3GPPNormalText"/>
      </w:pPr>
      <w:r w:rsidRPr="003D1BF0">
        <w:rPr>
          <w:b/>
        </w:rPr>
        <w:t xml:space="preserve">Proposal </w:t>
      </w:r>
      <w:r w:rsidR="00CA5B6A">
        <w:rPr>
          <w:b/>
        </w:rPr>
        <w:t>5</w:t>
      </w:r>
      <w:r w:rsidRPr="003D1BF0">
        <w:rPr>
          <w:b/>
        </w:rPr>
        <w:t xml:space="preserve">: </w:t>
      </w:r>
      <w:r w:rsidR="007456FE">
        <w:rPr>
          <w:b/>
        </w:rPr>
        <w:t xml:space="preserve">For dynamic resource pool sharing, we propose to reuse the multi consecutive slot transmission (MCSt) framework from SL-U for the support of </w:t>
      </w:r>
      <w:r w:rsidR="00FC2053">
        <w:rPr>
          <w:b/>
        </w:rPr>
        <w:t xml:space="preserve">30 kHz </w:t>
      </w:r>
      <w:r w:rsidR="007456FE">
        <w:rPr>
          <w:b/>
        </w:rPr>
        <w:t>SCS in a shared resource pool.</w:t>
      </w: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60720F88" w14:textId="77777777" w:rsidR="00CA5B6A" w:rsidRDefault="00CA5B6A" w:rsidP="00CA5B6A">
      <w:pPr>
        <w:pStyle w:val="3GPPNormalText"/>
        <w:spacing w:after="0"/>
        <w:rPr>
          <w:b/>
        </w:rPr>
      </w:pPr>
      <w:r w:rsidRPr="003D1BF0">
        <w:rPr>
          <w:b/>
        </w:rPr>
        <w:t xml:space="preserve">Proposal </w:t>
      </w:r>
      <w:r>
        <w:rPr>
          <w:b/>
        </w:rPr>
        <w:t>1</w:t>
      </w:r>
      <w:r w:rsidRPr="003D1BF0">
        <w:rPr>
          <w:b/>
        </w:rPr>
        <w:t>: For dynamic resource pool sharing, we propose to use a periodically repeating set of PSFCH slots (</w:t>
      </w:r>
      <w:r>
        <w:rPr>
          <w:b/>
        </w:rPr>
        <w:t>Option 3-1</w:t>
      </w:r>
      <w:r w:rsidRPr="003D1BF0">
        <w:rPr>
          <w:b/>
        </w:rPr>
        <w:t>) to avoid overlaps with LTE V2X transmissions.</w:t>
      </w:r>
    </w:p>
    <w:p w14:paraId="12CAAE19" w14:textId="77777777" w:rsidR="00CA5B6A" w:rsidRDefault="00CA5B6A" w:rsidP="00CA5B6A">
      <w:pPr>
        <w:pStyle w:val="3GPPNormalText"/>
        <w:numPr>
          <w:ilvl w:val="0"/>
          <w:numId w:val="18"/>
        </w:numPr>
        <w:spacing w:after="0"/>
        <w:ind w:left="426" w:hanging="426"/>
        <w:rPr>
          <w:b/>
        </w:rPr>
      </w:pPr>
      <w:r>
        <w:rPr>
          <w:b/>
        </w:rPr>
        <w:t>We are supportive of having both Option 1-1 and 3-1 configurable per resource pool.</w:t>
      </w:r>
    </w:p>
    <w:p w14:paraId="0485B8D2" w14:textId="77777777" w:rsidR="00CA5B6A" w:rsidRDefault="00CA5B6A" w:rsidP="00CA5B6A">
      <w:pPr>
        <w:pStyle w:val="3GPPNormalText"/>
        <w:numPr>
          <w:ilvl w:val="0"/>
          <w:numId w:val="18"/>
        </w:numPr>
        <w:spacing w:after="0"/>
        <w:ind w:left="426" w:hanging="426"/>
        <w:rPr>
          <w:b/>
        </w:rPr>
      </w:pPr>
      <w:r>
        <w:rPr>
          <w:b/>
        </w:rPr>
        <w:t>We are supportive of introducing additional PSFCH periodicities of 5, 8 and 10.</w:t>
      </w:r>
    </w:p>
    <w:p w14:paraId="3CD6E4CF" w14:textId="77777777" w:rsidR="00CA5B6A" w:rsidRDefault="00CA5B6A">
      <w:pPr>
        <w:pStyle w:val="3GPPNormalText"/>
        <w:spacing w:after="0"/>
        <w:rPr>
          <w:b/>
        </w:rPr>
      </w:pPr>
    </w:p>
    <w:p w14:paraId="525E2DE2" w14:textId="77777777" w:rsidR="00CA5B6A" w:rsidRPr="003D1BF0" w:rsidRDefault="00CA5B6A" w:rsidP="00CA5B6A">
      <w:pPr>
        <w:pStyle w:val="3GPPNormalText"/>
        <w:spacing w:after="0"/>
        <w:rPr>
          <w:b/>
        </w:rPr>
      </w:pPr>
      <w:r w:rsidRPr="003D1BF0">
        <w:rPr>
          <w:b/>
        </w:rPr>
        <w:t xml:space="preserve">Proposal </w:t>
      </w:r>
      <w:r>
        <w:rPr>
          <w:b/>
        </w:rPr>
        <w:t>2</w:t>
      </w:r>
      <w:r w:rsidRPr="003D1BF0">
        <w:rPr>
          <w:b/>
        </w:rPr>
        <w:t xml:space="preserve">: For dynamic resource pool sharing, the NR SL module can obtain LTE V2X resource allocation and scheduling </w:t>
      </w:r>
      <w:proofErr w:type="gramStart"/>
      <w:r w:rsidRPr="003D1BF0">
        <w:rPr>
          <w:b/>
        </w:rPr>
        <w:t>information</w:t>
      </w:r>
      <w:proofErr w:type="gramEnd"/>
      <w:r w:rsidRPr="003D1BF0">
        <w:rPr>
          <w:b/>
        </w:rPr>
        <w:t xml:space="preserve"> </w:t>
      </w:r>
    </w:p>
    <w:p w14:paraId="02131C7C" w14:textId="77777777" w:rsidR="00CA5B6A" w:rsidRPr="003D1BF0" w:rsidRDefault="00CA5B6A" w:rsidP="00CA5B6A">
      <w:pPr>
        <w:pStyle w:val="3GPPNormalText"/>
        <w:numPr>
          <w:ilvl w:val="0"/>
          <w:numId w:val="16"/>
        </w:numPr>
        <w:spacing w:after="0"/>
        <w:ind w:left="360"/>
        <w:rPr>
          <w:b/>
        </w:rPr>
      </w:pPr>
      <w:r w:rsidRPr="003D1BF0">
        <w:rPr>
          <w:b/>
        </w:rPr>
        <w:t>From the co-located LTE V2X module,</w:t>
      </w:r>
    </w:p>
    <w:p w14:paraId="32386B4F" w14:textId="77777777" w:rsidR="00CA5B6A" w:rsidRPr="003D1BF0" w:rsidRDefault="00CA5B6A" w:rsidP="00CA5B6A">
      <w:pPr>
        <w:pStyle w:val="3GPPNormalText"/>
        <w:numPr>
          <w:ilvl w:val="0"/>
          <w:numId w:val="16"/>
        </w:numPr>
        <w:spacing w:after="0"/>
        <w:ind w:left="360"/>
        <w:rPr>
          <w:b/>
        </w:rPr>
      </w:pPr>
      <w:r w:rsidRPr="003D1BF0">
        <w:rPr>
          <w:b/>
        </w:rPr>
        <w:t>By performing basic LTE measurements,</w:t>
      </w:r>
    </w:p>
    <w:p w14:paraId="39797A43" w14:textId="77777777" w:rsidR="00CA5B6A" w:rsidRPr="003D1BF0" w:rsidRDefault="00CA5B6A" w:rsidP="00AA1DFC">
      <w:pPr>
        <w:pStyle w:val="3GPPNormalText"/>
        <w:numPr>
          <w:ilvl w:val="0"/>
          <w:numId w:val="16"/>
        </w:numPr>
        <w:spacing w:after="0"/>
        <w:ind w:left="360"/>
        <w:rPr>
          <w:b/>
        </w:rPr>
      </w:pPr>
      <w:r w:rsidRPr="003D1BF0">
        <w:rPr>
          <w:b/>
        </w:rPr>
        <w:t>By receiving IUC messages from other UEs that are aware of LTE V2X sensing information.</w:t>
      </w:r>
    </w:p>
    <w:p w14:paraId="6DB04278" w14:textId="77777777" w:rsidR="00CA5B6A" w:rsidRDefault="00CA5B6A">
      <w:pPr>
        <w:pStyle w:val="3GPPNormalText"/>
        <w:spacing w:after="0"/>
        <w:rPr>
          <w:b/>
        </w:rPr>
      </w:pPr>
    </w:p>
    <w:p w14:paraId="7A57283F" w14:textId="77777777" w:rsidR="00CA5B6A" w:rsidRDefault="00CA5B6A" w:rsidP="00AA1DFC">
      <w:pPr>
        <w:pStyle w:val="3GPPNormalText"/>
        <w:spacing w:after="0"/>
      </w:pPr>
      <w:r w:rsidRPr="003D1BF0">
        <w:rPr>
          <w:b/>
        </w:rPr>
        <w:t xml:space="preserve">Proposal </w:t>
      </w:r>
      <w:r>
        <w:rPr>
          <w:b/>
        </w:rPr>
        <w:t>3</w:t>
      </w:r>
      <w:r w:rsidRPr="003D1BF0">
        <w:rPr>
          <w:b/>
        </w:rPr>
        <w:t>: For dynamic resource pool sharing, in the absence of LTE resource allocation information, the NR SL module can use configuration-based solutions to decrease the probability of resource collisions between LTE V2X and NR SL transmissions.</w:t>
      </w:r>
    </w:p>
    <w:p w14:paraId="200073CC" w14:textId="77777777" w:rsidR="00CA5B6A" w:rsidRDefault="00CA5B6A">
      <w:pPr>
        <w:pStyle w:val="3GPPNormalText"/>
        <w:spacing w:after="0"/>
        <w:rPr>
          <w:b/>
        </w:rPr>
      </w:pPr>
    </w:p>
    <w:p w14:paraId="4525659B" w14:textId="77777777" w:rsidR="00CA5B6A" w:rsidRPr="0065571C" w:rsidRDefault="00CA5B6A" w:rsidP="00AA1DFC">
      <w:pPr>
        <w:pStyle w:val="3GPPNormalText"/>
        <w:spacing w:after="0"/>
        <w:rPr>
          <w:b/>
          <w:lang w:val="en-GB"/>
        </w:rPr>
      </w:pPr>
      <w:r w:rsidRPr="003D1BF0">
        <w:rPr>
          <w:b/>
        </w:rPr>
        <w:t xml:space="preserve">Proposal </w:t>
      </w:r>
      <w:r>
        <w:rPr>
          <w:b/>
        </w:rPr>
        <w:t>4</w:t>
      </w:r>
      <w:r w:rsidRPr="003D1BF0">
        <w:rPr>
          <w:b/>
        </w:rPr>
        <w:t>: For dynamic resource pool sharing</w:t>
      </w:r>
      <w:r>
        <w:rPr>
          <w:b/>
        </w:rPr>
        <w:t>,</w:t>
      </w:r>
      <w:r w:rsidRPr="003D1BF0">
        <w:rPr>
          <w:b/>
        </w:rPr>
        <w:t xml:space="preserve"> </w:t>
      </w:r>
      <w:r>
        <w:rPr>
          <w:b/>
        </w:rPr>
        <w:t>we are supportive of the LTE module sharing time and frequency resource location information with the NR SL module which can use this information when forming its candidate resource set.</w:t>
      </w:r>
    </w:p>
    <w:p w14:paraId="57CF3AC3" w14:textId="77777777" w:rsidR="00CA5B6A" w:rsidRDefault="00CA5B6A">
      <w:pPr>
        <w:pStyle w:val="3GPPNormalText"/>
        <w:spacing w:after="0"/>
        <w:rPr>
          <w:b/>
        </w:rPr>
      </w:pPr>
    </w:p>
    <w:p w14:paraId="0CA60C83" w14:textId="77777777" w:rsidR="00CA5B6A" w:rsidRPr="00F96DCD" w:rsidRDefault="00CA5B6A" w:rsidP="00AA1DFC">
      <w:pPr>
        <w:pStyle w:val="3GPPNormalText"/>
        <w:spacing w:after="0"/>
      </w:pPr>
      <w:r w:rsidRPr="003D1BF0">
        <w:rPr>
          <w:b/>
        </w:rPr>
        <w:t xml:space="preserve">Proposal </w:t>
      </w:r>
      <w:r>
        <w:rPr>
          <w:b/>
        </w:rPr>
        <w:t>5</w:t>
      </w:r>
      <w:r w:rsidRPr="003D1BF0">
        <w:rPr>
          <w:b/>
        </w:rPr>
        <w:t xml:space="preserve">: </w:t>
      </w:r>
      <w:r>
        <w:rPr>
          <w:b/>
        </w:rPr>
        <w:t>For dynamic resource pool sharing, we propose to reuse the multi consecutive slot transmission (MCSt) framework from SL-U for the support of 30 kHz SCS in a shared resource pool.</w:t>
      </w:r>
    </w:p>
    <w:p w14:paraId="0A18C33C" w14:textId="315271D4" w:rsidR="005E234E" w:rsidRDefault="005E234E" w:rsidP="00AA1DFC">
      <w:pPr>
        <w:pStyle w:val="3GPPNormalText"/>
        <w:spacing w:after="0"/>
        <w:rPr>
          <w:b/>
        </w:rPr>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07B8F9EB" w14:textId="07782BBA" w:rsidR="005F3092" w:rsidRDefault="00A25160" w:rsidP="005F3092">
      <w:pPr>
        <w:widowControl w:val="0"/>
        <w:numPr>
          <w:ilvl w:val="0"/>
          <w:numId w:val="5"/>
        </w:numPr>
        <w:overflowPunct/>
        <w:autoSpaceDE/>
        <w:adjustRightInd/>
        <w:spacing w:after="120"/>
        <w:jc w:val="both"/>
        <w:textAlignment w:val="auto"/>
        <w:rPr>
          <w:rFonts w:cs="Arial"/>
        </w:rPr>
      </w:pPr>
      <w:bookmarkStart w:id="0" w:name="_Ref494465620"/>
      <w:bookmarkStart w:id="1" w:name="_Ref527624780"/>
      <w:r>
        <w:rPr>
          <w:rFonts w:cs="Arial"/>
        </w:rPr>
        <w:t>RP-230077</w:t>
      </w:r>
      <w:r w:rsidRPr="009A254C">
        <w:rPr>
          <w:rFonts w:cs="Arial"/>
        </w:rPr>
        <w:t xml:space="preserve">, </w:t>
      </w:r>
      <w:r>
        <w:rPr>
          <w:rFonts w:cs="Arial"/>
        </w:rPr>
        <w:t>“</w:t>
      </w:r>
      <w:r w:rsidRPr="00627D4D">
        <w:rPr>
          <w:rFonts w:cs="Arial"/>
        </w:rPr>
        <w:t>WID revision: NR sidelink evolution</w:t>
      </w:r>
      <w:r>
        <w:rPr>
          <w:rFonts w:cs="Arial"/>
        </w:rPr>
        <w:t xml:space="preserve">”, OPPO, 3GPP </w:t>
      </w:r>
      <w:r w:rsidRPr="007833B8">
        <w:rPr>
          <w:rFonts w:cs="Arial"/>
        </w:rPr>
        <w:t>RAN#</w:t>
      </w:r>
      <w:r>
        <w:rPr>
          <w:rFonts w:cs="Arial"/>
        </w:rPr>
        <w:t>99</w:t>
      </w:r>
      <w:r w:rsidRPr="007833B8">
        <w:rPr>
          <w:rFonts w:cs="Arial"/>
        </w:rPr>
        <w:t xml:space="preserve">, </w:t>
      </w:r>
      <w:r>
        <w:rPr>
          <w:rFonts w:cs="Arial"/>
        </w:rPr>
        <w:t>March</w:t>
      </w:r>
      <w:r w:rsidRPr="007833B8">
        <w:rPr>
          <w:rFonts w:cs="Arial"/>
        </w:rPr>
        <w:t xml:space="preserve"> 20</w:t>
      </w:r>
      <w:r>
        <w:rPr>
          <w:rFonts w:cs="Arial"/>
        </w:rPr>
        <w:t>23</w:t>
      </w:r>
      <w:r w:rsidR="005F3092" w:rsidRPr="007833B8">
        <w:rPr>
          <w:rFonts w:cs="Arial"/>
        </w:rPr>
        <w:t>.</w:t>
      </w:r>
    </w:p>
    <w:p w14:paraId="78C676CF" w14:textId="4F30EC7F" w:rsidR="00CF6BCD" w:rsidRPr="00B539D6" w:rsidRDefault="00A25160" w:rsidP="00CF6BCD">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RAN1#112, Athens, Greece, Feb. 2023</w:t>
      </w:r>
      <w:r w:rsidR="00CF6BCD">
        <w:rPr>
          <w:iCs/>
          <w:lang w:val="en-US"/>
        </w:rPr>
        <w:t>.</w:t>
      </w:r>
    </w:p>
    <w:bookmarkEnd w:id="0"/>
    <w:bookmarkEnd w:id="1"/>
    <w:p w14:paraId="45EADC19" w14:textId="1D353787" w:rsidR="00585DA5" w:rsidRDefault="00585DA5" w:rsidP="007456FE">
      <w:pPr>
        <w:widowControl w:val="0"/>
        <w:numPr>
          <w:ilvl w:val="0"/>
          <w:numId w:val="5"/>
        </w:numPr>
        <w:overflowPunct/>
        <w:autoSpaceDE/>
        <w:adjustRightInd/>
        <w:spacing w:after="120"/>
        <w:jc w:val="both"/>
        <w:textAlignment w:val="auto"/>
        <w:rPr>
          <w:iCs/>
          <w:lang w:val="en-US"/>
        </w:rPr>
      </w:pPr>
      <w:r>
        <w:rPr>
          <w:iCs/>
          <w:lang w:val="en-US"/>
        </w:rPr>
        <w:t>R1-</w:t>
      </w:r>
      <w:r w:rsidR="00A25160" w:rsidRPr="00AA1DFC">
        <w:rPr>
          <w:iCs/>
          <w:lang w:val="en-US"/>
        </w:rPr>
        <w:t>2301855</w:t>
      </w:r>
      <w:r>
        <w:rPr>
          <w:iCs/>
          <w:lang w:val="en-US"/>
        </w:rPr>
        <w:t>, “F</w:t>
      </w:r>
      <w:r w:rsidR="00A25160">
        <w:rPr>
          <w:iCs/>
          <w:lang w:val="en-US"/>
        </w:rPr>
        <w:t>eature lead s</w:t>
      </w:r>
      <w:r>
        <w:rPr>
          <w:iCs/>
          <w:lang w:val="en-US"/>
        </w:rPr>
        <w:t xml:space="preserve">ummary </w:t>
      </w:r>
      <w:r w:rsidR="00A25160">
        <w:rPr>
          <w:iCs/>
          <w:lang w:val="en-US"/>
        </w:rPr>
        <w:t xml:space="preserve">#3 </w:t>
      </w:r>
      <w:r>
        <w:rPr>
          <w:iCs/>
          <w:lang w:val="en-US"/>
        </w:rPr>
        <w:t>for AI 9.4.2</w:t>
      </w:r>
      <w:r w:rsidR="00A25160">
        <w:rPr>
          <w:iCs/>
          <w:lang w:val="en-US"/>
        </w:rPr>
        <w:t>:</w:t>
      </w:r>
      <w:r>
        <w:rPr>
          <w:iCs/>
          <w:lang w:val="en-US"/>
        </w:rPr>
        <w:t xml:space="preserve"> Co-Channel </w:t>
      </w:r>
      <w:r w:rsidR="00A25160">
        <w:rPr>
          <w:iCs/>
          <w:lang w:val="en-US"/>
        </w:rPr>
        <w:t>c</w:t>
      </w:r>
      <w:r>
        <w:rPr>
          <w:iCs/>
          <w:lang w:val="en-US"/>
        </w:rPr>
        <w:t xml:space="preserve">oexistence for LTE </w:t>
      </w:r>
      <w:r w:rsidR="00A25160">
        <w:rPr>
          <w:iCs/>
          <w:lang w:val="en-US"/>
        </w:rPr>
        <w:t xml:space="preserve">sidelink </w:t>
      </w:r>
      <w:r>
        <w:rPr>
          <w:iCs/>
          <w:lang w:val="en-US"/>
        </w:rPr>
        <w:t xml:space="preserve">and NR </w:t>
      </w:r>
      <w:r w:rsidR="00A25160">
        <w:rPr>
          <w:iCs/>
          <w:lang w:val="en-US"/>
        </w:rPr>
        <w:t>s</w:t>
      </w:r>
      <w:r>
        <w:rPr>
          <w:iCs/>
          <w:lang w:val="en-US"/>
        </w:rPr>
        <w:t>idelink”, Moderator (</w:t>
      </w:r>
      <w:r w:rsidR="00A25160">
        <w:rPr>
          <w:iCs/>
          <w:lang w:val="en-US"/>
        </w:rPr>
        <w:t>LG Electronics</w:t>
      </w:r>
      <w:r>
        <w:rPr>
          <w:iCs/>
          <w:lang w:val="en-US"/>
        </w:rPr>
        <w:t>), 3GPP RAN1#11</w:t>
      </w:r>
      <w:r w:rsidR="00A25160">
        <w:rPr>
          <w:iCs/>
          <w:lang w:val="en-US"/>
        </w:rPr>
        <w:t>2</w:t>
      </w:r>
      <w:r>
        <w:rPr>
          <w:iCs/>
          <w:lang w:val="en-US"/>
        </w:rPr>
        <w:t xml:space="preserve">, </w:t>
      </w:r>
      <w:r w:rsidR="00A25160">
        <w:rPr>
          <w:iCs/>
          <w:lang w:val="en-US"/>
        </w:rPr>
        <w:t>Athens</w:t>
      </w:r>
      <w:r>
        <w:rPr>
          <w:iCs/>
          <w:lang w:val="en-US"/>
        </w:rPr>
        <w:t xml:space="preserve">, </w:t>
      </w:r>
      <w:r w:rsidR="00A25160">
        <w:rPr>
          <w:iCs/>
          <w:lang w:val="en-US"/>
        </w:rPr>
        <w:t>Greece</w:t>
      </w:r>
      <w:r>
        <w:rPr>
          <w:iCs/>
          <w:lang w:val="en-US"/>
        </w:rPr>
        <w:t xml:space="preserve">, </w:t>
      </w:r>
      <w:r w:rsidR="00A25160">
        <w:rPr>
          <w:iCs/>
          <w:lang w:val="en-US"/>
        </w:rPr>
        <w:t xml:space="preserve">Feb. </w:t>
      </w:r>
      <w:r>
        <w:rPr>
          <w:iCs/>
          <w:lang w:val="en-US"/>
        </w:rPr>
        <w:t>202</w:t>
      </w:r>
      <w:r w:rsidR="00A25160">
        <w:rPr>
          <w:iCs/>
          <w:lang w:val="en-US"/>
        </w:rPr>
        <w:t>3</w:t>
      </w:r>
      <w:r>
        <w:rPr>
          <w:iCs/>
          <w:lang w:val="en-US"/>
        </w:rPr>
        <w:t>.</w:t>
      </w:r>
    </w:p>
    <w:p w14:paraId="3760866B" w14:textId="77777777" w:rsidR="001A1990" w:rsidRPr="00B539D6" w:rsidRDefault="001A1990" w:rsidP="001A1990">
      <w:pPr>
        <w:widowControl w:val="0"/>
        <w:numPr>
          <w:ilvl w:val="0"/>
          <w:numId w:val="5"/>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0437B1AE" w14:textId="77777777" w:rsidR="001A1990" w:rsidRDefault="001A1990" w:rsidP="00AA1DFC">
      <w:pPr>
        <w:widowControl w:val="0"/>
        <w:overflowPunct/>
        <w:autoSpaceDE/>
        <w:adjustRightInd/>
        <w:spacing w:after="120"/>
        <w:jc w:val="both"/>
        <w:textAlignment w:val="auto"/>
        <w:rPr>
          <w:iCs/>
          <w:lang w:val="en-US"/>
        </w:rPr>
      </w:pPr>
    </w:p>
    <w:sectPr w:rsidR="001A1990"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A2B83" w14:textId="77777777" w:rsidR="00252536" w:rsidRDefault="00252536">
      <w:r>
        <w:separator/>
      </w:r>
    </w:p>
  </w:endnote>
  <w:endnote w:type="continuationSeparator" w:id="0">
    <w:p w14:paraId="036337E1" w14:textId="77777777" w:rsidR="00252536" w:rsidRDefault="0025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92A2A" w14:textId="77777777" w:rsidR="00252536" w:rsidRDefault="00252536">
      <w:r>
        <w:separator/>
      </w:r>
    </w:p>
  </w:footnote>
  <w:footnote w:type="continuationSeparator" w:id="0">
    <w:p w14:paraId="51900D57" w14:textId="77777777" w:rsidR="00252536" w:rsidRDefault="00252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9F021B"/>
    <w:multiLevelType w:val="hybridMultilevel"/>
    <w:tmpl w:val="FACC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2208A0"/>
    <w:multiLevelType w:val="hybridMultilevel"/>
    <w:tmpl w:val="3904D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4366C"/>
    <w:multiLevelType w:val="hybridMultilevel"/>
    <w:tmpl w:val="FEA23F62"/>
    <w:lvl w:ilvl="0" w:tplc="F65E1FDE">
      <w:start w:val="1"/>
      <w:numFmt w:val="bullet"/>
      <w:lvlText w:val=""/>
      <w:lvlJc w:val="left"/>
      <w:pPr>
        <w:tabs>
          <w:tab w:val="num" w:pos="720"/>
        </w:tabs>
        <w:ind w:left="720" w:hanging="360"/>
      </w:pPr>
      <w:rPr>
        <w:rFonts w:ascii="Symbol" w:hAnsi="Symbol" w:hint="default"/>
      </w:rPr>
    </w:lvl>
    <w:lvl w:ilvl="1" w:tplc="E5F8024A">
      <w:numFmt w:val="bullet"/>
      <w:lvlText w:val="ü"/>
      <w:lvlJc w:val="left"/>
      <w:pPr>
        <w:tabs>
          <w:tab w:val="num" w:pos="1440"/>
        </w:tabs>
        <w:ind w:left="1440" w:hanging="360"/>
      </w:pPr>
      <w:rPr>
        <w:rFonts w:ascii="Wingdings" w:hAnsi="Wingdings" w:hint="default"/>
      </w:rPr>
    </w:lvl>
    <w:lvl w:ilvl="2" w:tplc="1218A404">
      <w:numFmt w:val="bullet"/>
      <w:lvlText w:val="–"/>
      <w:lvlJc w:val="left"/>
      <w:pPr>
        <w:tabs>
          <w:tab w:val="num" w:pos="2160"/>
        </w:tabs>
        <w:ind w:left="2160" w:hanging="360"/>
      </w:pPr>
      <w:rPr>
        <w:rFonts w:ascii="Malgun Gothic" w:hAnsi="Malgun Gothic" w:hint="default"/>
      </w:rPr>
    </w:lvl>
    <w:lvl w:ilvl="3" w:tplc="DAEABD98" w:tentative="1">
      <w:start w:val="1"/>
      <w:numFmt w:val="bullet"/>
      <w:lvlText w:val=""/>
      <w:lvlJc w:val="left"/>
      <w:pPr>
        <w:tabs>
          <w:tab w:val="num" w:pos="2880"/>
        </w:tabs>
        <w:ind w:left="2880" w:hanging="360"/>
      </w:pPr>
      <w:rPr>
        <w:rFonts w:ascii="Symbol" w:hAnsi="Symbol" w:hint="default"/>
      </w:rPr>
    </w:lvl>
    <w:lvl w:ilvl="4" w:tplc="1010BB3E" w:tentative="1">
      <w:start w:val="1"/>
      <w:numFmt w:val="bullet"/>
      <w:lvlText w:val=""/>
      <w:lvlJc w:val="left"/>
      <w:pPr>
        <w:tabs>
          <w:tab w:val="num" w:pos="3600"/>
        </w:tabs>
        <w:ind w:left="3600" w:hanging="360"/>
      </w:pPr>
      <w:rPr>
        <w:rFonts w:ascii="Symbol" w:hAnsi="Symbol" w:hint="default"/>
      </w:rPr>
    </w:lvl>
    <w:lvl w:ilvl="5" w:tplc="E14A50E6" w:tentative="1">
      <w:start w:val="1"/>
      <w:numFmt w:val="bullet"/>
      <w:lvlText w:val=""/>
      <w:lvlJc w:val="left"/>
      <w:pPr>
        <w:tabs>
          <w:tab w:val="num" w:pos="4320"/>
        </w:tabs>
        <w:ind w:left="4320" w:hanging="360"/>
      </w:pPr>
      <w:rPr>
        <w:rFonts w:ascii="Symbol" w:hAnsi="Symbol" w:hint="default"/>
      </w:rPr>
    </w:lvl>
    <w:lvl w:ilvl="6" w:tplc="1E727A78" w:tentative="1">
      <w:start w:val="1"/>
      <w:numFmt w:val="bullet"/>
      <w:lvlText w:val=""/>
      <w:lvlJc w:val="left"/>
      <w:pPr>
        <w:tabs>
          <w:tab w:val="num" w:pos="5040"/>
        </w:tabs>
        <w:ind w:left="5040" w:hanging="360"/>
      </w:pPr>
      <w:rPr>
        <w:rFonts w:ascii="Symbol" w:hAnsi="Symbol" w:hint="default"/>
      </w:rPr>
    </w:lvl>
    <w:lvl w:ilvl="7" w:tplc="D94845E4" w:tentative="1">
      <w:start w:val="1"/>
      <w:numFmt w:val="bullet"/>
      <w:lvlText w:val=""/>
      <w:lvlJc w:val="left"/>
      <w:pPr>
        <w:tabs>
          <w:tab w:val="num" w:pos="5760"/>
        </w:tabs>
        <w:ind w:left="5760" w:hanging="360"/>
      </w:pPr>
      <w:rPr>
        <w:rFonts w:ascii="Symbol" w:hAnsi="Symbol" w:hint="default"/>
      </w:rPr>
    </w:lvl>
    <w:lvl w:ilvl="8" w:tplc="C282781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894B72"/>
    <w:multiLevelType w:val="hybridMultilevel"/>
    <w:tmpl w:val="40D48EC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95A4FE8"/>
    <w:multiLevelType w:val="hybridMultilevel"/>
    <w:tmpl w:val="9DCAC01E"/>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55F38D5"/>
    <w:multiLevelType w:val="hybridMultilevel"/>
    <w:tmpl w:val="65AA841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2004D4F"/>
    <w:multiLevelType w:val="hybridMultilevel"/>
    <w:tmpl w:val="0A8C1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A66839"/>
    <w:multiLevelType w:val="hybridMultilevel"/>
    <w:tmpl w:val="26141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0B2EB4"/>
    <w:multiLevelType w:val="hybridMultilevel"/>
    <w:tmpl w:val="3DE00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22" w15:restartNumberingAfterBreak="0">
    <w:nsid w:val="7F9A07A2"/>
    <w:multiLevelType w:val="hybridMultilevel"/>
    <w:tmpl w:val="19E0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707746">
    <w:abstractNumId w:val="8"/>
  </w:num>
  <w:num w:numId="2" w16cid:durableId="2141220122">
    <w:abstractNumId w:val="1"/>
  </w:num>
  <w:num w:numId="3" w16cid:durableId="1042435588">
    <w:abstractNumId w:val="10"/>
  </w:num>
  <w:num w:numId="4" w16cid:durableId="1322613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5"/>
  </w:num>
  <w:num w:numId="6" w16cid:durableId="909995674">
    <w:abstractNumId w:val="21"/>
  </w:num>
  <w:num w:numId="7" w16cid:durableId="1640646034">
    <w:abstractNumId w:val="9"/>
  </w:num>
  <w:num w:numId="8" w16cid:durableId="937834805">
    <w:abstractNumId w:val="4"/>
  </w:num>
  <w:num w:numId="9" w16cid:durableId="1552377762">
    <w:abstractNumId w:val="16"/>
  </w:num>
  <w:num w:numId="10" w16cid:durableId="982657832">
    <w:abstractNumId w:val="2"/>
  </w:num>
  <w:num w:numId="11" w16cid:durableId="239798074">
    <w:abstractNumId w:val="18"/>
  </w:num>
  <w:num w:numId="12" w16cid:durableId="1011489326">
    <w:abstractNumId w:val="19"/>
  </w:num>
  <w:num w:numId="13" w16cid:durableId="828131919">
    <w:abstractNumId w:val="15"/>
  </w:num>
  <w:num w:numId="14" w16cid:durableId="458643468">
    <w:abstractNumId w:val="11"/>
  </w:num>
  <w:num w:numId="15" w16cid:durableId="1915969734">
    <w:abstractNumId w:val="6"/>
  </w:num>
  <w:num w:numId="16" w16cid:durableId="301618080">
    <w:abstractNumId w:val="22"/>
  </w:num>
  <w:num w:numId="17" w16cid:durableId="1314917284">
    <w:abstractNumId w:val="12"/>
  </w:num>
  <w:num w:numId="18" w16cid:durableId="822939272">
    <w:abstractNumId w:val="20"/>
  </w:num>
  <w:num w:numId="19" w16cid:durableId="741490724">
    <w:abstractNumId w:val="3"/>
  </w:num>
  <w:num w:numId="20" w16cid:durableId="974678148">
    <w:abstractNumId w:val="17"/>
  </w:num>
  <w:num w:numId="21" w16cid:durableId="349455746">
    <w:abstractNumId w:val="14"/>
  </w:num>
  <w:num w:numId="22" w16cid:durableId="1437825170">
    <w:abstractNumId w:val="13"/>
  </w:num>
  <w:num w:numId="23" w16cid:durableId="85395449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1EC5"/>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2E94"/>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C1"/>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6B5"/>
    <w:rsid w:val="000A09A5"/>
    <w:rsid w:val="000A0CA1"/>
    <w:rsid w:val="000A0E99"/>
    <w:rsid w:val="000A0F88"/>
    <w:rsid w:val="000A1561"/>
    <w:rsid w:val="000A1AD3"/>
    <w:rsid w:val="000A1D49"/>
    <w:rsid w:val="000A1FE4"/>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530"/>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5F5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47FC7"/>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BD5"/>
    <w:rsid w:val="00162CF1"/>
    <w:rsid w:val="00162EB1"/>
    <w:rsid w:val="00162F38"/>
    <w:rsid w:val="00162F82"/>
    <w:rsid w:val="001630E4"/>
    <w:rsid w:val="001631BA"/>
    <w:rsid w:val="001634BB"/>
    <w:rsid w:val="001636F9"/>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70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B14"/>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90"/>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8CB"/>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CC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6FDB"/>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FC"/>
    <w:rsid w:val="0023776F"/>
    <w:rsid w:val="00237C6F"/>
    <w:rsid w:val="00237D22"/>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36"/>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815"/>
    <w:rsid w:val="00265A28"/>
    <w:rsid w:val="00265AD0"/>
    <w:rsid w:val="00265E3B"/>
    <w:rsid w:val="00265E9A"/>
    <w:rsid w:val="00265ED7"/>
    <w:rsid w:val="00265FF5"/>
    <w:rsid w:val="00266210"/>
    <w:rsid w:val="00266F5D"/>
    <w:rsid w:val="0026716C"/>
    <w:rsid w:val="0026748C"/>
    <w:rsid w:val="00267754"/>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B09"/>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2AB"/>
    <w:rsid w:val="00287376"/>
    <w:rsid w:val="002877DE"/>
    <w:rsid w:val="00287C28"/>
    <w:rsid w:val="00290254"/>
    <w:rsid w:val="00290FC4"/>
    <w:rsid w:val="00291403"/>
    <w:rsid w:val="002916AD"/>
    <w:rsid w:val="0029178F"/>
    <w:rsid w:val="00291B01"/>
    <w:rsid w:val="00291BA0"/>
    <w:rsid w:val="00292235"/>
    <w:rsid w:val="002923E2"/>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54E"/>
    <w:rsid w:val="002D4722"/>
    <w:rsid w:val="002D47FC"/>
    <w:rsid w:val="002D49CC"/>
    <w:rsid w:val="002D4A54"/>
    <w:rsid w:val="002D4E37"/>
    <w:rsid w:val="002D518A"/>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A2B"/>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A61"/>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5C2"/>
    <w:rsid w:val="003715E4"/>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C1A"/>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BF0"/>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8A5"/>
    <w:rsid w:val="003E2BF4"/>
    <w:rsid w:val="003E2D5A"/>
    <w:rsid w:val="003E2E30"/>
    <w:rsid w:val="003E325A"/>
    <w:rsid w:val="003E33C5"/>
    <w:rsid w:val="003E34E1"/>
    <w:rsid w:val="003E3524"/>
    <w:rsid w:val="003E36BF"/>
    <w:rsid w:val="003E3A6B"/>
    <w:rsid w:val="003E3C5B"/>
    <w:rsid w:val="003E3D11"/>
    <w:rsid w:val="003E40C9"/>
    <w:rsid w:val="003E42E7"/>
    <w:rsid w:val="003E4CDB"/>
    <w:rsid w:val="003E52EB"/>
    <w:rsid w:val="003E5644"/>
    <w:rsid w:val="003E565A"/>
    <w:rsid w:val="003E5B74"/>
    <w:rsid w:val="003E5D86"/>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3BD"/>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1F"/>
    <w:rsid w:val="0042683D"/>
    <w:rsid w:val="00426A93"/>
    <w:rsid w:val="00426DFA"/>
    <w:rsid w:val="004276E3"/>
    <w:rsid w:val="004278C5"/>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57C"/>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B89"/>
    <w:rsid w:val="00440EA5"/>
    <w:rsid w:val="004411EA"/>
    <w:rsid w:val="0044131C"/>
    <w:rsid w:val="0044142F"/>
    <w:rsid w:val="004421A2"/>
    <w:rsid w:val="004422E1"/>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919"/>
    <w:rsid w:val="00464AFE"/>
    <w:rsid w:val="00464C4E"/>
    <w:rsid w:val="00464EE0"/>
    <w:rsid w:val="00464FD7"/>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0F46"/>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3B3"/>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A5"/>
    <w:rsid w:val="00510F6D"/>
    <w:rsid w:val="005118D7"/>
    <w:rsid w:val="00511E67"/>
    <w:rsid w:val="00512182"/>
    <w:rsid w:val="00512231"/>
    <w:rsid w:val="00512747"/>
    <w:rsid w:val="005128FF"/>
    <w:rsid w:val="00512A11"/>
    <w:rsid w:val="005130A4"/>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302"/>
    <w:rsid w:val="005154AC"/>
    <w:rsid w:val="005156D6"/>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2D2C"/>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2E"/>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6D"/>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38B"/>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93"/>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78"/>
    <w:rsid w:val="00584003"/>
    <w:rsid w:val="00584496"/>
    <w:rsid w:val="0058460B"/>
    <w:rsid w:val="00584EC4"/>
    <w:rsid w:val="00585763"/>
    <w:rsid w:val="00585932"/>
    <w:rsid w:val="00585C3A"/>
    <w:rsid w:val="00585CBD"/>
    <w:rsid w:val="00585DA5"/>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725"/>
    <w:rsid w:val="00587814"/>
    <w:rsid w:val="00587970"/>
    <w:rsid w:val="00587E7E"/>
    <w:rsid w:val="00587F35"/>
    <w:rsid w:val="0059015F"/>
    <w:rsid w:val="005901EE"/>
    <w:rsid w:val="00590203"/>
    <w:rsid w:val="00590516"/>
    <w:rsid w:val="00590710"/>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0C4"/>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4E"/>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09"/>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A6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6C0C"/>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93"/>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DAA"/>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60"/>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3B5"/>
    <w:rsid w:val="006E176F"/>
    <w:rsid w:val="006E2190"/>
    <w:rsid w:val="006E22CC"/>
    <w:rsid w:val="006E2816"/>
    <w:rsid w:val="006E2AA6"/>
    <w:rsid w:val="006E2DCA"/>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6FE"/>
    <w:rsid w:val="0074576E"/>
    <w:rsid w:val="00745EBB"/>
    <w:rsid w:val="00745F9B"/>
    <w:rsid w:val="007460D5"/>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A9"/>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9BA"/>
    <w:rsid w:val="007C1B44"/>
    <w:rsid w:val="007C1B94"/>
    <w:rsid w:val="007C2073"/>
    <w:rsid w:val="007C2252"/>
    <w:rsid w:val="007C24A4"/>
    <w:rsid w:val="007C2A39"/>
    <w:rsid w:val="007C2AD0"/>
    <w:rsid w:val="007C377D"/>
    <w:rsid w:val="007C3AA2"/>
    <w:rsid w:val="007C3CBD"/>
    <w:rsid w:val="007C3D3A"/>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5F"/>
    <w:rsid w:val="007D11B6"/>
    <w:rsid w:val="007D149C"/>
    <w:rsid w:val="007D1558"/>
    <w:rsid w:val="007D15F5"/>
    <w:rsid w:val="007D188E"/>
    <w:rsid w:val="007D1B7C"/>
    <w:rsid w:val="007D1C35"/>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76F"/>
    <w:rsid w:val="007E48CD"/>
    <w:rsid w:val="007E48E4"/>
    <w:rsid w:val="007E4F0D"/>
    <w:rsid w:val="007E531F"/>
    <w:rsid w:val="007E56EC"/>
    <w:rsid w:val="007E5A14"/>
    <w:rsid w:val="007E5A5B"/>
    <w:rsid w:val="007E5FE4"/>
    <w:rsid w:val="007E5FFD"/>
    <w:rsid w:val="007E605E"/>
    <w:rsid w:val="007E66A2"/>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576"/>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FA9"/>
    <w:rsid w:val="008561D4"/>
    <w:rsid w:val="00856301"/>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B87"/>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68D"/>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76F"/>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DEE"/>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2F7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3DF1"/>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A6E"/>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C4"/>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11"/>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9DD"/>
    <w:rsid w:val="00980F14"/>
    <w:rsid w:val="00981128"/>
    <w:rsid w:val="009811B8"/>
    <w:rsid w:val="009815E3"/>
    <w:rsid w:val="0098169C"/>
    <w:rsid w:val="0098172B"/>
    <w:rsid w:val="009817F9"/>
    <w:rsid w:val="0098183B"/>
    <w:rsid w:val="009819A3"/>
    <w:rsid w:val="00981CF8"/>
    <w:rsid w:val="00981D49"/>
    <w:rsid w:val="00981EA6"/>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3D1B"/>
    <w:rsid w:val="00984206"/>
    <w:rsid w:val="00984674"/>
    <w:rsid w:val="0098501F"/>
    <w:rsid w:val="0098511E"/>
    <w:rsid w:val="009852B3"/>
    <w:rsid w:val="0098541D"/>
    <w:rsid w:val="009855F8"/>
    <w:rsid w:val="009859F2"/>
    <w:rsid w:val="00985CA4"/>
    <w:rsid w:val="00986259"/>
    <w:rsid w:val="00986956"/>
    <w:rsid w:val="00987210"/>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B0F"/>
    <w:rsid w:val="009A2BDF"/>
    <w:rsid w:val="009A3183"/>
    <w:rsid w:val="009A3201"/>
    <w:rsid w:val="009A37AC"/>
    <w:rsid w:val="009A3AB5"/>
    <w:rsid w:val="009A4078"/>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22"/>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D"/>
    <w:rsid w:val="00A152DD"/>
    <w:rsid w:val="00A15459"/>
    <w:rsid w:val="00A1562F"/>
    <w:rsid w:val="00A1572F"/>
    <w:rsid w:val="00A157EC"/>
    <w:rsid w:val="00A15DBB"/>
    <w:rsid w:val="00A15E83"/>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C55"/>
    <w:rsid w:val="00A23F13"/>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94"/>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A2A"/>
    <w:rsid w:val="00A37A59"/>
    <w:rsid w:val="00A37AA2"/>
    <w:rsid w:val="00A40531"/>
    <w:rsid w:val="00A405DF"/>
    <w:rsid w:val="00A407C7"/>
    <w:rsid w:val="00A40889"/>
    <w:rsid w:val="00A41009"/>
    <w:rsid w:val="00A4102E"/>
    <w:rsid w:val="00A41179"/>
    <w:rsid w:val="00A413D2"/>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8B"/>
    <w:rsid w:val="00A71048"/>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9D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DFC"/>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9"/>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58C0"/>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332"/>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270"/>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18"/>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6FF"/>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08A"/>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653"/>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5F31"/>
    <w:rsid w:val="00B9603D"/>
    <w:rsid w:val="00B96228"/>
    <w:rsid w:val="00B96313"/>
    <w:rsid w:val="00B96466"/>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83D"/>
    <w:rsid w:val="00BC5CE2"/>
    <w:rsid w:val="00BC600D"/>
    <w:rsid w:val="00BC6064"/>
    <w:rsid w:val="00BC6BDE"/>
    <w:rsid w:val="00BC70D5"/>
    <w:rsid w:val="00BC7102"/>
    <w:rsid w:val="00BC71C5"/>
    <w:rsid w:val="00BC7659"/>
    <w:rsid w:val="00BC77C9"/>
    <w:rsid w:val="00BC7A00"/>
    <w:rsid w:val="00BC7A42"/>
    <w:rsid w:val="00BC7C8E"/>
    <w:rsid w:val="00BD013E"/>
    <w:rsid w:val="00BD034D"/>
    <w:rsid w:val="00BD082C"/>
    <w:rsid w:val="00BD09A3"/>
    <w:rsid w:val="00BD0F6C"/>
    <w:rsid w:val="00BD0FC4"/>
    <w:rsid w:val="00BD10FA"/>
    <w:rsid w:val="00BD140B"/>
    <w:rsid w:val="00BD2387"/>
    <w:rsid w:val="00BD238C"/>
    <w:rsid w:val="00BD2836"/>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7E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4D4E"/>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608"/>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074"/>
    <w:rsid w:val="00C83AEB"/>
    <w:rsid w:val="00C83B30"/>
    <w:rsid w:val="00C83C7A"/>
    <w:rsid w:val="00C84180"/>
    <w:rsid w:val="00C8428C"/>
    <w:rsid w:val="00C84317"/>
    <w:rsid w:val="00C843AB"/>
    <w:rsid w:val="00C845CE"/>
    <w:rsid w:val="00C84DDC"/>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B6A"/>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1F63"/>
    <w:rsid w:val="00CB23B6"/>
    <w:rsid w:val="00CB2836"/>
    <w:rsid w:val="00CB2F24"/>
    <w:rsid w:val="00CB3665"/>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1F"/>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5A4"/>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5FF8"/>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02"/>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1B3C"/>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891"/>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E7F32"/>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E59"/>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0A9"/>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5A"/>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56B"/>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D26"/>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59"/>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9DD"/>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D95"/>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4C5F"/>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E21"/>
    <w:rsid w:val="00EC2F72"/>
    <w:rsid w:val="00EC32D6"/>
    <w:rsid w:val="00EC331F"/>
    <w:rsid w:val="00EC36DD"/>
    <w:rsid w:val="00EC3EBA"/>
    <w:rsid w:val="00EC46B4"/>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D7C"/>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A1"/>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18E"/>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53"/>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58A"/>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09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888001">
      <w:bodyDiv w:val="1"/>
      <w:marLeft w:val="0"/>
      <w:marRight w:val="0"/>
      <w:marTop w:val="0"/>
      <w:marBottom w:val="0"/>
      <w:divBdr>
        <w:top w:val="none" w:sz="0" w:space="0" w:color="auto"/>
        <w:left w:val="none" w:sz="0" w:space="0" w:color="auto"/>
        <w:bottom w:val="none" w:sz="0" w:space="0" w:color="auto"/>
        <w:right w:val="none" w:sz="0" w:space="0" w:color="auto"/>
      </w:divBdr>
      <w:divsChild>
        <w:div w:id="1641568104">
          <w:marLeft w:val="547"/>
          <w:marRight w:val="0"/>
          <w:marTop w:val="200"/>
          <w:marBottom w:val="0"/>
          <w:divBdr>
            <w:top w:val="none" w:sz="0" w:space="0" w:color="auto"/>
            <w:left w:val="none" w:sz="0" w:space="0" w:color="auto"/>
            <w:bottom w:val="none" w:sz="0" w:space="0" w:color="auto"/>
            <w:right w:val="none" w:sz="0" w:space="0" w:color="auto"/>
          </w:divBdr>
        </w:div>
        <w:div w:id="92169391">
          <w:marLeft w:val="1166"/>
          <w:marRight w:val="0"/>
          <w:marTop w:val="100"/>
          <w:marBottom w:val="0"/>
          <w:divBdr>
            <w:top w:val="none" w:sz="0" w:space="0" w:color="auto"/>
            <w:left w:val="none" w:sz="0" w:space="0" w:color="auto"/>
            <w:bottom w:val="none" w:sz="0" w:space="0" w:color="auto"/>
            <w:right w:val="none" w:sz="0" w:space="0" w:color="auto"/>
          </w:divBdr>
        </w:div>
        <w:div w:id="832377254">
          <w:marLeft w:val="1800"/>
          <w:marRight w:val="0"/>
          <w:marTop w:val="100"/>
          <w:marBottom w:val="0"/>
          <w:divBdr>
            <w:top w:val="none" w:sz="0" w:space="0" w:color="auto"/>
            <w:left w:val="none" w:sz="0" w:space="0" w:color="auto"/>
            <w:bottom w:val="none" w:sz="0" w:space="0" w:color="auto"/>
            <w:right w:val="none" w:sz="0" w:space="0" w:color="auto"/>
          </w:divBdr>
        </w:div>
        <w:div w:id="1109546948">
          <w:marLeft w:val="1800"/>
          <w:marRight w:val="0"/>
          <w:marTop w:val="100"/>
          <w:marBottom w:val="0"/>
          <w:divBdr>
            <w:top w:val="none" w:sz="0" w:space="0" w:color="auto"/>
            <w:left w:val="none" w:sz="0" w:space="0" w:color="auto"/>
            <w:bottom w:val="none" w:sz="0" w:space="0" w:color="auto"/>
            <w:right w:val="none" w:sz="0" w:space="0" w:color="auto"/>
          </w:divBdr>
        </w:div>
        <w:div w:id="1441878350">
          <w:marLeft w:val="1800"/>
          <w:marRight w:val="0"/>
          <w:marTop w:val="100"/>
          <w:marBottom w:val="0"/>
          <w:divBdr>
            <w:top w:val="none" w:sz="0" w:space="0" w:color="auto"/>
            <w:left w:val="none" w:sz="0" w:space="0" w:color="auto"/>
            <w:bottom w:val="none" w:sz="0" w:space="0" w:color="auto"/>
            <w:right w:val="none" w:sz="0" w:space="0" w:color="auto"/>
          </w:divBdr>
        </w:div>
        <w:div w:id="479466338">
          <w:marLeft w:val="1166"/>
          <w:marRight w:val="0"/>
          <w:marTop w:val="100"/>
          <w:marBottom w:val="0"/>
          <w:divBdr>
            <w:top w:val="none" w:sz="0" w:space="0" w:color="auto"/>
            <w:left w:val="none" w:sz="0" w:space="0" w:color="auto"/>
            <w:bottom w:val="none" w:sz="0" w:space="0" w:color="auto"/>
            <w:right w:val="none" w:sz="0" w:space="0" w:color="auto"/>
          </w:divBdr>
        </w:div>
        <w:div w:id="1133137128">
          <w:marLeft w:val="1886"/>
          <w:marRight w:val="0"/>
          <w:marTop w:val="100"/>
          <w:marBottom w:val="0"/>
          <w:divBdr>
            <w:top w:val="none" w:sz="0" w:space="0" w:color="auto"/>
            <w:left w:val="none" w:sz="0" w:space="0" w:color="auto"/>
            <w:bottom w:val="none" w:sz="0" w:space="0" w:color="auto"/>
            <w:right w:val="none" w:sz="0" w:space="0" w:color="auto"/>
          </w:divBdr>
        </w:div>
        <w:div w:id="320620644">
          <w:marLeft w:val="1166"/>
          <w:marRight w:val="0"/>
          <w:marTop w:val="100"/>
          <w:marBottom w:val="0"/>
          <w:divBdr>
            <w:top w:val="none" w:sz="0" w:space="0" w:color="auto"/>
            <w:left w:val="none" w:sz="0" w:space="0" w:color="auto"/>
            <w:bottom w:val="none" w:sz="0" w:space="0" w:color="auto"/>
            <w:right w:val="none" w:sz="0" w:space="0" w:color="auto"/>
          </w:divBdr>
        </w:div>
      </w:divsChild>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5453450">
      <w:bodyDiv w:val="1"/>
      <w:marLeft w:val="0"/>
      <w:marRight w:val="0"/>
      <w:marTop w:val="0"/>
      <w:marBottom w:val="0"/>
      <w:divBdr>
        <w:top w:val="none" w:sz="0" w:space="0" w:color="auto"/>
        <w:left w:val="none" w:sz="0" w:space="0" w:color="auto"/>
        <w:bottom w:val="none" w:sz="0" w:space="0" w:color="auto"/>
        <w:right w:val="none" w:sz="0" w:space="0" w:color="auto"/>
      </w:divBdr>
      <w:divsChild>
        <w:div w:id="320473566">
          <w:marLeft w:val="547"/>
          <w:marRight w:val="0"/>
          <w:marTop w:val="200"/>
          <w:marBottom w:val="0"/>
          <w:divBdr>
            <w:top w:val="none" w:sz="0" w:space="0" w:color="auto"/>
            <w:left w:val="none" w:sz="0" w:space="0" w:color="auto"/>
            <w:bottom w:val="none" w:sz="0" w:space="0" w:color="auto"/>
            <w:right w:val="none" w:sz="0" w:space="0" w:color="auto"/>
          </w:divBdr>
        </w:div>
        <w:div w:id="1951008161">
          <w:marLeft w:val="1166"/>
          <w:marRight w:val="0"/>
          <w:marTop w:val="100"/>
          <w:marBottom w:val="0"/>
          <w:divBdr>
            <w:top w:val="none" w:sz="0" w:space="0" w:color="auto"/>
            <w:left w:val="none" w:sz="0" w:space="0" w:color="auto"/>
            <w:bottom w:val="none" w:sz="0" w:space="0" w:color="auto"/>
            <w:right w:val="none" w:sz="0" w:space="0" w:color="auto"/>
          </w:divBdr>
        </w:div>
        <w:div w:id="487673411">
          <w:marLeft w:val="1800"/>
          <w:marRight w:val="0"/>
          <w:marTop w:val="100"/>
          <w:marBottom w:val="0"/>
          <w:divBdr>
            <w:top w:val="none" w:sz="0" w:space="0" w:color="auto"/>
            <w:left w:val="none" w:sz="0" w:space="0" w:color="auto"/>
            <w:bottom w:val="none" w:sz="0" w:space="0" w:color="auto"/>
            <w:right w:val="none" w:sz="0" w:space="0" w:color="auto"/>
          </w:divBdr>
        </w:div>
        <w:div w:id="1469127144">
          <w:marLeft w:val="1800"/>
          <w:marRight w:val="0"/>
          <w:marTop w:val="100"/>
          <w:marBottom w:val="0"/>
          <w:divBdr>
            <w:top w:val="none" w:sz="0" w:space="0" w:color="auto"/>
            <w:left w:val="none" w:sz="0" w:space="0" w:color="auto"/>
            <w:bottom w:val="none" w:sz="0" w:space="0" w:color="auto"/>
            <w:right w:val="none" w:sz="0" w:space="0" w:color="auto"/>
          </w:divBdr>
        </w:div>
        <w:div w:id="1721054483">
          <w:marLeft w:val="1800"/>
          <w:marRight w:val="0"/>
          <w:marTop w:val="100"/>
          <w:marBottom w:val="0"/>
          <w:divBdr>
            <w:top w:val="none" w:sz="0" w:space="0" w:color="auto"/>
            <w:left w:val="none" w:sz="0" w:space="0" w:color="auto"/>
            <w:bottom w:val="none" w:sz="0" w:space="0" w:color="auto"/>
            <w:right w:val="none" w:sz="0" w:space="0" w:color="auto"/>
          </w:divBdr>
        </w:div>
        <w:div w:id="1969969063">
          <w:marLeft w:val="1166"/>
          <w:marRight w:val="0"/>
          <w:marTop w:val="100"/>
          <w:marBottom w:val="0"/>
          <w:divBdr>
            <w:top w:val="none" w:sz="0" w:space="0" w:color="auto"/>
            <w:left w:val="none" w:sz="0" w:space="0" w:color="auto"/>
            <w:bottom w:val="none" w:sz="0" w:space="0" w:color="auto"/>
            <w:right w:val="none" w:sz="0" w:space="0" w:color="auto"/>
          </w:divBdr>
        </w:div>
        <w:div w:id="940067453">
          <w:marLeft w:val="1886"/>
          <w:marRight w:val="0"/>
          <w:marTop w:val="100"/>
          <w:marBottom w:val="0"/>
          <w:divBdr>
            <w:top w:val="none" w:sz="0" w:space="0" w:color="auto"/>
            <w:left w:val="none" w:sz="0" w:space="0" w:color="auto"/>
            <w:bottom w:val="none" w:sz="0" w:space="0" w:color="auto"/>
            <w:right w:val="none" w:sz="0" w:space="0" w:color="auto"/>
          </w:divBdr>
        </w:div>
        <w:div w:id="173687898">
          <w:marLeft w:val="1166"/>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502429339">
          <w:marLeft w:val="360"/>
          <w:marRight w:val="0"/>
          <w:marTop w:val="2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6470355">
          <w:marLeft w:val="108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sChild>
        <w:div w:id="1903132493">
          <w:marLeft w:val="547"/>
          <w:marRight w:val="0"/>
          <w:marTop w:val="200"/>
          <w:marBottom w:val="0"/>
          <w:divBdr>
            <w:top w:val="none" w:sz="0" w:space="0" w:color="auto"/>
            <w:left w:val="none" w:sz="0" w:space="0" w:color="auto"/>
            <w:bottom w:val="none" w:sz="0" w:space="0" w:color="auto"/>
            <w:right w:val="none" w:sz="0" w:space="0" w:color="auto"/>
          </w:divBdr>
        </w:div>
        <w:div w:id="931859849">
          <w:marLeft w:val="1166"/>
          <w:marRight w:val="0"/>
          <w:marTop w:val="100"/>
          <w:marBottom w:val="0"/>
          <w:divBdr>
            <w:top w:val="none" w:sz="0" w:space="0" w:color="auto"/>
            <w:left w:val="none" w:sz="0" w:space="0" w:color="auto"/>
            <w:bottom w:val="none" w:sz="0" w:space="0" w:color="auto"/>
            <w:right w:val="none" w:sz="0" w:space="0" w:color="auto"/>
          </w:divBdr>
        </w:div>
        <w:div w:id="520781569">
          <w:marLeft w:val="1800"/>
          <w:marRight w:val="0"/>
          <w:marTop w:val="100"/>
          <w:marBottom w:val="0"/>
          <w:divBdr>
            <w:top w:val="none" w:sz="0" w:space="0" w:color="auto"/>
            <w:left w:val="none" w:sz="0" w:space="0" w:color="auto"/>
            <w:bottom w:val="none" w:sz="0" w:space="0" w:color="auto"/>
            <w:right w:val="none" w:sz="0" w:space="0" w:color="auto"/>
          </w:divBdr>
        </w:div>
        <w:div w:id="1860698297">
          <w:marLeft w:val="1800"/>
          <w:marRight w:val="0"/>
          <w:marTop w:val="100"/>
          <w:marBottom w:val="0"/>
          <w:divBdr>
            <w:top w:val="none" w:sz="0" w:space="0" w:color="auto"/>
            <w:left w:val="none" w:sz="0" w:space="0" w:color="auto"/>
            <w:bottom w:val="none" w:sz="0" w:space="0" w:color="auto"/>
            <w:right w:val="none" w:sz="0" w:space="0" w:color="auto"/>
          </w:divBdr>
        </w:div>
        <w:div w:id="1561864082">
          <w:marLeft w:val="1800"/>
          <w:marRight w:val="0"/>
          <w:marTop w:val="100"/>
          <w:marBottom w:val="0"/>
          <w:divBdr>
            <w:top w:val="none" w:sz="0" w:space="0" w:color="auto"/>
            <w:left w:val="none" w:sz="0" w:space="0" w:color="auto"/>
            <w:bottom w:val="none" w:sz="0" w:space="0" w:color="auto"/>
            <w:right w:val="none" w:sz="0" w:space="0" w:color="auto"/>
          </w:divBdr>
        </w:div>
        <w:div w:id="1134060875">
          <w:marLeft w:val="1166"/>
          <w:marRight w:val="0"/>
          <w:marTop w:val="100"/>
          <w:marBottom w:val="0"/>
          <w:divBdr>
            <w:top w:val="none" w:sz="0" w:space="0" w:color="auto"/>
            <w:left w:val="none" w:sz="0" w:space="0" w:color="auto"/>
            <w:bottom w:val="none" w:sz="0" w:space="0" w:color="auto"/>
            <w:right w:val="none" w:sz="0" w:space="0" w:color="auto"/>
          </w:divBdr>
        </w:div>
        <w:div w:id="285964381">
          <w:marLeft w:val="1886"/>
          <w:marRight w:val="0"/>
          <w:marTop w:val="100"/>
          <w:marBottom w:val="0"/>
          <w:divBdr>
            <w:top w:val="none" w:sz="0" w:space="0" w:color="auto"/>
            <w:left w:val="none" w:sz="0" w:space="0" w:color="auto"/>
            <w:bottom w:val="none" w:sz="0" w:space="0" w:color="auto"/>
            <w:right w:val="none" w:sz="0" w:space="0" w:color="auto"/>
          </w:divBdr>
        </w:div>
        <w:div w:id="1216157260">
          <w:marLeft w:val="1166"/>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customXml/itemProps4.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TotalTime>
  <Pages>3</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17377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15</cp:revision>
  <cp:lastPrinted>2022-01-05T12:49:00Z</cp:lastPrinted>
  <dcterms:created xsi:type="dcterms:W3CDTF">2023-04-05T13:58:00Z</dcterms:created>
  <dcterms:modified xsi:type="dcterms:W3CDTF">2023-04-07T21:01:00Z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