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5D3A914" w14:textId="429DB5D4" w:rsidR="001323C4" w:rsidRDefault="00000000">
      <w:pPr>
        <w:tabs>
          <w:tab w:val="right" w:pos="9216"/>
        </w:tabs>
        <w:spacing w:after="0"/>
        <w:jc w:val="left"/>
      </w:pPr>
      <w:r>
        <w:rPr>
          <w:b/>
          <w:bCs/>
          <w:kern w:val="2"/>
        </w:rPr>
        <w:t>3GPP TSG RAN WG1 #112bis-e</w:t>
      </w:r>
      <w:r>
        <w:rPr>
          <w:b/>
          <w:kern w:val="2"/>
        </w:rPr>
        <w:tab/>
      </w:r>
      <w:r w:rsidR="00954E35" w:rsidRPr="00954E35">
        <w:rPr>
          <w:b/>
          <w:bCs/>
          <w:kern w:val="2"/>
        </w:rPr>
        <w:t>R1-2303303</w:t>
      </w:r>
    </w:p>
    <w:p w14:paraId="140A3D0F" w14:textId="77777777" w:rsidR="001323C4" w:rsidRDefault="00000000">
      <w:pPr>
        <w:tabs>
          <w:tab w:val="center" w:pos="4536"/>
          <w:tab w:val="right" w:pos="9072"/>
        </w:tabs>
        <w:spacing w:after="0"/>
        <w:jc w:val="left"/>
        <w:rPr>
          <w:b/>
          <w:bCs/>
        </w:rPr>
      </w:pPr>
      <w:r>
        <w:rPr>
          <w:b/>
          <w:bCs/>
          <w:kern w:val="2"/>
        </w:rPr>
        <w:t>e-Meeting, April 17</w:t>
      </w:r>
      <w:r>
        <w:rPr>
          <w:b/>
          <w:bCs/>
          <w:kern w:val="2"/>
          <w:vertAlign w:val="superscript"/>
        </w:rPr>
        <w:t>th</w:t>
      </w:r>
      <w:r>
        <w:rPr>
          <w:b/>
          <w:bCs/>
          <w:kern w:val="2"/>
        </w:rPr>
        <w:t xml:space="preserve"> – April 26</w:t>
      </w:r>
      <w:r>
        <w:rPr>
          <w:b/>
          <w:bCs/>
          <w:kern w:val="2"/>
          <w:vertAlign w:val="superscript"/>
        </w:rPr>
        <w:t>th</w:t>
      </w:r>
      <w:r>
        <w:rPr>
          <w:b/>
          <w:bCs/>
          <w:kern w:val="2"/>
        </w:rPr>
        <w:t>, 2023</w:t>
      </w:r>
    </w:p>
    <w:p w14:paraId="67D5254A" w14:textId="77777777" w:rsidR="001323C4" w:rsidRDefault="001323C4">
      <w:pPr>
        <w:pBdr>
          <w:top w:val="single" w:sz="4" w:space="1" w:color="000000"/>
        </w:pBdr>
        <w:spacing w:after="0"/>
        <w:jc w:val="left"/>
        <w:rPr>
          <w:b/>
          <w:kern w:val="2"/>
          <w:sz w:val="16"/>
          <w:szCs w:val="16"/>
        </w:rPr>
      </w:pPr>
    </w:p>
    <w:p w14:paraId="7704749A" w14:textId="77777777" w:rsidR="001323C4" w:rsidRDefault="00000000">
      <w:pPr>
        <w:spacing w:after="60"/>
        <w:ind w:left="1555" w:hanging="1555"/>
        <w:jc w:val="left"/>
      </w:pPr>
      <w:r>
        <w:rPr>
          <w:b/>
          <w:kern w:val="2"/>
        </w:rPr>
        <w:t>Agenda Item:</w:t>
      </w:r>
      <w:r>
        <w:rPr>
          <w:b/>
          <w:kern w:val="2"/>
        </w:rPr>
        <w:tab/>
        <w:t>9.3.2</w:t>
      </w:r>
    </w:p>
    <w:p w14:paraId="00FA274B" w14:textId="77777777" w:rsidR="001323C4" w:rsidRDefault="00000000">
      <w:pPr>
        <w:spacing w:after="60"/>
        <w:ind w:left="1555" w:hanging="1555"/>
        <w:jc w:val="left"/>
      </w:pPr>
      <w:r>
        <w:rPr>
          <w:b/>
          <w:kern w:val="2"/>
        </w:rPr>
        <w:t>Source:</w:t>
      </w:r>
      <w:r>
        <w:rPr>
          <w:b/>
          <w:kern w:val="2"/>
        </w:rPr>
        <w:tab/>
        <w:t>CEWiT</w:t>
      </w:r>
    </w:p>
    <w:p w14:paraId="17C218BA" w14:textId="77777777" w:rsidR="001323C4" w:rsidRDefault="00000000">
      <w:pPr>
        <w:spacing w:after="60"/>
        <w:ind w:left="1555" w:hanging="1555"/>
        <w:jc w:val="left"/>
      </w:pPr>
      <w:r>
        <w:rPr>
          <w:b/>
          <w:bCs/>
          <w:kern w:val="2"/>
        </w:rPr>
        <w:t>Title:</w:t>
      </w:r>
      <w:r>
        <w:rPr>
          <w:b/>
          <w:kern w:val="2"/>
        </w:rPr>
        <w:tab/>
      </w:r>
      <w:r>
        <w:rPr>
          <w:b/>
          <w:bCs/>
          <w:kern w:val="2"/>
        </w:rPr>
        <w:t xml:space="preserve">Discussion on </w:t>
      </w:r>
      <w:proofErr w:type="spellStart"/>
      <w:r>
        <w:rPr>
          <w:b/>
          <w:bCs/>
          <w:kern w:val="2"/>
        </w:rPr>
        <w:t>s</w:t>
      </w:r>
      <w:r>
        <w:rPr>
          <w:rFonts w:eastAsia="Malgun Gothic"/>
          <w:b/>
          <w:bCs/>
          <w:kern w:val="2"/>
          <w:lang w:eastAsia="ko-KR"/>
        </w:rPr>
        <w:t>ubband</w:t>
      </w:r>
      <w:proofErr w:type="spellEnd"/>
      <w:r>
        <w:rPr>
          <w:rFonts w:eastAsia="Malgun Gothic"/>
          <w:b/>
          <w:bCs/>
          <w:kern w:val="2"/>
          <w:lang w:eastAsia="ko-KR"/>
        </w:rPr>
        <w:t xml:space="preserve"> non-overlapping full duplex</w:t>
      </w:r>
    </w:p>
    <w:p w14:paraId="0C3B5F0E" w14:textId="77777777" w:rsidR="001323C4" w:rsidRDefault="00000000">
      <w:pPr>
        <w:spacing w:after="60"/>
        <w:ind w:left="1555" w:hanging="1555"/>
        <w:jc w:val="left"/>
      </w:pPr>
      <w:r>
        <w:rPr>
          <w:b/>
          <w:kern w:val="2"/>
        </w:rPr>
        <w:t>Document for:</w:t>
      </w:r>
      <w:r>
        <w:rPr>
          <w:b/>
          <w:kern w:val="2"/>
        </w:rPr>
        <w:tab/>
        <w:t xml:space="preserve">Discussion </w:t>
      </w:r>
    </w:p>
    <w:p w14:paraId="5CBA6600" w14:textId="77777777" w:rsidR="001323C4" w:rsidRDefault="001323C4">
      <w:pPr>
        <w:pBdr>
          <w:bottom w:val="single" w:sz="4" w:space="1" w:color="000000"/>
        </w:pBdr>
        <w:spacing w:after="0"/>
        <w:jc w:val="left"/>
        <w:rPr>
          <w:b/>
          <w:kern w:val="2"/>
          <w:sz w:val="16"/>
          <w:szCs w:val="16"/>
        </w:rPr>
      </w:pPr>
    </w:p>
    <w:p w14:paraId="75E80240" w14:textId="77777777" w:rsidR="001323C4" w:rsidRDefault="00000000">
      <w:pPr>
        <w:pStyle w:val="Heading1"/>
        <w:numPr>
          <w:ilvl w:val="0"/>
          <w:numId w:val="2"/>
        </w:numPr>
      </w:pPr>
      <w:bookmarkStart w:id="0" w:name="_Ref129681862"/>
      <w:bookmarkStart w:id="1" w:name="_Ref124589705"/>
      <w:r>
        <w:t>Introduction</w:t>
      </w:r>
      <w:bookmarkEnd w:id="0"/>
      <w:bookmarkEnd w:id="1"/>
    </w:p>
    <w:p w14:paraId="60AB3727" w14:textId="2A754B49" w:rsidR="001323C4" w:rsidRDefault="00000000">
      <w:r>
        <w:t xml:space="preserve">A new study item on “Study on evolution of NR duplex operation” was approved in RAN#94-e [1]. The discussions started in </w:t>
      </w:r>
      <w:r w:rsidR="00D46E27">
        <w:t>meeting</w:t>
      </w:r>
      <w:r>
        <w:t xml:space="preserve"> RAN1#109-e. </w:t>
      </w:r>
      <w:r>
        <w:rPr>
          <w:rFonts w:eastAsia="Times New Roman"/>
          <w:lang w:eastAsia="en-US"/>
        </w:rPr>
        <w:t xml:space="preserve">This contribution discusses the potential areas of study related to </w:t>
      </w:r>
      <w:r>
        <w:rPr>
          <w:rFonts w:eastAsia="Malgun Gothic"/>
          <w:kern w:val="2"/>
          <w:lang w:eastAsia="ko-KR"/>
        </w:rPr>
        <w:t xml:space="preserve">non-overlapping </w:t>
      </w:r>
      <w:proofErr w:type="spellStart"/>
      <w:r>
        <w:rPr>
          <w:rFonts w:eastAsia="Times New Roman"/>
          <w:lang w:eastAsia="en-US"/>
        </w:rPr>
        <w:t>s</w:t>
      </w:r>
      <w:r>
        <w:rPr>
          <w:rFonts w:eastAsia="Malgun Gothic"/>
          <w:kern w:val="2"/>
          <w:lang w:eastAsia="ko-KR"/>
        </w:rPr>
        <w:t>ubband</w:t>
      </w:r>
      <w:proofErr w:type="spellEnd"/>
      <w:r>
        <w:rPr>
          <w:rFonts w:eastAsia="Malgun Gothic"/>
          <w:kern w:val="2"/>
          <w:lang w:eastAsia="ko-KR"/>
        </w:rPr>
        <w:t xml:space="preserve"> full duplex (SBFD). </w:t>
      </w:r>
      <w:bookmarkStart w:id="2" w:name="_Ref129681832"/>
    </w:p>
    <w:p w14:paraId="236FAE35" w14:textId="05EB8F4B" w:rsidR="001323C4" w:rsidRDefault="00BC5957">
      <w:pPr>
        <w:pStyle w:val="Heading1"/>
        <w:numPr>
          <w:ilvl w:val="0"/>
          <w:numId w:val="2"/>
        </w:numPr>
      </w:pPr>
      <w:r>
        <w:t>Enhancements for configuring Sub-</w:t>
      </w:r>
      <w:proofErr w:type="gramStart"/>
      <w:r>
        <w:t>band</w:t>
      </w:r>
      <w:proofErr w:type="gramEnd"/>
      <w:r>
        <w:t xml:space="preserve"> </w:t>
      </w:r>
    </w:p>
    <w:p w14:paraId="0E7AF555" w14:textId="2C927B67" w:rsidR="001323C4" w:rsidRDefault="00000000">
      <w:r>
        <w:rPr>
          <w:color w:val="000000" w:themeColor="text1"/>
        </w:rPr>
        <w:t xml:space="preserve">A node capable of non-overlapping SBFD, can transmit and receive simultaneously in different sub-bands (SBs) in frequency domain. Thus, a </w:t>
      </w:r>
      <w:proofErr w:type="spellStart"/>
      <w:r>
        <w:rPr>
          <w:color w:val="000000" w:themeColor="text1"/>
        </w:rPr>
        <w:t>gNB</w:t>
      </w:r>
      <w:proofErr w:type="spellEnd"/>
      <w:r>
        <w:rPr>
          <w:color w:val="000000" w:themeColor="text1"/>
        </w:rPr>
        <w:t xml:space="preserve"> capable of SBFD can perform DL and UL at the same time but different sub-bands within the same carrier. In this contribution, we focus on only SBFD operation within a TDD carrier according to the </w:t>
      </w:r>
      <w:r w:rsidR="00D46E27">
        <w:rPr>
          <w:color w:val="000000" w:themeColor="text1"/>
        </w:rPr>
        <w:t xml:space="preserve">following </w:t>
      </w:r>
      <w:r>
        <w:rPr>
          <w:color w:val="000000" w:themeColor="text1"/>
        </w:rPr>
        <w:t>agreement in RAN1#109-e [2].</w:t>
      </w:r>
    </w:p>
    <w:p w14:paraId="1E227BB2" w14:textId="77777777" w:rsidR="001323C4" w:rsidRDefault="00000000">
      <w:pPr>
        <w:rPr>
          <w:i/>
          <w:iCs/>
        </w:rPr>
      </w:pPr>
      <w:r>
        <w:rPr>
          <w:b/>
          <w:bCs/>
          <w:i/>
          <w:iCs/>
          <w:sz w:val="20"/>
          <w:szCs w:val="20"/>
          <w:highlight w:val="green"/>
          <w:lang w:eastAsia="ko-KR"/>
        </w:rPr>
        <w:t>Agreement</w:t>
      </w:r>
    </w:p>
    <w:p w14:paraId="2BF02FE3" w14:textId="77777777" w:rsidR="001323C4" w:rsidRDefault="00000000">
      <w:pPr>
        <w:rPr>
          <w:i/>
          <w:iCs/>
        </w:rPr>
      </w:pPr>
      <w:r>
        <w:rPr>
          <w:rFonts w:eastAsia="Malgun Gothic"/>
          <w:i/>
          <w:iCs/>
          <w:color w:val="000000" w:themeColor="text1"/>
          <w:sz w:val="20"/>
          <w:szCs w:val="20"/>
        </w:rPr>
        <w:t>At least study SBFD operation within a TDD carrier.</w:t>
      </w:r>
    </w:p>
    <w:p w14:paraId="02FAA694" w14:textId="12D223FF" w:rsidR="00C42F2D" w:rsidRDefault="00000000" w:rsidP="00C42F2D">
      <w:r>
        <w:rPr>
          <w:color w:val="000000" w:themeColor="text1"/>
        </w:rPr>
        <w:t>Fig. 1 shows an UL SB in the middle part of the carrier</w:t>
      </w:r>
      <w:r w:rsidR="006F61E4">
        <w:rPr>
          <w:color w:val="000000" w:themeColor="text1"/>
        </w:rPr>
        <w:t>, whereas Fig. 2 illustrates another scenario in which the UL SB is at one side of the carrier.</w:t>
      </w:r>
      <w:r w:rsidR="006F61E4">
        <w:rPr>
          <w:color w:val="000000" w:themeColor="text1"/>
          <w:sz w:val="20"/>
          <w:szCs w:val="20"/>
          <w:lang w:eastAsia="ko-KR"/>
        </w:rPr>
        <w:t xml:space="preserve"> </w:t>
      </w:r>
      <w:r w:rsidR="00D46E27">
        <w:rPr>
          <w:color w:val="000000" w:themeColor="text1"/>
        </w:rPr>
        <w:t xml:space="preserve">Consider a scenario where BWP 1 in Fig. 1 is provided as a DL BWP to a UE. In that case, the complete UL SB </w:t>
      </w:r>
      <w:r w:rsidR="006F61E4">
        <w:rPr>
          <w:color w:val="000000" w:themeColor="text1"/>
        </w:rPr>
        <w:t>and two guard bands are</w:t>
      </w:r>
      <w:r w:rsidR="00D46E27">
        <w:rPr>
          <w:color w:val="000000" w:themeColor="text1"/>
        </w:rPr>
        <w:t xml:space="preserve"> within the BWP given to the UE. </w:t>
      </w:r>
      <w:r w:rsidR="006F61E4">
        <w:rPr>
          <w:color w:val="000000" w:themeColor="text1"/>
        </w:rPr>
        <w:t xml:space="preserve">Similarly, BWP 2 can be another way of providing a DL BWP to a UE, where a part of the UL SB and only one guard band is contained within the BWP. Again, BWP 3 in Fig. 2, contains a part of the UL SB and only one guard band. </w:t>
      </w:r>
      <w:r w:rsidR="00D46E27">
        <w:rPr>
          <w:color w:val="000000" w:themeColor="text1"/>
        </w:rPr>
        <w:t xml:space="preserve">In SBFD, the </w:t>
      </w:r>
      <w:proofErr w:type="spellStart"/>
      <w:r w:rsidR="00D46E27">
        <w:rPr>
          <w:color w:val="000000" w:themeColor="text1"/>
        </w:rPr>
        <w:t>gNB</w:t>
      </w:r>
      <w:proofErr w:type="spellEnd"/>
      <w:r w:rsidR="00D46E27">
        <w:rPr>
          <w:color w:val="000000" w:themeColor="text1"/>
        </w:rPr>
        <w:t xml:space="preserve"> is not expected to perform DL operation within the UL SB. Hence, the </w:t>
      </w:r>
      <w:r w:rsidR="006F61E4">
        <w:rPr>
          <w:color w:val="000000" w:themeColor="text1"/>
        </w:rPr>
        <w:t xml:space="preserve">portion of DL BWP overlapping with UL SB and guard band will be deactivated for the UE. The </w:t>
      </w:r>
      <w:r w:rsidR="00C42F2D">
        <w:rPr>
          <w:color w:val="000000" w:themeColor="text1"/>
        </w:rPr>
        <w:t xml:space="preserve">SBFD aware </w:t>
      </w:r>
      <w:r w:rsidR="00D46E27">
        <w:rPr>
          <w:color w:val="000000" w:themeColor="text1"/>
        </w:rPr>
        <w:t>UE should be aware of the UL SB and the guard band to avoid unnecessary monitoring for DL reception in the portion of DL BWP overlapping with UL SB</w:t>
      </w:r>
      <w:r w:rsidR="006F61E4">
        <w:rPr>
          <w:color w:val="000000" w:themeColor="text1"/>
        </w:rPr>
        <w:t xml:space="preserve"> and guard band</w:t>
      </w:r>
      <w:r w:rsidR="00D46E27">
        <w:rPr>
          <w:color w:val="000000" w:themeColor="text1"/>
        </w:rPr>
        <w:t xml:space="preserve">. </w:t>
      </w:r>
      <w:r w:rsidR="00C42F2D">
        <w:rPr>
          <w:color w:val="000000" w:themeColor="text1"/>
        </w:rPr>
        <w:t xml:space="preserve">The frequency domain location of the full UL SB can be provided to the UE. The frequency domain location can be provided as a combination of the starting subcarrier of the UL SB and the bandwidth in terms of subcarriers/RBs/RBGs. The information can be provided as cell specific signal. </w:t>
      </w:r>
    </w:p>
    <w:p w14:paraId="6C4EDCFA" w14:textId="64D539E1" w:rsidR="00D46E27" w:rsidRDefault="00D46E27">
      <w:pPr>
        <w:rPr>
          <w:color w:val="000000" w:themeColor="text1"/>
        </w:rPr>
      </w:pPr>
    </w:p>
    <w:p w14:paraId="3C77CB57" w14:textId="37424E18" w:rsidR="001323C4" w:rsidRDefault="00000000">
      <w:pPr>
        <w:ind w:firstLine="720"/>
        <w:jc w:val="center"/>
        <w:rPr>
          <w:color w:val="000000" w:themeColor="text1"/>
          <w:sz w:val="20"/>
          <w:szCs w:val="20"/>
          <w:lang w:eastAsia="ko-KR"/>
        </w:rPr>
      </w:pPr>
      <w:r>
        <w:rPr>
          <w:noProof/>
        </w:rPr>
        <w:drawing>
          <wp:anchor distT="0" distB="0" distL="0" distR="0" simplePos="0" relativeHeight="251657728" behindDoc="0" locked="0" layoutInCell="1" allowOverlap="1" wp14:anchorId="338040D2" wp14:editId="5A437DD2">
            <wp:simplePos x="0" y="0"/>
            <wp:positionH relativeFrom="column">
              <wp:align>center</wp:align>
            </wp:positionH>
            <wp:positionV relativeFrom="paragraph">
              <wp:posOffset>635</wp:posOffset>
            </wp:positionV>
            <wp:extent cx="3061970" cy="1887855"/>
            <wp:effectExtent l="0" t="0" r="0" b="0"/>
            <wp:wrapTopAndBottom/>
            <wp:docPr id="1"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pic:cNvPicPr>
                      <a:picLocks noChangeAspect="1" noChangeArrowheads="1"/>
                    </pic:cNvPicPr>
                  </pic:nvPicPr>
                  <pic:blipFill>
                    <a:blip r:embed="rId5"/>
                    <a:stretch>
                      <a:fillRect/>
                    </a:stretch>
                  </pic:blipFill>
                  <pic:spPr bwMode="auto">
                    <a:xfrm>
                      <a:off x="0" y="0"/>
                      <a:ext cx="3061970" cy="1887855"/>
                    </a:xfrm>
                    <a:prstGeom prst="rect">
                      <a:avLst/>
                    </a:prstGeom>
                  </pic:spPr>
                </pic:pic>
              </a:graphicData>
            </a:graphic>
          </wp:anchor>
        </w:drawing>
      </w:r>
      <w:r>
        <w:rPr>
          <w:color w:val="000000" w:themeColor="text1"/>
          <w:sz w:val="20"/>
          <w:szCs w:val="20"/>
          <w:lang w:eastAsia="ko-KR"/>
        </w:rPr>
        <w:t>Fig. 1</w:t>
      </w:r>
      <w:r w:rsidR="00D46E27">
        <w:rPr>
          <w:color w:val="000000" w:themeColor="text1"/>
          <w:sz w:val="20"/>
          <w:szCs w:val="20"/>
          <w:lang w:eastAsia="ko-KR"/>
        </w:rPr>
        <w:t>:</w:t>
      </w:r>
      <w:r>
        <w:rPr>
          <w:color w:val="000000" w:themeColor="text1"/>
          <w:sz w:val="20"/>
          <w:szCs w:val="20"/>
          <w:lang w:eastAsia="ko-KR"/>
        </w:rPr>
        <w:t xml:space="preserve">  UL SB in middle part of carrier</w:t>
      </w:r>
    </w:p>
    <w:p w14:paraId="05BAB41B" w14:textId="77777777" w:rsidR="006F61E4" w:rsidRDefault="006F61E4" w:rsidP="006F61E4"/>
    <w:p w14:paraId="5AC09F72" w14:textId="66FCDA08" w:rsidR="001323C4" w:rsidRDefault="00000000">
      <w:pPr>
        <w:ind w:firstLine="720"/>
        <w:jc w:val="center"/>
      </w:pPr>
      <w:r>
        <w:rPr>
          <w:noProof/>
        </w:rPr>
        <w:lastRenderedPageBreak/>
        <w:drawing>
          <wp:anchor distT="0" distB="0" distL="0" distR="0" simplePos="0" relativeHeight="251660800" behindDoc="0" locked="0" layoutInCell="1" allowOverlap="1" wp14:anchorId="6A3ED0B5" wp14:editId="06D98D6B">
            <wp:simplePos x="0" y="0"/>
            <wp:positionH relativeFrom="column">
              <wp:align>center</wp:align>
            </wp:positionH>
            <wp:positionV relativeFrom="paragraph">
              <wp:posOffset>635</wp:posOffset>
            </wp:positionV>
            <wp:extent cx="2957195" cy="1977390"/>
            <wp:effectExtent l="0" t="0" r="0" b="0"/>
            <wp:wrapTopAndBottom/>
            <wp:docPr id="2"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
                    <pic:cNvPicPr>
                      <a:picLocks noChangeAspect="1" noChangeArrowheads="1"/>
                    </pic:cNvPicPr>
                  </pic:nvPicPr>
                  <pic:blipFill>
                    <a:blip r:embed="rId6"/>
                    <a:stretch>
                      <a:fillRect/>
                    </a:stretch>
                  </pic:blipFill>
                  <pic:spPr bwMode="auto">
                    <a:xfrm>
                      <a:off x="0" y="0"/>
                      <a:ext cx="2957195" cy="1977390"/>
                    </a:xfrm>
                    <a:prstGeom prst="rect">
                      <a:avLst/>
                    </a:prstGeom>
                  </pic:spPr>
                </pic:pic>
              </a:graphicData>
            </a:graphic>
          </wp:anchor>
        </w:drawing>
      </w:r>
      <w:r>
        <w:rPr>
          <w:color w:val="000000" w:themeColor="text1"/>
          <w:sz w:val="20"/>
          <w:szCs w:val="20"/>
          <w:lang w:eastAsia="ko-KR"/>
        </w:rPr>
        <w:t>Fig. 2</w:t>
      </w:r>
      <w:r w:rsidR="00D46E27">
        <w:rPr>
          <w:color w:val="000000" w:themeColor="text1"/>
          <w:sz w:val="20"/>
          <w:szCs w:val="20"/>
          <w:lang w:eastAsia="ko-KR"/>
        </w:rPr>
        <w:t>:</w:t>
      </w:r>
      <w:r>
        <w:rPr>
          <w:color w:val="000000" w:themeColor="text1"/>
          <w:sz w:val="20"/>
          <w:szCs w:val="20"/>
          <w:lang w:eastAsia="ko-KR"/>
        </w:rPr>
        <w:t xml:space="preserve">  UL SB at one end of carrier</w:t>
      </w:r>
    </w:p>
    <w:p w14:paraId="2AB1C643" w14:textId="1209D3C1" w:rsidR="001323C4" w:rsidRDefault="001323C4"/>
    <w:p w14:paraId="010FB6C2" w14:textId="5E539E75" w:rsidR="001323C4" w:rsidRDefault="00000000">
      <w:r>
        <w:rPr>
          <w:b/>
          <w:bCs/>
          <w:color w:val="000000" w:themeColor="text1"/>
        </w:rPr>
        <w:t xml:space="preserve">Observation 1: </w:t>
      </w:r>
      <w:r w:rsidR="006F61E4">
        <w:rPr>
          <w:b/>
          <w:bCs/>
          <w:color w:val="000000" w:themeColor="text1"/>
        </w:rPr>
        <w:t xml:space="preserve">DL </w:t>
      </w:r>
      <w:r>
        <w:rPr>
          <w:b/>
          <w:bCs/>
          <w:color w:val="000000" w:themeColor="text1"/>
        </w:rPr>
        <w:t xml:space="preserve">BWPs allocated to UEs </w:t>
      </w:r>
      <w:r w:rsidR="006F61E4">
        <w:rPr>
          <w:b/>
          <w:bCs/>
          <w:color w:val="000000" w:themeColor="text1"/>
        </w:rPr>
        <w:t xml:space="preserve">overlaps partially or fully with </w:t>
      </w:r>
      <w:r>
        <w:rPr>
          <w:b/>
          <w:bCs/>
          <w:color w:val="000000" w:themeColor="text1"/>
        </w:rPr>
        <w:t>the UL SB</w:t>
      </w:r>
      <w:r w:rsidR="00C42F2D">
        <w:rPr>
          <w:b/>
          <w:bCs/>
          <w:color w:val="000000" w:themeColor="text1"/>
        </w:rPr>
        <w:t xml:space="preserve"> and creates unnecessary monitoring at the UE</w:t>
      </w:r>
      <w:r>
        <w:rPr>
          <w:b/>
          <w:bCs/>
          <w:color w:val="000000" w:themeColor="text1"/>
        </w:rPr>
        <w:t xml:space="preserve">. </w:t>
      </w:r>
    </w:p>
    <w:p w14:paraId="67132502" w14:textId="450D260C" w:rsidR="001323C4" w:rsidRDefault="00000000">
      <w:pPr>
        <w:rPr>
          <w:b/>
          <w:bCs/>
          <w:color w:val="000000" w:themeColor="text1"/>
        </w:rPr>
      </w:pPr>
      <w:r>
        <w:rPr>
          <w:b/>
          <w:bCs/>
          <w:color w:val="000000" w:themeColor="text1"/>
        </w:rPr>
        <w:t xml:space="preserve">Proposal 1: </w:t>
      </w:r>
      <w:r w:rsidR="00273D87">
        <w:rPr>
          <w:rStyle w:val="cf01"/>
        </w:rPr>
        <w:t xml:space="preserve">Proposal 1: The frequency domain location of the full UL SB is provided to the SBFD aware UE in terms of starting RB and number of </w:t>
      </w:r>
      <w:r w:rsidR="00853CDD">
        <w:rPr>
          <w:rStyle w:val="cf01"/>
        </w:rPr>
        <w:t>RBs.</w:t>
      </w:r>
    </w:p>
    <w:p w14:paraId="57099999" w14:textId="7E754719" w:rsidR="002F7AAA" w:rsidRDefault="00C42F2D">
      <w:r w:rsidRPr="002F7AAA">
        <w:rPr>
          <w:color w:val="000000" w:themeColor="text1"/>
        </w:rPr>
        <w:t xml:space="preserve">Similarly, </w:t>
      </w:r>
      <w:r w:rsidR="002F7AAA" w:rsidRPr="002F7AAA">
        <w:rPr>
          <w:color w:val="000000" w:themeColor="text1"/>
          <w:lang w:val="en-IN"/>
        </w:rPr>
        <w:t xml:space="preserve">the SBFD operation can be enabled for a set of time resources, in which the </w:t>
      </w:r>
      <w:r w:rsidR="002F7AAA">
        <w:rPr>
          <w:color w:val="000000" w:themeColor="text1"/>
          <w:lang w:val="en-IN"/>
        </w:rPr>
        <w:t>UL SB</w:t>
      </w:r>
      <w:r w:rsidR="002F7AAA" w:rsidRPr="002F7AAA">
        <w:rPr>
          <w:color w:val="000000" w:themeColor="text1"/>
          <w:lang w:val="en-IN"/>
        </w:rPr>
        <w:t xml:space="preserve"> is active. </w:t>
      </w:r>
      <w:r w:rsidR="002F7AAA">
        <w:rPr>
          <w:color w:val="000000" w:themeColor="text1"/>
          <w:lang w:val="en-IN"/>
        </w:rPr>
        <w:t xml:space="preserve">The SBFD aware UE should be aware of the SBFD active time resources to avoid unnecessary monitoring. </w:t>
      </w:r>
      <w:r w:rsidR="00FB76FD">
        <w:t xml:space="preserve">The granularity of the SBFD active time resource can be at symbol level or slot level. The advantage of symbol level granularity is increased flexibility in scheduling, but at the cost of signaling overhead. Similarly, the slot level granularity </w:t>
      </w:r>
      <w:r w:rsidR="00500DC0">
        <w:t xml:space="preserve">reduces signaling but </w:t>
      </w:r>
      <w:r w:rsidR="00FB76FD">
        <w:t xml:space="preserve">impacts flexibility. </w:t>
      </w:r>
      <w:r w:rsidR="00500DC0">
        <w:t>Further, the slot level restricts the activation of SBFD in case a few symbols of the slot are configured for high priority signals. E.g., if SSB is configured in a</w:t>
      </w:r>
      <w:r w:rsidR="00763317">
        <w:t xml:space="preserve"> symbol of the</w:t>
      </w:r>
      <w:r w:rsidR="00500DC0">
        <w:t xml:space="preserve"> slot then the SBFD cannot be activated </w:t>
      </w:r>
      <w:r w:rsidR="00763317">
        <w:t xml:space="preserve">in the entire slot. </w:t>
      </w:r>
      <w:r w:rsidR="00FB76FD">
        <w:t>As a</w:t>
      </w:r>
      <w:r w:rsidR="00763317">
        <w:t>n alternate method</w:t>
      </w:r>
      <w:r w:rsidR="00FB76FD">
        <w:t xml:space="preserve"> the granularity of SBFD active time resource can be resource type within a slot. E.g., the SBFD (or UL SB) is active in DL symbols of </w:t>
      </w:r>
      <w:r w:rsidR="00763317">
        <w:t xml:space="preserve">a </w:t>
      </w:r>
      <w:r w:rsidR="00FB76FD">
        <w:t>slot.</w:t>
      </w:r>
      <w:r w:rsidR="00763317">
        <w:t xml:space="preserve"> </w:t>
      </w:r>
    </w:p>
    <w:p w14:paraId="4357BCEC" w14:textId="56EE53FB" w:rsidR="00763317" w:rsidRDefault="00FB76FD">
      <w:pPr>
        <w:rPr>
          <w:b/>
          <w:bCs/>
        </w:rPr>
      </w:pPr>
      <w:r w:rsidRPr="0089394E">
        <w:rPr>
          <w:b/>
          <w:bCs/>
        </w:rPr>
        <w:t>Observation</w:t>
      </w:r>
      <w:r w:rsidR="007A776F">
        <w:rPr>
          <w:b/>
          <w:bCs/>
        </w:rPr>
        <w:t xml:space="preserve"> 2</w:t>
      </w:r>
      <w:r w:rsidRPr="0089394E">
        <w:rPr>
          <w:b/>
          <w:bCs/>
        </w:rPr>
        <w:t xml:space="preserve">: </w:t>
      </w:r>
      <w:r w:rsidR="00763317">
        <w:rPr>
          <w:b/>
          <w:bCs/>
        </w:rPr>
        <w:t xml:space="preserve">Following observations are made about time granularity of SBFD </w:t>
      </w:r>
      <w:r w:rsidR="00853CDD">
        <w:rPr>
          <w:b/>
          <w:bCs/>
        </w:rPr>
        <w:t>operation.</w:t>
      </w:r>
    </w:p>
    <w:p w14:paraId="5BF02BD8" w14:textId="6F2D64D9" w:rsidR="00FB76FD" w:rsidRPr="00BC5957" w:rsidRDefault="0089394E" w:rsidP="00763317">
      <w:pPr>
        <w:pStyle w:val="ListParagraph"/>
        <w:numPr>
          <w:ilvl w:val="0"/>
          <w:numId w:val="15"/>
        </w:numPr>
        <w:rPr>
          <w:b/>
          <w:bCs/>
        </w:rPr>
      </w:pPr>
      <w:r w:rsidRPr="00BC5957">
        <w:rPr>
          <w:b/>
          <w:bCs/>
        </w:rPr>
        <w:t xml:space="preserve">Symbol level granularity for SBFD active time resource leads to signaling </w:t>
      </w:r>
      <w:r w:rsidR="00853CDD" w:rsidRPr="00BC5957">
        <w:rPr>
          <w:b/>
          <w:bCs/>
        </w:rPr>
        <w:t>overhead.</w:t>
      </w:r>
    </w:p>
    <w:p w14:paraId="7736F459" w14:textId="58461117" w:rsidR="00763317" w:rsidRPr="00BC5957" w:rsidRDefault="00763317" w:rsidP="00763317">
      <w:pPr>
        <w:pStyle w:val="ListParagraph"/>
        <w:numPr>
          <w:ilvl w:val="0"/>
          <w:numId w:val="15"/>
        </w:numPr>
        <w:rPr>
          <w:b/>
          <w:bCs/>
        </w:rPr>
      </w:pPr>
      <w:r w:rsidRPr="00BC5957">
        <w:rPr>
          <w:b/>
          <w:bCs/>
        </w:rPr>
        <w:t xml:space="preserve">Slot level granularity impacts flexibility and restricts activation of SBFD in case a few symbols of the slot are configured for high priority </w:t>
      </w:r>
      <w:r w:rsidR="00853CDD" w:rsidRPr="00BC5957">
        <w:rPr>
          <w:b/>
          <w:bCs/>
        </w:rPr>
        <w:t>signals.</w:t>
      </w:r>
    </w:p>
    <w:p w14:paraId="7DC47025" w14:textId="18B0F1A6" w:rsidR="00FB76FD" w:rsidRPr="0089394E" w:rsidRDefault="00FB76FD">
      <w:pPr>
        <w:rPr>
          <w:b/>
          <w:bCs/>
        </w:rPr>
      </w:pPr>
      <w:r w:rsidRPr="0089394E">
        <w:rPr>
          <w:b/>
          <w:bCs/>
        </w:rPr>
        <w:t>Proposal</w:t>
      </w:r>
      <w:r w:rsidR="007A776F">
        <w:rPr>
          <w:b/>
          <w:bCs/>
        </w:rPr>
        <w:t xml:space="preserve"> 2</w:t>
      </w:r>
      <w:r w:rsidRPr="0089394E">
        <w:rPr>
          <w:b/>
          <w:bCs/>
        </w:rPr>
        <w:t>: Support time granularity of SBFD active time resource as resource type within a slot.</w:t>
      </w:r>
    </w:p>
    <w:p w14:paraId="2E4D19FB" w14:textId="142BE4FD" w:rsidR="00FB76FD" w:rsidRDefault="00494056">
      <w:pPr>
        <w:rPr>
          <w:color w:val="000000" w:themeColor="text1"/>
          <w:lang w:val="en-IN"/>
        </w:rPr>
      </w:pPr>
      <w:r>
        <w:rPr>
          <w:color w:val="000000" w:themeColor="text1"/>
          <w:lang w:val="en-IN"/>
        </w:rPr>
        <w:t xml:space="preserve">The SBFD </w:t>
      </w:r>
      <w:r w:rsidR="00FC34E4">
        <w:rPr>
          <w:color w:val="000000" w:themeColor="text1"/>
          <w:lang w:val="en-IN"/>
        </w:rPr>
        <w:t>configuration</w:t>
      </w:r>
      <w:r>
        <w:rPr>
          <w:color w:val="000000" w:themeColor="text1"/>
          <w:lang w:val="en-IN"/>
        </w:rPr>
        <w:t xml:space="preserve"> can be provided to the UE using explicit signalling</w:t>
      </w:r>
      <w:r w:rsidR="00763317">
        <w:rPr>
          <w:color w:val="000000" w:themeColor="text1"/>
          <w:lang w:val="en-IN"/>
        </w:rPr>
        <w:t xml:space="preserve">. In case of explicit </w:t>
      </w:r>
      <w:proofErr w:type="spellStart"/>
      <w:r w:rsidR="00763317">
        <w:rPr>
          <w:color w:val="000000" w:themeColor="text1"/>
          <w:lang w:val="en-IN"/>
        </w:rPr>
        <w:t>signaling</w:t>
      </w:r>
      <w:proofErr w:type="spellEnd"/>
      <w:r w:rsidR="00763317">
        <w:rPr>
          <w:color w:val="000000" w:themeColor="text1"/>
          <w:lang w:val="en-IN"/>
        </w:rPr>
        <w:t xml:space="preserve"> the </w:t>
      </w:r>
      <w:proofErr w:type="spellStart"/>
      <w:r w:rsidR="00763317">
        <w:rPr>
          <w:color w:val="000000" w:themeColor="text1"/>
          <w:lang w:val="en-IN"/>
        </w:rPr>
        <w:t>gNB</w:t>
      </w:r>
      <w:proofErr w:type="spellEnd"/>
      <w:r w:rsidR="00763317">
        <w:rPr>
          <w:color w:val="000000" w:themeColor="text1"/>
          <w:lang w:val="en-IN"/>
        </w:rPr>
        <w:t xml:space="preserve"> explicitly indicate to the UE the </w:t>
      </w:r>
      <w:r w:rsidR="00FC34E4">
        <w:rPr>
          <w:color w:val="000000" w:themeColor="text1"/>
          <w:lang w:val="en-IN"/>
        </w:rPr>
        <w:t>UL SB and</w:t>
      </w:r>
      <w:r w:rsidR="00882E11">
        <w:rPr>
          <w:color w:val="000000" w:themeColor="text1"/>
          <w:lang w:val="en-IN"/>
        </w:rPr>
        <w:t xml:space="preserve"> SBFD active</w:t>
      </w:r>
      <w:r w:rsidR="00FC34E4">
        <w:rPr>
          <w:color w:val="000000" w:themeColor="text1"/>
          <w:lang w:val="en-IN"/>
        </w:rPr>
        <w:t xml:space="preserve"> </w:t>
      </w:r>
      <w:r w:rsidR="00763317">
        <w:rPr>
          <w:color w:val="000000" w:themeColor="text1"/>
          <w:lang w:val="en-IN"/>
        </w:rPr>
        <w:t>time resource</w:t>
      </w:r>
      <w:r w:rsidR="00BC5957">
        <w:rPr>
          <w:color w:val="000000" w:themeColor="text1"/>
          <w:lang w:val="en-IN"/>
        </w:rPr>
        <w:t xml:space="preserve">. The indication should configure </w:t>
      </w:r>
      <w:r w:rsidR="00BE7248">
        <w:rPr>
          <w:color w:val="000000" w:themeColor="text1"/>
          <w:lang w:val="en-IN"/>
        </w:rPr>
        <w:t xml:space="preserve">the </w:t>
      </w:r>
      <w:r w:rsidR="00BC5957">
        <w:rPr>
          <w:color w:val="000000" w:themeColor="text1"/>
          <w:lang w:val="en-IN"/>
        </w:rPr>
        <w:t xml:space="preserve">UE to either activate the </w:t>
      </w:r>
      <w:r w:rsidR="00BE7248">
        <w:rPr>
          <w:color w:val="000000" w:themeColor="text1"/>
          <w:lang w:val="en-IN"/>
        </w:rPr>
        <w:t xml:space="preserve">UL </w:t>
      </w:r>
      <w:r w:rsidR="008E11E5">
        <w:rPr>
          <w:color w:val="000000" w:themeColor="text1"/>
          <w:lang w:val="en-IN"/>
        </w:rPr>
        <w:t>SB</w:t>
      </w:r>
      <w:r w:rsidR="00BE7248">
        <w:rPr>
          <w:color w:val="000000" w:themeColor="text1"/>
          <w:lang w:val="en-IN"/>
        </w:rPr>
        <w:t xml:space="preserve"> for </w:t>
      </w:r>
      <w:r w:rsidR="008E11E5">
        <w:rPr>
          <w:color w:val="000000" w:themeColor="text1"/>
          <w:lang w:val="en-IN"/>
        </w:rPr>
        <w:t xml:space="preserve">a time resource </w:t>
      </w:r>
      <w:r w:rsidR="00BE7248">
        <w:rPr>
          <w:color w:val="000000" w:themeColor="text1"/>
          <w:lang w:val="en-IN"/>
        </w:rPr>
        <w:t>or skip the operation configured in UL SB</w:t>
      </w:r>
      <w:r w:rsidR="008E11E5">
        <w:rPr>
          <w:color w:val="000000" w:themeColor="text1"/>
          <w:lang w:val="en-IN"/>
        </w:rPr>
        <w:t>,</w:t>
      </w:r>
      <w:r w:rsidR="00BE7248">
        <w:rPr>
          <w:color w:val="000000" w:themeColor="text1"/>
          <w:lang w:val="en-IN"/>
        </w:rPr>
        <w:t xml:space="preserve"> using conventional methods</w:t>
      </w:r>
      <w:r w:rsidR="008E11E5">
        <w:rPr>
          <w:color w:val="000000" w:themeColor="text1"/>
          <w:lang w:val="en-IN"/>
        </w:rPr>
        <w:t>, in the time resource</w:t>
      </w:r>
      <w:r w:rsidR="00BE7248">
        <w:rPr>
          <w:color w:val="000000" w:themeColor="text1"/>
          <w:lang w:val="en-IN"/>
        </w:rPr>
        <w:t xml:space="preserve">. </w:t>
      </w:r>
      <w:r w:rsidR="00FC34E4">
        <w:rPr>
          <w:color w:val="000000" w:themeColor="text1"/>
          <w:lang w:val="en-IN"/>
        </w:rPr>
        <w:t xml:space="preserve">In the former case the UE update the BW of active UL BWP based on UL SB indication, whereas in the latter the UE adapt the DL BWP excluding the UL SB. </w:t>
      </w:r>
      <w:r w:rsidR="00BE7248">
        <w:rPr>
          <w:color w:val="000000" w:themeColor="text1"/>
          <w:lang w:val="en-IN"/>
        </w:rPr>
        <w:t xml:space="preserve">Further, the explicit indication helps is conflict resolution by setting the priority level for the indication. </w:t>
      </w:r>
      <w:r w:rsidR="008E11E5">
        <w:t xml:space="preserve">E.g., </w:t>
      </w:r>
      <w:r w:rsidR="009E131E">
        <w:t xml:space="preserve">UE skip </w:t>
      </w:r>
      <w:r w:rsidR="008E11E5">
        <w:t xml:space="preserve">any DL scheduling </w:t>
      </w:r>
      <w:r w:rsidR="009E131E">
        <w:t xml:space="preserve">overlapping with high priority </w:t>
      </w:r>
      <w:r w:rsidR="008E11E5">
        <w:t>UL SB.</w:t>
      </w:r>
    </w:p>
    <w:p w14:paraId="0D7249F3" w14:textId="15964866" w:rsidR="00BE7248" w:rsidRPr="00BE00C0" w:rsidRDefault="00BE7248">
      <w:pPr>
        <w:rPr>
          <w:b/>
          <w:bCs/>
          <w:color w:val="000000" w:themeColor="text1"/>
          <w:lang w:val="en-IN"/>
        </w:rPr>
      </w:pPr>
      <w:r w:rsidRPr="00BE00C0">
        <w:rPr>
          <w:b/>
          <w:bCs/>
          <w:color w:val="000000" w:themeColor="text1"/>
          <w:lang w:val="en-IN"/>
        </w:rPr>
        <w:t>Observation</w:t>
      </w:r>
      <w:r w:rsidR="007A776F">
        <w:rPr>
          <w:b/>
          <w:bCs/>
          <w:color w:val="000000" w:themeColor="text1"/>
          <w:lang w:val="en-IN"/>
        </w:rPr>
        <w:t xml:space="preserve"> 3</w:t>
      </w:r>
      <w:r w:rsidRPr="00BE00C0">
        <w:rPr>
          <w:b/>
          <w:bCs/>
          <w:color w:val="000000" w:themeColor="text1"/>
          <w:lang w:val="en-IN"/>
        </w:rPr>
        <w:t xml:space="preserve">: The explicit indication of SBFD </w:t>
      </w:r>
      <w:r w:rsidR="00FC34E4" w:rsidRPr="00BE00C0">
        <w:rPr>
          <w:b/>
          <w:bCs/>
          <w:color w:val="000000" w:themeColor="text1"/>
          <w:lang w:val="en-IN"/>
        </w:rPr>
        <w:t>configuration</w:t>
      </w:r>
      <w:r w:rsidRPr="00BE00C0">
        <w:rPr>
          <w:b/>
          <w:bCs/>
          <w:color w:val="000000" w:themeColor="text1"/>
          <w:lang w:val="en-IN"/>
        </w:rPr>
        <w:t xml:space="preserve"> </w:t>
      </w:r>
      <w:r w:rsidR="00FC34E4" w:rsidRPr="00BE00C0">
        <w:rPr>
          <w:b/>
          <w:bCs/>
          <w:color w:val="000000" w:themeColor="text1"/>
          <w:lang w:val="en-IN"/>
        </w:rPr>
        <w:t xml:space="preserve">avoids uncertainty, defines </w:t>
      </w:r>
      <w:r w:rsidR="004D0518" w:rsidRPr="00BE00C0">
        <w:rPr>
          <w:b/>
          <w:bCs/>
          <w:color w:val="000000" w:themeColor="text1"/>
          <w:lang w:val="en-IN"/>
        </w:rPr>
        <w:t xml:space="preserve">UE </w:t>
      </w:r>
      <w:proofErr w:type="gramStart"/>
      <w:r w:rsidR="00FC34E4" w:rsidRPr="00BE00C0">
        <w:rPr>
          <w:b/>
          <w:bCs/>
          <w:color w:val="000000" w:themeColor="text1"/>
          <w:lang w:val="en-IN"/>
        </w:rPr>
        <w:t>behaviour</w:t>
      </w:r>
      <w:proofErr w:type="gramEnd"/>
      <w:r w:rsidR="00FC34E4" w:rsidRPr="00BE00C0">
        <w:rPr>
          <w:b/>
          <w:bCs/>
          <w:color w:val="000000" w:themeColor="text1"/>
          <w:lang w:val="en-IN"/>
        </w:rPr>
        <w:t xml:space="preserve"> and helps in conflict </w:t>
      </w:r>
      <w:r w:rsidR="00853CDD" w:rsidRPr="00BE00C0">
        <w:rPr>
          <w:b/>
          <w:bCs/>
          <w:color w:val="000000" w:themeColor="text1"/>
          <w:lang w:val="en-IN"/>
        </w:rPr>
        <w:t>resolution.</w:t>
      </w:r>
    </w:p>
    <w:p w14:paraId="338083A2" w14:textId="732A90E8" w:rsidR="00BC5957" w:rsidRPr="00BE00C0" w:rsidRDefault="00BC5957">
      <w:pPr>
        <w:rPr>
          <w:b/>
          <w:bCs/>
          <w:color w:val="000000" w:themeColor="text1"/>
          <w:lang w:val="en-IN"/>
        </w:rPr>
      </w:pPr>
      <w:r w:rsidRPr="00BE00C0">
        <w:rPr>
          <w:b/>
          <w:bCs/>
          <w:color w:val="000000" w:themeColor="text1"/>
          <w:lang w:val="en-IN"/>
        </w:rPr>
        <w:t>Proposal</w:t>
      </w:r>
      <w:r w:rsidR="007A776F">
        <w:rPr>
          <w:b/>
          <w:bCs/>
          <w:color w:val="000000" w:themeColor="text1"/>
          <w:lang w:val="en-IN"/>
        </w:rPr>
        <w:t xml:space="preserve"> 3</w:t>
      </w:r>
      <w:r w:rsidRPr="00BE00C0">
        <w:rPr>
          <w:b/>
          <w:bCs/>
          <w:color w:val="000000" w:themeColor="text1"/>
          <w:lang w:val="en-IN"/>
        </w:rPr>
        <w:t xml:space="preserve">: Support explicit indication of SBFD </w:t>
      </w:r>
      <w:r w:rsidR="008E11E5" w:rsidRPr="00BE00C0">
        <w:rPr>
          <w:b/>
          <w:bCs/>
          <w:color w:val="000000" w:themeColor="text1"/>
          <w:lang w:val="en-IN"/>
        </w:rPr>
        <w:t>configuration</w:t>
      </w:r>
      <w:r w:rsidR="00BE7248" w:rsidRPr="00BE00C0">
        <w:rPr>
          <w:b/>
          <w:bCs/>
          <w:color w:val="000000" w:themeColor="text1"/>
          <w:lang w:val="en-IN"/>
        </w:rPr>
        <w:t xml:space="preserve"> to the UE</w:t>
      </w:r>
      <w:r w:rsidR="008E11E5" w:rsidRPr="00BE00C0">
        <w:rPr>
          <w:b/>
          <w:bCs/>
          <w:color w:val="000000" w:themeColor="text1"/>
          <w:lang w:val="en-IN"/>
        </w:rPr>
        <w:t>, where the configuration comprises UL SB, SBFD active time resource</w:t>
      </w:r>
      <w:r w:rsidR="00BE00C0" w:rsidRPr="00BE00C0">
        <w:rPr>
          <w:b/>
          <w:bCs/>
          <w:color w:val="000000" w:themeColor="text1"/>
          <w:lang w:val="en-IN"/>
        </w:rPr>
        <w:t xml:space="preserve"> </w:t>
      </w:r>
      <w:r w:rsidR="008E11E5" w:rsidRPr="00BE00C0">
        <w:rPr>
          <w:b/>
          <w:bCs/>
          <w:color w:val="000000" w:themeColor="text1"/>
          <w:lang w:val="en-IN"/>
        </w:rPr>
        <w:t>and priority level</w:t>
      </w:r>
      <w:r w:rsidR="00BE00C0" w:rsidRPr="00BE00C0">
        <w:rPr>
          <w:b/>
          <w:bCs/>
          <w:color w:val="000000" w:themeColor="text1"/>
          <w:lang w:val="en-IN"/>
        </w:rPr>
        <w:t>.</w:t>
      </w:r>
    </w:p>
    <w:p w14:paraId="10534B6B" w14:textId="0949124A" w:rsidR="001323C4" w:rsidRDefault="00882E11" w:rsidP="00882E11">
      <w:r>
        <w:t xml:space="preserve">The </w:t>
      </w:r>
      <w:proofErr w:type="spellStart"/>
      <w:r>
        <w:t>gNB</w:t>
      </w:r>
      <w:proofErr w:type="spellEnd"/>
      <w:r>
        <w:t xml:space="preserve"> can activate SBFD operation periodically and </w:t>
      </w:r>
      <w:proofErr w:type="spellStart"/>
      <w:r>
        <w:t>aperiodically</w:t>
      </w:r>
      <w:proofErr w:type="spellEnd"/>
      <w:r>
        <w:t xml:space="preserve">. Therefore, the SBFD active time resource can be periodic and aperiodic. The type can be configured by </w:t>
      </w:r>
      <w:proofErr w:type="spellStart"/>
      <w:r>
        <w:t>gNB</w:t>
      </w:r>
      <w:proofErr w:type="spellEnd"/>
      <w:r>
        <w:t xml:space="preserve"> along with indication of SBFD active time resource. In </w:t>
      </w:r>
      <w:proofErr w:type="gramStart"/>
      <w:r>
        <w:t>case</w:t>
      </w:r>
      <w:proofErr w:type="gramEnd"/>
      <w:r>
        <w:t xml:space="preserve"> of periodic, the indication of SBFD active time resource is semi-static using RRC and it comprises starting time, duration, and periodicity. In case of aperiodic, the configuration comprises type, slot offset, symbol offset, and duration.</w:t>
      </w:r>
    </w:p>
    <w:p w14:paraId="534F57BB" w14:textId="3DC29A13" w:rsidR="00882E11" w:rsidRDefault="00882E11" w:rsidP="00882E11">
      <w:pPr>
        <w:rPr>
          <w:b/>
          <w:bCs/>
        </w:rPr>
      </w:pPr>
      <w:r w:rsidRPr="009E131E">
        <w:rPr>
          <w:b/>
          <w:bCs/>
        </w:rPr>
        <w:lastRenderedPageBreak/>
        <w:t>Proposal</w:t>
      </w:r>
      <w:r w:rsidR="007A776F">
        <w:rPr>
          <w:b/>
          <w:bCs/>
        </w:rPr>
        <w:t xml:space="preserve"> 4</w:t>
      </w:r>
      <w:r w:rsidRPr="009E131E">
        <w:rPr>
          <w:b/>
          <w:bCs/>
        </w:rPr>
        <w:t xml:space="preserve">: </w:t>
      </w:r>
      <w:r w:rsidR="00853CDD" w:rsidRPr="009E131E">
        <w:rPr>
          <w:b/>
          <w:bCs/>
        </w:rPr>
        <w:t>Support periodic</w:t>
      </w:r>
      <w:r w:rsidRPr="009E131E">
        <w:rPr>
          <w:b/>
          <w:bCs/>
        </w:rPr>
        <w:t xml:space="preserve"> and aperiodic activation of SBFD </w:t>
      </w:r>
      <w:proofErr w:type="gramStart"/>
      <w:r w:rsidRPr="009E131E">
        <w:rPr>
          <w:b/>
          <w:bCs/>
        </w:rPr>
        <w:t>operation</w:t>
      </w:r>
      <w:proofErr w:type="gramEnd"/>
    </w:p>
    <w:p w14:paraId="53FE9673" w14:textId="656D9E23" w:rsidR="00882E11" w:rsidRDefault="00882E11" w:rsidP="00882E11">
      <w:pPr>
        <w:pStyle w:val="ListParagraph"/>
        <w:numPr>
          <w:ilvl w:val="0"/>
          <w:numId w:val="16"/>
        </w:numPr>
        <w:rPr>
          <w:b/>
          <w:bCs/>
        </w:rPr>
      </w:pPr>
      <w:r>
        <w:rPr>
          <w:b/>
          <w:bCs/>
        </w:rPr>
        <w:t xml:space="preserve">Periodic configuration consists of </w:t>
      </w:r>
      <w:r w:rsidRPr="00882E11">
        <w:rPr>
          <w:b/>
          <w:bCs/>
        </w:rPr>
        <w:t xml:space="preserve">starting time, duration, and </w:t>
      </w:r>
      <w:r w:rsidR="00853CDD" w:rsidRPr="00882E11">
        <w:rPr>
          <w:b/>
          <w:bCs/>
        </w:rPr>
        <w:t>periodicity.</w:t>
      </w:r>
    </w:p>
    <w:p w14:paraId="2A5A475C" w14:textId="33BC35CE" w:rsidR="00882E11" w:rsidRPr="009E131E" w:rsidRDefault="00882E11" w:rsidP="009E131E">
      <w:pPr>
        <w:pStyle w:val="ListParagraph"/>
        <w:numPr>
          <w:ilvl w:val="0"/>
          <w:numId w:val="16"/>
        </w:numPr>
        <w:rPr>
          <w:b/>
          <w:bCs/>
        </w:rPr>
      </w:pPr>
      <w:r>
        <w:rPr>
          <w:b/>
          <w:bCs/>
        </w:rPr>
        <w:t xml:space="preserve">Aperiodic configuration </w:t>
      </w:r>
      <w:r w:rsidR="00471ACA">
        <w:rPr>
          <w:b/>
          <w:bCs/>
        </w:rPr>
        <w:t xml:space="preserve">comprises </w:t>
      </w:r>
      <w:r w:rsidRPr="00882E11">
        <w:rPr>
          <w:b/>
          <w:bCs/>
        </w:rPr>
        <w:t xml:space="preserve">slot offset, symbol offset, and </w:t>
      </w:r>
      <w:r w:rsidR="00853CDD" w:rsidRPr="00882E11">
        <w:rPr>
          <w:b/>
          <w:bCs/>
        </w:rPr>
        <w:t>duration.</w:t>
      </w:r>
    </w:p>
    <w:p w14:paraId="7BFB253A" w14:textId="3FF1C82D" w:rsidR="001323C4" w:rsidRDefault="00882E11">
      <w:r>
        <w:t xml:space="preserve">One of the major drawbacks of the SBFD operation is self-interference (SI) created by simultaneous DL transmission and UL reception at </w:t>
      </w:r>
      <w:proofErr w:type="spellStart"/>
      <w:r>
        <w:t>gNB</w:t>
      </w:r>
      <w:proofErr w:type="spellEnd"/>
      <w:r>
        <w:t xml:space="preserve">. The guard bands can be used between the frequency resources for DL and UL operation to minimize the impact of SI. </w:t>
      </w:r>
      <w:r>
        <w:rPr>
          <w:color w:val="000000" w:themeColor="text1"/>
        </w:rPr>
        <w:t>There are 2 ways to provide information about guard band to the UE:</w:t>
      </w:r>
    </w:p>
    <w:p w14:paraId="6CD01AC7" w14:textId="77777777" w:rsidR="001323C4" w:rsidRDefault="00000000">
      <w:r>
        <w:rPr>
          <w:color w:val="000000" w:themeColor="text1"/>
        </w:rPr>
        <w:t>1. Explicit indication in terms of time and/or frequency</w:t>
      </w:r>
    </w:p>
    <w:p w14:paraId="06A0361D" w14:textId="77777777" w:rsidR="001323C4" w:rsidRDefault="00000000">
      <w:r>
        <w:rPr>
          <w:color w:val="000000" w:themeColor="text1"/>
        </w:rPr>
        <w:t>2. As a part of PDSCH rate matching</w:t>
      </w:r>
    </w:p>
    <w:p w14:paraId="46C61CBD" w14:textId="4610643F" w:rsidR="001323C4" w:rsidRDefault="00000000">
      <w:pPr>
        <w:rPr>
          <w:color w:val="000000" w:themeColor="text1"/>
        </w:rPr>
      </w:pPr>
      <w:r>
        <w:rPr>
          <w:color w:val="000000" w:themeColor="text1"/>
        </w:rPr>
        <w:t xml:space="preserve">In </w:t>
      </w:r>
      <w:r w:rsidR="00853CDD">
        <w:rPr>
          <w:color w:val="000000" w:themeColor="text1"/>
        </w:rPr>
        <w:t xml:space="preserve">the </w:t>
      </w:r>
      <w:r>
        <w:rPr>
          <w:color w:val="000000" w:themeColor="text1"/>
        </w:rPr>
        <w:t xml:space="preserve">case of the first option, it is seen from the above figures that the guard band is always in </w:t>
      </w:r>
      <w:proofErr w:type="spellStart"/>
      <w:r>
        <w:rPr>
          <w:color w:val="000000" w:themeColor="text1"/>
        </w:rPr>
        <w:t>conjuction</w:t>
      </w:r>
      <w:proofErr w:type="spellEnd"/>
      <w:r>
        <w:rPr>
          <w:color w:val="000000" w:themeColor="text1"/>
        </w:rPr>
        <w:t xml:space="preserve"> with the UL SB in time domain. Thus, providing explicit time domain information for the guard band when explicit time domain information is already provided for the UL SB is redundant. Similarly, in frequency domain, the guard bands are supposed to start where the UL SBs end. Further, in practical scenarios, the bandwidth of the guard band will be less as compared to the bandwidth of the DL SBs. Thus, the </w:t>
      </w:r>
      <w:proofErr w:type="spellStart"/>
      <w:r>
        <w:rPr>
          <w:color w:val="000000" w:themeColor="text1"/>
        </w:rPr>
        <w:t>signalling</w:t>
      </w:r>
      <w:proofErr w:type="spellEnd"/>
      <w:r>
        <w:rPr>
          <w:color w:val="000000" w:themeColor="text1"/>
        </w:rPr>
        <w:t xml:space="preserve"> overhead required to signal the guard bands will be less as compared to </w:t>
      </w:r>
      <w:proofErr w:type="spellStart"/>
      <w:r>
        <w:rPr>
          <w:color w:val="000000" w:themeColor="text1"/>
        </w:rPr>
        <w:t>signalling</w:t>
      </w:r>
      <w:proofErr w:type="spellEnd"/>
      <w:r>
        <w:rPr>
          <w:color w:val="000000" w:themeColor="text1"/>
        </w:rPr>
        <w:t xml:space="preserve"> of DL SBs. In </w:t>
      </w:r>
      <w:r w:rsidR="00853CDD">
        <w:rPr>
          <w:color w:val="000000" w:themeColor="text1"/>
        </w:rPr>
        <w:t xml:space="preserve">the </w:t>
      </w:r>
      <w:r>
        <w:rPr>
          <w:color w:val="000000" w:themeColor="text1"/>
        </w:rPr>
        <w:t xml:space="preserve">case of the second option, the guard band is indicated as a part of PDSCH rate matching as reserved resources which cannot be used for DL/UL. Based on this, the following observation and proposal is made. </w:t>
      </w:r>
    </w:p>
    <w:p w14:paraId="39494BE9" w14:textId="04889088" w:rsidR="001323C4" w:rsidRDefault="00000000">
      <w:pPr>
        <w:rPr>
          <w:b/>
          <w:bCs/>
        </w:rPr>
      </w:pPr>
      <w:r>
        <w:rPr>
          <w:b/>
          <w:bCs/>
          <w:color w:val="000000" w:themeColor="text1"/>
        </w:rPr>
        <w:t xml:space="preserve">Proposal </w:t>
      </w:r>
      <w:r w:rsidR="007A776F">
        <w:rPr>
          <w:b/>
          <w:bCs/>
          <w:color w:val="000000" w:themeColor="text1"/>
        </w:rPr>
        <w:t>5</w:t>
      </w:r>
      <w:r>
        <w:rPr>
          <w:b/>
          <w:bCs/>
          <w:color w:val="000000" w:themeColor="text1"/>
        </w:rPr>
        <w:t>: Study the following for indication of guard bands:</w:t>
      </w:r>
    </w:p>
    <w:p w14:paraId="4BF20DE6" w14:textId="77777777" w:rsidR="001323C4" w:rsidRDefault="00000000" w:rsidP="00470481">
      <w:pPr>
        <w:pStyle w:val="ListParagraph"/>
        <w:numPr>
          <w:ilvl w:val="0"/>
          <w:numId w:val="16"/>
        </w:numPr>
        <w:rPr>
          <w:b/>
          <w:bCs/>
        </w:rPr>
      </w:pPr>
      <w:r>
        <w:rPr>
          <w:b/>
          <w:bCs/>
          <w:color w:val="000000" w:themeColor="text1"/>
        </w:rPr>
        <w:t xml:space="preserve"> Explicit indication in terms of time and/or frequency</w:t>
      </w:r>
    </w:p>
    <w:p w14:paraId="200C0BBF" w14:textId="77777777" w:rsidR="001323C4" w:rsidRDefault="00000000">
      <w:pPr>
        <w:numPr>
          <w:ilvl w:val="1"/>
          <w:numId w:val="10"/>
        </w:numPr>
        <w:rPr>
          <w:b/>
          <w:bCs/>
        </w:rPr>
      </w:pPr>
      <w:r>
        <w:rPr>
          <w:b/>
          <w:bCs/>
          <w:color w:val="000000" w:themeColor="text1"/>
        </w:rPr>
        <w:t>The time location is not explicitly provided for guard bands.</w:t>
      </w:r>
    </w:p>
    <w:p w14:paraId="092B540A" w14:textId="77777777" w:rsidR="001323C4" w:rsidRDefault="00000000">
      <w:pPr>
        <w:numPr>
          <w:ilvl w:val="1"/>
          <w:numId w:val="10"/>
        </w:numPr>
        <w:rPr>
          <w:b/>
          <w:bCs/>
        </w:rPr>
      </w:pPr>
      <w:r>
        <w:rPr>
          <w:b/>
          <w:bCs/>
          <w:color w:val="000000" w:themeColor="text1"/>
        </w:rPr>
        <w:t>Only the bandwidth of the guard band(s) is provided in terms of subcarriers/RBs/RBGs.</w:t>
      </w:r>
    </w:p>
    <w:p w14:paraId="5E43B934" w14:textId="77777777" w:rsidR="001323C4" w:rsidRDefault="00000000" w:rsidP="00470481">
      <w:pPr>
        <w:pStyle w:val="ListParagraph"/>
        <w:numPr>
          <w:ilvl w:val="0"/>
          <w:numId w:val="16"/>
        </w:numPr>
        <w:rPr>
          <w:b/>
          <w:bCs/>
        </w:rPr>
      </w:pPr>
      <w:r>
        <w:rPr>
          <w:b/>
          <w:bCs/>
          <w:color w:val="000000" w:themeColor="text1"/>
        </w:rPr>
        <w:t xml:space="preserve"> As a part of PDSCH rate matching</w:t>
      </w:r>
    </w:p>
    <w:p w14:paraId="6724FB38" w14:textId="77777777" w:rsidR="001323C4" w:rsidRDefault="00000000">
      <w:r>
        <w:rPr>
          <w:color w:val="000000" w:themeColor="text1"/>
        </w:rPr>
        <w:t xml:space="preserve">In the </w:t>
      </w:r>
      <w:proofErr w:type="gramStart"/>
      <w:r>
        <w:rPr>
          <w:color w:val="000000" w:themeColor="text1"/>
        </w:rPr>
        <w:t>above described</w:t>
      </w:r>
      <w:proofErr w:type="gramEnd"/>
      <w:r>
        <w:rPr>
          <w:color w:val="000000" w:themeColor="text1"/>
        </w:rPr>
        <w:t xml:space="preserve"> scenario, the UE can figure out the DL SBs implicitly once it knows the time and frequency locations of the UL SB (and guard). For a UE configured with a DL BWP, it can exclude the UL SB and the guard to implicitly figure out the DL SB(s). Thus, the following proposal is made.</w:t>
      </w:r>
    </w:p>
    <w:p w14:paraId="10C692CD" w14:textId="2F8ED0F7" w:rsidR="001323C4" w:rsidRDefault="00000000">
      <w:pPr>
        <w:rPr>
          <w:b/>
          <w:bCs/>
        </w:rPr>
      </w:pPr>
      <w:r>
        <w:rPr>
          <w:b/>
          <w:bCs/>
          <w:color w:val="000000" w:themeColor="text1"/>
        </w:rPr>
        <w:t>Proposal</w:t>
      </w:r>
      <w:r w:rsidR="007A776F">
        <w:rPr>
          <w:b/>
          <w:bCs/>
          <w:color w:val="000000" w:themeColor="text1"/>
        </w:rPr>
        <w:t xml:space="preserve"> 6</w:t>
      </w:r>
      <w:r>
        <w:rPr>
          <w:b/>
          <w:bCs/>
          <w:color w:val="000000" w:themeColor="text1"/>
        </w:rPr>
        <w:t xml:space="preserve">: The frequency location of DL SBs </w:t>
      </w:r>
      <w:proofErr w:type="gramStart"/>
      <w:r>
        <w:rPr>
          <w:b/>
          <w:bCs/>
          <w:color w:val="000000" w:themeColor="text1"/>
        </w:rPr>
        <w:t>are</w:t>
      </w:r>
      <w:proofErr w:type="gramEnd"/>
      <w:r>
        <w:rPr>
          <w:b/>
          <w:bCs/>
          <w:color w:val="000000" w:themeColor="text1"/>
        </w:rPr>
        <w:t xml:space="preserve"> implicitly derived.</w:t>
      </w:r>
    </w:p>
    <w:p w14:paraId="2CFA74D3" w14:textId="0C24C1B1" w:rsidR="001323C4" w:rsidRDefault="00000000">
      <w:pPr>
        <w:numPr>
          <w:ilvl w:val="0"/>
          <w:numId w:val="3"/>
        </w:numPr>
        <w:rPr>
          <w:b/>
          <w:bCs/>
          <w:sz w:val="28"/>
          <w:szCs w:val="28"/>
        </w:rPr>
      </w:pPr>
      <w:r>
        <w:rPr>
          <w:b/>
          <w:bCs/>
          <w:sz w:val="28"/>
          <w:szCs w:val="28"/>
        </w:rPr>
        <w:t>BWP and TDD Config</w:t>
      </w:r>
      <w:r w:rsidR="00C70E96">
        <w:rPr>
          <w:b/>
          <w:bCs/>
          <w:sz w:val="28"/>
          <w:szCs w:val="28"/>
        </w:rPr>
        <w:t>uration</w:t>
      </w:r>
      <w:r>
        <w:rPr>
          <w:b/>
          <w:bCs/>
          <w:sz w:val="28"/>
          <w:szCs w:val="28"/>
        </w:rPr>
        <w:t xml:space="preserve"> related enhancements</w:t>
      </w:r>
    </w:p>
    <w:p w14:paraId="7D4F3FBA" w14:textId="77777777" w:rsidR="00587E53" w:rsidRPr="00587E53" w:rsidRDefault="00587E53" w:rsidP="00587E53">
      <w:pPr>
        <w:spacing w:after="160" w:line="259" w:lineRule="auto"/>
        <w:contextualSpacing/>
        <w:rPr>
          <w:color w:val="000000" w:themeColor="text1"/>
        </w:rPr>
      </w:pPr>
      <w:r w:rsidRPr="00587E53">
        <w:rPr>
          <w:color w:val="000000" w:themeColor="text1"/>
        </w:rPr>
        <w:t xml:space="preserve">In SBFD, the </w:t>
      </w:r>
      <w:proofErr w:type="spellStart"/>
      <w:r w:rsidRPr="00587E53">
        <w:rPr>
          <w:color w:val="000000" w:themeColor="text1"/>
        </w:rPr>
        <w:t>gNB</w:t>
      </w:r>
      <w:proofErr w:type="spellEnd"/>
      <w:r w:rsidRPr="00587E53">
        <w:rPr>
          <w:color w:val="000000" w:themeColor="text1"/>
        </w:rPr>
        <w:t xml:space="preserve"> should be able to schedule DL reception to a UE and UL transmission from another UE simultaneously. However, the existing 5G-NR specification, the </w:t>
      </w:r>
      <w:proofErr w:type="spellStart"/>
      <w:r w:rsidRPr="00587E53">
        <w:rPr>
          <w:color w:val="000000" w:themeColor="text1"/>
        </w:rPr>
        <w:t>gNB</w:t>
      </w:r>
      <w:proofErr w:type="spellEnd"/>
      <w:r w:rsidRPr="00587E53">
        <w:rPr>
          <w:color w:val="000000" w:themeColor="text1"/>
        </w:rPr>
        <w:t xml:space="preserve"> has various limitations in scheduling simultaneous UL/DL. In 5G-NR, the configuration provided by </w:t>
      </w:r>
      <w:proofErr w:type="spellStart"/>
      <w:r w:rsidRPr="00587E53">
        <w:rPr>
          <w:color w:val="000000" w:themeColor="text1"/>
        </w:rPr>
        <w:t>TDD_UL_DL_Config_common</w:t>
      </w:r>
      <w:proofErr w:type="spellEnd"/>
      <w:r w:rsidRPr="00587E53">
        <w:rPr>
          <w:color w:val="000000" w:themeColor="text1"/>
        </w:rPr>
        <w:t xml:space="preserve"> is common for all UEs in a cell and DL/UL configuration provided for a time resource cannot be overwritten using </w:t>
      </w:r>
      <w:proofErr w:type="spellStart"/>
      <w:r w:rsidRPr="00587E53">
        <w:rPr>
          <w:color w:val="000000" w:themeColor="text1"/>
        </w:rPr>
        <w:t>TDD_UL_DL_Config_dedicated</w:t>
      </w:r>
      <w:proofErr w:type="spellEnd"/>
      <w:r w:rsidRPr="00587E53">
        <w:rPr>
          <w:color w:val="000000" w:themeColor="text1"/>
        </w:rPr>
        <w:t xml:space="preserve"> or SFI format. Therefore, the SBFD operation will be limited to the F symbols configured by </w:t>
      </w:r>
      <w:proofErr w:type="spellStart"/>
      <w:r w:rsidRPr="00587E53">
        <w:rPr>
          <w:color w:val="000000" w:themeColor="text1"/>
        </w:rPr>
        <w:t>TDD_UL_DL_Config_common</w:t>
      </w:r>
      <w:proofErr w:type="spellEnd"/>
      <w:r w:rsidRPr="00587E53">
        <w:rPr>
          <w:color w:val="000000" w:themeColor="text1"/>
        </w:rPr>
        <w:t xml:space="preserve">. E.g., if a slot is indicated as DL by </w:t>
      </w:r>
      <w:proofErr w:type="spellStart"/>
      <w:r w:rsidRPr="00587E53">
        <w:rPr>
          <w:color w:val="000000" w:themeColor="text1"/>
        </w:rPr>
        <w:t>TDD_UL_DL_Config_common</w:t>
      </w:r>
      <w:proofErr w:type="spellEnd"/>
      <w:r w:rsidRPr="00587E53">
        <w:rPr>
          <w:color w:val="000000" w:themeColor="text1"/>
        </w:rPr>
        <w:t xml:space="preserve">, then all the UEs in the cell will be DL and the </w:t>
      </w:r>
      <w:proofErr w:type="spellStart"/>
      <w:r w:rsidRPr="00587E53">
        <w:rPr>
          <w:color w:val="000000" w:themeColor="text1"/>
        </w:rPr>
        <w:t>gNB</w:t>
      </w:r>
      <w:proofErr w:type="spellEnd"/>
      <w:r w:rsidRPr="00587E53">
        <w:rPr>
          <w:color w:val="000000" w:themeColor="text1"/>
        </w:rPr>
        <w:t xml:space="preserve"> cannot schedule UL transmission from the UEs in that slot. Therefore, </w:t>
      </w:r>
      <w:proofErr w:type="spellStart"/>
      <w:r w:rsidRPr="00587E53">
        <w:rPr>
          <w:color w:val="000000" w:themeColor="text1"/>
        </w:rPr>
        <w:t>gNB</w:t>
      </w:r>
      <w:proofErr w:type="spellEnd"/>
      <w:r w:rsidRPr="00587E53">
        <w:rPr>
          <w:color w:val="000000" w:themeColor="text1"/>
        </w:rPr>
        <w:t xml:space="preserve"> cannot operate in SBFD in the slot. Similarly, in 5G-NR specification, the SFI cannot override the DL/UL configuration provided by </w:t>
      </w:r>
      <w:proofErr w:type="spellStart"/>
      <w:r w:rsidRPr="00587E53">
        <w:rPr>
          <w:color w:val="000000" w:themeColor="text1"/>
        </w:rPr>
        <w:t>TDD_UL_DL_Config_dedicated</w:t>
      </w:r>
      <w:proofErr w:type="spellEnd"/>
      <w:r w:rsidRPr="00587E53">
        <w:rPr>
          <w:color w:val="000000" w:themeColor="text1"/>
        </w:rPr>
        <w:t xml:space="preserve">. Hence, the </w:t>
      </w:r>
      <w:proofErr w:type="spellStart"/>
      <w:r w:rsidRPr="00587E53">
        <w:rPr>
          <w:color w:val="000000" w:themeColor="text1"/>
        </w:rPr>
        <w:t>gNB</w:t>
      </w:r>
      <w:proofErr w:type="spellEnd"/>
      <w:r w:rsidRPr="00587E53">
        <w:rPr>
          <w:color w:val="000000" w:themeColor="text1"/>
        </w:rPr>
        <w:t xml:space="preserve"> cannot enable SBFD dynamically at a UE if a resource is semi-statically configured as DL/UL. </w:t>
      </w:r>
    </w:p>
    <w:p w14:paraId="644CC40B" w14:textId="4F34572E" w:rsidR="00587E53" w:rsidRPr="00AE7E1A" w:rsidRDefault="00587E53" w:rsidP="00587E53">
      <w:pPr>
        <w:spacing w:after="160" w:line="259" w:lineRule="auto"/>
        <w:contextualSpacing/>
        <w:rPr>
          <w:b/>
          <w:bCs/>
          <w:color w:val="000000" w:themeColor="text1"/>
        </w:rPr>
      </w:pPr>
      <w:r w:rsidRPr="00AE7E1A">
        <w:rPr>
          <w:b/>
          <w:bCs/>
          <w:color w:val="000000" w:themeColor="text1"/>
        </w:rPr>
        <w:t>Observation</w:t>
      </w:r>
      <w:r w:rsidR="007A776F">
        <w:rPr>
          <w:b/>
          <w:bCs/>
          <w:color w:val="000000" w:themeColor="text1"/>
        </w:rPr>
        <w:t xml:space="preserve"> 4</w:t>
      </w:r>
      <w:r w:rsidRPr="00AE7E1A">
        <w:rPr>
          <w:b/>
          <w:bCs/>
          <w:color w:val="000000" w:themeColor="text1"/>
        </w:rPr>
        <w:t xml:space="preserve">: The SBFD operation is limited to F symbols configured by </w:t>
      </w:r>
      <w:proofErr w:type="spellStart"/>
      <w:r w:rsidRPr="00AE7E1A">
        <w:rPr>
          <w:b/>
          <w:bCs/>
          <w:color w:val="000000" w:themeColor="text1"/>
        </w:rPr>
        <w:t>TDD_UL_DL_Config_common</w:t>
      </w:r>
      <w:proofErr w:type="spellEnd"/>
      <w:r w:rsidRPr="00AE7E1A">
        <w:rPr>
          <w:b/>
          <w:bCs/>
          <w:color w:val="000000" w:themeColor="text1"/>
        </w:rPr>
        <w:t>.</w:t>
      </w:r>
    </w:p>
    <w:p w14:paraId="7009D566" w14:textId="77777777" w:rsidR="00587E53" w:rsidRPr="00AE7E1A" w:rsidRDefault="00587E53" w:rsidP="00587E53">
      <w:pPr>
        <w:spacing w:after="160" w:line="259" w:lineRule="auto"/>
        <w:contextualSpacing/>
        <w:rPr>
          <w:b/>
          <w:bCs/>
          <w:color w:val="000000" w:themeColor="text1"/>
        </w:rPr>
      </w:pPr>
    </w:p>
    <w:p w14:paraId="52CFBBC4" w14:textId="1B2EBAE8" w:rsidR="00587E53" w:rsidRPr="00AE7E1A" w:rsidRDefault="00587E53" w:rsidP="00587E53">
      <w:pPr>
        <w:spacing w:after="160" w:line="259" w:lineRule="auto"/>
        <w:contextualSpacing/>
        <w:rPr>
          <w:b/>
          <w:bCs/>
          <w:color w:val="000000" w:themeColor="text1"/>
        </w:rPr>
      </w:pPr>
      <w:r w:rsidRPr="00AE7E1A">
        <w:rPr>
          <w:b/>
          <w:bCs/>
          <w:color w:val="000000" w:themeColor="text1"/>
        </w:rPr>
        <w:t>Proposal</w:t>
      </w:r>
      <w:r w:rsidR="007A776F">
        <w:rPr>
          <w:b/>
          <w:bCs/>
          <w:color w:val="000000" w:themeColor="text1"/>
        </w:rPr>
        <w:t xml:space="preserve"> 6</w:t>
      </w:r>
      <w:r w:rsidRPr="00AE7E1A">
        <w:rPr>
          <w:b/>
          <w:bCs/>
          <w:color w:val="000000" w:themeColor="text1"/>
        </w:rPr>
        <w:t xml:space="preserve">: Support TDD configurations provided by </w:t>
      </w:r>
      <w:proofErr w:type="spellStart"/>
      <w:r w:rsidRPr="00AE7E1A">
        <w:rPr>
          <w:b/>
          <w:bCs/>
          <w:color w:val="000000" w:themeColor="text1"/>
        </w:rPr>
        <w:t>TDD_UL_DL_Config_dedicated</w:t>
      </w:r>
      <w:proofErr w:type="spellEnd"/>
      <w:r w:rsidRPr="00AE7E1A">
        <w:rPr>
          <w:b/>
          <w:bCs/>
          <w:color w:val="000000" w:themeColor="text1"/>
        </w:rPr>
        <w:t xml:space="preserve"> and SFI formats overriding </w:t>
      </w:r>
      <w:proofErr w:type="spellStart"/>
      <w:r w:rsidRPr="00AE7E1A">
        <w:rPr>
          <w:b/>
          <w:bCs/>
          <w:color w:val="000000" w:themeColor="text1"/>
        </w:rPr>
        <w:t>TDD_UL_DL_Config_</w:t>
      </w:r>
      <w:proofErr w:type="gramStart"/>
      <w:r w:rsidRPr="00AE7E1A">
        <w:rPr>
          <w:b/>
          <w:bCs/>
          <w:color w:val="000000" w:themeColor="text1"/>
        </w:rPr>
        <w:t>common</w:t>
      </w:r>
      <w:proofErr w:type="spellEnd"/>
      <w:proofErr w:type="gramEnd"/>
    </w:p>
    <w:p w14:paraId="1DEFF8BA" w14:textId="77777777" w:rsidR="00587E53" w:rsidRDefault="00587E53" w:rsidP="00587E53">
      <w:pPr>
        <w:spacing w:after="160" w:line="259" w:lineRule="auto"/>
        <w:contextualSpacing/>
        <w:rPr>
          <w:color w:val="000000" w:themeColor="text1"/>
        </w:rPr>
      </w:pPr>
    </w:p>
    <w:p w14:paraId="6C160F59" w14:textId="16CEF1F1" w:rsidR="00EA3302" w:rsidRDefault="00EA3302" w:rsidP="00587E53">
      <w:pPr>
        <w:spacing w:after="160" w:line="259" w:lineRule="auto"/>
        <w:contextualSpacing/>
        <w:rPr>
          <w:color w:val="000000" w:themeColor="text1"/>
        </w:rPr>
      </w:pPr>
      <w:r>
        <w:rPr>
          <w:color w:val="000000" w:themeColor="text1"/>
        </w:rPr>
        <w:t xml:space="preserve">Further, UE supports TDD configurations and slot formats starting with DL slots/symbols, which again restricts the SBFD operation to certain symbols or certain slot formats. E.g., as shown in Fig. </w:t>
      </w:r>
      <w:proofErr w:type="gramStart"/>
      <w:r>
        <w:rPr>
          <w:color w:val="000000" w:themeColor="text1"/>
        </w:rPr>
        <w:t>4,  UE</w:t>
      </w:r>
      <w:proofErr w:type="gramEnd"/>
      <w:r>
        <w:rPr>
          <w:color w:val="000000" w:themeColor="text1"/>
        </w:rPr>
        <w:t xml:space="preserve"> 1 has UL BWP in slot 1 while UE 2 has DL BWP in the same slot. In such a case, it will be beneficial to provide UE 1 with a TDD configuration starting with UL. Instead of slots, the granularity in time can be symbols/groups of slots/frames as well. To allow such flexibility of scheduling and efficient utilization of available bandwidth for SBFD, TDD configurations and SFI formats starting with UL slots/symbols can be introduced.</w:t>
      </w:r>
    </w:p>
    <w:p w14:paraId="3A7A213E" w14:textId="5B022EA3" w:rsidR="00587E53" w:rsidRDefault="00587E53" w:rsidP="00587E53">
      <w:pPr>
        <w:spacing w:after="160" w:line="259" w:lineRule="auto"/>
        <w:contextualSpacing/>
      </w:pPr>
      <w:r>
        <w:rPr>
          <w:b/>
          <w:bCs/>
          <w:color w:val="000000" w:themeColor="text1"/>
        </w:rPr>
        <w:t>Observation</w:t>
      </w:r>
      <w:r w:rsidR="007A776F">
        <w:rPr>
          <w:b/>
          <w:bCs/>
          <w:color w:val="000000" w:themeColor="text1"/>
        </w:rPr>
        <w:t xml:space="preserve"> 5</w:t>
      </w:r>
      <w:r>
        <w:rPr>
          <w:b/>
          <w:bCs/>
          <w:color w:val="000000" w:themeColor="text1"/>
        </w:rPr>
        <w:t xml:space="preserve">: TDD configurations and SFI formats starting with UL slots/symbols improves flexibility of scheduling SBFD and allows efficient utilization of available bandwidth for </w:t>
      </w:r>
      <w:r w:rsidR="00853CDD">
        <w:rPr>
          <w:b/>
          <w:bCs/>
          <w:color w:val="000000" w:themeColor="text1"/>
        </w:rPr>
        <w:t>SBFD.</w:t>
      </w:r>
    </w:p>
    <w:p w14:paraId="7A5A0EDA" w14:textId="77777777" w:rsidR="00587E53" w:rsidRDefault="00587E53" w:rsidP="00587E53">
      <w:pPr>
        <w:spacing w:after="160" w:line="259" w:lineRule="auto"/>
        <w:contextualSpacing/>
        <w:rPr>
          <w:b/>
          <w:bCs/>
          <w:color w:val="000000" w:themeColor="text1"/>
        </w:rPr>
      </w:pPr>
    </w:p>
    <w:p w14:paraId="6BF8BE66" w14:textId="227FDD2A" w:rsidR="00587E53" w:rsidRDefault="00587E53" w:rsidP="00587E53">
      <w:pPr>
        <w:spacing w:after="160" w:line="259" w:lineRule="auto"/>
        <w:contextualSpacing/>
      </w:pPr>
      <w:r>
        <w:rPr>
          <w:b/>
          <w:bCs/>
          <w:color w:val="000000" w:themeColor="text1"/>
        </w:rPr>
        <w:t>Proposal</w:t>
      </w:r>
      <w:r w:rsidR="007A776F">
        <w:rPr>
          <w:b/>
          <w:bCs/>
          <w:color w:val="000000" w:themeColor="text1"/>
        </w:rPr>
        <w:t xml:space="preserve"> 7</w:t>
      </w:r>
      <w:r>
        <w:rPr>
          <w:b/>
          <w:bCs/>
          <w:color w:val="000000" w:themeColor="text1"/>
        </w:rPr>
        <w:t>: TDD configurations starting with UL slots/symbols are supported.</w:t>
      </w:r>
    </w:p>
    <w:p w14:paraId="1C245FC1" w14:textId="77777777" w:rsidR="00587E53" w:rsidRDefault="00587E53" w:rsidP="00587E53">
      <w:pPr>
        <w:spacing w:after="160" w:line="259" w:lineRule="auto"/>
        <w:contextualSpacing/>
      </w:pPr>
    </w:p>
    <w:p w14:paraId="2557C351" w14:textId="77777777" w:rsidR="00EA3302" w:rsidRDefault="00EA3302" w:rsidP="00EA3302">
      <w:pPr>
        <w:spacing w:after="160" w:line="259" w:lineRule="auto"/>
        <w:ind w:firstLine="720"/>
        <w:contextualSpacing/>
        <w:jc w:val="center"/>
      </w:pPr>
      <w:r>
        <w:rPr>
          <w:noProof/>
        </w:rPr>
        <w:drawing>
          <wp:anchor distT="0" distB="0" distL="0" distR="0" simplePos="0" relativeHeight="251661824" behindDoc="0" locked="0" layoutInCell="1" allowOverlap="1" wp14:anchorId="3298739A" wp14:editId="1D97B9CF">
            <wp:simplePos x="0" y="0"/>
            <wp:positionH relativeFrom="column">
              <wp:align>center</wp:align>
            </wp:positionH>
            <wp:positionV relativeFrom="paragraph">
              <wp:posOffset>635</wp:posOffset>
            </wp:positionV>
            <wp:extent cx="2887980" cy="2192655"/>
            <wp:effectExtent l="0" t="0" r="0"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5"/>
                    <pic:cNvPicPr>
                      <a:picLocks noChangeAspect="1" noChangeArrowheads="1"/>
                    </pic:cNvPicPr>
                  </pic:nvPicPr>
                  <pic:blipFill>
                    <a:blip r:embed="rId7"/>
                    <a:stretch>
                      <a:fillRect/>
                    </a:stretch>
                  </pic:blipFill>
                  <pic:spPr bwMode="auto">
                    <a:xfrm>
                      <a:off x="0" y="0"/>
                      <a:ext cx="2887980" cy="2192655"/>
                    </a:xfrm>
                    <a:prstGeom prst="rect">
                      <a:avLst/>
                    </a:prstGeom>
                  </pic:spPr>
                </pic:pic>
              </a:graphicData>
            </a:graphic>
          </wp:anchor>
        </w:drawing>
      </w:r>
      <w:r>
        <w:rPr>
          <w:color w:val="000000" w:themeColor="text1"/>
          <w:sz w:val="20"/>
          <w:szCs w:val="20"/>
          <w:lang w:eastAsia="ko-KR"/>
        </w:rPr>
        <w:t xml:space="preserve">Fig. </w:t>
      </w:r>
      <w:proofErr w:type="gramStart"/>
      <w:r>
        <w:rPr>
          <w:color w:val="000000" w:themeColor="text1"/>
          <w:sz w:val="20"/>
          <w:szCs w:val="20"/>
          <w:lang w:eastAsia="ko-KR"/>
        </w:rPr>
        <w:t>4  Illustration</w:t>
      </w:r>
      <w:proofErr w:type="gramEnd"/>
      <w:r>
        <w:rPr>
          <w:color w:val="000000" w:themeColor="text1"/>
          <w:sz w:val="20"/>
          <w:szCs w:val="20"/>
          <w:lang w:eastAsia="ko-KR"/>
        </w:rPr>
        <w:t xml:space="preserve"> to show need for TDD configuration starting with UL</w:t>
      </w:r>
    </w:p>
    <w:p w14:paraId="32ECC92D" w14:textId="77777777" w:rsidR="00EA3302" w:rsidRDefault="00EA3302" w:rsidP="00EA3302">
      <w:pPr>
        <w:spacing w:after="160" w:line="259" w:lineRule="auto"/>
        <w:ind w:firstLine="720"/>
        <w:contextualSpacing/>
        <w:rPr>
          <w:color w:val="000000" w:themeColor="text1"/>
        </w:rPr>
      </w:pPr>
    </w:p>
    <w:p w14:paraId="1F609EE4" w14:textId="44181517" w:rsidR="001323C4" w:rsidRDefault="00000000">
      <w:pPr>
        <w:pStyle w:val="ListParagraph"/>
        <w:spacing w:after="160" w:line="259" w:lineRule="auto"/>
        <w:ind w:left="0"/>
      </w:pPr>
      <w:r>
        <w:rPr>
          <w:color w:val="000000" w:themeColor="text1"/>
        </w:rPr>
        <w:t xml:space="preserve">Currently in NR, the </w:t>
      </w:r>
      <w:proofErr w:type="spellStart"/>
      <w:r>
        <w:rPr>
          <w:color w:val="000000" w:themeColor="text1"/>
        </w:rPr>
        <w:t>gNB</w:t>
      </w:r>
      <w:proofErr w:type="spellEnd"/>
      <w:r>
        <w:rPr>
          <w:color w:val="000000" w:themeColor="text1"/>
        </w:rPr>
        <w:t xml:space="preserve"> assigns BWPs to UEs in a UE specific way. Multiple BWPs are assigned to a UE in RRC out of which one BWP remains active for a UE at a given instant of time. The </w:t>
      </w:r>
      <w:proofErr w:type="spellStart"/>
      <w:r>
        <w:rPr>
          <w:color w:val="000000" w:themeColor="text1"/>
        </w:rPr>
        <w:t>gNB</w:t>
      </w:r>
      <w:proofErr w:type="spellEnd"/>
      <w:r>
        <w:rPr>
          <w:color w:val="000000" w:themeColor="text1"/>
        </w:rPr>
        <w:t xml:space="preserve"> can signal the UE to dynamically switch from one BWP to another BWP from the multiple BWPs assigned to the UE in RRC. If the BWP is switched, the UE follows the same TDD configuration that has been provided to it in RRC. However, for efficient SBFD operation, the </w:t>
      </w:r>
      <w:proofErr w:type="spellStart"/>
      <w:r>
        <w:rPr>
          <w:color w:val="000000" w:themeColor="text1"/>
        </w:rPr>
        <w:t>gNB</w:t>
      </w:r>
      <w:proofErr w:type="spellEnd"/>
      <w:r>
        <w:rPr>
          <w:color w:val="000000" w:themeColor="text1"/>
        </w:rPr>
        <w:t xml:space="preserve"> might need to dynamically change the TDD configuration at the UE along with the BWP switching. E.g., UE1 has active BWP1 when the </w:t>
      </w:r>
      <w:proofErr w:type="spellStart"/>
      <w:r>
        <w:rPr>
          <w:color w:val="000000" w:themeColor="text1"/>
        </w:rPr>
        <w:t>gNB</w:t>
      </w:r>
      <w:proofErr w:type="spellEnd"/>
      <w:r>
        <w:rPr>
          <w:color w:val="000000" w:themeColor="text1"/>
        </w:rPr>
        <w:t xml:space="preserve"> is operating in non-SBFD mode. Now, the </w:t>
      </w:r>
      <w:proofErr w:type="spellStart"/>
      <w:r>
        <w:rPr>
          <w:color w:val="000000" w:themeColor="text1"/>
        </w:rPr>
        <w:t>gNB</w:t>
      </w:r>
      <w:proofErr w:type="spellEnd"/>
      <w:r>
        <w:rPr>
          <w:color w:val="000000" w:themeColor="text1"/>
        </w:rPr>
        <w:t xml:space="preserve"> wants to operate in SBFD mode and for that purpose, it needs to switch the active BWP of UE1 to BWP2 with a new TDD configuration to accommodate other UEs with different TDD configurations within the same band. This new TDD configuration allows the </w:t>
      </w:r>
      <w:proofErr w:type="spellStart"/>
      <w:r>
        <w:rPr>
          <w:color w:val="000000" w:themeColor="text1"/>
        </w:rPr>
        <w:t>gNB</w:t>
      </w:r>
      <w:proofErr w:type="spellEnd"/>
      <w:r>
        <w:rPr>
          <w:color w:val="000000" w:themeColor="text1"/>
        </w:rPr>
        <w:t xml:space="preserve"> to efficiently operate SBFD in the network. Currently in NR, to do this, the </w:t>
      </w:r>
      <w:proofErr w:type="spellStart"/>
      <w:r>
        <w:rPr>
          <w:color w:val="000000" w:themeColor="text1"/>
        </w:rPr>
        <w:t>gNB</w:t>
      </w:r>
      <w:proofErr w:type="spellEnd"/>
      <w:r>
        <w:rPr>
          <w:color w:val="000000" w:themeColor="text1"/>
        </w:rPr>
        <w:t xml:space="preserve"> has to provide a new TDD configuration using RRC which is semi-static in nature. Instead, the </w:t>
      </w:r>
      <w:proofErr w:type="spellStart"/>
      <w:r>
        <w:rPr>
          <w:color w:val="000000" w:themeColor="text1"/>
        </w:rPr>
        <w:t>gNB</w:t>
      </w:r>
      <w:proofErr w:type="spellEnd"/>
      <w:r>
        <w:rPr>
          <w:color w:val="000000" w:themeColor="text1"/>
        </w:rPr>
        <w:t xml:space="preserve"> can  provide multiple BWPs to the UE each associated with a different TDD configuration. </w:t>
      </w:r>
      <w:proofErr w:type="gramStart"/>
      <w:r>
        <w:rPr>
          <w:color w:val="000000" w:themeColor="text1"/>
        </w:rPr>
        <w:t>Whenever,</w:t>
      </w:r>
      <w:proofErr w:type="gramEnd"/>
      <w:r>
        <w:rPr>
          <w:color w:val="000000" w:themeColor="text1"/>
        </w:rPr>
        <w:t xml:space="preserve"> the UE switches the active BWP, the UE uses the TDD configuration associated with the new active BWP. An example is shown in Fig. 3. In Fig. 3a, the DL/UL BWP pair is associated with the configuration DUUUUU while in Fig. 3</w:t>
      </w:r>
      <w:proofErr w:type="gramStart"/>
      <w:r>
        <w:rPr>
          <w:color w:val="000000" w:themeColor="text1"/>
        </w:rPr>
        <w:t>b,  the</w:t>
      </w:r>
      <w:proofErr w:type="gramEnd"/>
      <w:r>
        <w:rPr>
          <w:color w:val="000000" w:themeColor="text1"/>
        </w:rPr>
        <w:t xml:space="preserve"> DL/UL BWP pair is associated with the configuration DDDDDU. The </w:t>
      </w:r>
      <w:proofErr w:type="spellStart"/>
      <w:r>
        <w:rPr>
          <w:color w:val="000000" w:themeColor="text1"/>
        </w:rPr>
        <w:t>gNB</w:t>
      </w:r>
      <w:proofErr w:type="spellEnd"/>
      <w:r>
        <w:rPr>
          <w:color w:val="000000" w:themeColor="text1"/>
        </w:rPr>
        <w:t xml:space="preserve"> has the flexibility to choose between the 2 configurations based on traffic requirements. Based on the above justification, the following is proposed.</w:t>
      </w:r>
    </w:p>
    <w:p w14:paraId="58BC5B4E" w14:textId="77777777" w:rsidR="001323C4" w:rsidRDefault="00000000">
      <w:pPr>
        <w:spacing w:after="160" w:line="259" w:lineRule="auto"/>
        <w:ind w:firstLine="720"/>
        <w:contextualSpacing/>
        <w:jc w:val="center"/>
      </w:pPr>
      <w:r>
        <w:rPr>
          <w:noProof/>
        </w:rPr>
        <w:lastRenderedPageBreak/>
        <w:drawing>
          <wp:anchor distT="0" distB="0" distL="0" distR="0" simplePos="0" relativeHeight="5" behindDoc="0" locked="0" layoutInCell="1" allowOverlap="1" wp14:anchorId="6312F74B" wp14:editId="69A5E5A4">
            <wp:simplePos x="0" y="0"/>
            <wp:positionH relativeFrom="column">
              <wp:align>center</wp:align>
            </wp:positionH>
            <wp:positionV relativeFrom="paragraph">
              <wp:posOffset>635</wp:posOffset>
            </wp:positionV>
            <wp:extent cx="4380865" cy="1694180"/>
            <wp:effectExtent l="0" t="0" r="0" b="0"/>
            <wp:wrapTopAndBottom/>
            <wp:docPr id="3" name="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6"/>
                    <pic:cNvPicPr>
                      <a:picLocks noChangeAspect="1" noChangeArrowheads="1"/>
                    </pic:cNvPicPr>
                  </pic:nvPicPr>
                  <pic:blipFill>
                    <a:blip r:embed="rId8"/>
                    <a:stretch>
                      <a:fillRect/>
                    </a:stretch>
                  </pic:blipFill>
                  <pic:spPr bwMode="auto">
                    <a:xfrm>
                      <a:off x="0" y="0"/>
                      <a:ext cx="4380865" cy="1694180"/>
                    </a:xfrm>
                    <a:prstGeom prst="rect">
                      <a:avLst/>
                    </a:prstGeom>
                  </pic:spPr>
                </pic:pic>
              </a:graphicData>
            </a:graphic>
          </wp:anchor>
        </w:drawing>
      </w:r>
      <w:r>
        <w:rPr>
          <w:color w:val="000000" w:themeColor="text1"/>
          <w:sz w:val="20"/>
          <w:szCs w:val="20"/>
          <w:lang w:eastAsia="ko-KR"/>
        </w:rPr>
        <w:t xml:space="preserve">Fig. </w:t>
      </w:r>
      <w:proofErr w:type="gramStart"/>
      <w:r>
        <w:rPr>
          <w:color w:val="000000" w:themeColor="text1"/>
          <w:sz w:val="20"/>
          <w:szCs w:val="20"/>
          <w:lang w:eastAsia="ko-KR"/>
        </w:rPr>
        <w:t>3  Different</w:t>
      </w:r>
      <w:proofErr w:type="gramEnd"/>
      <w:r>
        <w:rPr>
          <w:color w:val="000000" w:themeColor="text1"/>
          <w:sz w:val="20"/>
          <w:szCs w:val="20"/>
          <w:lang w:eastAsia="ko-KR"/>
        </w:rPr>
        <w:t xml:space="preserve"> BWP pairs associated with different TDD configurations for the same UE</w:t>
      </w:r>
    </w:p>
    <w:p w14:paraId="4D07AE4E" w14:textId="77777777" w:rsidR="001323C4" w:rsidRDefault="001323C4">
      <w:pPr>
        <w:pStyle w:val="ListParagraph"/>
        <w:spacing w:after="160" w:line="259" w:lineRule="auto"/>
        <w:ind w:left="0"/>
        <w:rPr>
          <w:color w:val="000000" w:themeColor="text1"/>
        </w:rPr>
      </w:pPr>
    </w:p>
    <w:p w14:paraId="7771C0E5" w14:textId="277B0D7B" w:rsidR="001323C4" w:rsidRDefault="00000000">
      <w:pPr>
        <w:spacing w:after="160" w:line="259" w:lineRule="auto"/>
        <w:contextualSpacing/>
        <w:rPr>
          <w:b/>
          <w:bCs/>
          <w:color w:val="000000" w:themeColor="text1"/>
        </w:rPr>
      </w:pPr>
      <w:r>
        <w:rPr>
          <w:b/>
          <w:bCs/>
          <w:color w:val="000000" w:themeColor="text1"/>
        </w:rPr>
        <w:t>Proposal</w:t>
      </w:r>
      <w:r w:rsidR="007A776F">
        <w:rPr>
          <w:b/>
          <w:bCs/>
          <w:color w:val="000000" w:themeColor="text1"/>
        </w:rPr>
        <w:t xml:space="preserve"> 8</w:t>
      </w:r>
      <w:r>
        <w:rPr>
          <w:b/>
          <w:bCs/>
          <w:color w:val="000000" w:themeColor="text1"/>
        </w:rPr>
        <w:t xml:space="preserve">:  </w:t>
      </w:r>
      <w:proofErr w:type="spellStart"/>
      <w:r>
        <w:rPr>
          <w:b/>
          <w:bCs/>
          <w:color w:val="000000" w:themeColor="text1"/>
        </w:rPr>
        <w:t>gNB</w:t>
      </w:r>
      <w:proofErr w:type="spellEnd"/>
      <w:r>
        <w:rPr>
          <w:b/>
          <w:bCs/>
          <w:color w:val="000000" w:themeColor="text1"/>
        </w:rPr>
        <w:t xml:space="preserve"> configuring separate TDD configuration for each BWP pair of the UE is supported.</w:t>
      </w:r>
    </w:p>
    <w:p w14:paraId="314DA699" w14:textId="77777777" w:rsidR="00741693" w:rsidRDefault="00741693">
      <w:pPr>
        <w:spacing w:after="160" w:line="259" w:lineRule="auto"/>
        <w:contextualSpacing/>
        <w:rPr>
          <w:b/>
          <w:bCs/>
          <w:color w:val="000000" w:themeColor="text1"/>
        </w:rPr>
      </w:pPr>
    </w:p>
    <w:p w14:paraId="6201FB37" w14:textId="77777777" w:rsidR="001323C4" w:rsidRDefault="00000000">
      <w:pPr>
        <w:numPr>
          <w:ilvl w:val="0"/>
          <w:numId w:val="3"/>
        </w:numPr>
        <w:spacing w:after="160" w:line="259" w:lineRule="auto"/>
        <w:contextualSpacing/>
        <w:rPr>
          <w:b/>
          <w:bCs/>
          <w:sz w:val="28"/>
          <w:szCs w:val="28"/>
        </w:rPr>
      </w:pPr>
      <w:r>
        <w:rPr>
          <w:b/>
          <w:bCs/>
          <w:sz w:val="28"/>
          <w:szCs w:val="28"/>
        </w:rPr>
        <w:t>Resource allocation</w:t>
      </w:r>
    </w:p>
    <w:p w14:paraId="5AFB4E9D" w14:textId="77777777" w:rsidR="001323C4" w:rsidRDefault="00000000">
      <w:pPr>
        <w:numPr>
          <w:ilvl w:val="0"/>
          <w:numId w:val="5"/>
        </w:numPr>
        <w:spacing w:after="160" w:line="259" w:lineRule="auto"/>
        <w:contextualSpacing/>
        <w:rPr>
          <w:b/>
          <w:bCs/>
          <w:color w:val="000000" w:themeColor="text1"/>
        </w:rPr>
      </w:pPr>
      <w:r>
        <w:rPr>
          <w:b/>
          <w:bCs/>
          <w:color w:val="000000" w:themeColor="text1"/>
        </w:rPr>
        <w:t>SPS and CG related enhancements</w:t>
      </w:r>
    </w:p>
    <w:p w14:paraId="7603CAA7" w14:textId="77777777" w:rsidR="001323C4" w:rsidRDefault="001323C4">
      <w:pPr>
        <w:spacing w:after="160" w:line="259" w:lineRule="auto"/>
        <w:ind w:left="90"/>
        <w:contextualSpacing/>
        <w:rPr>
          <w:color w:val="000000" w:themeColor="text1"/>
          <w:lang w:eastAsia="ko-KR"/>
        </w:rPr>
      </w:pPr>
    </w:p>
    <w:p w14:paraId="0A825EE9" w14:textId="77777777" w:rsidR="001323C4" w:rsidRDefault="00000000">
      <w:pPr>
        <w:spacing w:after="160" w:line="259" w:lineRule="auto"/>
        <w:ind w:left="90"/>
        <w:contextualSpacing/>
      </w:pPr>
      <w:r>
        <w:rPr>
          <w:rFonts w:eastAsia="Malgun Gothic"/>
          <w:color w:val="000000" w:themeColor="text1"/>
          <w:lang w:eastAsia="ko-KR"/>
        </w:rPr>
        <w:t xml:space="preserve">The following agreement was made in </w:t>
      </w:r>
      <w:r>
        <w:rPr>
          <w:rFonts w:eastAsia="Malgun Gothic"/>
          <w:color w:val="000000" w:themeColor="text1"/>
        </w:rPr>
        <w:t xml:space="preserve">RAN1# 111 </w:t>
      </w:r>
      <w:r>
        <w:rPr>
          <w:rFonts w:eastAsia="Malgun Gothic"/>
          <w:color w:val="000000" w:themeColor="text1"/>
          <w:lang w:eastAsia="ko-KR"/>
        </w:rPr>
        <w:t>[4].</w:t>
      </w:r>
    </w:p>
    <w:p w14:paraId="467FB609" w14:textId="77777777" w:rsidR="001323C4" w:rsidRDefault="00000000">
      <w:pPr>
        <w:rPr>
          <w:rFonts w:eastAsia="Malgun Gothic"/>
          <w:i/>
          <w:iCs/>
          <w:color w:val="000000" w:themeColor="text1"/>
          <w:sz w:val="20"/>
          <w:szCs w:val="20"/>
          <w:highlight w:val="green"/>
        </w:rPr>
      </w:pPr>
      <w:r>
        <w:rPr>
          <w:rFonts w:eastAsia="Malgun Gothic"/>
          <w:i/>
          <w:iCs/>
          <w:color w:val="000000" w:themeColor="text1"/>
          <w:sz w:val="20"/>
          <w:szCs w:val="20"/>
          <w:highlight w:val="green"/>
        </w:rPr>
        <w:t>Agreement</w:t>
      </w:r>
    </w:p>
    <w:p w14:paraId="2C774340" w14:textId="77777777" w:rsidR="001323C4" w:rsidRDefault="00000000">
      <w:pPr>
        <w:rPr>
          <w:rFonts w:eastAsia="Malgun Gothic"/>
          <w:i/>
          <w:iCs/>
          <w:color w:val="000000" w:themeColor="text1"/>
          <w:sz w:val="20"/>
          <w:szCs w:val="20"/>
        </w:rPr>
      </w:pPr>
      <w:r>
        <w:rPr>
          <w:rFonts w:eastAsia="Malgun Gothic"/>
          <w:i/>
          <w:iCs/>
          <w:color w:val="000000" w:themeColor="text1"/>
          <w:sz w:val="20"/>
          <w:szCs w:val="20"/>
        </w:rPr>
        <w:t>Study impact and potential enhancements for UL transmissions and DL receptions across SBFD symbols and non-SBFD symbols, including at least the following:</w:t>
      </w:r>
    </w:p>
    <w:p w14:paraId="765BA8C4" w14:textId="77777777" w:rsidR="001323C4" w:rsidRDefault="00000000">
      <w:pPr>
        <w:pStyle w:val="ListParagraph"/>
        <w:numPr>
          <w:ilvl w:val="0"/>
          <w:numId w:val="7"/>
        </w:numPr>
        <w:rPr>
          <w:rFonts w:eastAsia="Malgun Gothic"/>
          <w:i/>
          <w:iCs/>
          <w:color w:val="000000" w:themeColor="text1"/>
          <w:sz w:val="20"/>
          <w:szCs w:val="20"/>
        </w:rPr>
      </w:pPr>
      <w:r>
        <w:rPr>
          <w:rFonts w:eastAsia="Malgun Gothic"/>
          <w:i/>
          <w:iCs/>
          <w:color w:val="000000" w:themeColor="text1"/>
          <w:sz w:val="20"/>
          <w:szCs w:val="20"/>
        </w:rPr>
        <w:t xml:space="preserve">PDCCH, scheduled/configured PUCCH/PUSCH/PDSCH, without repetition in SBFD symbols and non-SBFD </w:t>
      </w:r>
      <w:proofErr w:type="gramStart"/>
      <w:r>
        <w:rPr>
          <w:rFonts w:eastAsia="Malgun Gothic"/>
          <w:i/>
          <w:iCs/>
          <w:color w:val="000000" w:themeColor="text1"/>
          <w:sz w:val="20"/>
          <w:szCs w:val="20"/>
        </w:rPr>
        <w:t>symbols</w:t>
      </w:r>
      <w:proofErr w:type="gramEnd"/>
    </w:p>
    <w:p w14:paraId="35666216" w14:textId="77777777" w:rsidR="001323C4" w:rsidRDefault="00000000">
      <w:pPr>
        <w:pStyle w:val="ListParagraph"/>
        <w:numPr>
          <w:ilvl w:val="0"/>
          <w:numId w:val="7"/>
        </w:numPr>
        <w:rPr>
          <w:rFonts w:eastAsia="Malgun Gothic"/>
          <w:i/>
          <w:iCs/>
          <w:color w:val="000000" w:themeColor="text1"/>
          <w:sz w:val="20"/>
          <w:szCs w:val="20"/>
        </w:rPr>
      </w:pPr>
      <w:r>
        <w:rPr>
          <w:rFonts w:eastAsia="Malgun Gothic"/>
          <w:i/>
          <w:iCs/>
          <w:color w:val="000000" w:themeColor="text1"/>
          <w:sz w:val="20"/>
          <w:szCs w:val="20"/>
        </w:rPr>
        <w:t xml:space="preserve">Scheduled/configured SRS/CSI-RS in SBFD symbols and non-SBFD </w:t>
      </w:r>
      <w:proofErr w:type="gramStart"/>
      <w:r>
        <w:rPr>
          <w:rFonts w:eastAsia="Malgun Gothic"/>
          <w:i/>
          <w:iCs/>
          <w:color w:val="000000" w:themeColor="text1"/>
          <w:sz w:val="20"/>
          <w:szCs w:val="20"/>
        </w:rPr>
        <w:t>symbols</w:t>
      </w:r>
      <w:proofErr w:type="gramEnd"/>
    </w:p>
    <w:p w14:paraId="33CDBBA3" w14:textId="77777777" w:rsidR="001323C4" w:rsidRDefault="00000000">
      <w:pPr>
        <w:pStyle w:val="ListParagraph"/>
        <w:numPr>
          <w:ilvl w:val="0"/>
          <w:numId w:val="7"/>
        </w:numPr>
        <w:rPr>
          <w:rFonts w:eastAsia="Malgun Gothic"/>
          <w:i/>
          <w:iCs/>
          <w:color w:val="000000" w:themeColor="text1"/>
          <w:sz w:val="20"/>
          <w:szCs w:val="20"/>
        </w:rPr>
      </w:pPr>
      <w:r>
        <w:rPr>
          <w:rFonts w:eastAsia="Malgun Gothic"/>
          <w:i/>
          <w:iCs/>
          <w:color w:val="000000" w:themeColor="text1"/>
          <w:sz w:val="20"/>
          <w:szCs w:val="20"/>
        </w:rPr>
        <w:t xml:space="preserve">Scheduled/configured </w:t>
      </w:r>
      <w:proofErr w:type="spellStart"/>
      <w:r>
        <w:rPr>
          <w:rFonts w:eastAsia="Malgun Gothic"/>
          <w:i/>
          <w:iCs/>
          <w:color w:val="000000" w:themeColor="text1"/>
          <w:sz w:val="20"/>
          <w:szCs w:val="20"/>
        </w:rPr>
        <w:t>TBoMS</w:t>
      </w:r>
      <w:proofErr w:type="spellEnd"/>
      <w:r>
        <w:rPr>
          <w:rFonts w:eastAsia="Malgun Gothic"/>
          <w:i/>
          <w:iCs/>
          <w:color w:val="000000" w:themeColor="text1"/>
          <w:sz w:val="20"/>
          <w:szCs w:val="20"/>
        </w:rPr>
        <w:t xml:space="preserve"> across SBFD symbols and non-SBFD symbols with or without </w:t>
      </w:r>
      <w:proofErr w:type="gramStart"/>
      <w:r>
        <w:rPr>
          <w:rFonts w:eastAsia="Malgun Gothic"/>
          <w:i/>
          <w:iCs/>
          <w:color w:val="000000" w:themeColor="text1"/>
          <w:sz w:val="20"/>
          <w:szCs w:val="20"/>
        </w:rPr>
        <w:t>repetition</w:t>
      </w:r>
      <w:proofErr w:type="gramEnd"/>
    </w:p>
    <w:p w14:paraId="76A4274A" w14:textId="77777777" w:rsidR="001323C4" w:rsidRDefault="00000000">
      <w:pPr>
        <w:pStyle w:val="ListParagraph"/>
        <w:numPr>
          <w:ilvl w:val="0"/>
          <w:numId w:val="7"/>
        </w:numPr>
        <w:rPr>
          <w:rFonts w:eastAsia="Malgun Gothic"/>
          <w:i/>
          <w:iCs/>
          <w:color w:val="000000" w:themeColor="text1"/>
          <w:sz w:val="20"/>
          <w:szCs w:val="20"/>
        </w:rPr>
      </w:pPr>
      <w:r>
        <w:rPr>
          <w:rFonts w:eastAsia="Malgun Gothic"/>
          <w:i/>
          <w:iCs/>
          <w:color w:val="000000" w:themeColor="text1"/>
          <w:sz w:val="20"/>
          <w:szCs w:val="20"/>
        </w:rPr>
        <w:t xml:space="preserve">Multi-PUSCH/PDSCH scheduled by a single DCI in SBFD symbols and non-SBFD </w:t>
      </w:r>
      <w:proofErr w:type="gramStart"/>
      <w:r>
        <w:rPr>
          <w:rFonts w:eastAsia="Malgun Gothic"/>
          <w:i/>
          <w:iCs/>
          <w:color w:val="000000" w:themeColor="text1"/>
          <w:sz w:val="20"/>
          <w:szCs w:val="20"/>
        </w:rPr>
        <w:t>symbols</w:t>
      </w:r>
      <w:proofErr w:type="gramEnd"/>
    </w:p>
    <w:p w14:paraId="1284423D" w14:textId="77777777" w:rsidR="001323C4" w:rsidRDefault="00000000">
      <w:pPr>
        <w:pStyle w:val="ListParagraph"/>
        <w:numPr>
          <w:ilvl w:val="0"/>
          <w:numId w:val="7"/>
        </w:numPr>
        <w:rPr>
          <w:rFonts w:eastAsia="Malgun Gothic"/>
          <w:i/>
          <w:iCs/>
          <w:color w:val="000000" w:themeColor="text1"/>
          <w:sz w:val="20"/>
          <w:szCs w:val="20"/>
        </w:rPr>
      </w:pPr>
      <w:r>
        <w:rPr>
          <w:rFonts w:eastAsia="Malgun Gothic"/>
          <w:i/>
          <w:iCs/>
          <w:color w:val="000000" w:themeColor="text1"/>
          <w:sz w:val="20"/>
          <w:szCs w:val="20"/>
        </w:rPr>
        <w:t xml:space="preserve">Scheduled/configured PDSCH/PUSCH/PUCCH with repetitions across SBFD symbols and non-SBFD </w:t>
      </w:r>
      <w:proofErr w:type="gramStart"/>
      <w:r>
        <w:rPr>
          <w:rFonts w:eastAsia="Malgun Gothic"/>
          <w:i/>
          <w:iCs/>
          <w:color w:val="000000" w:themeColor="text1"/>
          <w:sz w:val="20"/>
          <w:szCs w:val="20"/>
        </w:rPr>
        <w:t>symbols</w:t>
      </w:r>
      <w:proofErr w:type="gramEnd"/>
    </w:p>
    <w:p w14:paraId="76EDD77A" w14:textId="77777777" w:rsidR="001323C4" w:rsidRDefault="00000000">
      <w:pPr>
        <w:rPr>
          <w:rFonts w:eastAsia="Malgun Gothic"/>
          <w:i/>
          <w:iCs/>
          <w:color w:val="000000" w:themeColor="text1"/>
          <w:sz w:val="20"/>
          <w:szCs w:val="20"/>
        </w:rPr>
      </w:pPr>
      <w:r>
        <w:rPr>
          <w:rFonts w:eastAsia="Malgun Gothic"/>
          <w:i/>
          <w:iCs/>
          <w:color w:val="000000" w:themeColor="text1"/>
          <w:sz w:val="20"/>
          <w:szCs w:val="20"/>
        </w:rPr>
        <w:t>Note: Inter-slot/intra-slot/inter-repetition/inter-group frequency hopping with DMRS bundling of PUSCH/PUCCH, if applicable, is considered.</w:t>
      </w:r>
    </w:p>
    <w:p w14:paraId="1D7061CD" w14:textId="77777777" w:rsidR="001323C4" w:rsidRDefault="00000000">
      <w:pPr>
        <w:rPr>
          <w:rFonts w:eastAsia="Malgun Gothic"/>
          <w:i/>
          <w:iCs/>
          <w:color w:val="000000" w:themeColor="text1"/>
          <w:sz w:val="20"/>
          <w:szCs w:val="20"/>
        </w:rPr>
      </w:pPr>
      <w:r>
        <w:rPr>
          <w:rFonts w:eastAsia="Malgun Gothic"/>
          <w:i/>
          <w:iCs/>
          <w:color w:val="000000" w:themeColor="text1"/>
          <w:sz w:val="20"/>
          <w:szCs w:val="20"/>
        </w:rPr>
        <w:t>Examples of potential enhancements include:</w:t>
      </w:r>
    </w:p>
    <w:p w14:paraId="7B64C053" w14:textId="77777777" w:rsidR="001323C4" w:rsidRDefault="00000000">
      <w:pPr>
        <w:pStyle w:val="ListParagraph"/>
        <w:numPr>
          <w:ilvl w:val="0"/>
          <w:numId w:val="8"/>
        </w:numPr>
        <w:rPr>
          <w:rFonts w:eastAsia="Malgun Gothic"/>
          <w:i/>
          <w:iCs/>
          <w:color w:val="000000" w:themeColor="text1"/>
          <w:sz w:val="20"/>
          <w:szCs w:val="20"/>
        </w:rPr>
      </w:pPr>
      <w:r>
        <w:rPr>
          <w:rFonts w:eastAsia="Malgun Gothic"/>
          <w:i/>
          <w:iCs/>
          <w:color w:val="000000" w:themeColor="text1"/>
          <w:sz w:val="20"/>
          <w:szCs w:val="20"/>
        </w:rPr>
        <w:t xml:space="preserve">Resource allocation in frequency domain including frequency </w:t>
      </w:r>
      <w:proofErr w:type="gramStart"/>
      <w:r>
        <w:rPr>
          <w:rFonts w:eastAsia="Malgun Gothic"/>
          <w:i/>
          <w:iCs/>
          <w:color w:val="000000" w:themeColor="text1"/>
          <w:sz w:val="20"/>
          <w:szCs w:val="20"/>
        </w:rPr>
        <w:t>hopping</w:t>
      </w:r>
      <w:proofErr w:type="gramEnd"/>
    </w:p>
    <w:p w14:paraId="63331B99" w14:textId="77777777" w:rsidR="001323C4" w:rsidRDefault="00000000">
      <w:pPr>
        <w:pStyle w:val="ListParagraph"/>
        <w:numPr>
          <w:ilvl w:val="0"/>
          <w:numId w:val="8"/>
        </w:numPr>
        <w:rPr>
          <w:rFonts w:eastAsia="Malgun Gothic"/>
          <w:i/>
          <w:iCs/>
          <w:color w:val="000000" w:themeColor="text1"/>
          <w:sz w:val="20"/>
          <w:szCs w:val="20"/>
        </w:rPr>
      </w:pPr>
      <w:r>
        <w:rPr>
          <w:rFonts w:eastAsia="Malgun Gothic"/>
          <w:i/>
          <w:iCs/>
          <w:color w:val="000000" w:themeColor="text1"/>
          <w:sz w:val="20"/>
          <w:szCs w:val="20"/>
        </w:rPr>
        <w:t>Resource allocation in time domain</w:t>
      </w:r>
    </w:p>
    <w:p w14:paraId="3AB6A8B4" w14:textId="77777777" w:rsidR="001323C4" w:rsidRDefault="00000000">
      <w:pPr>
        <w:pStyle w:val="ListParagraph"/>
        <w:numPr>
          <w:ilvl w:val="0"/>
          <w:numId w:val="8"/>
        </w:numPr>
        <w:rPr>
          <w:rFonts w:eastAsia="Malgun Gothic"/>
          <w:i/>
          <w:iCs/>
          <w:color w:val="000000" w:themeColor="text1"/>
          <w:sz w:val="20"/>
          <w:szCs w:val="20"/>
        </w:rPr>
      </w:pPr>
      <w:r>
        <w:rPr>
          <w:rFonts w:eastAsia="Malgun Gothic"/>
          <w:i/>
          <w:iCs/>
          <w:color w:val="000000" w:themeColor="text1"/>
          <w:sz w:val="20"/>
          <w:szCs w:val="20"/>
        </w:rPr>
        <w:t>Power domain</w:t>
      </w:r>
    </w:p>
    <w:p w14:paraId="0C72DF5B" w14:textId="77777777" w:rsidR="001323C4" w:rsidRDefault="00000000">
      <w:pPr>
        <w:pStyle w:val="ListParagraph"/>
        <w:numPr>
          <w:ilvl w:val="0"/>
          <w:numId w:val="8"/>
        </w:numPr>
        <w:rPr>
          <w:rFonts w:eastAsia="Malgun Gothic"/>
          <w:i/>
          <w:iCs/>
          <w:color w:val="000000" w:themeColor="text1"/>
          <w:sz w:val="20"/>
          <w:szCs w:val="20"/>
        </w:rPr>
      </w:pPr>
      <w:r>
        <w:rPr>
          <w:rFonts w:eastAsia="Malgun Gothic"/>
          <w:i/>
          <w:iCs/>
          <w:color w:val="000000" w:themeColor="text1"/>
          <w:sz w:val="20"/>
          <w:szCs w:val="20"/>
        </w:rPr>
        <w:t xml:space="preserve">Spatial domain </w:t>
      </w:r>
    </w:p>
    <w:p w14:paraId="2DEF50FE" w14:textId="77777777" w:rsidR="001323C4" w:rsidRDefault="00000000">
      <w:pPr>
        <w:tabs>
          <w:tab w:val="left" w:pos="0"/>
        </w:tabs>
        <w:spacing w:after="160" w:line="259" w:lineRule="auto"/>
        <w:ind w:left="90"/>
        <w:contextualSpacing/>
        <w:rPr>
          <w:rFonts w:eastAsia="Malgun Gothic"/>
          <w:i/>
          <w:iCs/>
          <w:color w:val="000000" w:themeColor="text1"/>
          <w:sz w:val="20"/>
          <w:szCs w:val="20"/>
        </w:rPr>
      </w:pPr>
      <w:r>
        <w:rPr>
          <w:rFonts w:eastAsia="Malgun Gothic"/>
          <w:i/>
          <w:iCs/>
          <w:color w:val="000000" w:themeColor="text1"/>
          <w:sz w:val="20"/>
          <w:szCs w:val="20"/>
        </w:rPr>
        <w:t>FFS: If the PUCCH/PUSCH/PDSCH/PDCCH can be mapped to SBFD and non-SBFD in the same slot if configured.</w:t>
      </w:r>
    </w:p>
    <w:p w14:paraId="5102FD2F" w14:textId="77777777" w:rsidR="001323C4" w:rsidRDefault="001323C4">
      <w:pPr>
        <w:spacing w:after="160" w:line="259" w:lineRule="auto"/>
        <w:ind w:left="90"/>
        <w:contextualSpacing/>
        <w:rPr>
          <w:color w:val="000000" w:themeColor="text1"/>
          <w:lang w:eastAsia="ko-KR"/>
        </w:rPr>
      </w:pPr>
    </w:p>
    <w:p w14:paraId="7AB7D6E7" w14:textId="77777777" w:rsidR="001323C4" w:rsidRDefault="00000000">
      <w:pPr>
        <w:spacing w:after="160" w:line="259" w:lineRule="auto"/>
        <w:contextualSpacing/>
      </w:pPr>
      <w:r>
        <w:rPr>
          <w:color w:val="000000" w:themeColor="text1"/>
        </w:rPr>
        <w:t>Currently in NR, only one frequency domain resource assignment (FDRA) is provided for a particular grant free transmission ID. Once activated, the UE transmits PUSCH with the given resource assignment. However, these UL resources might change in frequency domain dynamically due to changes in SB sizes/location. This can be managed in 2 ways:</w:t>
      </w:r>
    </w:p>
    <w:p w14:paraId="79BC4C28" w14:textId="77777777" w:rsidR="001323C4" w:rsidRDefault="00000000">
      <w:pPr>
        <w:spacing w:after="160" w:line="259" w:lineRule="auto"/>
        <w:contextualSpacing/>
        <w:rPr>
          <w:color w:val="000000" w:themeColor="text1"/>
        </w:rPr>
      </w:pPr>
      <w:r>
        <w:rPr>
          <w:color w:val="000000" w:themeColor="text1"/>
        </w:rPr>
        <w:t>a. Different FDRAs for different slot types (SBFD and non-SBFD slots).</w:t>
      </w:r>
    </w:p>
    <w:p w14:paraId="47C29EA1" w14:textId="77777777" w:rsidR="001323C4" w:rsidRDefault="00000000">
      <w:pPr>
        <w:spacing w:after="160" w:line="259" w:lineRule="auto"/>
        <w:contextualSpacing/>
        <w:rPr>
          <w:color w:val="000000" w:themeColor="text1"/>
        </w:rPr>
      </w:pPr>
      <w:r>
        <w:rPr>
          <w:color w:val="000000" w:themeColor="text1"/>
        </w:rPr>
        <w:t xml:space="preserve">b. Provision to change the FDRA of the PUSCH transmission already configured. </w:t>
      </w:r>
    </w:p>
    <w:p w14:paraId="104C6952" w14:textId="77777777" w:rsidR="001323C4" w:rsidRDefault="00000000">
      <w:pPr>
        <w:spacing w:after="160" w:line="259" w:lineRule="auto"/>
        <w:contextualSpacing/>
        <w:rPr>
          <w:color w:val="000000" w:themeColor="text1"/>
        </w:rPr>
      </w:pPr>
      <w:r>
        <w:rPr>
          <w:color w:val="000000" w:themeColor="text1"/>
        </w:rPr>
        <w:t xml:space="preserve">Similar changes will be applicable for SPS PDSCH. </w:t>
      </w:r>
    </w:p>
    <w:p w14:paraId="5E7138AB" w14:textId="77777777" w:rsidR="001323C4" w:rsidRDefault="001323C4">
      <w:pPr>
        <w:spacing w:after="160" w:line="259" w:lineRule="auto"/>
        <w:contextualSpacing/>
        <w:rPr>
          <w:color w:val="000000" w:themeColor="text1"/>
        </w:rPr>
      </w:pPr>
    </w:p>
    <w:p w14:paraId="3897D5B5" w14:textId="36C0F130" w:rsidR="001323C4" w:rsidRDefault="00000000">
      <w:pPr>
        <w:spacing w:after="160" w:line="259" w:lineRule="auto"/>
        <w:contextualSpacing/>
      </w:pPr>
      <w:r>
        <w:rPr>
          <w:b/>
          <w:bCs/>
          <w:color w:val="000000" w:themeColor="text1"/>
        </w:rPr>
        <w:t xml:space="preserve">Proposal </w:t>
      </w:r>
      <w:r w:rsidR="007A776F">
        <w:rPr>
          <w:b/>
          <w:bCs/>
          <w:color w:val="000000" w:themeColor="text1"/>
        </w:rPr>
        <w:t>9</w:t>
      </w:r>
      <w:r>
        <w:rPr>
          <w:b/>
          <w:bCs/>
          <w:color w:val="000000" w:themeColor="text1"/>
        </w:rPr>
        <w:t>: Study FDRA related enhancement for SPS PDSCH and CG PUSCH.</w:t>
      </w:r>
    </w:p>
    <w:p w14:paraId="33EE5593" w14:textId="77777777" w:rsidR="001323C4" w:rsidRDefault="001323C4">
      <w:pPr>
        <w:spacing w:after="160" w:line="259" w:lineRule="auto"/>
        <w:contextualSpacing/>
        <w:rPr>
          <w:b/>
          <w:bCs/>
          <w:color w:val="000000" w:themeColor="text1"/>
        </w:rPr>
      </w:pPr>
    </w:p>
    <w:p w14:paraId="5955B38E" w14:textId="77777777" w:rsidR="001323C4" w:rsidRDefault="00000000">
      <w:pPr>
        <w:numPr>
          <w:ilvl w:val="0"/>
          <w:numId w:val="5"/>
        </w:numPr>
        <w:spacing w:after="160" w:line="259" w:lineRule="auto"/>
        <w:contextualSpacing/>
        <w:rPr>
          <w:b/>
          <w:bCs/>
          <w:color w:val="000000" w:themeColor="text1"/>
        </w:rPr>
      </w:pPr>
      <w:r>
        <w:rPr>
          <w:b/>
          <w:bCs/>
          <w:color w:val="000000" w:themeColor="text1"/>
        </w:rPr>
        <w:lastRenderedPageBreak/>
        <w:t>Repetition of signals/channels</w:t>
      </w:r>
    </w:p>
    <w:p w14:paraId="47D62F8B" w14:textId="77777777" w:rsidR="001323C4" w:rsidRDefault="00000000">
      <w:pPr>
        <w:spacing w:after="160" w:line="259" w:lineRule="auto"/>
        <w:contextualSpacing/>
        <w:rPr>
          <w:color w:val="000000" w:themeColor="text1"/>
          <w:lang w:eastAsia="ko-KR"/>
        </w:rPr>
      </w:pPr>
      <w:r>
        <w:rPr>
          <w:color w:val="000000" w:themeColor="text1"/>
          <w:lang w:eastAsia="ko-KR"/>
        </w:rPr>
        <w:t xml:space="preserve">One of the major use cases of SBFD is to enhance UL coverage by boosting UL SNR. The boosting in SNR is done by repetition of UL signals/channels like PUCCH, SRS etc. </w:t>
      </w:r>
    </w:p>
    <w:p w14:paraId="7EEAC2FB" w14:textId="77777777" w:rsidR="001323C4" w:rsidRDefault="001323C4">
      <w:pPr>
        <w:spacing w:after="160" w:line="259" w:lineRule="auto"/>
        <w:contextualSpacing/>
        <w:rPr>
          <w:color w:val="000000" w:themeColor="text1"/>
          <w:lang w:eastAsia="ko-KR"/>
        </w:rPr>
      </w:pPr>
    </w:p>
    <w:p w14:paraId="0F470F12" w14:textId="2A8280EC" w:rsidR="001323C4" w:rsidRDefault="00000000">
      <w:pPr>
        <w:spacing w:after="160" w:line="259" w:lineRule="auto"/>
        <w:contextualSpacing/>
        <w:rPr>
          <w:b/>
          <w:bCs/>
          <w:color w:val="000000" w:themeColor="text1"/>
          <w:lang w:eastAsia="ko-KR"/>
        </w:rPr>
      </w:pPr>
      <w:r>
        <w:rPr>
          <w:b/>
          <w:bCs/>
          <w:color w:val="000000" w:themeColor="text1"/>
          <w:lang w:eastAsia="ko-KR"/>
        </w:rPr>
        <w:t xml:space="preserve">Proposal </w:t>
      </w:r>
      <w:r w:rsidR="007A776F">
        <w:rPr>
          <w:b/>
          <w:bCs/>
          <w:color w:val="000000" w:themeColor="text1"/>
          <w:lang w:eastAsia="ko-KR"/>
        </w:rPr>
        <w:t>10</w:t>
      </w:r>
      <w:r>
        <w:rPr>
          <w:b/>
          <w:bCs/>
          <w:color w:val="000000" w:themeColor="text1"/>
          <w:lang w:eastAsia="ko-KR"/>
        </w:rPr>
        <w:t xml:space="preserve">: Study enhancements related to repetition of UL signals/channels e.g., PUCCH, SRS etc. for coverage enhancement. </w:t>
      </w:r>
    </w:p>
    <w:p w14:paraId="002DF7FB" w14:textId="77777777" w:rsidR="00C94E8E" w:rsidRDefault="00C94E8E">
      <w:pPr>
        <w:spacing w:after="160" w:line="259" w:lineRule="auto"/>
        <w:contextualSpacing/>
        <w:rPr>
          <w:b/>
          <w:bCs/>
        </w:rPr>
      </w:pPr>
    </w:p>
    <w:p w14:paraId="3419F0FE" w14:textId="77777777" w:rsidR="001323C4" w:rsidRDefault="00000000">
      <w:pPr>
        <w:numPr>
          <w:ilvl w:val="0"/>
          <w:numId w:val="6"/>
        </w:numPr>
      </w:pPr>
      <w:r>
        <w:rPr>
          <w:b/>
          <w:bCs/>
          <w:sz w:val="28"/>
          <w:szCs w:val="28"/>
        </w:rPr>
        <w:t>SBFD operation in SSB symbols</w:t>
      </w:r>
    </w:p>
    <w:p w14:paraId="623F16BD" w14:textId="77777777" w:rsidR="001323C4" w:rsidRDefault="00000000" w:rsidP="00741693">
      <w:pPr>
        <w:spacing w:after="160" w:line="259" w:lineRule="auto"/>
        <w:contextualSpacing/>
        <w:rPr>
          <w:color w:val="000000" w:themeColor="text1"/>
          <w:lang w:eastAsia="ko-KR"/>
        </w:rPr>
      </w:pPr>
      <w:r>
        <w:rPr>
          <w:rFonts w:eastAsia="Malgun Gothic"/>
          <w:color w:val="000000" w:themeColor="text1"/>
        </w:rPr>
        <w:t>The following agreement was made in RAN1# 111 [4].</w:t>
      </w:r>
    </w:p>
    <w:p w14:paraId="29584207" w14:textId="77777777" w:rsidR="001323C4" w:rsidRDefault="00000000" w:rsidP="00741693">
      <w:pPr>
        <w:spacing w:after="160" w:line="259" w:lineRule="auto"/>
        <w:contextualSpacing/>
        <w:rPr>
          <w:i/>
          <w:iCs/>
          <w:sz w:val="20"/>
          <w:szCs w:val="20"/>
        </w:rPr>
      </w:pPr>
      <w:r>
        <w:rPr>
          <w:rFonts w:eastAsia="Malgun Gothic"/>
          <w:b/>
          <w:i/>
          <w:iCs/>
          <w:sz w:val="20"/>
          <w:szCs w:val="20"/>
          <w:highlight w:val="green"/>
        </w:rPr>
        <w:t>Agreement</w:t>
      </w:r>
    </w:p>
    <w:p w14:paraId="39E9D990" w14:textId="77777777" w:rsidR="001323C4" w:rsidRDefault="00000000" w:rsidP="00741693">
      <w:pPr>
        <w:spacing w:after="160" w:line="259" w:lineRule="auto"/>
        <w:contextualSpacing/>
        <w:rPr>
          <w:i/>
          <w:iCs/>
          <w:sz w:val="20"/>
          <w:szCs w:val="20"/>
        </w:rPr>
      </w:pPr>
      <w:r>
        <w:rPr>
          <w:rFonts w:eastAsia="Malgun Gothic"/>
          <w:i/>
          <w:iCs/>
          <w:sz w:val="20"/>
          <w:szCs w:val="20"/>
        </w:rPr>
        <w:t>Study whether SBFD operation in SSB symbols is supported or not.</w:t>
      </w:r>
    </w:p>
    <w:p w14:paraId="5B4C4D0A" w14:textId="60D06073" w:rsidR="001323C4" w:rsidRDefault="00741693" w:rsidP="00741693">
      <w:r>
        <w:t xml:space="preserve">Allowing SBFD operation in SSB symbols will have an impact on initial access especially for legacy UEs. An idle UE performing SSB measurements will experience UE-to-UE inter </w:t>
      </w:r>
      <w:proofErr w:type="spellStart"/>
      <w:r>
        <w:t>subband</w:t>
      </w:r>
      <w:proofErr w:type="spellEnd"/>
      <w:r>
        <w:t xml:space="preserve"> CLI. Further, for legacy UEs, any impact on SSB due to SBFD operation cannot be informed to the UEs. E.g., UL transmission in the UL SB happens in an SSB symbol with a certain SSB ID. </w:t>
      </w:r>
      <w:proofErr w:type="gramStart"/>
      <w:r>
        <w:t>A legacy</w:t>
      </w:r>
      <w:proofErr w:type="gramEnd"/>
      <w:r>
        <w:t xml:space="preserve"> UE will still try to perform SSB measurements in that symbol which is unnecessary. Thus, the following proposal is made. </w:t>
      </w:r>
    </w:p>
    <w:p w14:paraId="19346FC6" w14:textId="3327CC88" w:rsidR="001323C4" w:rsidRDefault="00000000" w:rsidP="00741693">
      <w:pPr>
        <w:rPr>
          <w:b/>
          <w:bCs/>
        </w:rPr>
      </w:pPr>
      <w:r>
        <w:rPr>
          <w:b/>
          <w:bCs/>
        </w:rPr>
        <w:t>Proposal</w:t>
      </w:r>
      <w:r w:rsidR="007A776F">
        <w:rPr>
          <w:b/>
          <w:bCs/>
        </w:rPr>
        <w:t xml:space="preserve"> 11</w:t>
      </w:r>
      <w:r>
        <w:rPr>
          <w:b/>
          <w:bCs/>
        </w:rPr>
        <w:t xml:space="preserve">: SBFD operation is not allowed in SSB symbols. </w:t>
      </w:r>
    </w:p>
    <w:p w14:paraId="0BB0AB11" w14:textId="77777777" w:rsidR="001323C4" w:rsidRDefault="001323C4">
      <w:pPr>
        <w:ind w:left="720"/>
        <w:rPr>
          <w:b/>
          <w:bCs/>
        </w:rPr>
      </w:pPr>
    </w:p>
    <w:p w14:paraId="139F5E21" w14:textId="77777777" w:rsidR="001323C4" w:rsidRDefault="00000000">
      <w:pPr>
        <w:numPr>
          <w:ilvl w:val="0"/>
          <w:numId w:val="6"/>
        </w:numPr>
      </w:pPr>
      <w:r>
        <w:rPr>
          <w:b/>
          <w:bCs/>
          <w:sz w:val="28"/>
          <w:szCs w:val="28"/>
        </w:rPr>
        <w:t>Collision handling</w:t>
      </w:r>
    </w:p>
    <w:p w14:paraId="63EADF3E" w14:textId="77777777" w:rsidR="001323C4" w:rsidRDefault="00000000">
      <w:pPr>
        <w:rPr>
          <w:color w:val="000000" w:themeColor="text1"/>
          <w:lang w:eastAsia="ko-KR"/>
        </w:rPr>
      </w:pPr>
      <w:r>
        <w:rPr>
          <w:color w:val="000000" w:themeColor="text1"/>
          <w:lang w:eastAsia="ko-KR"/>
        </w:rPr>
        <w:t>The following agreement was made in RAN1# 112 [5].</w:t>
      </w:r>
    </w:p>
    <w:p w14:paraId="448343C3" w14:textId="77777777" w:rsidR="001323C4" w:rsidRDefault="00000000">
      <w:pPr>
        <w:rPr>
          <w:rFonts w:eastAsia="Malgun Gothic"/>
          <w:i/>
          <w:iCs/>
          <w:sz w:val="20"/>
          <w:szCs w:val="20"/>
          <w:highlight w:val="green"/>
        </w:rPr>
      </w:pPr>
      <w:r>
        <w:rPr>
          <w:rFonts w:eastAsia="Malgun Gothic"/>
          <w:i/>
          <w:iCs/>
          <w:sz w:val="20"/>
          <w:szCs w:val="20"/>
          <w:highlight w:val="green"/>
        </w:rPr>
        <w:t>Agreement</w:t>
      </w:r>
    </w:p>
    <w:p w14:paraId="7ACB5B70" w14:textId="77777777" w:rsidR="001323C4" w:rsidRDefault="00000000">
      <w:pPr>
        <w:rPr>
          <w:rFonts w:eastAsia="Malgun Gothic"/>
          <w:i/>
          <w:iCs/>
          <w:sz w:val="20"/>
          <w:szCs w:val="20"/>
        </w:rPr>
      </w:pPr>
      <w:r>
        <w:rPr>
          <w:rFonts w:eastAsia="Malgun Gothic"/>
          <w:i/>
          <w:iCs/>
          <w:sz w:val="20"/>
          <w:szCs w:val="20"/>
        </w:rPr>
        <w:t>For dynamic SBFD,</w:t>
      </w:r>
    </w:p>
    <w:p w14:paraId="667FE274" w14:textId="77777777" w:rsidR="001323C4" w:rsidRDefault="00000000">
      <w:pPr>
        <w:numPr>
          <w:ilvl w:val="1"/>
          <w:numId w:val="9"/>
        </w:numPr>
        <w:rPr>
          <w:rFonts w:eastAsia="Malgun Gothic"/>
          <w:i/>
          <w:iCs/>
          <w:sz w:val="20"/>
          <w:szCs w:val="20"/>
        </w:rPr>
      </w:pPr>
      <w:r>
        <w:rPr>
          <w:rFonts w:eastAsia="Malgun Gothic"/>
          <w:i/>
          <w:iCs/>
          <w:sz w:val="20"/>
          <w:szCs w:val="20"/>
        </w:rPr>
        <w:t xml:space="preserve">For SBFD-aware UEs, further study whether DL receptions outside semi-statically configured DL </w:t>
      </w:r>
      <w:proofErr w:type="spellStart"/>
      <w:r>
        <w:rPr>
          <w:rFonts w:eastAsia="Malgun Gothic"/>
          <w:i/>
          <w:iCs/>
          <w:sz w:val="20"/>
          <w:szCs w:val="20"/>
        </w:rPr>
        <w:t>subband</w:t>
      </w:r>
      <w:proofErr w:type="spellEnd"/>
      <w:r>
        <w:rPr>
          <w:rFonts w:eastAsia="Malgun Gothic"/>
          <w:i/>
          <w:iCs/>
          <w:sz w:val="20"/>
          <w:szCs w:val="20"/>
        </w:rPr>
        <w:t>(s) are allowed or not in a symbol configured as DL in TDD-UL-DL-</w:t>
      </w:r>
      <w:proofErr w:type="spellStart"/>
      <w:r>
        <w:rPr>
          <w:rFonts w:eastAsia="Malgun Gothic"/>
          <w:i/>
          <w:iCs/>
          <w:sz w:val="20"/>
          <w:szCs w:val="20"/>
        </w:rPr>
        <w:t>ConfigCommon</w:t>
      </w:r>
      <w:proofErr w:type="spellEnd"/>
      <w:r>
        <w:rPr>
          <w:rFonts w:eastAsia="Malgun Gothic"/>
          <w:i/>
          <w:iCs/>
          <w:sz w:val="20"/>
          <w:szCs w:val="20"/>
        </w:rPr>
        <w:t xml:space="preserve"> based on the following options:</w:t>
      </w:r>
    </w:p>
    <w:p w14:paraId="531F6544" w14:textId="77777777" w:rsidR="001323C4" w:rsidRDefault="00000000">
      <w:pPr>
        <w:pStyle w:val="a8"/>
        <w:numPr>
          <w:ilvl w:val="2"/>
          <w:numId w:val="9"/>
        </w:numPr>
        <w:rPr>
          <w:rFonts w:eastAsia="Malgun Gothic"/>
          <w:i/>
          <w:iCs/>
          <w:sz w:val="20"/>
          <w:szCs w:val="20"/>
        </w:rPr>
      </w:pPr>
      <w:r>
        <w:rPr>
          <w:rFonts w:eastAsia="Malgun Gothic"/>
          <w:i/>
          <w:iCs/>
          <w:sz w:val="20"/>
          <w:szCs w:val="20"/>
        </w:rPr>
        <w:t xml:space="preserve">Option 1 (semi-static): DL receptions outside semi-statically configured DL </w:t>
      </w:r>
      <w:proofErr w:type="spellStart"/>
      <w:r>
        <w:rPr>
          <w:rFonts w:eastAsia="Malgun Gothic"/>
          <w:i/>
          <w:iCs/>
          <w:sz w:val="20"/>
          <w:szCs w:val="20"/>
        </w:rPr>
        <w:t>subband</w:t>
      </w:r>
      <w:proofErr w:type="spellEnd"/>
      <w:r>
        <w:rPr>
          <w:rFonts w:eastAsia="Malgun Gothic"/>
          <w:i/>
          <w:iCs/>
          <w:sz w:val="20"/>
          <w:szCs w:val="20"/>
        </w:rPr>
        <w:t xml:space="preserve">(s) are not </w:t>
      </w:r>
      <w:proofErr w:type="gramStart"/>
      <w:r>
        <w:rPr>
          <w:rFonts w:eastAsia="Malgun Gothic"/>
          <w:i/>
          <w:iCs/>
          <w:sz w:val="20"/>
          <w:szCs w:val="20"/>
        </w:rPr>
        <w:t>allowed</w:t>
      </w:r>
      <w:proofErr w:type="gramEnd"/>
    </w:p>
    <w:p w14:paraId="767CB578" w14:textId="77777777" w:rsidR="001323C4" w:rsidRDefault="00000000">
      <w:pPr>
        <w:pStyle w:val="a8"/>
        <w:numPr>
          <w:ilvl w:val="2"/>
          <w:numId w:val="9"/>
        </w:numPr>
        <w:rPr>
          <w:rFonts w:eastAsia="Malgun Gothic"/>
          <w:i/>
          <w:iCs/>
          <w:sz w:val="20"/>
          <w:szCs w:val="20"/>
        </w:rPr>
      </w:pPr>
      <w:r>
        <w:rPr>
          <w:rFonts w:eastAsia="Malgun Gothic"/>
          <w:i/>
          <w:iCs/>
          <w:sz w:val="20"/>
          <w:szCs w:val="20"/>
        </w:rPr>
        <w:t xml:space="preserve">Option 2: DL receptions outside semi-statically configured DL </w:t>
      </w:r>
      <w:proofErr w:type="spellStart"/>
      <w:r>
        <w:rPr>
          <w:rFonts w:eastAsia="Malgun Gothic"/>
          <w:i/>
          <w:iCs/>
          <w:sz w:val="20"/>
          <w:szCs w:val="20"/>
        </w:rPr>
        <w:t>subband</w:t>
      </w:r>
      <w:proofErr w:type="spellEnd"/>
      <w:r>
        <w:rPr>
          <w:rFonts w:eastAsia="Malgun Gothic"/>
          <w:i/>
          <w:iCs/>
          <w:sz w:val="20"/>
          <w:szCs w:val="20"/>
        </w:rPr>
        <w:t xml:space="preserve">(s) are </w:t>
      </w:r>
      <w:proofErr w:type="gramStart"/>
      <w:r>
        <w:rPr>
          <w:rFonts w:eastAsia="Malgun Gothic"/>
          <w:i/>
          <w:iCs/>
          <w:sz w:val="20"/>
          <w:szCs w:val="20"/>
        </w:rPr>
        <w:t>allowed</w:t>
      </w:r>
      <w:proofErr w:type="gramEnd"/>
      <w:r>
        <w:rPr>
          <w:rFonts w:eastAsia="Malgun Gothic"/>
          <w:i/>
          <w:iCs/>
          <w:sz w:val="20"/>
          <w:szCs w:val="20"/>
        </w:rPr>
        <w:t xml:space="preserve"> </w:t>
      </w:r>
    </w:p>
    <w:p w14:paraId="294ABFA5" w14:textId="77777777" w:rsidR="001323C4" w:rsidRDefault="00000000">
      <w:pPr>
        <w:numPr>
          <w:ilvl w:val="1"/>
          <w:numId w:val="9"/>
        </w:numPr>
        <w:rPr>
          <w:rFonts w:eastAsia="Malgun Gothic"/>
          <w:i/>
          <w:iCs/>
          <w:sz w:val="20"/>
          <w:szCs w:val="20"/>
        </w:rPr>
      </w:pPr>
      <w:r>
        <w:rPr>
          <w:rFonts w:eastAsia="Malgun Gothic"/>
          <w:i/>
          <w:iCs/>
          <w:sz w:val="20"/>
          <w:szCs w:val="20"/>
        </w:rPr>
        <w:t xml:space="preserve">For SBFD-aware UEs, further study whether DL receptions outside semi-statically configured DL </w:t>
      </w:r>
      <w:proofErr w:type="spellStart"/>
      <w:r>
        <w:rPr>
          <w:rFonts w:eastAsia="Malgun Gothic"/>
          <w:i/>
          <w:iCs/>
          <w:sz w:val="20"/>
          <w:szCs w:val="20"/>
        </w:rPr>
        <w:t>subband</w:t>
      </w:r>
      <w:proofErr w:type="spellEnd"/>
      <w:r>
        <w:rPr>
          <w:rFonts w:eastAsia="Malgun Gothic"/>
          <w:i/>
          <w:iCs/>
          <w:sz w:val="20"/>
          <w:szCs w:val="20"/>
        </w:rPr>
        <w:t xml:space="preserve">(s) and UL transmissions outside semi-statically configured UL </w:t>
      </w:r>
      <w:proofErr w:type="spellStart"/>
      <w:r>
        <w:rPr>
          <w:rFonts w:eastAsia="Malgun Gothic"/>
          <w:i/>
          <w:iCs/>
          <w:sz w:val="20"/>
          <w:szCs w:val="20"/>
        </w:rPr>
        <w:t>subband</w:t>
      </w:r>
      <w:proofErr w:type="spellEnd"/>
      <w:r>
        <w:rPr>
          <w:rFonts w:eastAsia="Malgun Gothic"/>
          <w:i/>
          <w:iCs/>
          <w:sz w:val="20"/>
          <w:szCs w:val="20"/>
        </w:rPr>
        <w:t xml:space="preserve"> are allowed or not in the symbol configured as flexible in TDD-UL-DL-</w:t>
      </w:r>
      <w:proofErr w:type="spellStart"/>
      <w:r>
        <w:rPr>
          <w:rFonts w:eastAsia="Malgun Gothic"/>
          <w:i/>
          <w:iCs/>
          <w:sz w:val="20"/>
          <w:szCs w:val="20"/>
        </w:rPr>
        <w:t>ConfigCommon</w:t>
      </w:r>
      <w:proofErr w:type="spellEnd"/>
      <w:r>
        <w:rPr>
          <w:rFonts w:eastAsia="Malgun Gothic"/>
          <w:i/>
          <w:iCs/>
          <w:sz w:val="20"/>
          <w:szCs w:val="20"/>
        </w:rPr>
        <w:t xml:space="preserve"> based on the following options:</w:t>
      </w:r>
    </w:p>
    <w:p w14:paraId="33A6EAF1" w14:textId="77777777" w:rsidR="001323C4" w:rsidRDefault="00000000">
      <w:pPr>
        <w:pStyle w:val="a8"/>
        <w:numPr>
          <w:ilvl w:val="2"/>
          <w:numId w:val="9"/>
        </w:numPr>
        <w:rPr>
          <w:rFonts w:eastAsia="Malgun Gothic"/>
          <w:i/>
          <w:iCs/>
          <w:sz w:val="20"/>
          <w:szCs w:val="20"/>
        </w:rPr>
      </w:pPr>
      <w:r>
        <w:rPr>
          <w:rFonts w:eastAsia="Malgun Gothic"/>
          <w:i/>
          <w:iCs/>
          <w:sz w:val="20"/>
          <w:szCs w:val="20"/>
        </w:rPr>
        <w:t xml:space="preserve">Option 1 (semi-static): DL receptions outside semi-statically configured DL </w:t>
      </w:r>
      <w:proofErr w:type="spellStart"/>
      <w:r>
        <w:rPr>
          <w:rFonts w:eastAsia="Malgun Gothic"/>
          <w:i/>
          <w:iCs/>
          <w:sz w:val="20"/>
          <w:szCs w:val="20"/>
        </w:rPr>
        <w:t>subband</w:t>
      </w:r>
      <w:proofErr w:type="spellEnd"/>
      <w:r>
        <w:rPr>
          <w:rFonts w:eastAsia="Malgun Gothic"/>
          <w:i/>
          <w:iCs/>
          <w:sz w:val="20"/>
          <w:szCs w:val="20"/>
        </w:rPr>
        <w:t xml:space="preserve">(s) are not allowed and UL transmissions outside semi-statically configured UL </w:t>
      </w:r>
      <w:proofErr w:type="spellStart"/>
      <w:r>
        <w:rPr>
          <w:rFonts w:eastAsia="Malgun Gothic"/>
          <w:i/>
          <w:iCs/>
          <w:sz w:val="20"/>
          <w:szCs w:val="20"/>
        </w:rPr>
        <w:t>subband</w:t>
      </w:r>
      <w:proofErr w:type="spellEnd"/>
      <w:r>
        <w:rPr>
          <w:rFonts w:eastAsia="Malgun Gothic"/>
          <w:i/>
          <w:iCs/>
          <w:sz w:val="20"/>
          <w:szCs w:val="20"/>
        </w:rPr>
        <w:t xml:space="preserve"> are not </w:t>
      </w:r>
      <w:proofErr w:type="gramStart"/>
      <w:r>
        <w:rPr>
          <w:rFonts w:eastAsia="Malgun Gothic"/>
          <w:i/>
          <w:iCs/>
          <w:sz w:val="20"/>
          <w:szCs w:val="20"/>
        </w:rPr>
        <w:t>allowed</w:t>
      </w:r>
      <w:proofErr w:type="gramEnd"/>
    </w:p>
    <w:p w14:paraId="258FFCC3" w14:textId="77777777" w:rsidR="001323C4" w:rsidRDefault="00000000">
      <w:pPr>
        <w:pStyle w:val="a8"/>
        <w:numPr>
          <w:ilvl w:val="2"/>
          <w:numId w:val="9"/>
        </w:numPr>
        <w:rPr>
          <w:rFonts w:eastAsia="Malgun Gothic"/>
          <w:i/>
          <w:iCs/>
          <w:sz w:val="20"/>
          <w:szCs w:val="20"/>
        </w:rPr>
      </w:pPr>
      <w:r>
        <w:rPr>
          <w:rFonts w:eastAsia="Malgun Gothic"/>
          <w:i/>
          <w:iCs/>
          <w:sz w:val="20"/>
          <w:szCs w:val="20"/>
        </w:rPr>
        <w:t xml:space="preserve">Option 2: DL receptions outside semi-statically configured DL </w:t>
      </w:r>
      <w:proofErr w:type="spellStart"/>
      <w:r>
        <w:rPr>
          <w:rFonts w:eastAsia="Malgun Gothic"/>
          <w:i/>
          <w:iCs/>
          <w:sz w:val="20"/>
          <w:szCs w:val="20"/>
        </w:rPr>
        <w:t>subband</w:t>
      </w:r>
      <w:proofErr w:type="spellEnd"/>
      <w:r>
        <w:rPr>
          <w:rFonts w:eastAsia="Malgun Gothic"/>
          <w:i/>
          <w:iCs/>
          <w:sz w:val="20"/>
          <w:szCs w:val="20"/>
        </w:rPr>
        <w:t xml:space="preserve">(s) are </w:t>
      </w:r>
      <w:proofErr w:type="gramStart"/>
      <w:r>
        <w:rPr>
          <w:rFonts w:eastAsia="Malgun Gothic"/>
          <w:i/>
          <w:iCs/>
          <w:sz w:val="20"/>
          <w:szCs w:val="20"/>
        </w:rPr>
        <w:t>allowed</w:t>
      </w:r>
      <w:proofErr w:type="gramEnd"/>
      <w:r>
        <w:rPr>
          <w:rFonts w:eastAsia="Malgun Gothic"/>
          <w:i/>
          <w:iCs/>
          <w:sz w:val="20"/>
          <w:szCs w:val="20"/>
        </w:rPr>
        <w:t xml:space="preserve"> </w:t>
      </w:r>
    </w:p>
    <w:p w14:paraId="1FE09D2F" w14:textId="77777777" w:rsidR="001323C4" w:rsidRDefault="00000000">
      <w:pPr>
        <w:pStyle w:val="a8"/>
        <w:numPr>
          <w:ilvl w:val="3"/>
          <w:numId w:val="9"/>
        </w:numPr>
        <w:rPr>
          <w:rFonts w:eastAsia="Malgun Gothic"/>
          <w:i/>
          <w:iCs/>
          <w:sz w:val="20"/>
          <w:szCs w:val="20"/>
        </w:rPr>
      </w:pPr>
      <w:r>
        <w:rPr>
          <w:rFonts w:eastAsia="Malgun Gothic"/>
          <w:i/>
          <w:iCs/>
          <w:sz w:val="20"/>
          <w:szCs w:val="20"/>
        </w:rPr>
        <w:t xml:space="preserve">UL transmissions outside the semi-statically configured UL </w:t>
      </w:r>
      <w:proofErr w:type="spellStart"/>
      <w:r>
        <w:rPr>
          <w:rFonts w:eastAsia="Malgun Gothic"/>
          <w:i/>
          <w:iCs/>
          <w:sz w:val="20"/>
          <w:szCs w:val="20"/>
        </w:rPr>
        <w:t>subbands</w:t>
      </w:r>
      <w:proofErr w:type="spellEnd"/>
      <w:r>
        <w:rPr>
          <w:rFonts w:eastAsia="Malgun Gothic"/>
          <w:i/>
          <w:iCs/>
          <w:sz w:val="20"/>
          <w:szCs w:val="20"/>
        </w:rPr>
        <w:t xml:space="preserve"> are not </w:t>
      </w:r>
      <w:proofErr w:type="gramStart"/>
      <w:r>
        <w:rPr>
          <w:rFonts w:eastAsia="Malgun Gothic"/>
          <w:i/>
          <w:iCs/>
          <w:sz w:val="20"/>
          <w:szCs w:val="20"/>
        </w:rPr>
        <w:t>allowed</w:t>
      </w:r>
      <w:proofErr w:type="gramEnd"/>
    </w:p>
    <w:p w14:paraId="06FACD79" w14:textId="77777777" w:rsidR="001323C4" w:rsidRDefault="00000000">
      <w:pPr>
        <w:pStyle w:val="a8"/>
        <w:numPr>
          <w:ilvl w:val="2"/>
          <w:numId w:val="9"/>
        </w:numPr>
        <w:rPr>
          <w:rFonts w:eastAsia="Malgun Gothic"/>
          <w:i/>
          <w:iCs/>
          <w:sz w:val="20"/>
          <w:szCs w:val="20"/>
        </w:rPr>
      </w:pPr>
      <w:r>
        <w:rPr>
          <w:rFonts w:eastAsia="Malgun Gothic"/>
          <w:i/>
          <w:iCs/>
          <w:sz w:val="20"/>
          <w:szCs w:val="20"/>
        </w:rPr>
        <w:t xml:space="preserve">Option 3: DL receptions outside semi-statically configured DL </w:t>
      </w:r>
      <w:proofErr w:type="spellStart"/>
      <w:r>
        <w:rPr>
          <w:rFonts w:eastAsia="Malgun Gothic"/>
          <w:i/>
          <w:iCs/>
          <w:sz w:val="20"/>
          <w:szCs w:val="20"/>
        </w:rPr>
        <w:t>subband</w:t>
      </w:r>
      <w:proofErr w:type="spellEnd"/>
      <w:r>
        <w:rPr>
          <w:rFonts w:eastAsia="Malgun Gothic"/>
          <w:i/>
          <w:iCs/>
          <w:sz w:val="20"/>
          <w:szCs w:val="20"/>
        </w:rPr>
        <w:t xml:space="preserve">(s) are </w:t>
      </w:r>
      <w:proofErr w:type="gramStart"/>
      <w:r>
        <w:rPr>
          <w:rFonts w:eastAsia="Malgun Gothic"/>
          <w:i/>
          <w:iCs/>
          <w:sz w:val="20"/>
          <w:szCs w:val="20"/>
        </w:rPr>
        <w:t>allowed</w:t>
      </w:r>
      <w:proofErr w:type="gramEnd"/>
    </w:p>
    <w:p w14:paraId="5EA953AD" w14:textId="77777777" w:rsidR="001323C4" w:rsidRDefault="00000000">
      <w:pPr>
        <w:pStyle w:val="a8"/>
        <w:numPr>
          <w:ilvl w:val="3"/>
          <w:numId w:val="9"/>
        </w:numPr>
        <w:rPr>
          <w:rFonts w:eastAsia="Malgun Gothic"/>
          <w:i/>
          <w:iCs/>
          <w:sz w:val="20"/>
          <w:szCs w:val="20"/>
        </w:rPr>
      </w:pPr>
      <w:r>
        <w:rPr>
          <w:rFonts w:eastAsia="Malgun Gothic"/>
          <w:i/>
          <w:iCs/>
          <w:sz w:val="20"/>
          <w:szCs w:val="20"/>
        </w:rPr>
        <w:t xml:space="preserve">UL transmissions outside the semi-statically configured UL </w:t>
      </w:r>
      <w:proofErr w:type="spellStart"/>
      <w:r>
        <w:rPr>
          <w:rFonts w:eastAsia="Malgun Gothic"/>
          <w:i/>
          <w:iCs/>
          <w:sz w:val="20"/>
          <w:szCs w:val="20"/>
        </w:rPr>
        <w:t>subbands</w:t>
      </w:r>
      <w:proofErr w:type="spellEnd"/>
      <w:r>
        <w:rPr>
          <w:rFonts w:eastAsia="Malgun Gothic"/>
          <w:i/>
          <w:iCs/>
          <w:sz w:val="20"/>
          <w:szCs w:val="20"/>
        </w:rPr>
        <w:t xml:space="preserve"> are </w:t>
      </w:r>
      <w:proofErr w:type="gramStart"/>
      <w:r>
        <w:rPr>
          <w:rFonts w:eastAsia="Malgun Gothic"/>
          <w:i/>
          <w:iCs/>
          <w:sz w:val="20"/>
          <w:szCs w:val="20"/>
        </w:rPr>
        <w:t>allowed</w:t>
      </w:r>
      <w:proofErr w:type="gramEnd"/>
    </w:p>
    <w:p w14:paraId="20FC00F2" w14:textId="77777777" w:rsidR="001323C4" w:rsidRDefault="00000000">
      <w:pPr>
        <w:tabs>
          <w:tab w:val="left" w:pos="0"/>
        </w:tabs>
        <w:rPr>
          <w:rFonts w:eastAsia="Malgun Gothic"/>
          <w:i/>
          <w:iCs/>
          <w:sz w:val="20"/>
          <w:szCs w:val="20"/>
        </w:rPr>
      </w:pPr>
      <w:r>
        <w:rPr>
          <w:rFonts w:eastAsia="Malgun Gothic"/>
          <w:i/>
          <w:iCs/>
          <w:sz w:val="20"/>
          <w:szCs w:val="20"/>
        </w:rPr>
        <w:t>Dynamic SBFD should be compared with dynamic TDD and/or semi-static SBFD in terms of performance, implementation complexity, switching latency.</w:t>
      </w:r>
    </w:p>
    <w:p w14:paraId="7EBD095E" w14:textId="77777777" w:rsidR="001323C4" w:rsidRDefault="00000000">
      <w:pPr>
        <w:pStyle w:val="a8"/>
        <w:tabs>
          <w:tab w:val="left" w:pos="0"/>
        </w:tabs>
        <w:ind w:left="0"/>
        <w:rPr>
          <w:rFonts w:eastAsia="Malgun Gothic"/>
          <w:i/>
          <w:iCs/>
          <w:sz w:val="20"/>
          <w:szCs w:val="20"/>
        </w:rPr>
      </w:pPr>
      <w:r>
        <w:rPr>
          <w:rFonts w:eastAsia="Malgun Gothic"/>
          <w:i/>
          <w:iCs/>
          <w:sz w:val="20"/>
          <w:szCs w:val="20"/>
        </w:rPr>
        <w:t>For each option, additional conditions may apply to determine whether the option is applicable.</w:t>
      </w:r>
    </w:p>
    <w:p w14:paraId="351D69F6" w14:textId="77777777" w:rsidR="001323C4" w:rsidRDefault="001323C4"/>
    <w:p w14:paraId="4476E44C" w14:textId="5A2F2897" w:rsidR="001323C4" w:rsidRPr="00C16DFC" w:rsidRDefault="00C16DFC" w:rsidP="00C16DFC">
      <w:pPr>
        <w:suppressAutoHyphens w:val="0"/>
        <w:spacing w:after="0"/>
      </w:pPr>
      <w:r>
        <w:rPr>
          <w:lang w:val="en-GB"/>
        </w:rPr>
        <w:t>The following agreement was made in RAN1#110bis-e.</w:t>
      </w:r>
    </w:p>
    <w:p w14:paraId="7E836F49" w14:textId="77777777" w:rsidR="00C16DFC" w:rsidRDefault="00C16DFC">
      <w:pPr>
        <w:suppressAutoHyphens w:val="0"/>
        <w:spacing w:after="0"/>
        <w:rPr>
          <w:rFonts w:ascii="Times" w:eastAsia="Malgun Gothic" w:hAnsi="Times" w:hint="eastAsia"/>
          <w:b/>
          <w:i/>
          <w:iCs/>
          <w:sz w:val="20"/>
          <w:szCs w:val="20"/>
          <w:highlight w:val="green"/>
          <w:lang w:val="en-GB"/>
        </w:rPr>
      </w:pPr>
    </w:p>
    <w:p w14:paraId="202120F6" w14:textId="3DF86D3C" w:rsidR="001323C4" w:rsidRDefault="00000000">
      <w:pPr>
        <w:suppressAutoHyphens w:val="0"/>
        <w:spacing w:after="0"/>
        <w:rPr>
          <w:i/>
          <w:iCs/>
          <w:sz w:val="20"/>
          <w:szCs w:val="20"/>
        </w:rPr>
      </w:pPr>
      <w:r>
        <w:rPr>
          <w:rFonts w:ascii="Times" w:eastAsia="Malgun Gothic" w:hAnsi="Times"/>
          <w:b/>
          <w:i/>
          <w:iCs/>
          <w:sz w:val="20"/>
          <w:szCs w:val="20"/>
          <w:highlight w:val="green"/>
          <w:lang w:val="en-GB"/>
        </w:rPr>
        <w:t>Agreement</w:t>
      </w:r>
    </w:p>
    <w:p w14:paraId="31FA3FAE" w14:textId="77777777" w:rsidR="001323C4" w:rsidRDefault="00000000">
      <w:pPr>
        <w:suppressAutoHyphens w:val="0"/>
        <w:spacing w:after="0"/>
        <w:rPr>
          <w:i/>
          <w:iCs/>
          <w:sz w:val="20"/>
          <w:szCs w:val="20"/>
        </w:rPr>
      </w:pPr>
      <w:r>
        <w:rPr>
          <w:rFonts w:ascii="Times" w:eastAsia="Malgun Gothic" w:hAnsi="Times"/>
          <w:i/>
          <w:iCs/>
          <w:sz w:val="20"/>
          <w:szCs w:val="20"/>
          <w:lang w:val="en-GB"/>
        </w:rPr>
        <w:t xml:space="preserve">Identify if there are any cases of time domain conflict of UE’s UL and DL operation in the same SBFD symbol for SBFD aware </w:t>
      </w:r>
      <w:proofErr w:type="gramStart"/>
      <w:r>
        <w:rPr>
          <w:rFonts w:ascii="Times" w:eastAsia="Malgun Gothic" w:hAnsi="Times"/>
          <w:i/>
          <w:iCs/>
          <w:sz w:val="20"/>
          <w:szCs w:val="20"/>
          <w:lang w:val="en-GB"/>
        </w:rPr>
        <w:t>UE</w:t>
      </w:r>
      <w:proofErr w:type="gramEnd"/>
      <w:r>
        <w:rPr>
          <w:rFonts w:ascii="Times" w:eastAsia="Malgun Gothic" w:hAnsi="Times"/>
          <w:i/>
          <w:iCs/>
          <w:sz w:val="20"/>
          <w:szCs w:val="20"/>
          <w:lang w:val="en-GB"/>
        </w:rPr>
        <w:t xml:space="preserve"> </w:t>
      </w:r>
    </w:p>
    <w:p w14:paraId="6869C688" w14:textId="77777777" w:rsidR="001323C4" w:rsidRDefault="00000000">
      <w:pPr>
        <w:suppressAutoHyphens w:val="0"/>
        <w:spacing w:after="0"/>
        <w:ind w:left="720"/>
        <w:rPr>
          <w:i/>
          <w:iCs/>
          <w:sz w:val="20"/>
          <w:szCs w:val="20"/>
        </w:rPr>
      </w:pPr>
      <w:r>
        <w:rPr>
          <w:rFonts w:ascii="Times" w:eastAsia="Batang" w:hAnsi="Times"/>
          <w:i/>
          <w:iCs/>
          <w:sz w:val="20"/>
          <w:szCs w:val="20"/>
          <w:lang w:val="en-GB" w:eastAsia="ko-KR"/>
        </w:rPr>
        <w:lastRenderedPageBreak/>
        <w:t>If there are, whether/how to avoid/handle such collision cases (as second step)</w:t>
      </w:r>
    </w:p>
    <w:p w14:paraId="3CF244D2" w14:textId="3E621255" w:rsidR="001323C4" w:rsidRDefault="001323C4" w:rsidP="00C16DFC">
      <w:pPr>
        <w:suppressAutoHyphens w:val="0"/>
        <w:spacing w:after="0"/>
        <w:rPr>
          <w:rFonts w:ascii="Times" w:eastAsia="Batang" w:hAnsi="Times" w:hint="eastAsia"/>
          <w:lang w:val="en-GB" w:eastAsia="ko-KR"/>
        </w:rPr>
      </w:pPr>
    </w:p>
    <w:p w14:paraId="4DD4F1EB" w14:textId="77777777" w:rsidR="00C16DFC" w:rsidRDefault="00C16DFC" w:rsidP="00C16DFC">
      <w:pPr>
        <w:suppressAutoHyphens w:val="0"/>
        <w:spacing w:after="0"/>
      </w:pPr>
    </w:p>
    <w:p w14:paraId="65BE761F" w14:textId="6320346C" w:rsidR="00A845EE" w:rsidRDefault="00C16DFC" w:rsidP="00C16DFC">
      <w:pPr>
        <w:suppressAutoHyphens w:val="0"/>
        <w:spacing w:after="0"/>
      </w:pPr>
      <w:r>
        <w:t xml:space="preserve">If BWP of a UE is overlapping with the </w:t>
      </w:r>
      <w:proofErr w:type="spellStart"/>
      <w:r>
        <w:t>subband</w:t>
      </w:r>
      <w:proofErr w:type="spellEnd"/>
      <w:r>
        <w:t xml:space="preserve"> for SBFD operation, then SBFD operation can create conflicts with signals configured for the UE in the overlapping portion.</w:t>
      </w:r>
      <w:r w:rsidR="004F6A49">
        <w:t xml:space="preserve"> E.g., </w:t>
      </w:r>
      <w:r w:rsidR="0032289A">
        <w:t xml:space="preserve">UE is scheduled to receive </w:t>
      </w:r>
      <w:r w:rsidR="004F6A49">
        <w:t xml:space="preserve"> PDSCH i</w:t>
      </w:r>
      <w:r w:rsidR="0032289A">
        <w:t>n slot n, which is indicated as</w:t>
      </w:r>
      <w:r w:rsidR="004F6A49">
        <w:t xml:space="preserve"> SBFD active time </w:t>
      </w:r>
      <w:r w:rsidR="003279F7">
        <w:t>resource,</w:t>
      </w:r>
      <w:r w:rsidR="004F6A49">
        <w:t xml:space="preserve"> and the frequency resources </w:t>
      </w:r>
      <w:r w:rsidR="003279F7">
        <w:t xml:space="preserve">scheduled for PDSCH </w:t>
      </w:r>
      <w:r w:rsidR="004F6A49">
        <w:t>overlaps with UL SB</w:t>
      </w:r>
      <w:r w:rsidR="0032289A">
        <w:t>. In that case</w:t>
      </w:r>
      <w:r w:rsidR="004F6A49">
        <w:t xml:space="preserve">, the </w:t>
      </w:r>
      <w:proofErr w:type="spellStart"/>
      <w:r w:rsidR="004F6A49">
        <w:t>gNB</w:t>
      </w:r>
      <w:proofErr w:type="spellEnd"/>
      <w:r w:rsidR="004F6A49">
        <w:t xml:space="preserve"> is expected to </w:t>
      </w:r>
      <w:r w:rsidR="003279F7">
        <w:t>perform either transmission of</w:t>
      </w:r>
      <w:r w:rsidR="004F6A49">
        <w:t xml:space="preserve"> PDSCH in the scheduled resources or UL operation in the UL SB, creating a conflict.</w:t>
      </w:r>
      <w:r w:rsidR="00110710">
        <w:t xml:space="preserve"> </w:t>
      </w:r>
    </w:p>
    <w:p w14:paraId="6587F876" w14:textId="77777777" w:rsidR="0032289A" w:rsidRPr="007E4C48" w:rsidRDefault="0032289A" w:rsidP="00C16DFC">
      <w:pPr>
        <w:suppressAutoHyphens w:val="0"/>
        <w:spacing w:after="0"/>
        <w:rPr>
          <w:b/>
          <w:bCs/>
        </w:rPr>
      </w:pPr>
    </w:p>
    <w:p w14:paraId="1AC1D2C5" w14:textId="54D6AF72" w:rsidR="00A845EE" w:rsidRPr="007E4C48" w:rsidRDefault="00A845EE" w:rsidP="00A845EE">
      <w:pPr>
        <w:suppressAutoHyphens w:val="0"/>
        <w:spacing w:after="0"/>
        <w:rPr>
          <w:b/>
          <w:bCs/>
        </w:rPr>
      </w:pPr>
      <w:r w:rsidRPr="007E4C48">
        <w:rPr>
          <w:b/>
          <w:bCs/>
        </w:rPr>
        <w:t>Observation</w:t>
      </w:r>
      <w:r w:rsidR="007A776F">
        <w:rPr>
          <w:b/>
          <w:bCs/>
        </w:rPr>
        <w:t xml:space="preserve"> 6</w:t>
      </w:r>
      <w:r w:rsidRPr="007E4C48">
        <w:rPr>
          <w:b/>
          <w:bCs/>
        </w:rPr>
        <w:t>: DL Signals/channels scheduled at the UE overlaps partially or fully with UL SB and SBFD active time resources creating conflicts</w:t>
      </w:r>
      <w:r w:rsidR="007A776F">
        <w:rPr>
          <w:b/>
          <w:bCs/>
        </w:rPr>
        <w:t>.</w:t>
      </w:r>
    </w:p>
    <w:p w14:paraId="581EEFEF" w14:textId="77777777" w:rsidR="00A845EE" w:rsidRDefault="00A845EE" w:rsidP="00A845EE">
      <w:pPr>
        <w:suppressAutoHyphens w:val="0"/>
        <w:spacing w:after="0"/>
      </w:pPr>
    </w:p>
    <w:p w14:paraId="52D9E74D" w14:textId="6A6609F2" w:rsidR="003279F7" w:rsidRDefault="00110710" w:rsidP="00C16DFC">
      <w:pPr>
        <w:suppressAutoHyphens w:val="0"/>
        <w:spacing w:after="0"/>
      </w:pPr>
      <w:r>
        <w:t>The conflict resolution should consider various factors such as importance of the signals</w:t>
      </w:r>
      <w:r w:rsidR="007E4C48">
        <w:t>/channels</w:t>
      </w:r>
      <w:r>
        <w:t xml:space="preserve"> creating the conflict, type of configuration/scheduling, etc. </w:t>
      </w:r>
      <w:r w:rsidR="00A845EE">
        <w:t xml:space="preserve">The </w:t>
      </w:r>
      <w:proofErr w:type="spellStart"/>
      <w:r w:rsidR="00A845EE">
        <w:t>gNB</w:t>
      </w:r>
      <w:proofErr w:type="spellEnd"/>
      <w:r w:rsidR="00A845EE">
        <w:t xml:space="preserve"> can indicate priority level for the SBFD configuration. E.g., if PRACH is configured in UL SB, then UL SB should be given priority over other DL signals. In that case the </w:t>
      </w:r>
      <w:proofErr w:type="spellStart"/>
      <w:r w:rsidR="00A845EE">
        <w:t>gNB</w:t>
      </w:r>
      <w:proofErr w:type="spellEnd"/>
      <w:r w:rsidR="00A845EE">
        <w:t xml:space="preserve"> </w:t>
      </w:r>
      <w:r w:rsidR="0032289A">
        <w:t>indicates</w:t>
      </w:r>
      <w:r w:rsidR="00A845EE">
        <w:t xml:space="preserve"> the SBFD active time resource overlapping with </w:t>
      </w:r>
      <w:r w:rsidR="0032289A">
        <w:t>P</w:t>
      </w:r>
      <w:r w:rsidR="00A845EE">
        <w:t>RACH occasion as high priority to the UE</w:t>
      </w:r>
      <w:r w:rsidR="0032289A">
        <w:t>,</w:t>
      </w:r>
      <w:r w:rsidR="00A845EE">
        <w:t xml:space="preserve"> so that the UE skip any DL signal/channel overlapping with </w:t>
      </w:r>
      <w:r w:rsidR="0032289A">
        <w:t>UL SB</w:t>
      </w:r>
      <w:r w:rsidR="00A845EE">
        <w:t>.</w:t>
      </w:r>
      <w:r w:rsidR="0032289A">
        <w:t xml:space="preserve"> </w:t>
      </w:r>
      <w:r w:rsidR="007E4C48">
        <w:t xml:space="preserve"> Further, the configuration of signals/channels to a UE can be done by higher layers or DCI. Similarly, the parameters of SBFD can be configured to the UE semi-statically or dynamically. The priority of signal/channel/parameter varies depending on the mechanism of scheduling/configuring. E.g., in 5G-NR specification, PDSCH scheduled by DCI overrides CSI-RS reception configured by higher layers. Therefore, the collision handling should consider scheduling mechanism of the colliding signal/channel and configuring mechanism of parameters of SBFD. </w:t>
      </w:r>
      <w:r w:rsidR="003279F7">
        <w:t>Similarly, if dynamically indicated SBFD configuration conflicts with PDSCH scheduled semis-statically then the dynamic configuration should be prioritized.</w:t>
      </w:r>
      <w:r w:rsidR="0032289A">
        <w:t xml:space="preserve"> </w:t>
      </w:r>
    </w:p>
    <w:p w14:paraId="0D4E6F02" w14:textId="77777777" w:rsidR="00A845EE" w:rsidRDefault="00A845EE" w:rsidP="00C16DFC">
      <w:pPr>
        <w:suppressAutoHyphens w:val="0"/>
        <w:spacing w:after="0"/>
      </w:pPr>
    </w:p>
    <w:p w14:paraId="71DE5308" w14:textId="3249D0A9" w:rsidR="00A845EE" w:rsidRPr="007E4C48" w:rsidRDefault="00A845EE" w:rsidP="0032289A">
      <w:pPr>
        <w:suppressAutoHyphens w:val="0"/>
        <w:spacing w:after="0"/>
        <w:rPr>
          <w:b/>
          <w:bCs/>
        </w:rPr>
      </w:pPr>
      <w:r w:rsidRPr="007E4C48">
        <w:rPr>
          <w:b/>
          <w:bCs/>
        </w:rPr>
        <w:t>Observation</w:t>
      </w:r>
      <w:r w:rsidR="007A776F">
        <w:rPr>
          <w:b/>
          <w:bCs/>
        </w:rPr>
        <w:t xml:space="preserve"> 7</w:t>
      </w:r>
      <w:r w:rsidRPr="007E4C48">
        <w:rPr>
          <w:b/>
          <w:bCs/>
        </w:rPr>
        <w:t xml:space="preserve">: Consider </w:t>
      </w:r>
      <w:r w:rsidR="007A776F" w:rsidRPr="007E4C48">
        <w:rPr>
          <w:b/>
          <w:bCs/>
        </w:rPr>
        <w:t>the following</w:t>
      </w:r>
      <w:r w:rsidRPr="007E4C48">
        <w:rPr>
          <w:b/>
          <w:bCs/>
        </w:rPr>
        <w:t xml:space="preserve"> factors for conflict </w:t>
      </w:r>
      <w:r w:rsidR="007A776F" w:rsidRPr="007E4C48">
        <w:rPr>
          <w:b/>
          <w:bCs/>
        </w:rPr>
        <w:t>resolution.</w:t>
      </w:r>
      <w:r w:rsidRPr="007E4C48">
        <w:rPr>
          <w:b/>
          <w:bCs/>
        </w:rPr>
        <w:t xml:space="preserve"> </w:t>
      </w:r>
    </w:p>
    <w:p w14:paraId="5413DA17" w14:textId="628633A7" w:rsidR="00B54619" w:rsidRPr="007E4C48" w:rsidRDefault="00A845EE" w:rsidP="00B54619">
      <w:pPr>
        <w:pStyle w:val="ListParagraph"/>
        <w:numPr>
          <w:ilvl w:val="0"/>
          <w:numId w:val="16"/>
        </w:numPr>
        <w:suppressAutoHyphens w:val="0"/>
        <w:spacing w:after="0"/>
        <w:rPr>
          <w:b/>
          <w:bCs/>
        </w:rPr>
      </w:pPr>
      <w:r w:rsidRPr="007E4C48">
        <w:rPr>
          <w:b/>
          <w:bCs/>
        </w:rPr>
        <w:t>Priority of signals/channels creating conflict</w:t>
      </w:r>
    </w:p>
    <w:p w14:paraId="254E1C6B" w14:textId="0078364B" w:rsidR="00A845EE" w:rsidRPr="007E4C48" w:rsidRDefault="00A845EE" w:rsidP="00B54619">
      <w:pPr>
        <w:pStyle w:val="ListParagraph"/>
        <w:numPr>
          <w:ilvl w:val="0"/>
          <w:numId w:val="16"/>
        </w:numPr>
        <w:suppressAutoHyphens w:val="0"/>
        <w:spacing w:after="0"/>
        <w:rPr>
          <w:b/>
          <w:bCs/>
        </w:rPr>
      </w:pPr>
      <w:r w:rsidRPr="007E4C48">
        <w:rPr>
          <w:b/>
          <w:bCs/>
        </w:rPr>
        <w:t>Type of configuration and scheduling</w:t>
      </w:r>
    </w:p>
    <w:p w14:paraId="3D27883F" w14:textId="77777777" w:rsidR="0032289A" w:rsidRPr="007E4C48" w:rsidRDefault="0032289A" w:rsidP="0032289A">
      <w:pPr>
        <w:suppressAutoHyphens w:val="0"/>
        <w:spacing w:after="0"/>
        <w:rPr>
          <w:b/>
          <w:bCs/>
        </w:rPr>
      </w:pPr>
    </w:p>
    <w:p w14:paraId="5D40AC80" w14:textId="0D5F28CD" w:rsidR="00A845EE" w:rsidRPr="007E4C48" w:rsidRDefault="00A845EE" w:rsidP="0032289A">
      <w:pPr>
        <w:suppressAutoHyphens w:val="0"/>
        <w:spacing w:after="0"/>
        <w:rPr>
          <w:b/>
          <w:bCs/>
        </w:rPr>
      </w:pPr>
      <w:r w:rsidRPr="007E4C48">
        <w:rPr>
          <w:b/>
          <w:bCs/>
        </w:rPr>
        <w:t>Proposal</w:t>
      </w:r>
      <w:r w:rsidR="007A776F">
        <w:rPr>
          <w:b/>
          <w:bCs/>
        </w:rPr>
        <w:t xml:space="preserve"> 12</w:t>
      </w:r>
      <w:r w:rsidRPr="007E4C48">
        <w:rPr>
          <w:b/>
          <w:bCs/>
        </w:rPr>
        <w:t xml:space="preserve">: </w:t>
      </w:r>
      <w:proofErr w:type="spellStart"/>
      <w:r w:rsidR="0032289A" w:rsidRPr="007E4C48">
        <w:rPr>
          <w:b/>
          <w:bCs/>
        </w:rPr>
        <w:t>gNB</w:t>
      </w:r>
      <w:proofErr w:type="spellEnd"/>
      <w:r w:rsidR="0032289A" w:rsidRPr="007E4C48">
        <w:rPr>
          <w:b/>
          <w:bCs/>
        </w:rPr>
        <w:t xml:space="preserve"> indicating priority for the SBFD configuration is supported</w:t>
      </w:r>
      <w:r w:rsidR="007A776F">
        <w:rPr>
          <w:b/>
          <w:bCs/>
        </w:rPr>
        <w:t>.</w:t>
      </w:r>
    </w:p>
    <w:p w14:paraId="12E60B2C" w14:textId="16AD0017" w:rsidR="0032289A" w:rsidRPr="007E4C48" w:rsidRDefault="0032289A" w:rsidP="0032289A">
      <w:pPr>
        <w:suppressAutoHyphens w:val="0"/>
        <w:spacing w:after="0"/>
        <w:rPr>
          <w:b/>
          <w:bCs/>
        </w:rPr>
      </w:pPr>
      <w:r w:rsidRPr="007E4C48">
        <w:rPr>
          <w:b/>
          <w:bCs/>
        </w:rPr>
        <w:t>Proposal</w:t>
      </w:r>
      <w:r w:rsidR="007A776F">
        <w:rPr>
          <w:b/>
          <w:bCs/>
        </w:rPr>
        <w:t xml:space="preserve"> 13</w:t>
      </w:r>
      <w:r w:rsidRPr="007E4C48">
        <w:rPr>
          <w:b/>
          <w:bCs/>
        </w:rPr>
        <w:t>: Dynamic configuration overriding semi-static configuration is supported</w:t>
      </w:r>
      <w:r w:rsidR="007A776F">
        <w:rPr>
          <w:b/>
          <w:bCs/>
        </w:rPr>
        <w:t>.</w:t>
      </w:r>
    </w:p>
    <w:p w14:paraId="34911204" w14:textId="77777777" w:rsidR="003279F7" w:rsidRDefault="003279F7" w:rsidP="00C16DFC">
      <w:pPr>
        <w:suppressAutoHyphens w:val="0"/>
        <w:spacing w:after="0"/>
      </w:pPr>
    </w:p>
    <w:p w14:paraId="69EAC032" w14:textId="77777777" w:rsidR="001323C4" w:rsidRDefault="001323C4">
      <w:pPr>
        <w:rPr>
          <w:b/>
          <w:bCs/>
        </w:rPr>
      </w:pPr>
    </w:p>
    <w:p w14:paraId="6DDC2B08" w14:textId="77777777" w:rsidR="001323C4" w:rsidRDefault="00000000">
      <w:pPr>
        <w:pStyle w:val="Heading1"/>
        <w:numPr>
          <w:ilvl w:val="0"/>
          <w:numId w:val="6"/>
        </w:numPr>
      </w:pPr>
      <w:r>
        <w:t>Conclusion</w:t>
      </w:r>
    </w:p>
    <w:p w14:paraId="326BCF30" w14:textId="77777777" w:rsidR="001323C4" w:rsidRDefault="00000000">
      <w:r>
        <w:t>The following observations and proposals are made in this contribution,</w:t>
      </w:r>
    </w:p>
    <w:p w14:paraId="2BE7E8C0" w14:textId="77777777" w:rsidR="007A776F" w:rsidRDefault="007A776F" w:rsidP="007A776F">
      <w:r>
        <w:rPr>
          <w:b/>
          <w:bCs/>
          <w:color w:val="000000" w:themeColor="text1"/>
        </w:rPr>
        <w:t xml:space="preserve">Observation 1: DL BWPs allocated to UEs overlaps partially or fully with the UL SB and creates unnecessary monitoring at the UE. </w:t>
      </w:r>
    </w:p>
    <w:p w14:paraId="7AD8D96D" w14:textId="34709370" w:rsidR="007A776F" w:rsidRDefault="007A776F" w:rsidP="007A776F">
      <w:pPr>
        <w:rPr>
          <w:b/>
          <w:bCs/>
          <w:color w:val="000000" w:themeColor="text1"/>
        </w:rPr>
      </w:pPr>
      <w:r>
        <w:rPr>
          <w:b/>
          <w:bCs/>
          <w:color w:val="000000" w:themeColor="text1"/>
        </w:rPr>
        <w:t xml:space="preserve">Proposal 1: </w:t>
      </w:r>
      <w:r>
        <w:rPr>
          <w:rStyle w:val="cf01"/>
        </w:rPr>
        <w:t>Proposal 1: The frequency domain location of the full UL SB is provided to the SBFD aware UE in terms of starting RB and number of RBs</w:t>
      </w:r>
      <w:r w:rsidR="00AB4419">
        <w:rPr>
          <w:rStyle w:val="cf01"/>
        </w:rPr>
        <w:t>.</w:t>
      </w:r>
    </w:p>
    <w:p w14:paraId="6C1A15F8" w14:textId="7C53C319" w:rsidR="007A776F" w:rsidRDefault="007A776F" w:rsidP="007A776F">
      <w:pPr>
        <w:rPr>
          <w:b/>
          <w:bCs/>
        </w:rPr>
      </w:pPr>
      <w:r w:rsidRPr="0089394E">
        <w:rPr>
          <w:b/>
          <w:bCs/>
        </w:rPr>
        <w:t>Observation</w:t>
      </w:r>
      <w:r>
        <w:rPr>
          <w:b/>
          <w:bCs/>
        </w:rPr>
        <w:t xml:space="preserve"> 2</w:t>
      </w:r>
      <w:r w:rsidRPr="0089394E">
        <w:rPr>
          <w:b/>
          <w:bCs/>
        </w:rPr>
        <w:t xml:space="preserve">: </w:t>
      </w:r>
      <w:r>
        <w:rPr>
          <w:b/>
          <w:bCs/>
        </w:rPr>
        <w:t xml:space="preserve">Following observations are made about time granularity of SBFD </w:t>
      </w:r>
      <w:r w:rsidR="00AB4419">
        <w:rPr>
          <w:b/>
          <w:bCs/>
        </w:rPr>
        <w:t>operation.</w:t>
      </w:r>
    </w:p>
    <w:p w14:paraId="3FC9B02C" w14:textId="774BE449" w:rsidR="007A776F" w:rsidRPr="00BC5957" w:rsidRDefault="007A776F" w:rsidP="007A776F">
      <w:pPr>
        <w:pStyle w:val="ListParagraph"/>
        <w:numPr>
          <w:ilvl w:val="0"/>
          <w:numId w:val="15"/>
        </w:numPr>
        <w:rPr>
          <w:b/>
          <w:bCs/>
        </w:rPr>
      </w:pPr>
      <w:r w:rsidRPr="00BC5957">
        <w:rPr>
          <w:b/>
          <w:bCs/>
        </w:rPr>
        <w:t xml:space="preserve">Symbol level granularity for SBFD active time resource leads to signaling </w:t>
      </w:r>
      <w:r w:rsidR="00AB4419" w:rsidRPr="00BC5957">
        <w:rPr>
          <w:b/>
          <w:bCs/>
        </w:rPr>
        <w:t>overhead.</w:t>
      </w:r>
    </w:p>
    <w:p w14:paraId="3778632C" w14:textId="043EA8CB" w:rsidR="007A776F" w:rsidRPr="00BC5957" w:rsidRDefault="007A776F" w:rsidP="007A776F">
      <w:pPr>
        <w:pStyle w:val="ListParagraph"/>
        <w:numPr>
          <w:ilvl w:val="0"/>
          <w:numId w:val="15"/>
        </w:numPr>
        <w:rPr>
          <w:b/>
          <w:bCs/>
        </w:rPr>
      </w:pPr>
      <w:r w:rsidRPr="00BC5957">
        <w:rPr>
          <w:b/>
          <w:bCs/>
        </w:rPr>
        <w:t xml:space="preserve">Slot level granularity impacts flexibility and restricts activation of SBFD in case a few symbols of the slot are configured for high priority </w:t>
      </w:r>
      <w:r w:rsidR="00AB4419" w:rsidRPr="00BC5957">
        <w:rPr>
          <w:b/>
          <w:bCs/>
        </w:rPr>
        <w:t>signals.</w:t>
      </w:r>
    </w:p>
    <w:p w14:paraId="20816B00" w14:textId="77777777" w:rsidR="007A776F" w:rsidRPr="0089394E" w:rsidRDefault="007A776F" w:rsidP="007A776F">
      <w:pPr>
        <w:rPr>
          <w:b/>
          <w:bCs/>
        </w:rPr>
      </w:pPr>
      <w:r w:rsidRPr="0089394E">
        <w:rPr>
          <w:b/>
          <w:bCs/>
        </w:rPr>
        <w:t>Proposal</w:t>
      </w:r>
      <w:r>
        <w:rPr>
          <w:b/>
          <w:bCs/>
        </w:rPr>
        <w:t xml:space="preserve"> 2</w:t>
      </w:r>
      <w:r w:rsidRPr="0089394E">
        <w:rPr>
          <w:b/>
          <w:bCs/>
        </w:rPr>
        <w:t>: Support time granularity of SBFD active time resource as resource type within a slot.</w:t>
      </w:r>
    </w:p>
    <w:p w14:paraId="1FF29493" w14:textId="352AE0B6" w:rsidR="007A776F" w:rsidRPr="00BE00C0" w:rsidRDefault="007A776F" w:rsidP="007A776F">
      <w:pPr>
        <w:rPr>
          <w:b/>
          <w:bCs/>
          <w:color w:val="000000" w:themeColor="text1"/>
          <w:lang w:val="en-IN"/>
        </w:rPr>
      </w:pPr>
      <w:r w:rsidRPr="00BE00C0">
        <w:rPr>
          <w:b/>
          <w:bCs/>
          <w:color w:val="000000" w:themeColor="text1"/>
          <w:lang w:val="en-IN"/>
        </w:rPr>
        <w:t>Observation</w:t>
      </w:r>
      <w:r>
        <w:rPr>
          <w:b/>
          <w:bCs/>
          <w:color w:val="000000" w:themeColor="text1"/>
          <w:lang w:val="en-IN"/>
        </w:rPr>
        <w:t xml:space="preserve"> 3</w:t>
      </w:r>
      <w:r w:rsidRPr="00BE00C0">
        <w:rPr>
          <w:b/>
          <w:bCs/>
          <w:color w:val="000000" w:themeColor="text1"/>
          <w:lang w:val="en-IN"/>
        </w:rPr>
        <w:t xml:space="preserve">: The explicit indication of SBFD configuration avoids uncertainty, defines UE </w:t>
      </w:r>
      <w:proofErr w:type="gramStart"/>
      <w:r w:rsidRPr="00BE00C0">
        <w:rPr>
          <w:b/>
          <w:bCs/>
          <w:color w:val="000000" w:themeColor="text1"/>
          <w:lang w:val="en-IN"/>
        </w:rPr>
        <w:t>behaviour</w:t>
      </w:r>
      <w:proofErr w:type="gramEnd"/>
      <w:r w:rsidRPr="00BE00C0">
        <w:rPr>
          <w:b/>
          <w:bCs/>
          <w:color w:val="000000" w:themeColor="text1"/>
          <w:lang w:val="en-IN"/>
        </w:rPr>
        <w:t xml:space="preserve"> and helps in conflict </w:t>
      </w:r>
      <w:r w:rsidR="00AB4419" w:rsidRPr="00BE00C0">
        <w:rPr>
          <w:b/>
          <w:bCs/>
          <w:color w:val="000000" w:themeColor="text1"/>
          <w:lang w:val="en-IN"/>
        </w:rPr>
        <w:t>resolution.</w:t>
      </w:r>
    </w:p>
    <w:p w14:paraId="383AA05F" w14:textId="77777777" w:rsidR="007A776F" w:rsidRPr="00BE00C0" w:rsidRDefault="007A776F" w:rsidP="007A776F">
      <w:pPr>
        <w:rPr>
          <w:b/>
          <w:bCs/>
          <w:color w:val="000000" w:themeColor="text1"/>
          <w:lang w:val="en-IN"/>
        </w:rPr>
      </w:pPr>
      <w:r w:rsidRPr="00BE00C0">
        <w:rPr>
          <w:b/>
          <w:bCs/>
          <w:color w:val="000000" w:themeColor="text1"/>
          <w:lang w:val="en-IN"/>
        </w:rPr>
        <w:t>Proposal</w:t>
      </w:r>
      <w:r>
        <w:rPr>
          <w:b/>
          <w:bCs/>
          <w:color w:val="000000" w:themeColor="text1"/>
          <w:lang w:val="en-IN"/>
        </w:rPr>
        <w:t xml:space="preserve"> 3</w:t>
      </w:r>
      <w:r w:rsidRPr="00BE00C0">
        <w:rPr>
          <w:b/>
          <w:bCs/>
          <w:color w:val="000000" w:themeColor="text1"/>
          <w:lang w:val="en-IN"/>
        </w:rPr>
        <w:t>: Support explicit indication of SBFD configuration to the UE, where the configuration comprises UL SB, SBFD active time resource and priority level.</w:t>
      </w:r>
    </w:p>
    <w:p w14:paraId="3C27359A" w14:textId="7735DD62" w:rsidR="007A776F" w:rsidRDefault="007A776F" w:rsidP="007A776F">
      <w:pPr>
        <w:rPr>
          <w:b/>
          <w:bCs/>
        </w:rPr>
      </w:pPr>
      <w:r w:rsidRPr="009E131E">
        <w:rPr>
          <w:b/>
          <w:bCs/>
        </w:rPr>
        <w:t>Proposal</w:t>
      </w:r>
      <w:r>
        <w:rPr>
          <w:b/>
          <w:bCs/>
        </w:rPr>
        <w:t xml:space="preserve"> 4</w:t>
      </w:r>
      <w:r w:rsidRPr="009E131E">
        <w:rPr>
          <w:b/>
          <w:bCs/>
        </w:rPr>
        <w:t xml:space="preserve">: </w:t>
      </w:r>
      <w:r w:rsidR="008576B2" w:rsidRPr="009E131E">
        <w:rPr>
          <w:b/>
          <w:bCs/>
        </w:rPr>
        <w:t>Support periodic</w:t>
      </w:r>
      <w:r w:rsidRPr="009E131E">
        <w:rPr>
          <w:b/>
          <w:bCs/>
        </w:rPr>
        <w:t xml:space="preserve"> and aperiodic activation of SBFD </w:t>
      </w:r>
      <w:proofErr w:type="gramStart"/>
      <w:r w:rsidRPr="009E131E">
        <w:rPr>
          <w:b/>
          <w:bCs/>
        </w:rPr>
        <w:t>operation</w:t>
      </w:r>
      <w:proofErr w:type="gramEnd"/>
    </w:p>
    <w:p w14:paraId="47402DA9" w14:textId="20CE1AA7" w:rsidR="007A776F" w:rsidRDefault="007A776F" w:rsidP="007A776F">
      <w:pPr>
        <w:pStyle w:val="ListParagraph"/>
        <w:numPr>
          <w:ilvl w:val="0"/>
          <w:numId w:val="16"/>
        </w:numPr>
        <w:rPr>
          <w:b/>
          <w:bCs/>
        </w:rPr>
      </w:pPr>
      <w:r>
        <w:rPr>
          <w:b/>
          <w:bCs/>
        </w:rPr>
        <w:lastRenderedPageBreak/>
        <w:t xml:space="preserve">Periodic configuration consists of </w:t>
      </w:r>
      <w:r w:rsidRPr="00882E11">
        <w:rPr>
          <w:b/>
          <w:bCs/>
        </w:rPr>
        <w:t xml:space="preserve">starting time, duration, and </w:t>
      </w:r>
      <w:r w:rsidR="008576B2" w:rsidRPr="00882E11">
        <w:rPr>
          <w:b/>
          <w:bCs/>
        </w:rPr>
        <w:t>periodicity.</w:t>
      </w:r>
    </w:p>
    <w:p w14:paraId="042488A3" w14:textId="39AC5165" w:rsidR="007A776F" w:rsidRPr="009E131E" w:rsidRDefault="007A776F" w:rsidP="007A776F">
      <w:pPr>
        <w:pStyle w:val="ListParagraph"/>
        <w:numPr>
          <w:ilvl w:val="0"/>
          <w:numId w:val="16"/>
        </w:numPr>
        <w:rPr>
          <w:b/>
          <w:bCs/>
        </w:rPr>
      </w:pPr>
      <w:r>
        <w:rPr>
          <w:b/>
          <w:bCs/>
        </w:rPr>
        <w:t xml:space="preserve">Aperiodic configuration comprises </w:t>
      </w:r>
      <w:r w:rsidRPr="00882E11">
        <w:rPr>
          <w:b/>
          <w:bCs/>
        </w:rPr>
        <w:t xml:space="preserve">slot offset, symbol offset, and </w:t>
      </w:r>
      <w:r w:rsidR="008576B2" w:rsidRPr="00882E11">
        <w:rPr>
          <w:b/>
          <w:bCs/>
        </w:rPr>
        <w:t>duration.</w:t>
      </w:r>
    </w:p>
    <w:p w14:paraId="089A7956" w14:textId="77777777" w:rsidR="007A776F" w:rsidRDefault="007A776F" w:rsidP="007A776F">
      <w:pPr>
        <w:rPr>
          <w:b/>
          <w:bCs/>
        </w:rPr>
      </w:pPr>
      <w:r>
        <w:rPr>
          <w:b/>
          <w:bCs/>
          <w:color w:val="000000" w:themeColor="text1"/>
        </w:rPr>
        <w:t>Proposal 5: Study the following for indication of guard bands:</w:t>
      </w:r>
    </w:p>
    <w:p w14:paraId="292D7A7C" w14:textId="77777777" w:rsidR="007A776F" w:rsidRDefault="007A776F" w:rsidP="007A776F">
      <w:pPr>
        <w:pStyle w:val="ListParagraph"/>
        <w:numPr>
          <w:ilvl w:val="0"/>
          <w:numId w:val="16"/>
        </w:numPr>
        <w:rPr>
          <w:b/>
          <w:bCs/>
        </w:rPr>
      </w:pPr>
      <w:r>
        <w:rPr>
          <w:b/>
          <w:bCs/>
          <w:color w:val="000000" w:themeColor="text1"/>
        </w:rPr>
        <w:t xml:space="preserve"> Explicit indication in terms of time and/or frequency</w:t>
      </w:r>
    </w:p>
    <w:p w14:paraId="50C0C143" w14:textId="77777777" w:rsidR="007A776F" w:rsidRDefault="007A776F" w:rsidP="007A776F">
      <w:pPr>
        <w:numPr>
          <w:ilvl w:val="1"/>
          <w:numId w:val="10"/>
        </w:numPr>
        <w:rPr>
          <w:b/>
          <w:bCs/>
        </w:rPr>
      </w:pPr>
      <w:r>
        <w:rPr>
          <w:b/>
          <w:bCs/>
          <w:color w:val="000000" w:themeColor="text1"/>
        </w:rPr>
        <w:t>The time location is not explicitly provided for guard bands.</w:t>
      </w:r>
    </w:p>
    <w:p w14:paraId="0DC2F57E" w14:textId="77777777" w:rsidR="007A776F" w:rsidRDefault="007A776F" w:rsidP="007A776F">
      <w:pPr>
        <w:numPr>
          <w:ilvl w:val="1"/>
          <w:numId w:val="10"/>
        </w:numPr>
        <w:rPr>
          <w:b/>
          <w:bCs/>
        </w:rPr>
      </w:pPr>
      <w:r>
        <w:rPr>
          <w:b/>
          <w:bCs/>
          <w:color w:val="000000" w:themeColor="text1"/>
        </w:rPr>
        <w:t>Only the bandwidth of the guard band(s) is provided in terms of subcarriers/RBs/RBGs.</w:t>
      </w:r>
    </w:p>
    <w:p w14:paraId="0B50A790" w14:textId="77777777" w:rsidR="007A776F" w:rsidRDefault="007A776F" w:rsidP="007A776F">
      <w:pPr>
        <w:pStyle w:val="ListParagraph"/>
        <w:numPr>
          <w:ilvl w:val="0"/>
          <w:numId w:val="16"/>
        </w:numPr>
        <w:rPr>
          <w:b/>
          <w:bCs/>
        </w:rPr>
      </w:pPr>
      <w:r>
        <w:rPr>
          <w:b/>
          <w:bCs/>
          <w:color w:val="000000" w:themeColor="text1"/>
        </w:rPr>
        <w:t xml:space="preserve"> As a part of PDSCH rate matching</w:t>
      </w:r>
    </w:p>
    <w:p w14:paraId="3038E90D" w14:textId="588341B8" w:rsidR="007A776F" w:rsidRDefault="007A776F" w:rsidP="007A776F">
      <w:pPr>
        <w:rPr>
          <w:b/>
          <w:bCs/>
        </w:rPr>
      </w:pPr>
      <w:r>
        <w:rPr>
          <w:b/>
          <w:bCs/>
          <w:color w:val="000000" w:themeColor="text1"/>
        </w:rPr>
        <w:t xml:space="preserve">Proposal 6: The frequency location of DL SBs </w:t>
      </w:r>
      <w:r w:rsidR="00DB73AC">
        <w:rPr>
          <w:b/>
          <w:bCs/>
          <w:color w:val="000000" w:themeColor="text1"/>
        </w:rPr>
        <w:t>is</w:t>
      </w:r>
      <w:r>
        <w:rPr>
          <w:b/>
          <w:bCs/>
          <w:color w:val="000000" w:themeColor="text1"/>
        </w:rPr>
        <w:t xml:space="preserve"> implicitly derived.</w:t>
      </w:r>
    </w:p>
    <w:p w14:paraId="125151DF" w14:textId="77777777" w:rsidR="007A776F" w:rsidRPr="00AE7E1A" w:rsidRDefault="007A776F" w:rsidP="007A776F">
      <w:pPr>
        <w:spacing w:after="160" w:line="259" w:lineRule="auto"/>
        <w:contextualSpacing/>
        <w:rPr>
          <w:b/>
          <w:bCs/>
          <w:color w:val="000000" w:themeColor="text1"/>
        </w:rPr>
      </w:pPr>
      <w:r w:rsidRPr="00AE7E1A">
        <w:rPr>
          <w:b/>
          <w:bCs/>
          <w:color w:val="000000" w:themeColor="text1"/>
        </w:rPr>
        <w:t>Observation</w:t>
      </w:r>
      <w:r>
        <w:rPr>
          <w:b/>
          <w:bCs/>
          <w:color w:val="000000" w:themeColor="text1"/>
        </w:rPr>
        <w:t xml:space="preserve"> 4</w:t>
      </w:r>
      <w:r w:rsidRPr="00AE7E1A">
        <w:rPr>
          <w:b/>
          <w:bCs/>
          <w:color w:val="000000" w:themeColor="text1"/>
        </w:rPr>
        <w:t xml:space="preserve">: The SBFD operation is limited to F symbols configured by </w:t>
      </w:r>
      <w:proofErr w:type="spellStart"/>
      <w:r w:rsidRPr="00AE7E1A">
        <w:rPr>
          <w:b/>
          <w:bCs/>
          <w:color w:val="000000" w:themeColor="text1"/>
        </w:rPr>
        <w:t>TDD_UL_DL_Config_common</w:t>
      </w:r>
      <w:proofErr w:type="spellEnd"/>
      <w:r w:rsidRPr="00AE7E1A">
        <w:rPr>
          <w:b/>
          <w:bCs/>
          <w:color w:val="000000" w:themeColor="text1"/>
        </w:rPr>
        <w:t>.</w:t>
      </w:r>
    </w:p>
    <w:p w14:paraId="54BE89B0" w14:textId="77777777" w:rsidR="007A776F" w:rsidRPr="00AE7E1A" w:rsidRDefault="007A776F" w:rsidP="007A776F">
      <w:pPr>
        <w:spacing w:after="160" w:line="259" w:lineRule="auto"/>
        <w:contextualSpacing/>
        <w:rPr>
          <w:b/>
          <w:bCs/>
          <w:color w:val="000000" w:themeColor="text1"/>
        </w:rPr>
      </w:pPr>
    </w:p>
    <w:p w14:paraId="2CB50F30" w14:textId="77777777" w:rsidR="007A776F" w:rsidRPr="00AE7E1A" w:rsidRDefault="007A776F" w:rsidP="007A776F">
      <w:pPr>
        <w:spacing w:after="160" w:line="259" w:lineRule="auto"/>
        <w:contextualSpacing/>
        <w:rPr>
          <w:b/>
          <w:bCs/>
          <w:color w:val="000000" w:themeColor="text1"/>
        </w:rPr>
      </w:pPr>
      <w:r w:rsidRPr="00AE7E1A">
        <w:rPr>
          <w:b/>
          <w:bCs/>
          <w:color w:val="000000" w:themeColor="text1"/>
        </w:rPr>
        <w:t>Proposal</w:t>
      </w:r>
      <w:r>
        <w:rPr>
          <w:b/>
          <w:bCs/>
          <w:color w:val="000000" w:themeColor="text1"/>
        </w:rPr>
        <w:t xml:space="preserve"> 6</w:t>
      </w:r>
      <w:r w:rsidRPr="00AE7E1A">
        <w:rPr>
          <w:b/>
          <w:bCs/>
          <w:color w:val="000000" w:themeColor="text1"/>
        </w:rPr>
        <w:t xml:space="preserve">: Support TDD configurations provided by </w:t>
      </w:r>
      <w:proofErr w:type="spellStart"/>
      <w:r w:rsidRPr="00AE7E1A">
        <w:rPr>
          <w:b/>
          <w:bCs/>
          <w:color w:val="000000" w:themeColor="text1"/>
        </w:rPr>
        <w:t>TDD_UL_DL_Config_dedicated</w:t>
      </w:r>
      <w:proofErr w:type="spellEnd"/>
      <w:r w:rsidRPr="00AE7E1A">
        <w:rPr>
          <w:b/>
          <w:bCs/>
          <w:color w:val="000000" w:themeColor="text1"/>
        </w:rPr>
        <w:t xml:space="preserve"> and SFI formats overriding </w:t>
      </w:r>
      <w:proofErr w:type="spellStart"/>
      <w:r w:rsidRPr="00AE7E1A">
        <w:rPr>
          <w:b/>
          <w:bCs/>
          <w:color w:val="000000" w:themeColor="text1"/>
        </w:rPr>
        <w:t>TDD_UL_DL_Config_</w:t>
      </w:r>
      <w:proofErr w:type="gramStart"/>
      <w:r w:rsidRPr="00AE7E1A">
        <w:rPr>
          <w:b/>
          <w:bCs/>
          <w:color w:val="000000" w:themeColor="text1"/>
        </w:rPr>
        <w:t>common</w:t>
      </w:r>
      <w:proofErr w:type="spellEnd"/>
      <w:proofErr w:type="gramEnd"/>
    </w:p>
    <w:p w14:paraId="25B8534B" w14:textId="6EB131C1" w:rsidR="007A776F" w:rsidRDefault="007A776F" w:rsidP="007A776F">
      <w:pPr>
        <w:spacing w:after="160" w:line="259" w:lineRule="auto"/>
        <w:contextualSpacing/>
      </w:pPr>
      <w:r>
        <w:rPr>
          <w:b/>
          <w:bCs/>
          <w:color w:val="000000" w:themeColor="text1"/>
        </w:rPr>
        <w:t>Observation 5: TDD configurations and SFI formats starting with UL slots/symbols improves flexibility of scheduling SBFD and allows efficient utilization of available bandwidth for SBFD</w:t>
      </w:r>
      <w:r w:rsidR="008576B2">
        <w:rPr>
          <w:b/>
          <w:bCs/>
          <w:color w:val="000000" w:themeColor="text1"/>
        </w:rPr>
        <w:t>.</w:t>
      </w:r>
    </w:p>
    <w:p w14:paraId="2B601E78" w14:textId="77777777" w:rsidR="007A776F" w:rsidRDefault="007A776F" w:rsidP="007A776F">
      <w:pPr>
        <w:spacing w:after="160" w:line="259" w:lineRule="auto"/>
        <w:contextualSpacing/>
        <w:rPr>
          <w:b/>
          <w:bCs/>
          <w:color w:val="000000" w:themeColor="text1"/>
        </w:rPr>
      </w:pPr>
    </w:p>
    <w:p w14:paraId="217D9A3E" w14:textId="77777777" w:rsidR="007A776F" w:rsidRDefault="007A776F" w:rsidP="007A776F">
      <w:pPr>
        <w:spacing w:after="160" w:line="259" w:lineRule="auto"/>
        <w:contextualSpacing/>
      </w:pPr>
      <w:r>
        <w:rPr>
          <w:b/>
          <w:bCs/>
          <w:color w:val="000000" w:themeColor="text1"/>
        </w:rPr>
        <w:t>Proposal 7: TDD configurations starting with UL slots/symbols are supported.</w:t>
      </w:r>
    </w:p>
    <w:p w14:paraId="6A92FC49" w14:textId="77777777" w:rsidR="007A776F" w:rsidRDefault="007A776F" w:rsidP="007A776F">
      <w:pPr>
        <w:spacing w:after="160" w:line="259" w:lineRule="auto"/>
        <w:contextualSpacing/>
        <w:rPr>
          <w:b/>
          <w:bCs/>
          <w:color w:val="000000" w:themeColor="text1"/>
        </w:rPr>
      </w:pPr>
      <w:r>
        <w:rPr>
          <w:b/>
          <w:bCs/>
          <w:color w:val="000000" w:themeColor="text1"/>
        </w:rPr>
        <w:t xml:space="preserve">Proposal 8:  </w:t>
      </w:r>
      <w:proofErr w:type="spellStart"/>
      <w:r>
        <w:rPr>
          <w:b/>
          <w:bCs/>
          <w:color w:val="000000" w:themeColor="text1"/>
        </w:rPr>
        <w:t>gNB</w:t>
      </w:r>
      <w:proofErr w:type="spellEnd"/>
      <w:r>
        <w:rPr>
          <w:b/>
          <w:bCs/>
          <w:color w:val="000000" w:themeColor="text1"/>
        </w:rPr>
        <w:t xml:space="preserve"> configuring separate TDD configuration for each BWP pair of the UE is supported.</w:t>
      </w:r>
    </w:p>
    <w:p w14:paraId="23E56C77" w14:textId="77777777" w:rsidR="007A776F" w:rsidRDefault="007A776F" w:rsidP="007A776F">
      <w:pPr>
        <w:spacing w:after="160" w:line="259" w:lineRule="auto"/>
        <w:contextualSpacing/>
      </w:pPr>
      <w:r>
        <w:rPr>
          <w:b/>
          <w:bCs/>
          <w:color w:val="000000" w:themeColor="text1"/>
        </w:rPr>
        <w:t>Proposal 9: Study FDRA related enhancement for SPS PDSCH and CG PUSCH.</w:t>
      </w:r>
    </w:p>
    <w:p w14:paraId="6C691EC4" w14:textId="77777777" w:rsidR="007A776F" w:rsidRDefault="007A776F" w:rsidP="007A776F">
      <w:pPr>
        <w:spacing w:after="160" w:line="259" w:lineRule="auto"/>
        <w:contextualSpacing/>
        <w:rPr>
          <w:b/>
          <w:bCs/>
          <w:color w:val="000000" w:themeColor="text1"/>
          <w:lang w:eastAsia="ko-KR"/>
        </w:rPr>
      </w:pPr>
      <w:r>
        <w:rPr>
          <w:b/>
          <w:bCs/>
          <w:color w:val="000000" w:themeColor="text1"/>
          <w:lang w:eastAsia="ko-KR"/>
        </w:rPr>
        <w:t xml:space="preserve">Proposal 10: Study enhancements related to repetition of UL signals/channels e.g., PUCCH, SRS etc. for coverage enhancement. </w:t>
      </w:r>
    </w:p>
    <w:p w14:paraId="17CE26D6" w14:textId="77777777" w:rsidR="007A776F" w:rsidRDefault="007A776F" w:rsidP="007A776F">
      <w:pPr>
        <w:rPr>
          <w:b/>
          <w:bCs/>
        </w:rPr>
      </w:pPr>
      <w:r>
        <w:rPr>
          <w:b/>
          <w:bCs/>
        </w:rPr>
        <w:t xml:space="preserve">Proposal 11: SBFD operation is not allowed in SSB symbols. </w:t>
      </w:r>
    </w:p>
    <w:p w14:paraId="154C511B" w14:textId="77777777" w:rsidR="007A776F" w:rsidRPr="007E4C48" w:rsidRDefault="007A776F" w:rsidP="007A776F">
      <w:pPr>
        <w:suppressAutoHyphens w:val="0"/>
        <w:spacing w:after="0"/>
        <w:rPr>
          <w:b/>
          <w:bCs/>
        </w:rPr>
      </w:pPr>
      <w:r w:rsidRPr="007E4C48">
        <w:rPr>
          <w:b/>
          <w:bCs/>
        </w:rPr>
        <w:t>Observation</w:t>
      </w:r>
      <w:r>
        <w:rPr>
          <w:b/>
          <w:bCs/>
        </w:rPr>
        <w:t xml:space="preserve"> 6</w:t>
      </w:r>
      <w:r w:rsidRPr="007E4C48">
        <w:rPr>
          <w:b/>
          <w:bCs/>
        </w:rPr>
        <w:t>: DL Signals/channels scheduled at the UE overlaps partially or fully with UL SB and SBFD active time resources creating conflicts</w:t>
      </w:r>
      <w:r>
        <w:rPr>
          <w:b/>
          <w:bCs/>
        </w:rPr>
        <w:t>.</w:t>
      </w:r>
    </w:p>
    <w:p w14:paraId="6CF832E3" w14:textId="77777777" w:rsidR="001323C4" w:rsidRDefault="001323C4">
      <w:pPr>
        <w:rPr>
          <w:b/>
          <w:bCs/>
          <w:color w:val="000000" w:themeColor="text1"/>
          <w:lang w:eastAsia="ko-KR"/>
        </w:rPr>
      </w:pPr>
    </w:p>
    <w:p w14:paraId="7D96A405" w14:textId="4338AE34" w:rsidR="007A776F" w:rsidRPr="007E4C48" w:rsidRDefault="007A776F" w:rsidP="007A776F">
      <w:pPr>
        <w:suppressAutoHyphens w:val="0"/>
        <w:spacing w:after="0"/>
        <w:rPr>
          <w:b/>
          <w:bCs/>
        </w:rPr>
      </w:pPr>
      <w:r w:rsidRPr="007E4C48">
        <w:rPr>
          <w:b/>
          <w:bCs/>
        </w:rPr>
        <w:t>Observation</w:t>
      </w:r>
      <w:r>
        <w:rPr>
          <w:b/>
          <w:bCs/>
        </w:rPr>
        <w:t xml:space="preserve"> 7</w:t>
      </w:r>
      <w:r w:rsidRPr="007E4C48">
        <w:rPr>
          <w:b/>
          <w:bCs/>
        </w:rPr>
        <w:t xml:space="preserve">: Consider the following factors for conflict resolution. </w:t>
      </w:r>
    </w:p>
    <w:p w14:paraId="171F56B8" w14:textId="77777777" w:rsidR="007A776F" w:rsidRPr="007E4C48" w:rsidRDefault="007A776F" w:rsidP="007A776F">
      <w:pPr>
        <w:pStyle w:val="ListParagraph"/>
        <w:numPr>
          <w:ilvl w:val="0"/>
          <w:numId w:val="16"/>
        </w:numPr>
        <w:suppressAutoHyphens w:val="0"/>
        <w:spacing w:after="0"/>
        <w:rPr>
          <w:b/>
          <w:bCs/>
        </w:rPr>
      </w:pPr>
      <w:r w:rsidRPr="007E4C48">
        <w:rPr>
          <w:b/>
          <w:bCs/>
        </w:rPr>
        <w:t>Priority of signals/channels creating conflict</w:t>
      </w:r>
    </w:p>
    <w:p w14:paraId="284E90E9" w14:textId="77777777" w:rsidR="007A776F" w:rsidRPr="007E4C48" w:rsidRDefault="007A776F" w:rsidP="007A776F">
      <w:pPr>
        <w:pStyle w:val="ListParagraph"/>
        <w:numPr>
          <w:ilvl w:val="0"/>
          <w:numId w:val="16"/>
        </w:numPr>
        <w:suppressAutoHyphens w:val="0"/>
        <w:spacing w:after="0"/>
        <w:rPr>
          <w:b/>
          <w:bCs/>
        </w:rPr>
      </w:pPr>
      <w:r w:rsidRPr="007E4C48">
        <w:rPr>
          <w:b/>
          <w:bCs/>
        </w:rPr>
        <w:t>Type of configuration and scheduling</w:t>
      </w:r>
    </w:p>
    <w:p w14:paraId="6919F9BB" w14:textId="77777777" w:rsidR="007A776F" w:rsidRPr="007E4C48" w:rsidRDefault="007A776F" w:rsidP="007A776F">
      <w:pPr>
        <w:suppressAutoHyphens w:val="0"/>
        <w:spacing w:after="0"/>
        <w:rPr>
          <w:b/>
          <w:bCs/>
        </w:rPr>
      </w:pPr>
    </w:p>
    <w:p w14:paraId="248E78E4" w14:textId="77777777" w:rsidR="007A776F" w:rsidRPr="007E4C48" w:rsidRDefault="007A776F" w:rsidP="007A776F">
      <w:pPr>
        <w:suppressAutoHyphens w:val="0"/>
        <w:spacing w:after="0"/>
        <w:rPr>
          <w:b/>
          <w:bCs/>
        </w:rPr>
      </w:pPr>
      <w:r w:rsidRPr="007E4C48">
        <w:rPr>
          <w:b/>
          <w:bCs/>
        </w:rPr>
        <w:t>Proposal</w:t>
      </w:r>
      <w:r>
        <w:rPr>
          <w:b/>
          <w:bCs/>
        </w:rPr>
        <w:t xml:space="preserve"> 12</w:t>
      </w:r>
      <w:r w:rsidRPr="007E4C48">
        <w:rPr>
          <w:b/>
          <w:bCs/>
        </w:rPr>
        <w:t xml:space="preserve">: </w:t>
      </w:r>
      <w:proofErr w:type="spellStart"/>
      <w:r w:rsidRPr="007E4C48">
        <w:rPr>
          <w:b/>
          <w:bCs/>
        </w:rPr>
        <w:t>gNB</w:t>
      </w:r>
      <w:proofErr w:type="spellEnd"/>
      <w:r w:rsidRPr="007E4C48">
        <w:rPr>
          <w:b/>
          <w:bCs/>
        </w:rPr>
        <w:t xml:space="preserve"> indicating priority for the SBFD configuration is supported</w:t>
      </w:r>
      <w:r>
        <w:rPr>
          <w:b/>
          <w:bCs/>
        </w:rPr>
        <w:t>.</w:t>
      </w:r>
    </w:p>
    <w:p w14:paraId="08C08345" w14:textId="77777777" w:rsidR="007A776F" w:rsidRPr="007E4C48" w:rsidRDefault="007A776F" w:rsidP="007A776F">
      <w:pPr>
        <w:suppressAutoHyphens w:val="0"/>
        <w:spacing w:after="0"/>
        <w:rPr>
          <w:b/>
          <w:bCs/>
        </w:rPr>
      </w:pPr>
      <w:r w:rsidRPr="007E4C48">
        <w:rPr>
          <w:b/>
          <w:bCs/>
        </w:rPr>
        <w:t>Proposal</w:t>
      </w:r>
      <w:r>
        <w:rPr>
          <w:b/>
          <w:bCs/>
        </w:rPr>
        <w:t xml:space="preserve"> 13</w:t>
      </w:r>
      <w:r w:rsidRPr="007E4C48">
        <w:rPr>
          <w:b/>
          <w:bCs/>
        </w:rPr>
        <w:t>: Dynamic configuration overriding semi-static configuration is supported</w:t>
      </w:r>
      <w:r>
        <w:rPr>
          <w:b/>
          <w:bCs/>
        </w:rPr>
        <w:t>.</w:t>
      </w:r>
    </w:p>
    <w:p w14:paraId="08C50F20" w14:textId="77777777" w:rsidR="001323C4" w:rsidRDefault="001323C4">
      <w:pPr>
        <w:rPr>
          <w:b/>
          <w:bCs/>
        </w:rPr>
      </w:pPr>
    </w:p>
    <w:p w14:paraId="0AE1FE64" w14:textId="77777777" w:rsidR="001323C4" w:rsidRDefault="00000000">
      <w:pPr>
        <w:pStyle w:val="Heading1"/>
        <w:ind w:left="432" w:hanging="432"/>
      </w:pPr>
      <w:bookmarkStart w:id="3" w:name="_Ref71620620"/>
      <w:bookmarkStart w:id="4" w:name="_Ref124671424"/>
      <w:bookmarkStart w:id="5" w:name="_Ref124589665"/>
      <w:bookmarkEnd w:id="3"/>
      <w:bookmarkEnd w:id="4"/>
      <w:bookmarkEnd w:id="5"/>
      <w:r>
        <w:rPr>
          <w:rFonts w:eastAsia="Wingdings" w:cs="Wingdings"/>
        </w:rPr>
        <w:t>References</w:t>
      </w:r>
    </w:p>
    <w:p w14:paraId="1AE90BE9" w14:textId="77777777" w:rsidR="001323C4" w:rsidRDefault="00000000">
      <w:pPr>
        <w:pStyle w:val="References"/>
        <w:numPr>
          <w:ilvl w:val="0"/>
          <w:numId w:val="1"/>
        </w:numPr>
      </w:pPr>
      <w:bookmarkStart w:id="6" w:name="_Ref1245896651"/>
      <w:bookmarkStart w:id="7" w:name="_Ref1246714241"/>
      <w:bookmarkStart w:id="8" w:name="_Ref716206201"/>
      <w:bookmarkStart w:id="9" w:name="OLE_LINK12"/>
      <w:bookmarkStart w:id="10" w:name="_Ref485833320"/>
      <w:bookmarkStart w:id="11" w:name="_Ref446582201"/>
      <w:bookmarkEnd w:id="2"/>
      <w:bookmarkEnd w:id="6"/>
      <w:bookmarkEnd w:id="7"/>
      <w:bookmarkEnd w:id="8"/>
      <w:r>
        <w:rPr>
          <w:rFonts w:eastAsia="Wingdings" w:cs="Wingdings"/>
          <w:lang w:val="en-GB" w:eastAsia="ko-KR"/>
        </w:rPr>
        <w:t>RP-</w:t>
      </w:r>
      <w:bookmarkEnd w:id="9"/>
      <w:r>
        <w:rPr>
          <w:rFonts w:eastAsia="Wingdings" w:cs="Wingdings"/>
          <w:lang w:val="en-GB" w:eastAsia="ko-KR"/>
        </w:rPr>
        <w:t>21</w:t>
      </w:r>
      <w:r>
        <w:rPr>
          <w:lang w:val="en-GB"/>
        </w:rPr>
        <w:t xml:space="preserve">3591, </w:t>
      </w:r>
      <w:bookmarkEnd w:id="10"/>
      <w:bookmarkEnd w:id="11"/>
      <w:r>
        <w:rPr>
          <w:lang w:val="en-GB"/>
        </w:rPr>
        <w:t>New SI: Study on evolution of NR duplex operation, RAN#94-e, Dec. 2021</w:t>
      </w:r>
    </w:p>
    <w:p w14:paraId="797AAB5A" w14:textId="77777777" w:rsidR="001323C4" w:rsidRDefault="00000000">
      <w:pPr>
        <w:pStyle w:val="TdocHeader2"/>
        <w:numPr>
          <w:ilvl w:val="0"/>
          <w:numId w:val="1"/>
        </w:numPr>
        <w:rPr>
          <w:rFonts w:ascii="Times New Roman" w:hAnsi="Times New Roman" w:cs="Times New Roman"/>
          <w:b w:val="0"/>
          <w:sz w:val="20"/>
          <w:szCs w:val="16"/>
          <w:lang w:val="en-GB"/>
        </w:rPr>
      </w:pPr>
      <w:r>
        <w:rPr>
          <w:rFonts w:ascii="Times New Roman" w:hAnsi="Times New Roman" w:cs="Times New Roman"/>
          <w:b w:val="0"/>
          <w:sz w:val="20"/>
          <w:szCs w:val="16"/>
          <w:lang w:val="en-GB"/>
        </w:rPr>
        <w:t>RAN1 Chairman’s Notes, 3GPP TSG RAN WG1 Meeting #109-e, May 2022</w:t>
      </w:r>
    </w:p>
    <w:p w14:paraId="720CA75C" w14:textId="77777777" w:rsidR="001323C4" w:rsidRDefault="00000000">
      <w:pPr>
        <w:pStyle w:val="TdocHeader2"/>
        <w:numPr>
          <w:ilvl w:val="0"/>
          <w:numId w:val="1"/>
        </w:numPr>
        <w:rPr>
          <w:rFonts w:ascii="Times New Roman" w:hAnsi="Times New Roman" w:cs="Times New Roman"/>
          <w:b w:val="0"/>
          <w:sz w:val="20"/>
          <w:szCs w:val="16"/>
          <w:lang w:val="en-GB"/>
        </w:rPr>
      </w:pPr>
      <w:r>
        <w:rPr>
          <w:rFonts w:ascii="Times New Roman" w:hAnsi="Times New Roman" w:cs="Times New Roman"/>
          <w:b w:val="0"/>
          <w:sz w:val="20"/>
          <w:szCs w:val="16"/>
          <w:lang w:val="en-GB"/>
        </w:rPr>
        <w:t>RAN1 Chairman’s Notes, 3GPP TSG RAN WG1 Meeting #110bis-e, October 2022</w:t>
      </w:r>
    </w:p>
    <w:p w14:paraId="6A7D6470" w14:textId="77777777" w:rsidR="001323C4" w:rsidRDefault="00000000">
      <w:pPr>
        <w:pStyle w:val="TdocHeader2"/>
        <w:numPr>
          <w:ilvl w:val="0"/>
          <w:numId w:val="1"/>
        </w:numPr>
        <w:rPr>
          <w:rFonts w:ascii="Times New Roman" w:hAnsi="Times New Roman" w:cs="Times New Roman"/>
          <w:b w:val="0"/>
          <w:sz w:val="20"/>
          <w:szCs w:val="16"/>
          <w:lang w:val="en-GB"/>
        </w:rPr>
      </w:pPr>
      <w:r>
        <w:rPr>
          <w:rFonts w:ascii="Times New Roman" w:hAnsi="Times New Roman" w:cs="Times New Roman"/>
          <w:b w:val="0"/>
          <w:sz w:val="20"/>
          <w:szCs w:val="16"/>
          <w:lang w:val="en-GB"/>
        </w:rPr>
        <w:t>RAN1 Chairman’s Notes, 3GPP TSG RAN WG1 Meeting #111, November 2022</w:t>
      </w:r>
    </w:p>
    <w:p w14:paraId="67830BCE" w14:textId="77777777" w:rsidR="001323C4" w:rsidRDefault="00000000">
      <w:pPr>
        <w:pStyle w:val="TdocHeader2"/>
        <w:numPr>
          <w:ilvl w:val="0"/>
          <w:numId w:val="1"/>
        </w:numPr>
        <w:rPr>
          <w:rFonts w:ascii="Times New Roman" w:hAnsi="Times New Roman" w:cs="Times New Roman"/>
          <w:b w:val="0"/>
          <w:sz w:val="20"/>
          <w:szCs w:val="16"/>
          <w:lang w:val="en-GB"/>
        </w:rPr>
      </w:pPr>
      <w:r>
        <w:rPr>
          <w:rFonts w:ascii="Times New Roman" w:hAnsi="Times New Roman" w:cs="Times New Roman"/>
          <w:b w:val="0"/>
          <w:sz w:val="20"/>
          <w:szCs w:val="16"/>
          <w:lang w:val="en-GB"/>
        </w:rPr>
        <w:t>RAN1 Chairman’s Notes, 3GPP TSG RAN WG1 Meeting #112, Feb.-March 2023</w:t>
      </w:r>
    </w:p>
    <w:p w14:paraId="2968C5FD" w14:textId="77777777" w:rsidR="001323C4" w:rsidRDefault="001323C4">
      <w:pPr>
        <w:pStyle w:val="References"/>
        <w:ind w:left="360"/>
        <w:rPr>
          <w:lang w:val="en-GB"/>
        </w:rPr>
      </w:pPr>
    </w:p>
    <w:sectPr w:rsidR="001323C4">
      <w:pgSz w:w="11906" w:h="16838"/>
      <w:pgMar w:top="1440" w:right="1152"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Calibri"/>
    <w:charset w:val="01"/>
    <w:family w:val="auto"/>
    <w:pitch w:val="variable"/>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1"/>
    <w:family w:val="auto"/>
    <w:pitch w:val="default"/>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Times New Roman">
    <w:panose1 w:val="00000000000000000000"/>
    <w:charset w:val="00"/>
    <w:family w:val="roman"/>
    <w:notTrueType/>
    <w:pitch w:val="default"/>
  </w:font>
  <w:font w:name="Malgun Gothic;맑은 고딕">
    <w:panose1 w:val="00000000000000000000"/>
    <w:charset w:val="80"/>
    <w:family w:val="roman"/>
    <w:notTrueType/>
    <w:pitch w:val="default"/>
  </w:font>
  <w:font w:name="Liberation Sans">
    <w:altName w:val="Arial"/>
    <w:charset w:val="01"/>
    <w:family w:val="swiss"/>
    <w:pitch w:val="variable"/>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黑体">
    <w:panose1 w:val="00000000000000000000"/>
    <w:charset w:val="80"/>
    <w:family w:val="roman"/>
    <w:notTrueType/>
    <w:pitch w:val="default"/>
  </w:font>
  <w:font w:name="SimSun;宋体">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86A50"/>
    <w:multiLevelType w:val="multilevel"/>
    <w:tmpl w:val="8042FD1A"/>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ABE4CB4"/>
    <w:multiLevelType w:val="multilevel"/>
    <w:tmpl w:val="D0CCA72E"/>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DEE27A9"/>
    <w:multiLevelType w:val="multilevel"/>
    <w:tmpl w:val="8076C390"/>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3" w15:restartNumberingAfterBreak="0">
    <w:nsid w:val="13211E07"/>
    <w:multiLevelType w:val="hybridMultilevel"/>
    <w:tmpl w:val="5554D4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CCD0A72"/>
    <w:multiLevelType w:val="multilevel"/>
    <w:tmpl w:val="CC8E1D24"/>
    <w:lvl w:ilvl="0">
      <w:start w:val="1"/>
      <w:numFmt w:val="bullet"/>
      <w:lvlText w:val=""/>
      <w:lvlJc w:val="left"/>
      <w:pPr>
        <w:tabs>
          <w:tab w:val="num" w:pos="810"/>
        </w:tabs>
        <w:ind w:left="810" w:hanging="360"/>
      </w:pPr>
      <w:rPr>
        <w:rFonts w:ascii="Symbol" w:hAnsi="Symbol" w:cs="Symbol" w:hint="default"/>
      </w:rPr>
    </w:lvl>
    <w:lvl w:ilvl="1">
      <w:start w:val="1"/>
      <w:numFmt w:val="bullet"/>
      <w:lvlText w:val="◦"/>
      <w:lvlJc w:val="left"/>
      <w:pPr>
        <w:tabs>
          <w:tab w:val="num" w:pos="1170"/>
        </w:tabs>
        <w:ind w:left="1170" w:hanging="360"/>
      </w:pPr>
      <w:rPr>
        <w:rFonts w:ascii="OpenSymbol" w:hAnsi="OpenSymbol" w:cs="OpenSymbol" w:hint="default"/>
      </w:rPr>
    </w:lvl>
    <w:lvl w:ilvl="2">
      <w:start w:val="1"/>
      <w:numFmt w:val="bullet"/>
      <w:lvlText w:val="▪"/>
      <w:lvlJc w:val="left"/>
      <w:pPr>
        <w:tabs>
          <w:tab w:val="num" w:pos="1530"/>
        </w:tabs>
        <w:ind w:left="1530" w:hanging="360"/>
      </w:pPr>
      <w:rPr>
        <w:rFonts w:ascii="OpenSymbol" w:hAnsi="OpenSymbol" w:cs="OpenSymbol" w:hint="default"/>
      </w:rPr>
    </w:lvl>
    <w:lvl w:ilvl="3">
      <w:start w:val="1"/>
      <w:numFmt w:val="bullet"/>
      <w:lvlText w:val=""/>
      <w:lvlJc w:val="left"/>
      <w:pPr>
        <w:tabs>
          <w:tab w:val="num" w:pos="1890"/>
        </w:tabs>
        <w:ind w:left="1890" w:hanging="360"/>
      </w:pPr>
      <w:rPr>
        <w:rFonts w:ascii="Symbol" w:hAnsi="Symbol" w:cs="Symbol" w:hint="default"/>
      </w:rPr>
    </w:lvl>
    <w:lvl w:ilvl="4">
      <w:start w:val="1"/>
      <w:numFmt w:val="bullet"/>
      <w:lvlText w:val="◦"/>
      <w:lvlJc w:val="left"/>
      <w:pPr>
        <w:tabs>
          <w:tab w:val="num" w:pos="2250"/>
        </w:tabs>
        <w:ind w:left="2250" w:hanging="360"/>
      </w:pPr>
      <w:rPr>
        <w:rFonts w:ascii="OpenSymbol" w:hAnsi="OpenSymbol" w:cs="OpenSymbol" w:hint="default"/>
      </w:rPr>
    </w:lvl>
    <w:lvl w:ilvl="5">
      <w:start w:val="1"/>
      <w:numFmt w:val="bullet"/>
      <w:lvlText w:val="▪"/>
      <w:lvlJc w:val="left"/>
      <w:pPr>
        <w:tabs>
          <w:tab w:val="num" w:pos="2610"/>
        </w:tabs>
        <w:ind w:left="2610" w:hanging="360"/>
      </w:pPr>
      <w:rPr>
        <w:rFonts w:ascii="OpenSymbol" w:hAnsi="OpenSymbol" w:cs="OpenSymbol" w:hint="default"/>
      </w:rPr>
    </w:lvl>
    <w:lvl w:ilvl="6">
      <w:start w:val="1"/>
      <w:numFmt w:val="bullet"/>
      <w:lvlText w:val=""/>
      <w:lvlJc w:val="left"/>
      <w:pPr>
        <w:tabs>
          <w:tab w:val="num" w:pos="2970"/>
        </w:tabs>
        <w:ind w:left="2970" w:hanging="360"/>
      </w:pPr>
      <w:rPr>
        <w:rFonts w:ascii="Symbol" w:hAnsi="Symbol" w:cs="Symbol" w:hint="default"/>
      </w:rPr>
    </w:lvl>
    <w:lvl w:ilvl="7">
      <w:start w:val="1"/>
      <w:numFmt w:val="bullet"/>
      <w:lvlText w:val="◦"/>
      <w:lvlJc w:val="left"/>
      <w:pPr>
        <w:tabs>
          <w:tab w:val="num" w:pos="3330"/>
        </w:tabs>
        <w:ind w:left="3330" w:hanging="360"/>
      </w:pPr>
      <w:rPr>
        <w:rFonts w:ascii="OpenSymbol" w:hAnsi="OpenSymbol" w:cs="OpenSymbol" w:hint="default"/>
      </w:rPr>
    </w:lvl>
    <w:lvl w:ilvl="8">
      <w:start w:val="1"/>
      <w:numFmt w:val="bullet"/>
      <w:lvlText w:val="▪"/>
      <w:lvlJc w:val="left"/>
      <w:pPr>
        <w:tabs>
          <w:tab w:val="num" w:pos="3690"/>
        </w:tabs>
        <w:ind w:left="3690" w:hanging="360"/>
      </w:pPr>
      <w:rPr>
        <w:rFonts w:ascii="OpenSymbol" w:hAnsi="OpenSymbol" w:cs="OpenSymbol" w:hint="default"/>
      </w:rPr>
    </w:lvl>
  </w:abstractNum>
  <w:abstractNum w:abstractNumId="5" w15:restartNumberingAfterBreak="0">
    <w:nsid w:val="2071457A"/>
    <w:multiLevelType w:val="hybridMultilevel"/>
    <w:tmpl w:val="400A12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D1D5E08"/>
    <w:multiLevelType w:val="multilevel"/>
    <w:tmpl w:val="40EAD8D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0F1512D"/>
    <w:multiLevelType w:val="multilevel"/>
    <w:tmpl w:val="EAF2E228"/>
    <w:lvl w:ilvl="0">
      <w:start w:val="1"/>
      <w:numFmt w:val="decimal"/>
      <w:lvlText w:val="%1."/>
      <w:lvlJc w:val="left"/>
      <w:pPr>
        <w:tabs>
          <w:tab w:val="num" w:pos="360"/>
        </w:tabs>
        <w:ind w:left="360" w:hanging="360"/>
      </w:pPr>
      <w:rPr>
        <w:b/>
        <w:bCs/>
        <w:sz w:val="28"/>
        <w:szCs w:val="28"/>
      </w:rPr>
    </w:lvl>
    <w:lvl w:ilvl="1">
      <w:start w:val="1"/>
      <w:numFmt w:val="decimal"/>
      <w:lvlText w:val="%2."/>
      <w:lvlJc w:val="left"/>
      <w:pPr>
        <w:tabs>
          <w:tab w:val="num" w:pos="1080"/>
        </w:tabs>
        <w:ind w:left="1080" w:hanging="360"/>
      </w:pPr>
      <w:rPr>
        <w:b/>
        <w:bCs/>
        <w:sz w:val="28"/>
        <w:szCs w:val="28"/>
      </w:rPr>
    </w:lvl>
    <w:lvl w:ilvl="2">
      <w:start w:val="1"/>
      <w:numFmt w:val="decimal"/>
      <w:lvlText w:val="%3."/>
      <w:lvlJc w:val="left"/>
      <w:pPr>
        <w:tabs>
          <w:tab w:val="num" w:pos="1440"/>
        </w:tabs>
        <w:ind w:left="1440" w:hanging="360"/>
      </w:pPr>
      <w:rPr>
        <w:b/>
        <w:bCs/>
        <w:sz w:val="28"/>
        <w:szCs w:val="28"/>
      </w:rPr>
    </w:lvl>
    <w:lvl w:ilvl="3">
      <w:start w:val="1"/>
      <w:numFmt w:val="decimal"/>
      <w:lvlText w:val="%4."/>
      <w:lvlJc w:val="left"/>
      <w:pPr>
        <w:tabs>
          <w:tab w:val="num" w:pos="1800"/>
        </w:tabs>
        <w:ind w:left="1800" w:hanging="360"/>
      </w:pPr>
      <w:rPr>
        <w:b/>
        <w:bCs/>
        <w:sz w:val="28"/>
        <w:szCs w:val="28"/>
      </w:rPr>
    </w:lvl>
    <w:lvl w:ilvl="4">
      <w:start w:val="1"/>
      <w:numFmt w:val="decimal"/>
      <w:lvlText w:val="%5."/>
      <w:lvlJc w:val="left"/>
      <w:pPr>
        <w:tabs>
          <w:tab w:val="num" w:pos="2160"/>
        </w:tabs>
        <w:ind w:left="2160" w:hanging="360"/>
      </w:pPr>
      <w:rPr>
        <w:b/>
        <w:bCs/>
        <w:sz w:val="28"/>
        <w:szCs w:val="28"/>
      </w:rPr>
    </w:lvl>
    <w:lvl w:ilvl="5">
      <w:start w:val="1"/>
      <w:numFmt w:val="decimal"/>
      <w:lvlText w:val="%6."/>
      <w:lvlJc w:val="left"/>
      <w:pPr>
        <w:tabs>
          <w:tab w:val="num" w:pos="2520"/>
        </w:tabs>
        <w:ind w:left="2520" w:hanging="360"/>
      </w:pPr>
      <w:rPr>
        <w:b/>
        <w:bCs/>
        <w:sz w:val="28"/>
        <w:szCs w:val="28"/>
      </w:rPr>
    </w:lvl>
    <w:lvl w:ilvl="6">
      <w:start w:val="1"/>
      <w:numFmt w:val="decimal"/>
      <w:lvlText w:val="%7."/>
      <w:lvlJc w:val="left"/>
      <w:pPr>
        <w:tabs>
          <w:tab w:val="num" w:pos="2880"/>
        </w:tabs>
        <w:ind w:left="2880" w:hanging="360"/>
      </w:pPr>
      <w:rPr>
        <w:b/>
        <w:bCs/>
        <w:sz w:val="28"/>
        <w:szCs w:val="28"/>
      </w:rPr>
    </w:lvl>
    <w:lvl w:ilvl="7">
      <w:start w:val="1"/>
      <w:numFmt w:val="decimal"/>
      <w:lvlText w:val="%8."/>
      <w:lvlJc w:val="left"/>
      <w:pPr>
        <w:tabs>
          <w:tab w:val="num" w:pos="3240"/>
        </w:tabs>
        <w:ind w:left="3240" w:hanging="360"/>
      </w:pPr>
      <w:rPr>
        <w:b/>
        <w:bCs/>
        <w:sz w:val="28"/>
        <w:szCs w:val="28"/>
      </w:rPr>
    </w:lvl>
    <w:lvl w:ilvl="8">
      <w:start w:val="1"/>
      <w:numFmt w:val="decimal"/>
      <w:lvlText w:val="%9."/>
      <w:lvlJc w:val="left"/>
      <w:pPr>
        <w:tabs>
          <w:tab w:val="num" w:pos="3600"/>
        </w:tabs>
        <w:ind w:left="3600" w:hanging="360"/>
      </w:pPr>
      <w:rPr>
        <w:b/>
        <w:bCs/>
        <w:sz w:val="28"/>
        <w:szCs w:val="28"/>
      </w:rPr>
    </w:lvl>
  </w:abstractNum>
  <w:abstractNum w:abstractNumId="8" w15:restartNumberingAfterBreak="0">
    <w:nsid w:val="329D641D"/>
    <w:multiLevelType w:val="multilevel"/>
    <w:tmpl w:val="CD3CEF98"/>
    <w:lvl w:ilvl="0">
      <w:start w:val="3"/>
      <w:numFmt w:val="decimal"/>
      <w:lvlText w:val="%1."/>
      <w:lvlJc w:val="left"/>
      <w:pPr>
        <w:tabs>
          <w:tab w:val="num" w:pos="360"/>
        </w:tabs>
        <w:ind w:left="360" w:hanging="360"/>
      </w:pPr>
      <w:rPr>
        <w:b/>
        <w:bCs/>
        <w:sz w:val="28"/>
        <w:szCs w:val="28"/>
      </w:rPr>
    </w:lvl>
    <w:lvl w:ilvl="1">
      <w:start w:val="1"/>
      <w:numFmt w:val="decimal"/>
      <w:lvlText w:val="%2."/>
      <w:lvlJc w:val="left"/>
      <w:pPr>
        <w:tabs>
          <w:tab w:val="num" w:pos="720"/>
        </w:tabs>
        <w:ind w:left="720" w:hanging="360"/>
      </w:pPr>
      <w:rPr>
        <w:b/>
        <w:bCs/>
        <w:sz w:val="28"/>
        <w:szCs w:val="28"/>
      </w:rPr>
    </w:lvl>
    <w:lvl w:ilvl="2">
      <w:start w:val="1"/>
      <w:numFmt w:val="decimal"/>
      <w:lvlText w:val="%3."/>
      <w:lvlJc w:val="left"/>
      <w:pPr>
        <w:tabs>
          <w:tab w:val="num" w:pos="1080"/>
        </w:tabs>
        <w:ind w:left="1080" w:hanging="360"/>
      </w:pPr>
      <w:rPr>
        <w:b/>
        <w:bCs/>
        <w:sz w:val="28"/>
        <w:szCs w:val="28"/>
      </w:rPr>
    </w:lvl>
    <w:lvl w:ilvl="3">
      <w:start w:val="1"/>
      <w:numFmt w:val="decimal"/>
      <w:lvlText w:val="%4."/>
      <w:lvlJc w:val="left"/>
      <w:pPr>
        <w:tabs>
          <w:tab w:val="num" w:pos="1440"/>
        </w:tabs>
        <w:ind w:left="1440" w:hanging="360"/>
      </w:pPr>
      <w:rPr>
        <w:b/>
        <w:bCs/>
        <w:sz w:val="28"/>
        <w:szCs w:val="28"/>
      </w:rPr>
    </w:lvl>
    <w:lvl w:ilvl="4">
      <w:start w:val="1"/>
      <w:numFmt w:val="decimal"/>
      <w:lvlText w:val="%5."/>
      <w:lvlJc w:val="left"/>
      <w:pPr>
        <w:tabs>
          <w:tab w:val="num" w:pos="1800"/>
        </w:tabs>
        <w:ind w:left="1800" w:hanging="360"/>
      </w:pPr>
      <w:rPr>
        <w:b/>
        <w:bCs/>
        <w:sz w:val="28"/>
        <w:szCs w:val="28"/>
      </w:rPr>
    </w:lvl>
    <w:lvl w:ilvl="5">
      <w:start w:val="1"/>
      <w:numFmt w:val="decimal"/>
      <w:lvlText w:val="%6."/>
      <w:lvlJc w:val="left"/>
      <w:pPr>
        <w:tabs>
          <w:tab w:val="num" w:pos="2160"/>
        </w:tabs>
        <w:ind w:left="2160" w:hanging="360"/>
      </w:pPr>
      <w:rPr>
        <w:b/>
        <w:bCs/>
        <w:sz w:val="28"/>
        <w:szCs w:val="28"/>
      </w:rPr>
    </w:lvl>
    <w:lvl w:ilvl="6">
      <w:start w:val="1"/>
      <w:numFmt w:val="decimal"/>
      <w:lvlText w:val="%7."/>
      <w:lvlJc w:val="left"/>
      <w:pPr>
        <w:tabs>
          <w:tab w:val="num" w:pos="2520"/>
        </w:tabs>
        <w:ind w:left="2520" w:hanging="360"/>
      </w:pPr>
      <w:rPr>
        <w:b/>
        <w:bCs/>
        <w:sz w:val="28"/>
        <w:szCs w:val="28"/>
      </w:rPr>
    </w:lvl>
    <w:lvl w:ilvl="7">
      <w:start w:val="1"/>
      <w:numFmt w:val="decimal"/>
      <w:lvlText w:val="%8."/>
      <w:lvlJc w:val="left"/>
      <w:pPr>
        <w:tabs>
          <w:tab w:val="num" w:pos="2880"/>
        </w:tabs>
        <w:ind w:left="2880" w:hanging="360"/>
      </w:pPr>
      <w:rPr>
        <w:b/>
        <w:bCs/>
        <w:sz w:val="28"/>
        <w:szCs w:val="28"/>
      </w:rPr>
    </w:lvl>
    <w:lvl w:ilvl="8">
      <w:start w:val="1"/>
      <w:numFmt w:val="decimal"/>
      <w:lvlText w:val="%9."/>
      <w:lvlJc w:val="left"/>
      <w:pPr>
        <w:tabs>
          <w:tab w:val="num" w:pos="3240"/>
        </w:tabs>
        <w:ind w:left="3240" w:hanging="360"/>
      </w:pPr>
      <w:rPr>
        <w:b/>
        <w:bCs/>
        <w:sz w:val="28"/>
        <w:szCs w:val="28"/>
      </w:rPr>
    </w:lvl>
  </w:abstractNum>
  <w:abstractNum w:abstractNumId="9" w15:restartNumberingAfterBreak="0">
    <w:nsid w:val="3BD52A7B"/>
    <w:multiLevelType w:val="multilevel"/>
    <w:tmpl w:val="D8FA69B8"/>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15:restartNumberingAfterBreak="0">
    <w:nsid w:val="440D77DB"/>
    <w:multiLevelType w:val="multilevel"/>
    <w:tmpl w:val="D854A460"/>
    <w:lvl w:ilvl="0">
      <w:start w:val="5"/>
      <w:numFmt w:val="decimal"/>
      <w:lvlText w:val="%1."/>
      <w:lvlJc w:val="left"/>
      <w:pPr>
        <w:tabs>
          <w:tab w:val="num" w:pos="360"/>
        </w:tabs>
        <w:ind w:left="360" w:hanging="360"/>
      </w:pPr>
      <w:rPr>
        <w:b/>
        <w:bCs/>
        <w:sz w:val="28"/>
        <w:szCs w:val="28"/>
      </w:rPr>
    </w:lvl>
    <w:lvl w:ilvl="1">
      <w:start w:val="1"/>
      <w:numFmt w:val="decimal"/>
      <w:lvlText w:val="%2."/>
      <w:lvlJc w:val="left"/>
      <w:pPr>
        <w:tabs>
          <w:tab w:val="num" w:pos="720"/>
        </w:tabs>
        <w:ind w:left="720" w:hanging="360"/>
      </w:pPr>
      <w:rPr>
        <w:b/>
        <w:bCs/>
        <w:sz w:val="28"/>
        <w:szCs w:val="28"/>
      </w:rPr>
    </w:lvl>
    <w:lvl w:ilvl="2">
      <w:start w:val="1"/>
      <w:numFmt w:val="decimal"/>
      <w:lvlText w:val="%3."/>
      <w:lvlJc w:val="left"/>
      <w:pPr>
        <w:tabs>
          <w:tab w:val="num" w:pos="1080"/>
        </w:tabs>
        <w:ind w:left="1080" w:hanging="360"/>
      </w:pPr>
      <w:rPr>
        <w:b/>
        <w:bCs/>
        <w:sz w:val="28"/>
        <w:szCs w:val="28"/>
      </w:rPr>
    </w:lvl>
    <w:lvl w:ilvl="3">
      <w:start w:val="1"/>
      <w:numFmt w:val="decimal"/>
      <w:lvlText w:val="%4."/>
      <w:lvlJc w:val="left"/>
      <w:pPr>
        <w:tabs>
          <w:tab w:val="num" w:pos="1440"/>
        </w:tabs>
        <w:ind w:left="1440" w:hanging="360"/>
      </w:pPr>
      <w:rPr>
        <w:b/>
        <w:bCs/>
        <w:sz w:val="28"/>
        <w:szCs w:val="28"/>
      </w:rPr>
    </w:lvl>
    <w:lvl w:ilvl="4">
      <w:start w:val="1"/>
      <w:numFmt w:val="decimal"/>
      <w:lvlText w:val="%5."/>
      <w:lvlJc w:val="left"/>
      <w:pPr>
        <w:tabs>
          <w:tab w:val="num" w:pos="1800"/>
        </w:tabs>
        <w:ind w:left="1800" w:hanging="360"/>
      </w:pPr>
      <w:rPr>
        <w:b/>
        <w:bCs/>
        <w:sz w:val="28"/>
        <w:szCs w:val="28"/>
      </w:rPr>
    </w:lvl>
    <w:lvl w:ilvl="5">
      <w:start w:val="1"/>
      <w:numFmt w:val="decimal"/>
      <w:lvlText w:val="%6."/>
      <w:lvlJc w:val="left"/>
      <w:pPr>
        <w:tabs>
          <w:tab w:val="num" w:pos="2160"/>
        </w:tabs>
        <w:ind w:left="2160" w:hanging="360"/>
      </w:pPr>
      <w:rPr>
        <w:b/>
        <w:bCs/>
        <w:sz w:val="28"/>
        <w:szCs w:val="28"/>
      </w:rPr>
    </w:lvl>
    <w:lvl w:ilvl="6">
      <w:start w:val="1"/>
      <w:numFmt w:val="decimal"/>
      <w:lvlText w:val="%7."/>
      <w:lvlJc w:val="left"/>
      <w:pPr>
        <w:tabs>
          <w:tab w:val="num" w:pos="2520"/>
        </w:tabs>
        <w:ind w:left="2520" w:hanging="360"/>
      </w:pPr>
      <w:rPr>
        <w:b/>
        <w:bCs/>
        <w:sz w:val="28"/>
        <w:szCs w:val="28"/>
      </w:rPr>
    </w:lvl>
    <w:lvl w:ilvl="7">
      <w:start w:val="1"/>
      <w:numFmt w:val="decimal"/>
      <w:lvlText w:val="%8."/>
      <w:lvlJc w:val="left"/>
      <w:pPr>
        <w:tabs>
          <w:tab w:val="num" w:pos="2880"/>
        </w:tabs>
        <w:ind w:left="2880" w:hanging="360"/>
      </w:pPr>
      <w:rPr>
        <w:b/>
        <w:bCs/>
        <w:sz w:val="28"/>
        <w:szCs w:val="28"/>
      </w:rPr>
    </w:lvl>
    <w:lvl w:ilvl="8">
      <w:start w:val="1"/>
      <w:numFmt w:val="decimal"/>
      <w:lvlText w:val="%9."/>
      <w:lvlJc w:val="left"/>
      <w:pPr>
        <w:tabs>
          <w:tab w:val="num" w:pos="3240"/>
        </w:tabs>
        <w:ind w:left="3240" w:hanging="360"/>
      </w:pPr>
      <w:rPr>
        <w:b/>
        <w:bCs/>
        <w:sz w:val="28"/>
        <w:szCs w:val="28"/>
      </w:rPr>
    </w:lvl>
  </w:abstractNum>
  <w:abstractNum w:abstractNumId="11" w15:restartNumberingAfterBreak="0">
    <w:nsid w:val="51FB4A8B"/>
    <w:multiLevelType w:val="multilevel"/>
    <w:tmpl w:val="ECCE2EC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 w15:restartNumberingAfterBreak="0">
    <w:nsid w:val="5FF9225E"/>
    <w:multiLevelType w:val="multilevel"/>
    <w:tmpl w:val="63B23E46"/>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3" w15:restartNumberingAfterBreak="0">
    <w:nsid w:val="62397A90"/>
    <w:multiLevelType w:val="multilevel"/>
    <w:tmpl w:val="5BF2AD3E"/>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4" w15:restartNumberingAfterBreak="0">
    <w:nsid w:val="74E417A7"/>
    <w:multiLevelType w:val="multilevel"/>
    <w:tmpl w:val="2DB6E66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5" w15:restartNumberingAfterBreak="0">
    <w:nsid w:val="77CD55FF"/>
    <w:multiLevelType w:val="multilevel"/>
    <w:tmpl w:val="C4126ED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302736896">
    <w:abstractNumId w:val="6"/>
  </w:num>
  <w:num w:numId="2" w16cid:durableId="2089688370">
    <w:abstractNumId w:val="7"/>
  </w:num>
  <w:num w:numId="3" w16cid:durableId="2092896481">
    <w:abstractNumId w:val="8"/>
  </w:num>
  <w:num w:numId="4" w16cid:durableId="1868398443">
    <w:abstractNumId w:val="11"/>
  </w:num>
  <w:num w:numId="5" w16cid:durableId="217596867">
    <w:abstractNumId w:val="4"/>
  </w:num>
  <w:num w:numId="6" w16cid:durableId="1981693935">
    <w:abstractNumId w:val="10"/>
  </w:num>
  <w:num w:numId="7" w16cid:durableId="1487478661">
    <w:abstractNumId w:val="1"/>
  </w:num>
  <w:num w:numId="8" w16cid:durableId="42215298">
    <w:abstractNumId w:val="0"/>
  </w:num>
  <w:num w:numId="9" w16cid:durableId="849609274">
    <w:abstractNumId w:val="12"/>
  </w:num>
  <w:num w:numId="10" w16cid:durableId="1362973492">
    <w:abstractNumId w:val="2"/>
  </w:num>
  <w:num w:numId="11" w16cid:durableId="135689762">
    <w:abstractNumId w:val="13"/>
  </w:num>
  <w:num w:numId="12" w16cid:durableId="1330447877">
    <w:abstractNumId w:val="14"/>
  </w:num>
  <w:num w:numId="13" w16cid:durableId="706221139">
    <w:abstractNumId w:val="9"/>
  </w:num>
  <w:num w:numId="14" w16cid:durableId="1987273524">
    <w:abstractNumId w:val="15"/>
  </w:num>
  <w:num w:numId="15" w16cid:durableId="443235258">
    <w:abstractNumId w:val="5"/>
  </w:num>
  <w:num w:numId="16" w16cid:durableId="15052432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1152"/>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1323C4"/>
    <w:rsid w:val="00030964"/>
    <w:rsid w:val="00110710"/>
    <w:rsid w:val="001323C4"/>
    <w:rsid w:val="00273D87"/>
    <w:rsid w:val="002F7AAA"/>
    <w:rsid w:val="0032289A"/>
    <w:rsid w:val="003279F7"/>
    <w:rsid w:val="00447417"/>
    <w:rsid w:val="00470481"/>
    <w:rsid w:val="00471ACA"/>
    <w:rsid w:val="00494056"/>
    <w:rsid w:val="004D0518"/>
    <w:rsid w:val="004F6A49"/>
    <w:rsid w:val="00500DC0"/>
    <w:rsid w:val="00587E53"/>
    <w:rsid w:val="006F61E4"/>
    <w:rsid w:val="00741693"/>
    <w:rsid w:val="00763317"/>
    <w:rsid w:val="007913D6"/>
    <w:rsid w:val="007A776F"/>
    <w:rsid w:val="007E4C48"/>
    <w:rsid w:val="00853CDD"/>
    <w:rsid w:val="008576B2"/>
    <w:rsid w:val="00882E11"/>
    <w:rsid w:val="0089394E"/>
    <w:rsid w:val="008E11E5"/>
    <w:rsid w:val="00954E35"/>
    <w:rsid w:val="009D650B"/>
    <w:rsid w:val="009E131E"/>
    <w:rsid w:val="00A64F40"/>
    <w:rsid w:val="00A845EE"/>
    <w:rsid w:val="00AB4419"/>
    <w:rsid w:val="00AE3A30"/>
    <w:rsid w:val="00AE7E1A"/>
    <w:rsid w:val="00B54619"/>
    <w:rsid w:val="00BC5957"/>
    <w:rsid w:val="00BE00C0"/>
    <w:rsid w:val="00BE7248"/>
    <w:rsid w:val="00C16DFC"/>
    <w:rsid w:val="00C42F2D"/>
    <w:rsid w:val="00C70E96"/>
    <w:rsid w:val="00C94E8E"/>
    <w:rsid w:val="00D46E27"/>
    <w:rsid w:val="00DB73AC"/>
    <w:rsid w:val="00E051B2"/>
    <w:rsid w:val="00EA3302"/>
    <w:rsid w:val="00FB76FD"/>
    <w:rsid w:val="00FC34E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A8024"/>
  <w15:docId w15:val="{891FD4CA-E4C1-4BFE-8D83-4140B12D9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napToGrid w:val="0"/>
      <w:spacing w:after="120"/>
      <w:jc w:val="both"/>
    </w:pPr>
    <w:rPr>
      <w:rFonts w:eastAsia="SimSun"/>
      <w:sz w:val="22"/>
      <w:szCs w:val="22"/>
      <w:lang w:eastAsia="zh-CN"/>
    </w:rPr>
  </w:style>
  <w:style w:type="paragraph" w:styleId="Heading1">
    <w:name w:val="heading 1"/>
    <w:basedOn w:val="Normal"/>
    <w:next w:val="Normal"/>
    <w:qFormat/>
    <w:pPr>
      <w:keepNext/>
      <w:spacing w:before="120"/>
      <w:outlineLvl w:val="0"/>
    </w:pPr>
    <w:rPr>
      <w:b/>
      <w:bCs/>
      <w:sz w:val="28"/>
      <w:szCs w:val="28"/>
    </w:rPr>
  </w:style>
  <w:style w:type="paragraph" w:styleId="Heading2">
    <w:name w:val="heading 2"/>
    <w:basedOn w:val="Normal"/>
    <w:next w:val="Normal"/>
    <w:qFormat/>
    <w:pPr>
      <w:keepNext/>
      <w:spacing w:before="120"/>
      <w:outlineLvl w:val="1"/>
    </w:pPr>
    <w:rPr>
      <w:b/>
      <w:bCs/>
      <w:sz w:val="24"/>
    </w:rPr>
  </w:style>
  <w:style w:type="paragraph" w:styleId="Heading3">
    <w:name w:val="heading 3"/>
    <w:basedOn w:val="Normal"/>
    <w:next w:val="Normal"/>
    <w:qFormat/>
    <w:pPr>
      <w:keepNext/>
      <w:spacing w:before="120"/>
      <w:outlineLvl w:val="2"/>
    </w:pPr>
    <w:rPr>
      <w:b/>
    </w:rPr>
  </w:style>
  <w:style w:type="paragraph" w:styleId="Heading4">
    <w:name w:val="heading 4"/>
    <w:basedOn w:val="Normal"/>
    <w:next w:val="Normal"/>
    <w:qFormat/>
    <w:pPr>
      <w:keepNext/>
      <w:spacing w:before="120"/>
      <w:ind w:left="720" w:hanging="720"/>
      <w:outlineLvl w:val="3"/>
    </w:pPr>
    <w:rPr>
      <w:b/>
      <w:bCs/>
      <w:szCs w:val="28"/>
    </w:rPr>
  </w:style>
  <w:style w:type="paragraph" w:styleId="Heading5">
    <w:name w:val="heading 5"/>
    <w:basedOn w:val="Normal"/>
    <w:next w:val="Normal"/>
    <w:qFormat/>
    <w:pPr>
      <w:keepNext/>
      <w:spacing w:before="120"/>
      <w:ind w:left="720" w:hanging="720"/>
      <w:outlineLvl w:val="4"/>
    </w:pPr>
    <w:rPr>
      <w:b/>
      <w:bCs/>
      <w:i/>
      <w:iCs/>
      <w:szCs w:val="26"/>
    </w:rPr>
  </w:style>
  <w:style w:type="paragraph" w:styleId="Heading6">
    <w:name w:val="heading 6"/>
    <w:basedOn w:val="Normal"/>
    <w:next w:val="Normal"/>
    <w:qFormat/>
    <w:pPr>
      <w:spacing w:before="240" w:after="60"/>
      <w:outlineLvl w:val="5"/>
    </w:pPr>
    <w:rPr>
      <w:b/>
      <w:bCs/>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Pr>
      <w:i w:val="0"/>
      <w:lang w:val="en-US"/>
    </w:rPr>
  </w:style>
  <w:style w:type="character" w:customStyle="1" w:styleId="WW8Num1z1">
    <w:name w:val="WW8Num1z1"/>
    <w:qFormat/>
    <w:rPr>
      <w:rFonts w:ascii="Times New Roman" w:hAnsi="Times New Roman" w:cs="Times New Roman"/>
      <w:b/>
      <w:i w:val="0"/>
      <w:sz w:val="24"/>
    </w:rPr>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3z0">
    <w:name w:val="WW8Num3z0"/>
    <w:qFormat/>
    <w:rPr>
      <w:rFonts w:ascii="Courier New" w:eastAsia="Malgun Gothic" w:hAnsi="Courier New" w:cs="Courier New"/>
      <w:lang w:eastAsia="ko-KR"/>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customStyle="1" w:styleId="WW8Num4z0">
    <w:name w:val="WW8Num4z0"/>
    <w:qFormat/>
    <w:rPr>
      <w:rFonts w:ascii="Courier New" w:eastAsia="Malgun Gothic" w:hAnsi="Courier New" w:cs="Courier New"/>
      <w:lang w:eastAsia="ko-KR"/>
    </w:rPr>
  </w:style>
  <w:style w:type="character" w:customStyle="1" w:styleId="WW8Num4z2">
    <w:name w:val="WW8Num4z2"/>
    <w:qFormat/>
    <w:rPr>
      <w:rFonts w:ascii="Wingdings" w:hAnsi="Wingdings" w:cs="Wingdings"/>
    </w:rPr>
  </w:style>
  <w:style w:type="character" w:customStyle="1" w:styleId="WW8Num4z3">
    <w:name w:val="WW8Num4z3"/>
    <w:qFormat/>
    <w:rPr>
      <w:rFonts w:ascii="Symbol" w:hAnsi="Symbol" w:cs="Symbol"/>
    </w:rPr>
  </w:style>
  <w:style w:type="character" w:customStyle="1" w:styleId="WW8Num5z0">
    <w:name w:val="WW8Num5z0"/>
    <w:qFormat/>
    <w:rPr>
      <w:rFonts w:ascii="Symbol" w:eastAsia="Malgun Gothic" w:hAnsi="Symbol" w:cs="Symbol"/>
      <w:lang w:eastAsia="ko-KR"/>
    </w:rPr>
  </w:style>
  <w:style w:type="character" w:customStyle="1" w:styleId="WW8Num5z1">
    <w:name w:val="WW8Num5z1"/>
    <w:qFormat/>
    <w:rPr>
      <w:rFonts w:ascii="Courier New" w:eastAsia="Malgun Gothic" w:hAnsi="Courier New" w:cs="Courier New"/>
      <w:sz w:val="24"/>
      <w:szCs w:val="24"/>
      <w:lang w:eastAsia="en-US"/>
    </w:rPr>
  </w:style>
  <w:style w:type="character" w:customStyle="1" w:styleId="WW8Num5z2">
    <w:name w:val="WW8Num5z2"/>
    <w:qFormat/>
    <w:rPr>
      <w:rFonts w:ascii="Wingdings" w:hAnsi="Wingdings" w:cs="Wingdings"/>
    </w:rPr>
  </w:style>
  <w:style w:type="character" w:customStyle="1" w:styleId="WW8Num6z0">
    <w:name w:val="WW8Num6z0"/>
    <w:qFormat/>
    <w:rPr>
      <w:rFonts w:ascii="Times New Roman" w:eastAsia="Malgun Gothic" w:hAnsi="Times New Roman" w:cs="Times New Roman"/>
      <w:lang w:eastAsia="ko-KR"/>
    </w:rPr>
  </w:style>
  <w:style w:type="character" w:customStyle="1" w:styleId="WW8Num6z1">
    <w:name w:val="WW8Num6z1"/>
    <w:qFormat/>
    <w:rPr>
      <w:rFonts w:ascii="Wingdings" w:hAnsi="Wingdings" w:cs="Wingdings"/>
    </w:rPr>
  </w:style>
  <w:style w:type="character" w:customStyle="1" w:styleId="DefaultParagraphFont0">
    <w:name w:val="Default Paragraph Font0"/>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DefaultParagraphFont">
    <w:name w:val="WW-Default Paragraph Font"/>
    <w:qFormat/>
  </w:style>
  <w:style w:type="character" w:customStyle="1" w:styleId="WW8Num3z1">
    <w:name w:val="WW8Num3z1"/>
    <w:qFormat/>
    <w:rPr>
      <w:rFonts w:ascii="Wingdings" w:hAnsi="Wingdings" w:cs="Wingdings"/>
    </w:rPr>
  </w:style>
  <w:style w:type="character" w:customStyle="1" w:styleId="WW8Num8z0">
    <w:name w:val="WW8Num8z0"/>
    <w:qFormat/>
    <w:rPr>
      <w:lang w:eastAsia="zh-CN"/>
    </w:rPr>
  </w:style>
  <w:style w:type="character" w:customStyle="1" w:styleId="WW8Num9z0">
    <w:name w:val="WW8Num9z0"/>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0">
    <w:name w:val="WW8Num10z0"/>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 w:hAnsi="Symbol" w:cs="Symbol"/>
    </w:rPr>
  </w:style>
  <w:style w:type="character" w:customStyle="1" w:styleId="WW8Num11z0">
    <w:name w:val="WW8Num11z0"/>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1z3">
    <w:name w:val="WW8Num11z3"/>
    <w:qFormat/>
    <w:rPr>
      <w:rFonts w:ascii="Symbol" w:hAnsi="Symbol" w:cs="Symbol"/>
    </w:rPr>
  </w:style>
  <w:style w:type="character" w:customStyle="1" w:styleId="WW8Num12z0">
    <w:name w:val="WW8Num12z0"/>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WW8Num13z0">
    <w:name w:val="WW8Num13z0"/>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14z0">
    <w:name w:val="WW8Num14z0"/>
    <w:qFormat/>
    <w:rPr>
      <w:rFonts w:ascii="Symbol" w:eastAsia="Wingdings" w:hAnsi="Symbol" w:cs="Symbol"/>
    </w:rPr>
  </w:style>
  <w:style w:type="character" w:customStyle="1" w:styleId="WW8Num14z1">
    <w:name w:val="WW8Num14z1"/>
    <w:qFormat/>
    <w:rPr>
      <w:rFonts w:ascii="Courier New" w:eastAsia="Wingdings" w:hAnsi="Courier New" w:cs="Courier New"/>
      <w:sz w:val="24"/>
      <w:szCs w:val="24"/>
    </w:rPr>
  </w:style>
  <w:style w:type="character" w:customStyle="1" w:styleId="WW8Num14z2">
    <w:name w:val="WW8Num14z2"/>
    <w:qFormat/>
    <w:rPr>
      <w:rFonts w:ascii="Wingdings" w:eastAsia="Wingdings" w:hAnsi="Wingdings" w:cs="Wingdings"/>
    </w:rPr>
  </w:style>
  <w:style w:type="character" w:customStyle="1" w:styleId="WW8Num15z0">
    <w:name w:val="WW8Num15z0"/>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5z3">
    <w:name w:val="WW8Num15z3"/>
    <w:qFormat/>
    <w:rPr>
      <w:rFonts w:ascii="Symbol" w:hAnsi="Symbol" w:cs="Symbol"/>
    </w:rPr>
  </w:style>
  <w:style w:type="character" w:customStyle="1" w:styleId="WW-DefaultParagraphFont1">
    <w:name w:val="WW-Default Paragraph Font1"/>
    <w:qFormat/>
  </w:style>
  <w:style w:type="character" w:customStyle="1" w:styleId="WW8Num2z1">
    <w:name w:val="WW8Num2z1"/>
    <w:qFormat/>
    <w:rPr>
      <w:rFonts w:ascii="Wingdings" w:hAnsi="Wingdings" w:cs="Wingdings"/>
    </w:rPr>
  </w:style>
  <w:style w:type="character" w:customStyle="1" w:styleId="WW8Num4z1">
    <w:name w:val="WW8Num4z1"/>
    <w:qFormat/>
    <w:rPr>
      <w:rFonts w:ascii="Wingdings" w:hAnsi="Wingdings" w:cs="Wingdings"/>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9z1">
    <w:name w:val="WW8Num9z1"/>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1">
    <w:name w:val="WW8Num10z1"/>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a">
    <w:name w:val="默认段落字体"/>
    <w:qFormat/>
  </w:style>
  <w:style w:type="character" w:customStyle="1" w:styleId="Char">
    <w:name w:val="正文文本 Char"/>
    <w:qFormat/>
    <w:rPr>
      <w:kern w:val="2"/>
      <w:lang w:val="en-GB" w:eastAsia="zh-CN" w:bidi="ar-SA"/>
    </w:rPr>
  </w:style>
  <w:style w:type="character" w:styleId="Hyperlink">
    <w:name w:val="Hyperlink"/>
    <w:rPr>
      <w:color w:val="0000FF"/>
      <w:kern w:val="2"/>
      <w:u w:val="single"/>
      <w:lang w:val="en-GB" w:eastAsia="zh-CN" w:bidi="ar-SA"/>
    </w:rPr>
  </w:style>
  <w:style w:type="character" w:customStyle="1" w:styleId="Char0">
    <w:name w:val="题注 Char"/>
    <w:qFormat/>
    <w:rPr>
      <w:b/>
      <w:bCs/>
      <w:kern w:val="2"/>
      <w:lang w:val="en-GB" w:eastAsia="zh-CN" w:bidi="ar-SA"/>
    </w:rPr>
  </w:style>
  <w:style w:type="character" w:customStyle="1" w:styleId="1">
    <w:name w:val="已访问的超链接1"/>
    <w:qFormat/>
    <w:rPr>
      <w:color w:val="800080"/>
      <w:kern w:val="2"/>
      <w:u w:val="single"/>
      <w:lang w:val="en-GB" w:eastAsia="zh-CN" w:bidi="ar-SA"/>
    </w:rPr>
  </w:style>
  <w:style w:type="character" w:customStyle="1" w:styleId="FootnoteCharacters">
    <w:name w:val="Footnote Characters"/>
    <w:qFormat/>
    <w:rPr>
      <w:kern w:val="2"/>
      <w:vertAlign w:val="superscript"/>
      <w:lang w:val="en-GB" w:eastAsia="zh-CN" w:bidi="ar-SA"/>
    </w:rPr>
  </w:style>
  <w:style w:type="character" w:customStyle="1" w:styleId="Char1">
    <w:name w:val="页眉 Char"/>
    <w:qFormat/>
    <w:rPr>
      <w:kern w:val="2"/>
      <w:sz w:val="22"/>
      <w:szCs w:val="22"/>
      <w:lang w:val="en-GB" w:eastAsia="zh-CN" w:bidi="ar-SA"/>
    </w:rPr>
  </w:style>
  <w:style w:type="character" w:customStyle="1" w:styleId="Char2">
    <w:name w:val="页脚 Char"/>
    <w:qFormat/>
    <w:rPr>
      <w:kern w:val="2"/>
      <w:sz w:val="22"/>
      <w:szCs w:val="22"/>
      <w:lang w:val="en-GB" w:eastAsia="zh-CN" w:bidi="ar-SA"/>
    </w:rPr>
  </w:style>
  <w:style w:type="character" w:customStyle="1" w:styleId="Char3">
    <w:name w:val="文档结构图 Char"/>
    <w:qFormat/>
    <w:rPr>
      <w:rFonts w:ascii="SimSun" w:hAnsi="SimSun" w:cs="SimSun"/>
      <w:kern w:val="2"/>
      <w:sz w:val="18"/>
      <w:szCs w:val="18"/>
      <w:lang w:val="en-GB" w:bidi="ar-SA"/>
    </w:rPr>
  </w:style>
  <w:style w:type="character" w:customStyle="1" w:styleId="maintextChar">
    <w:name w:val="main text Char"/>
    <w:qFormat/>
    <w:rPr>
      <w:rFonts w:eastAsia="Malgun Gothic" w:cs="Batang"/>
      <w:lang w:val="en-GB" w:eastAsia="ko-KR"/>
    </w:rPr>
  </w:style>
  <w:style w:type="character" w:customStyle="1" w:styleId="2222Char">
    <w:name w:val="스타일 스타일 스타일 스타일 양쪽 첫 줄:  2 글자 + 첫 줄:  2 글자 + 첫 줄:  2 글자 + 첫 줄:  2... Char"/>
    <w:qFormat/>
    <w:rPr>
      <w:rFonts w:eastAsia="Malgun Gothic" w:cs="Batang"/>
      <w:lang w:val="en-GB"/>
    </w:rPr>
  </w:style>
  <w:style w:type="character" w:customStyle="1" w:styleId="a0">
    <w:name w:val="批注引用"/>
    <w:qFormat/>
    <w:rPr>
      <w:kern w:val="2"/>
      <w:sz w:val="21"/>
      <w:szCs w:val="21"/>
      <w:lang w:val="en-GB" w:eastAsia="zh-CN" w:bidi="ar-SA"/>
    </w:rPr>
  </w:style>
  <w:style w:type="character" w:customStyle="1" w:styleId="Char4">
    <w:name w:val="批注文字 Char"/>
    <w:qFormat/>
    <w:rPr>
      <w:kern w:val="2"/>
      <w:sz w:val="22"/>
      <w:szCs w:val="22"/>
      <w:lang w:val="en-GB" w:bidi="ar-SA"/>
    </w:rPr>
  </w:style>
  <w:style w:type="character" w:customStyle="1" w:styleId="Char5">
    <w:name w:val="批注主题 Char"/>
    <w:qFormat/>
    <w:rPr>
      <w:b/>
      <w:bCs/>
      <w:kern w:val="2"/>
      <w:sz w:val="22"/>
      <w:szCs w:val="22"/>
      <w:lang w:val="en-GB" w:bidi="ar-SA"/>
    </w:rPr>
  </w:style>
  <w:style w:type="character" w:styleId="CommentReference">
    <w:name w:val="annotation reference"/>
    <w:qFormat/>
    <w:rPr>
      <w:sz w:val="16"/>
      <w:szCs w:val="16"/>
    </w:rPr>
  </w:style>
  <w:style w:type="character" w:customStyle="1" w:styleId="CommentTextChar">
    <w:name w:val="Comment Text Char"/>
    <w:qFormat/>
    <w:rPr>
      <w:rFonts w:eastAsia="SimSun"/>
      <w:lang w:eastAsia="zh-CN"/>
    </w:rPr>
  </w:style>
  <w:style w:type="character" w:customStyle="1" w:styleId="CommentSubjectChar">
    <w:name w:val="Comment Subject Char"/>
    <w:qFormat/>
    <w:rPr>
      <w:rFonts w:eastAsia="SimSun"/>
      <w:b/>
      <w:bCs/>
      <w:lang w:eastAsia="zh-CN"/>
    </w:rPr>
  </w:style>
  <w:style w:type="character" w:customStyle="1" w:styleId="NumberingSymbols">
    <w:name w:val="Numbering Symbols"/>
    <w:qFormat/>
    <w:rPr>
      <w:b/>
      <w:bCs/>
      <w:sz w:val="28"/>
      <w:szCs w:val="28"/>
    </w:rPr>
  </w:style>
  <w:style w:type="character" w:customStyle="1" w:styleId="WW8Num16z0">
    <w:name w:val="WW8Num16z0"/>
    <w:qFormat/>
    <w:rPr>
      <w:rFonts w:ascii="Times;Times New Roman" w:eastAsia="Malgun Gothic" w:hAnsi="Times;Times New Roman" w:cs="Times;Times New Roman"/>
    </w:rPr>
  </w:style>
  <w:style w:type="character" w:customStyle="1" w:styleId="WW8Num16z1">
    <w:name w:val="WW8Num16z1"/>
    <w:qFormat/>
    <w:rPr>
      <w:rFonts w:ascii="Arial" w:eastAsia="Malgun Gothic" w:hAnsi="Arial" w:cs="Arial"/>
      <w:highlight w:val="yellow"/>
      <w:lang w:eastAsia="zh-CN"/>
    </w:rPr>
  </w:style>
  <w:style w:type="character" w:customStyle="1" w:styleId="WW8Num47z0">
    <w:name w:val="WW8Num47z0"/>
    <w:qFormat/>
    <w:rPr>
      <w:rFonts w:ascii="Times;Times New Roman" w:eastAsia="Malgun Gothic" w:hAnsi="Times;Times New Roman" w:cs="Times;Times New Roman"/>
      <w:szCs w:val="20"/>
      <w:highlight w:val="yellow"/>
    </w:rPr>
  </w:style>
  <w:style w:type="character" w:customStyle="1" w:styleId="WW8Num47z1">
    <w:name w:val="WW8Num47z1"/>
    <w:qFormat/>
    <w:rPr>
      <w:rFonts w:ascii="Arial" w:eastAsia="Malgun Gothic" w:hAnsi="Arial" w:cs="Arial"/>
      <w:highlight w:val="yellow"/>
    </w:rPr>
  </w:style>
  <w:style w:type="character" w:customStyle="1" w:styleId="WW8Num12z1">
    <w:name w:val="WW8Num12z1"/>
    <w:qFormat/>
    <w:rPr>
      <w:rFonts w:ascii="Courier New" w:eastAsia="Malgun Gothic" w:hAnsi="Courier New" w:cs="Courier New"/>
      <w:szCs w:val="20"/>
      <w:lang w:eastAsia="ko-KR"/>
    </w:rPr>
  </w:style>
  <w:style w:type="character" w:customStyle="1" w:styleId="Bullets">
    <w:name w:val="Bullets"/>
    <w:qFormat/>
    <w:rPr>
      <w:rFonts w:ascii="OpenSymbol" w:eastAsia="OpenSymbol" w:hAnsi="OpenSymbol" w:cs="OpenSymbol"/>
    </w:rPr>
  </w:style>
  <w:style w:type="character" w:customStyle="1" w:styleId="WW8Num155z0">
    <w:name w:val="WW8Num155z0"/>
    <w:qFormat/>
    <w:rPr>
      <w:rFonts w:ascii="Symbol" w:eastAsia="Malgun Gothic;맑은 고딕" w:hAnsi="Symbol" w:cs="Symbol"/>
    </w:rPr>
  </w:style>
  <w:style w:type="character" w:customStyle="1" w:styleId="WW8Num155z1">
    <w:name w:val="WW8Num155z1"/>
    <w:qFormat/>
    <w:rPr>
      <w:rFonts w:ascii="Courier New" w:hAnsi="Courier New" w:cs="Courier New"/>
    </w:rPr>
  </w:style>
  <w:style w:type="character" w:customStyle="1" w:styleId="WW8Num155z2">
    <w:name w:val="WW8Num155z2"/>
    <w:qFormat/>
    <w:rPr>
      <w:rFonts w:ascii="Wingdings" w:hAnsi="Wingdings" w:cs="Wingdings"/>
    </w:rPr>
  </w:style>
  <w:style w:type="character" w:customStyle="1" w:styleId="WW8Num135z0">
    <w:name w:val="WW8Num135z0"/>
    <w:qFormat/>
    <w:rPr>
      <w:rFonts w:ascii="Symbol" w:eastAsia="Malgun Gothic;맑은 고딕" w:hAnsi="Symbol" w:cs="Symbol"/>
      <w:lang w:eastAsia="zh-CN"/>
    </w:rPr>
  </w:style>
  <w:style w:type="character" w:customStyle="1" w:styleId="WW8Num135z1">
    <w:name w:val="WW8Num135z1"/>
    <w:qFormat/>
    <w:rPr>
      <w:rFonts w:ascii="Courier New" w:hAnsi="Courier New" w:cs="Courier New"/>
    </w:rPr>
  </w:style>
  <w:style w:type="character" w:customStyle="1" w:styleId="WW8Num135z2">
    <w:name w:val="WW8Num135z2"/>
    <w:qFormat/>
    <w:rPr>
      <w:rFonts w:ascii="Wingdings" w:hAnsi="Wingdings" w:cs="Wingdings"/>
    </w:rPr>
  </w:style>
  <w:style w:type="character" w:customStyle="1" w:styleId="WW8Num219z0">
    <w:name w:val="WW8Num219z0"/>
    <w:qFormat/>
    <w:rPr>
      <w:rFonts w:ascii="Symbol" w:eastAsia="Malgun Gothic;맑은 고딕" w:hAnsi="Symbol" w:cs="Symbol"/>
      <w:szCs w:val="20"/>
    </w:rPr>
  </w:style>
  <w:style w:type="character" w:customStyle="1" w:styleId="WW8Num219z1">
    <w:name w:val="WW8Num219z1"/>
    <w:qFormat/>
    <w:rPr>
      <w:rFonts w:ascii="Courier New" w:eastAsia="Malgun Gothic;맑은 고딕" w:hAnsi="Courier New" w:cs="Courier New"/>
      <w:szCs w:val="20"/>
    </w:rPr>
  </w:style>
  <w:style w:type="character" w:customStyle="1" w:styleId="WW8Num219z2">
    <w:name w:val="WW8Num219z2"/>
    <w:qFormat/>
    <w:rPr>
      <w:rFonts w:ascii="Wingdings" w:hAnsi="Wingdings" w:cs="Wingdings"/>
    </w:rPr>
  </w:style>
  <w:style w:type="character" w:customStyle="1" w:styleId="WW8Num8z3">
    <w:name w:val="WW8Num8z3"/>
    <w:qFormat/>
    <w:rPr>
      <w:rFonts w:ascii="Wingdings" w:hAnsi="Wingdings" w:cs="Wingdings"/>
    </w:rPr>
  </w:style>
  <w:style w:type="paragraph" w:customStyle="1" w:styleId="Heading">
    <w:name w:val="Heading"/>
    <w:basedOn w:val="Normal"/>
    <w:next w:val="BodyText"/>
    <w:qFormat/>
    <w:pPr>
      <w:keepNext/>
      <w:spacing w:before="240"/>
    </w:pPr>
    <w:rPr>
      <w:rFonts w:ascii="Liberation Sans" w:eastAsia="Noto Sans CJK SC Regular" w:hAnsi="Liberation Sans" w:cs="FreeSans"/>
      <w:sz w:val="28"/>
      <w:szCs w:val="28"/>
    </w:rPr>
  </w:style>
  <w:style w:type="paragraph" w:styleId="BodyText">
    <w:name w:val="Body Text"/>
    <w:basedOn w:val="Normal"/>
    <w:rPr>
      <w:kern w:val="2"/>
      <w:sz w:val="20"/>
      <w:szCs w:val="20"/>
      <w:lang w:val="en-GB"/>
    </w:rPr>
  </w:style>
  <w:style w:type="paragraph" w:styleId="List">
    <w:name w:val="List"/>
    <w:basedOn w:val="Normal"/>
    <w:pPr>
      <w:ind w:left="360" w:hanging="360"/>
    </w:pPr>
  </w:style>
  <w:style w:type="paragraph" w:styleId="Caption">
    <w:name w:val="caption"/>
    <w:basedOn w:val="Normal"/>
    <w:qFormat/>
    <w:pPr>
      <w:suppressLineNumbers/>
      <w:spacing w:before="120"/>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a1">
    <w:name w:val="题注"/>
    <w:basedOn w:val="Normal"/>
    <w:next w:val="Normal"/>
    <w:qFormat/>
    <w:pPr>
      <w:jc w:val="center"/>
    </w:pPr>
    <w:rPr>
      <w:b/>
      <w:bCs/>
      <w:kern w:val="2"/>
      <w:sz w:val="20"/>
      <w:szCs w:val="20"/>
      <w:lang w:val="en-GB"/>
    </w:rPr>
  </w:style>
  <w:style w:type="paragraph" w:customStyle="1" w:styleId="a2">
    <w:name w:val="列表项目符号"/>
    <w:basedOn w:val="List"/>
    <w:qFormat/>
    <w:pPr>
      <w:spacing w:after="180"/>
      <w:ind w:left="568" w:hanging="284"/>
      <w:jc w:val="left"/>
    </w:pPr>
    <w:rPr>
      <w:sz w:val="20"/>
      <w:szCs w:val="20"/>
      <w:lang w:val="en-GB"/>
    </w:rPr>
  </w:style>
  <w:style w:type="paragraph" w:customStyle="1" w:styleId="2">
    <w:name w:val="正文文本 2"/>
    <w:basedOn w:val="Normal"/>
    <w:qFormat/>
    <w:pPr>
      <w:spacing w:after="0"/>
      <w:jc w:val="left"/>
    </w:pPr>
    <w:rPr>
      <w:szCs w:val="20"/>
    </w:rPr>
  </w:style>
  <w:style w:type="paragraph" w:customStyle="1" w:styleId="a3">
    <w:name w:val="批注框文本"/>
    <w:basedOn w:val="Normal"/>
    <w:qFormat/>
    <w:rPr>
      <w:rFonts w:ascii="Tahoma" w:hAnsi="Tahoma" w:cs="Tahoma"/>
      <w:sz w:val="16"/>
      <w:szCs w:val="16"/>
    </w:rPr>
  </w:style>
  <w:style w:type="paragraph" w:customStyle="1" w:styleId="References">
    <w:name w:val="References"/>
    <w:basedOn w:val="Normal"/>
    <w:qFormat/>
    <w:pPr>
      <w:spacing w:after="60"/>
    </w:pPr>
    <w:rPr>
      <w:sz w:val="20"/>
      <w:szCs w:val="16"/>
    </w:rPr>
  </w:style>
  <w:style w:type="paragraph" w:styleId="FootnoteText">
    <w:name w:val="footnote text"/>
    <w:basedOn w:val="Normal"/>
    <w:rPr>
      <w:sz w:val="20"/>
      <w:szCs w:val="20"/>
    </w:rPr>
  </w:style>
  <w:style w:type="paragraph" w:customStyle="1" w:styleId="Figure">
    <w:name w:val="Figure"/>
    <w:basedOn w:val="Normal"/>
    <w:qFormat/>
    <w:pPr>
      <w:keepNext/>
      <w:jc w:val="center"/>
    </w:pPr>
  </w:style>
  <w:style w:type="paragraph" w:customStyle="1" w:styleId="Eqn">
    <w:name w:val="Eqn"/>
    <w:basedOn w:val="Normal"/>
    <w:qFormat/>
    <w:rPr>
      <w:lang w:eastAsia="ja-JP"/>
    </w:rPr>
  </w:style>
  <w:style w:type="paragraph" w:customStyle="1" w:styleId="tablecell">
    <w:name w:val="tablecell"/>
    <w:basedOn w:val="Normal"/>
    <w:qFormat/>
    <w:pPr>
      <w:spacing w:before="20" w:after="20"/>
      <w:jc w:val="left"/>
    </w:pPr>
  </w:style>
  <w:style w:type="paragraph" w:customStyle="1" w:styleId="HeaderandFooter">
    <w:name w:val="Header and Footer"/>
    <w:basedOn w:val="Normal"/>
    <w:qFormat/>
    <w:pPr>
      <w:suppressLineNumbers/>
      <w:tabs>
        <w:tab w:val="center" w:pos="4986"/>
        <w:tab w:val="right" w:pos="9972"/>
      </w:tabs>
    </w:pPr>
  </w:style>
  <w:style w:type="paragraph" w:styleId="Header">
    <w:name w:val="header"/>
    <w:basedOn w:val="Normal"/>
    <w:rPr>
      <w:kern w:val="2"/>
      <w:lang w:val="en-GB"/>
    </w:rPr>
  </w:style>
  <w:style w:type="paragraph" w:styleId="Footer">
    <w:name w:val="footer"/>
    <w:basedOn w:val="Normal"/>
    <w:rPr>
      <w:kern w:val="2"/>
      <w:lang w:val="en-GB"/>
    </w:rPr>
  </w:style>
  <w:style w:type="paragraph" w:customStyle="1" w:styleId="tablecol">
    <w:name w:val="tablecol"/>
    <w:basedOn w:val="tablecell"/>
    <w:qFormat/>
    <w:pPr>
      <w:jc w:val="center"/>
    </w:pPr>
    <w:rPr>
      <w:b/>
    </w:rPr>
  </w:style>
  <w:style w:type="paragraph" w:customStyle="1" w:styleId="a4">
    <w:name w:val="文档结构图"/>
    <w:basedOn w:val="Normal"/>
    <w:qFormat/>
    <w:rPr>
      <w:rFonts w:ascii="SimSun" w:hAnsi="SimSun" w:cs="SimSun"/>
      <w:kern w:val="2"/>
      <w:sz w:val="18"/>
      <w:szCs w:val="18"/>
      <w:lang w:val="en-GB"/>
    </w:rPr>
  </w:style>
  <w:style w:type="paragraph" w:customStyle="1" w:styleId="maintext">
    <w:name w:val="main text"/>
    <w:basedOn w:val="Normal"/>
    <w:qFormat/>
    <w:pPr>
      <w:snapToGrid/>
      <w:spacing w:before="60" w:after="60" w:line="288" w:lineRule="auto"/>
      <w:ind w:firstLine="200"/>
    </w:pPr>
    <w:rPr>
      <w:rFonts w:eastAsia="Malgun Gothic"/>
      <w:sz w:val="20"/>
      <w:szCs w:val="20"/>
      <w:lang w:val="en-GB" w:eastAsia="ko-KR"/>
    </w:rPr>
  </w:style>
  <w:style w:type="paragraph" w:customStyle="1" w:styleId="2222">
    <w:name w:val="스타일 스타일 스타일 스타일 양쪽 첫 줄:  2 글자 + 첫 줄:  2 글자 + 첫 줄:  2 글자 + 첫 줄:  2..."/>
    <w:basedOn w:val="Normal"/>
    <w:qFormat/>
    <w:pPr>
      <w:snapToGrid/>
      <w:spacing w:after="180" w:line="336" w:lineRule="auto"/>
      <w:ind w:firstLine="200"/>
    </w:pPr>
    <w:rPr>
      <w:rFonts w:eastAsia="Malgun Gothic"/>
      <w:sz w:val="20"/>
      <w:szCs w:val="20"/>
      <w:lang w:val="en-GB"/>
    </w:rPr>
  </w:style>
  <w:style w:type="paragraph" w:customStyle="1" w:styleId="a5">
    <w:name w:val="批注文字"/>
    <w:basedOn w:val="Normal"/>
    <w:qFormat/>
    <w:pPr>
      <w:jc w:val="left"/>
    </w:pPr>
    <w:rPr>
      <w:kern w:val="2"/>
      <w:lang w:val="en-GB"/>
    </w:rPr>
  </w:style>
  <w:style w:type="paragraph" w:customStyle="1" w:styleId="a6">
    <w:name w:val="批注主题"/>
    <w:basedOn w:val="a5"/>
    <w:next w:val="a5"/>
    <w:qFormat/>
    <w:rPr>
      <w:b/>
      <w:bCs/>
    </w:rPr>
  </w:style>
  <w:style w:type="paragraph" w:customStyle="1" w:styleId="a7">
    <w:name w:val="列出段落"/>
    <w:basedOn w:val="Normal"/>
    <w:qFormat/>
    <w:pPr>
      <w:ind w:left="720"/>
      <w:contextualSpacing/>
    </w:pPr>
  </w:style>
  <w:style w:type="paragraph" w:styleId="CommentText">
    <w:name w:val="annotation text"/>
    <w:basedOn w:val="Normal"/>
    <w:qFormat/>
    <w:rPr>
      <w:sz w:val="20"/>
      <w:szCs w:val="20"/>
    </w:rPr>
  </w:style>
  <w:style w:type="paragraph" w:styleId="CommentSubject">
    <w:name w:val="annotation subject"/>
    <w:basedOn w:val="CommentText"/>
    <w:next w:val="CommentText"/>
    <w:qFormat/>
    <w:rPr>
      <w:b/>
      <w:bCs/>
    </w:rPr>
  </w:style>
  <w:style w:type="paragraph" w:styleId="ListParagraph">
    <w:name w:val="List Paragraph"/>
    <w:basedOn w:val="Normal"/>
    <w:qFormat/>
    <w:pPr>
      <w:spacing w:after="180"/>
      <w:ind w:left="720"/>
      <w:contextualSpacing/>
    </w:pPr>
  </w:style>
  <w:style w:type="paragraph" w:customStyle="1" w:styleId="TdocHeader2">
    <w:name w:val="Tdoc_Header_2"/>
    <w:basedOn w:val="Normal"/>
    <w:qFormat/>
    <w:pPr>
      <w:widowControl w:val="0"/>
      <w:tabs>
        <w:tab w:val="left" w:pos="1701"/>
        <w:tab w:val="right" w:pos="9072"/>
        <w:tab w:val="right" w:pos="10206"/>
      </w:tabs>
    </w:pPr>
    <w:rPr>
      <w:rFonts w:ascii="Arial" w:hAnsi="Arial" w:cs="Arial"/>
      <w:b/>
      <w:sz w:val="18"/>
      <w:szCs w:val="20"/>
    </w:rPr>
  </w:style>
  <w:style w:type="paragraph" w:styleId="Revision">
    <w:name w:val="Revision"/>
    <w:uiPriority w:val="99"/>
    <w:semiHidden/>
    <w:qFormat/>
    <w:rsid w:val="000158AE"/>
    <w:pPr>
      <w:suppressAutoHyphens w:val="0"/>
    </w:pPr>
    <w:rPr>
      <w:rFonts w:eastAsia="SimSun"/>
      <w:sz w:val="22"/>
      <w:szCs w:val="22"/>
      <w:lang w:eastAsia="zh-CN"/>
    </w:rPr>
  </w:style>
  <w:style w:type="paragraph" w:customStyle="1" w:styleId="a8">
    <w:name w:val="목록 단락"/>
    <w:basedOn w:val="Normal"/>
    <w:qFormat/>
    <w:pPr>
      <w:ind w:left="840"/>
    </w:pPr>
  </w:style>
  <w:style w:type="paragraph" w:customStyle="1" w:styleId="TableContents">
    <w:name w:val="Table Contents"/>
    <w:basedOn w:val="Normal"/>
    <w:qFormat/>
    <w:pPr>
      <w:suppressLineNumbers/>
    </w:pPr>
  </w:style>
  <w:style w:type="paragraph" w:customStyle="1" w:styleId="20">
    <w:name w:val="列出段落2"/>
    <w:basedOn w:val="Normal"/>
    <w:qFormat/>
    <w:pPr>
      <w:spacing w:after="50"/>
      <w:ind w:left="840"/>
    </w:pPr>
    <w:rPr>
      <w:rFonts w:ascii="Cambria" w:eastAsia="SimHei;黑体" w:hAnsi="Cambria" w:cs="SimSun;宋体"/>
      <w:szCs w:val="20"/>
    </w:rPr>
  </w:style>
  <w:style w:type="paragraph" w:customStyle="1" w:styleId="10">
    <w:name w:val="列出段落1"/>
    <w:basedOn w:val="Normal"/>
    <w:qFormat/>
    <w:pPr>
      <w:ind w:left="840"/>
    </w:pPr>
    <w:rPr>
      <w:rFonts w:ascii="Times" w:eastAsia="Batang" w:hAnsi="Times"/>
      <w:szCs w:val="24"/>
      <w:lang w:val="en-GB"/>
    </w:rPr>
  </w:style>
  <w:style w:type="numbering" w:customStyle="1" w:styleId="WW8Num16">
    <w:name w:val="WW8Num16"/>
    <w:qFormat/>
  </w:style>
  <w:style w:type="numbering" w:customStyle="1" w:styleId="WW8Num47">
    <w:name w:val="WW8Num47"/>
    <w:qFormat/>
  </w:style>
  <w:style w:type="numbering" w:customStyle="1" w:styleId="WW8Num12">
    <w:name w:val="WW8Num12"/>
    <w:qFormat/>
  </w:style>
  <w:style w:type="numbering" w:customStyle="1" w:styleId="WW8Num155">
    <w:name w:val="WW8Num155"/>
    <w:qFormat/>
  </w:style>
  <w:style w:type="numbering" w:customStyle="1" w:styleId="WW8Num135">
    <w:name w:val="WW8Num135"/>
    <w:qFormat/>
  </w:style>
  <w:style w:type="numbering" w:customStyle="1" w:styleId="WW8Num219">
    <w:name w:val="WW8Num219"/>
    <w:qFormat/>
  </w:style>
  <w:style w:type="numbering" w:customStyle="1" w:styleId="WW8Num8">
    <w:name w:val="WW8Num8"/>
    <w:qFormat/>
  </w:style>
  <w:style w:type="character" w:customStyle="1" w:styleId="cf01">
    <w:name w:val="cf01"/>
    <w:basedOn w:val="DefaultParagraphFont"/>
    <w:rsid w:val="00273D87"/>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1732891">
      <w:bodyDiv w:val="1"/>
      <w:marLeft w:val="0"/>
      <w:marRight w:val="0"/>
      <w:marTop w:val="0"/>
      <w:marBottom w:val="0"/>
      <w:divBdr>
        <w:top w:val="none" w:sz="0" w:space="0" w:color="auto"/>
        <w:left w:val="none" w:sz="0" w:space="0" w:color="auto"/>
        <w:bottom w:val="none" w:sz="0" w:space="0" w:color="auto"/>
        <w:right w:val="none" w:sz="0" w:space="0" w:color="auto"/>
      </w:divBdr>
      <w:divsChild>
        <w:div w:id="205103081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3228</Words>
  <Characters>18404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dc:description/>
  <cp:lastModifiedBy>Deepak P M</cp:lastModifiedBy>
  <cp:revision>2</cp:revision>
  <cp:lastPrinted>2007-06-19T00:08:00Z</cp:lastPrinted>
  <dcterms:created xsi:type="dcterms:W3CDTF">2023-04-06T07:21:00Z</dcterms:created>
  <dcterms:modified xsi:type="dcterms:W3CDTF">2023-04-06T07:21:00Z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_2015_ms_pID_725343">
    <vt:lpwstr>(3)B4ElOIyWbFUE0i2tg9MxI9gGzPxGuIqJUFbpw59zWXb8/+veGTTY5TsxAsd3fGK76tVcIP4j_x000d_
NUkxuEPw1S2C2kT05vGJ3MRbTPq2HHQ5EIFdj+r/U27eDM7Au9J2C4qEziqv40QybXjei0bu_x000d_
mYCL3V1Bkj6SSUME2k7qTb1VErnBpairRjETp9UabKVMqEWV+osNdnc806CL3GtnVovpJVyE_x000d_
UPZKOiRaFnZ7fjU4VY</vt:lpwstr>
  </property>
  <property fmtid="{D5CDD505-2E9C-101B-9397-08002B2CF9AE}" pid="9" name="_2015_ms_pID_7253431">
    <vt:lpwstr>96HbNWILQ9YTEEPZZg62tYX9waDwbAKem3MSBEO2wIsQmvlJQn0Ws+_x000d_
m+nc+PT3UuvRJ1T/8+yat5ds36/WX/v9V9XpguFE1iHNxoafwtQDWeQopJLa+AdKtoutqvGk_x000d_
hlT57uJMspTEYIM2NXshMpXuJ++Mh9W8eEgrBBHsyltaXepOIRKSefkRpsRl5XG67wk4bCGo_x000d_
xfHSO8ZKxcDR6ZcHcjWi+DgGO38FK5XsTZgy</vt:lpwstr>
  </property>
  <property fmtid="{D5CDD505-2E9C-101B-9397-08002B2CF9AE}" pid="10" name="_2015_ms_pID_7253431_00">
    <vt:lpwstr>_2015_ms_pID_7253431</vt:lpwstr>
  </property>
  <property fmtid="{D5CDD505-2E9C-101B-9397-08002B2CF9AE}" pid="11" name="_2015_ms_pID_7253432">
    <vt:lpwstr>9qLhyHC9obdVHv8/RLoYiwEXWdzr8N8/jd2r_x000d_
Z4zgO54Jul26UUC1NNoYDAts+rdWXA==</vt:lpwstr>
  </property>
  <property fmtid="{D5CDD505-2E9C-101B-9397-08002B2CF9AE}" pid="12" name="_2015_ms_pID_7253432_00">
    <vt:lpwstr>_2015_ms_pID_7253432</vt:lpwstr>
  </property>
  <property fmtid="{D5CDD505-2E9C-101B-9397-08002B2CF9AE}" pid="13" name="_2015_ms_pID_725343_00">
    <vt:lpwstr>_2015_ms_pID_725343</vt:lpwstr>
  </property>
  <property fmtid="{D5CDD505-2E9C-101B-9397-08002B2CF9AE}" pid="14" name="_change">
    <vt:lpwstr/>
  </property>
  <property fmtid="{D5CDD505-2E9C-101B-9397-08002B2CF9AE}" pid="15" name="_full-control">
    <vt:lpwstr/>
  </property>
  <property fmtid="{D5CDD505-2E9C-101B-9397-08002B2CF9AE}" pid="16"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7"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18" name="_ms_pID_7253431_00">
    <vt:lpwstr>_ms_pID_7253431</vt:lpwstr>
  </property>
  <property fmtid="{D5CDD505-2E9C-101B-9397-08002B2CF9AE}" pid="19" name="_ms_pID_725343_00">
    <vt:lpwstr>_ms_pID_725343</vt:lpwstr>
  </property>
  <property fmtid="{D5CDD505-2E9C-101B-9397-08002B2CF9AE}" pid="20"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1"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2" name="_new_ms_pID_725431_00">
    <vt:lpwstr>_new_ms_pID_725431</vt:lpwstr>
  </property>
  <property fmtid="{D5CDD505-2E9C-101B-9397-08002B2CF9AE}" pid="23" name="_new_ms_pID_725432">
    <vt:lpwstr>5ODSr9xM8Xe/xX3rgoOAg9xBQQRuph+xauB2_x000d_
+Uz1cw0AjCoGCO2oa+/H2hSUl4V/TuAc1JprpjrQiCnOJfR4pc0=</vt:lpwstr>
  </property>
  <property fmtid="{D5CDD505-2E9C-101B-9397-08002B2CF9AE}" pid="24" name="_new_ms_pID_725432_00">
    <vt:lpwstr>_new_ms_pID_725432</vt:lpwstr>
  </property>
  <property fmtid="{D5CDD505-2E9C-101B-9397-08002B2CF9AE}" pid="25" name="_new_ms_pID_72543_00">
    <vt:lpwstr>_new_ms_pID_72543</vt:lpwstr>
  </property>
  <property fmtid="{D5CDD505-2E9C-101B-9397-08002B2CF9AE}" pid="26" name="_readonly">
    <vt:lpwstr/>
  </property>
  <property fmtid="{D5CDD505-2E9C-101B-9397-08002B2CF9AE}" pid="27" name="sflag">
    <vt:lpwstr>1510973513</vt:lpwstr>
  </property>
</Properties>
</file>