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65CB" w14:textId="717723B2" w:rsidR="00644B9B" w:rsidRPr="00A80D3B" w:rsidRDefault="00644B9B" w:rsidP="00644B9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00F13EBE">
        <w:rPr>
          <w:rFonts w:ascii="Arial" w:hAnsi="Arial" w:cs="Arial"/>
          <w:b/>
          <w:bCs/>
          <w:sz w:val="28"/>
        </w:rPr>
        <w:t>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8C6D08" w:rsidRPr="008C6D08">
        <w:rPr>
          <w:rFonts w:ascii="Arial" w:hAnsi="Arial" w:cs="Arial"/>
          <w:b/>
          <w:bCs/>
          <w:sz w:val="28"/>
        </w:rPr>
        <w:t>2302847</w:t>
      </w:r>
    </w:p>
    <w:p w14:paraId="23ABF59D" w14:textId="2BF08F1C" w:rsidR="00644B9B" w:rsidRPr="009513AC" w:rsidRDefault="00315F17" w:rsidP="00644B9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April</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17</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April 26</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w:t>
      </w:r>
      <w:r w:rsidR="00E5717A">
        <w:t>#95-e</w:t>
      </w:r>
      <w:r w:rsidR="004E1906" w:rsidRPr="00674701">
        <w:t xml:space="preserve">, </w:t>
      </w:r>
      <w:r w:rsidR="00E5717A">
        <w:t>Rel-18 NR sidelink evolution</w:t>
      </w:r>
      <w:r w:rsidR="00E91F69">
        <w:t xml:space="preserve"> has been approved</w:t>
      </w:r>
      <w:r w:rsidR="00A02425">
        <w:t xml:space="preserve"> and </w:t>
      </w:r>
      <w:r w:rsidR="00730C58">
        <w:t>sidelink on unlicensed spectrum</w:t>
      </w:r>
      <w:r w:rsidR="00756AF8">
        <w:t xml:space="preserve"> will be studied and specified</w:t>
      </w:r>
      <w:r w:rsidR="00473636">
        <w:t xml:space="preserve"> in order to increase bandwidth for sidelink transmission</w:t>
      </w:r>
      <w:r w:rsidR="006C4D0A">
        <w:t xml:space="preserve"> as described </w:t>
      </w:r>
      <w:r w:rsidR="00360359">
        <w:t>in</w:t>
      </w:r>
      <w:r w:rsidRPr="0066550D">
        <w:t xml:space="preserve"> </w:t>
      </w:r>
      <w:r w:rsidR="004E1906" w:rsidRPr="0066550D">
        <w:t>[</w:t>
      </w:r>
      <w:r w:rsidR="00E91F69">
        <w:t>1</w:t>
      </w:r>
      <w:r w:rsidR="004E1906" w:rsidRPr="0066550D">
        <w:t>].</w:t>
      </w:r>
      <w:r w:rsidR="00473636">
        <w:t xml:space="preserve"> </w:t>
      </w:r>
    </w:p>
    <w:p w14:paraId="1B4C2489" w14:textId="422F9DD2" w:rsidR="001E6ECB" w:rsidRDefault="00F15BD8" w:rsidP="00615EC0">
      <w:pPr>
        <w:pStyle w:val="3GPPNormalText"/>
      </w:pPr>
      <w:r>
        <w:t>In RAN1#</w:t>
      </w:r>
      <w:r w:rsidR="00ED2B03">
        <w:t>112</w:t>
      </w:r>
      <w:r>
        <w:t xml:space="preserve">, </w:t>
      </w:r>
      <w:r w:rsidR="004D38C7">
        <w:t>RAN1 has discussed and made some agreements</w:t>
      </w:r>
      <w:r w:rsidR="00C0564D">
        <w:t xml:space="preserve"> </w:t>
      </w:r>
      <w:r w:rsidR="00F96793">
        <w:t>on the channel access procedure</w:t>
      </w:r>
      <w:r w:rsidR="00F92790">
        <w:t xml:space="preserve"> </w:t>
      </w:r>
      <w:r w:rsidR="00E43720">
        <w:t>[</w:t>
      </w:r>
      <w:r w:rsidR="0096764A">
        <w:t>2</w:t>
      </w:r>
      <w:r w:rsidR="00E43720">
        <w:t>]</w:t>
      </w:r>
      <w:r w:rsidR="001E6E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E6ECB" w:rsidRPr="00CA6ED6" w14:paraId="1BF9DD90" w14:textId="77777777" w:rsidTr="00ED7B84">
        <w:tc>
          <w:tcPr>
            <w:tcW w:w="9839" w:type="dxa"/>
            <w:shd w:val="clear" w:color="auto" w:fill="auto"/>
          </w:tcPr>
          <w:p w14:paraId="182A5D00" w14:textId="77777777" w:rsidR="007A3F3D" w:rsidRPr="00CA2E3D" w:rsidRDefault="007A3F3D" w:rsidP="007A3F3D">
            <w:pPr>
              <w:rPr>
                <w:rFonts w:ascii="Times New Roman" w:hAnsi="Times New Roman"/>
                <w:sz w:val="18"/>
                <w:szCs w:val="21"/>
                <w:lang w:eastAsia="zh-CN"/>
              </w:rPr>
            </w:pPr>
            <w:r w:rsidRPr="00CA2E3D">
              <w:rPr>
                <w:rStyle w:val="aff1"/>
                <w:rFonts w:ascii="Times New Roman" w:hAnsi="Times New Roman"/>
                <w:sz w:val="18"/>
                <w:szCs w:val="21"/>
                <w:highlight w:val="green"/>
              </w:rPr>
              <w:t>Agreement</w:t>
            </w:r>
          </w:p>
          <w:p w14:paraId="2C3E7AD4" w14:textId="77777777" w:rsidR="007A3F3D" w:rsidRPr="00CA2E3D" w:rsidRDefault="007A3F3D" w:rsidP="007A3F3D">
            <w:pPr>
              <w:spacing w:line="276" w:lineRule="auto"/>
              <w:rPr>
                <w:sz w:val="18"/>
                <w:szCs w:val="21"/>
                <w:lang w:eastAsia="zh-CN"/>
              </w:rPr>
            </w:pPr>
            <w:r w:rsidRPr="00CA2E3D">
              <w:rPr>
                <w:sz w:val="18"/>
                <w:szCs w:val="21"/>
                <w:lang w:eastAsia="zh-CN"/>
              </w:rPr>
              <w:t>The CAPC level that should be used for S-SSB transmissions:</w:t>
            </w:r>
          </w:p>
          <w:p w14:paraId="73FAE8D6" w14:textId="77777777" w:rsidR="007A3F3D" w:rsidRPr="00CA2E3D" w:rsidRDefault="007A3F3D" w:rsidP="007A3F3D">
            <w:pPr>
              <w:numPr>
                <w:ilvl w:val="0"/>
                <w:numId w:val="37"/>
              </w:numPr>
              <w:autoSpaceDE w:val="0"/>
              <w:autoSpaceDN w:val="0"/>
              <w:spacing w:line="276" w:lineRule="auto"/>
              <w:rPr>
                <w:rFonts w:ascii="Times New Roman" w:hAnsi="Times New Roman"/>
                <w:sz w:val="18"/>
                <w:szCs w:val="21"/>
              </w:rPr>
            </w:pPr>
            <w:r w:rsidRPr="00CA2E3D">
              <w:rPr>
                <w:rFonts w:ascii="Times New Roman" w:hAnsi="Times New Roman"/>
                <w:sz w:val="18"/>
                <w:szCs w:val="21"/>
              </w:rPr>
              <w:t>Option 1: CAPC value (p) should be set to 1 when UE performs Type 1 channel access procedure for S-SSB transmission</w:t>
            </w:r>
          </w:p>
          <w:p w14:paraId="7BC34111" w14:textId="77777777" w:rsidR="007A3F3D" w:rsidRPr="00CA2E3D" w:rsidRDefault="007A3F3D" w:rsidP="007A3F3D">
            <w:pPr>
              <w:rPr>
                <w:sz w:val="18"/>
                <w:szCs w:val="21"/>
                <w:lang w:eastAsia="x-none"/>
              </w:rPr>
            </w:pPr>
          </w:p>
          <w:p w14:paraId="0CA4159A" w14:textId="77777777" w:rsidR="007A3F3D" w:rsidRPr="00CA2E3D" w:rsidRDefault="007A3F3D" w:rsidP="007A3F3D">
            <w:pPr>
              <w:rPr>
                <w:rStyle w:val="aff1"/>
                <w:sz w:val="18"/>
                <w:szCs w:val="21"/>
                <w:highlight w:val="green"/>
              </w:rPr>
            </w:pPr>
            <w:r w:rsidRPr="00CA2E3D">
              <w:rPr>
                <w:rStyle w:val="aff1"/>
                <w:rFonts w:ascii="Times New Roman" w:hAnsi="Times New Roman"/>
                <w:sz w:val="18"/>
                <w:szCs w:val="21"/>
                <w:highlight w:val="green"/>
              </w:rPr>
              <w:t>Agreement</w:t>
            </w:r>
          </w:p>
          <w:p w14:paraId="0DDD6221" w14:textId="77777777" w:rsidR="007A3F3D" w:rsidRPr="00CA2E3D" w:rsidRDefault="007A3F3D" w:rsidP="007A3F3D">
            <w:pPr>
              <w:spacing w:line="276" w:lineRule="auto"/>
              <w:rPr>
                <w:sz w:val="18"/>
                <w:szCs w:val="21"/>
                <w:lang w:eastAsia="zh-CN"/>
              </w:rPr>
            </w:pPr>
            <w:r w:rsidRPr="00CA2E3D">
              <w:rPr>
                <w:sz w:val="18"/>
                <w:szCs w:val="21"/>
                <w:lang w:eastAsia="zh-CN"/>
              </w:rPr>
              <w:t>The CAPC level that should be used for PSFCH transmission, CAPC value (p) should be set to 1 when UE performs Type 1 channel access procedure for PSFCH transmission</w:t>
            </w:r>
          </w:p>
          <w:p w14:paraId="010A53C6" w14:textId="77777777" w:rsidR="007A3F3D" w:rsidRPr="00CA2E3D" w:rsidRDefault="007A3F3D" w:rsidP="007A3F3D">
            <w:pPr>
              <w:rPr>
                <w:sz w:val="18"/>
                <w:szCs w:val="21"/>
                <w:lang w:eastAsia="x-none"/>
              </w:rPr>
            </w:pPr>
          </w:p>
          <w:p w14:paraId="043C86DC" w14:textId="77777777" w:rsidR="007A3F3D" w:rsidRPr="00CA2E3D" w:rsidRDefault="007A3F3D" w:rsidP="007A3F3D">
            <w:pPr>
              <w:rPr>
                <w:rFonts w:ascii="Times New Roman" w:hAnsi="Times New Roman"/>
                <w:sz w:val="18"/>
                <w:szCs w:val="21"/>
                <w:lang w:eastAsia="zh-CN"/>
              </w:rPr>
            </w:pPr>
            <w:r w:rsidRPr="00CA2E3D">
              <w:rPr>
                <w:rStyle w:val="aff1"/>
                <w:rFonts w:ascii="Times New Roman" w:hAnsi="Times New Roman"/>
                <w:sz w:val="18"/>
                <w:szCs w:val="21"/>
                <w:highlight w:val="green"/>
              </w:rPr>
              <w:t>Agreement</w:t>
            </w:r>
          </w:p>
          <w:p w14:paraId="210E54AE" w14:textId="77777777" w:rsidR="007A3F3D" w:rsidRPr="00CA2E3D" w:rsidRDefault="007A3F3D" w:rsidP="007A3F3D">
            <w:pPr>
              <w:spacing w:line="276" w:lineRule="auto"/>
              <w:rPr>
                <w:sz w:val="18"/>
                <w:szCs w:val="21"/>
                <w:lang w:eastAsia="zh-CN"/>
              </w:rPr>
            </w:pPr>
            <w:r w:rsidRPr="00CA2E3D">
              <w:rPr>
                <w:sz w:val="18"/>
                <w:szCs w:val="21"/>
                <w:lang w:eastAsia="zh-CN"/>
              </w:rPr>
              <w:t>The end timing for the definition of reference duration in the contention window adjustment procedure for SL-U is defined as follows:</w:t>
            </w:r>
          </w:p>
          <w:p w14:paraId="3DD3635F" w14:textId="77777777" w:rsidR="007A3F3D" w:rsidRPr="00CA2E3D" w:rsidRDefault="007A3F3D" w:rsidP="007A3F3D">
            <w:pPr>
              <w:numPr>
                <w:ilvl w:val="0"/>
                <w:numId w:val="37"/>
              </w:numPr>
              <w:autoSpaceDE w:val="0"/>
              <w:autoSpaceDN w:val="0"/>
              <w:spacing w:line="276" w:lineRule="auto"/>
              <w:rPr>
                <w:rFonts w:ascii="Times New Roman" w:hAnsi="Times New Roman"/>
                <w:sz w:val="18"/>
                <w:szCs w:val="21"/>
              </w:rPr>
            </w:pPr>
            <w:r w:rsidRPr="00CA2E3D">
              <w:rPr>
                <w:rFonts w:ascii="Times New Roman" w:hAnsi="Times New Roman"/>
                <w:sz w:val="18"/>
                <w:szCs w:val="21"/>
              </w:rPr>
              <w:t>Option 1a</w:t>
            </w:r>
          </w:p>
          <w:p w14:paraId="71980AFD" w14:textId="77777777" w:rsidR="007A3F3D" w:rsidRPr="00CA2E3D" w:rsidRDefault="007A3F3D" w:rsidP="007A3F3D">
            <w:pPr>
              <w:numPr>
                <w:ilvl w:val="1"/>
                <w:numId w:val="37"/>
              </w:numPr>
              <w:autoSpaceDE w:val="0"/>
              <w:autoSpaceDN w:val="0"/>
              <w:spacing w:line="276" w:lineRule="auto"/>
              <w:rPr>
                <w:rFonts w:ascii="Times New Roman" w:hAnsi="Times New Roman"/>
                <w:sz w:val="18"/>
                <w:szCs w:val="21"/>
              </w:rPr>
            </w:pPr>
            <w:r w:rsidRPr="00CA2E3D">
              <w:rPr>
                <w:rFonts w:ascii="Times New Roman" w:hAnsi="Times New Roman"/>
                <w:sz w:val="18"/>
                <w:szCs w:val="21"/>
              </w:rPr>
              <w:t>the end of the first slot where at least one PSSCH with ACK/NACK HARQ-ACK enabled is transmitted</w:t>
            </w:r>
          </w:p>
          <w:p w14:paraId="70EA7B67" w14:textId="77777777" w:rsidR="007A3F3D" w:rsidRPr="00CA2E3D" w:rsidRDefault="007A3F3D" w:rsidP="007A3F3D">
            <w:pPr>
              <w:numPr>
                <w:ilvl w:val="1"/>
                <w:numId w:val="37"/>
              </w:numPr>
              <w:autoSpaceDE w:val="0"/>
              <w:autoSpaceDN w:val="0"/>
              <w:spacing w:line="276" w:lineRule="auto"/>
              <w:rPr>
                <w:rFonts w:ascii="Times New Roman" w:hAnsi="Times New Roman"/>
                <w:sz w:val="18"/>
                <w:szCs w:val="21"/>
              </w:rPr>
            </w:pPr>
            <w:r w:rsidRPr="00CA2E3D">
              <w:rPr>
                <w:rFonts w:ascii="Times New Roman" w:hAnsi="Times New Roman"/>
                <w:sz w:val="18"/>
                <w:szCs w:val="21"/>
              </w:rPr>
              <w:t>Note, SL reference duration is not used if PSSCH with ACK/NACK HARQ-ACK enabled cannot be found in the latest COT</w:t>
            </w:r>
          </w:p>
          <w:p w14:paraId="6E8D030B" w14:textId="77777777" w:rsidR="007A3F3D" w:rsidRPr="00CA2E3D" w:rsidRDefault="007A3F3D" w:rsidP="007A3F3D">
            <w:pPr>
              <w:numPr>
                <w:ilvl w:val="1"/>
                <w:numId w:val="37"/>
              </w:numPr>
              <w:autoSpaceDE w:val="0"/>
              <w:autoSpaceDN w:val="0"/>
              <w:spacing w:line="276" w:lineRule="auto"/>
              <w:rPr>
                <w:rFonts w:ascii="Times New Roman" w:hAnsi="Times New Roman"/>
                <w:sz w:val="18"/>
                <w:szCs w:val="21"/>
              </w:rPr>
            </w:pPr>
            <w:r w:rsidRPr="00CA2E3D">
              <w:rPr>
                <w:rFonts w:ascii="Times New Roman" w:hAnsi="Times New Roman"/>
                <w:sz w:val="18"/>
                <w:szCs w:val="21"/>
              </w:rPr>
              <w:t>FFS: Whether to support another ending timing is FFS, e.g. for MCSt if needed</w:t>
            </w:r>
          </w:p>
          <w:p w14:paraId="32BABB1A" w14:textId="77777777" w:rsidR="007A3F3D" w:rsidRPr="00CA2E3D" w:rsidRDefault="007A3F3D" w:rsidP="007A3F3D">
            <w:pPr>
              <w:numPr>
                <w:ilvl w:val="1"/>
                <w:numId w:val="37"/>
              </w:numPr>
              <w:autoSpaceDE w:val="0"/>
              <w:autoSpaceDN w:val="0"/>
              <w:spacing w:line="276" w:lineRule="auto"/>
              <w:rPr>
                <w:rFonts w:ascii="Times New Roman" w:hAnsi="Times New Roman"/>
                <w:sz w:val="18"/>
                <w:szCs w:val="21"/>
              </w:rPr>
            </w:pPr>
            <w:r w:rsidRPr="00CA2E3D">
              <w:rPr>
                <w:rFonts w:ascii="Times New Roman" w:hAnsi="Times New Roman"/>
                <w:sz w:val="18"/>
                <w:szCs w:val="21"/>
              </w:rPr>
              <w:t>Whether/how to adjust CWS for groupcast option 1 NACK-only case and whether/how to define reference duration for groupcast option 1 NACK-only case can still be discussed</w:t>
            </w:r>
          </w:p>
          <w:p w14:paraId="7B0AD1C2" w14:textId="77777777" w:rsidR="000D5DB8" w:rsidRPr="00CA2E3D" w:rsidRDefault="000D5DB8" w:rsidP="000D5DB8">
            <w:pPr>
              <w:autoSpaceDE w:val="0"/>
              <w:autoSpaceDN w:val="0"/>
              <w:jc w:val="both"/>
              <w:rPr>
                <w:rFonts w:ascii="Times New Roman" w:hAnsi="Times New Roman"/>
                <w:sz w:val="18"/>
                <w:szCs w:val="21"/>
              </w:rPr>
            </w:pPr>
            <w:r w:rsidRPr="00CA2E3D">
              <w:rPr>
                <w:rFonts w:ascii="Times New Roman" w:hAnsi="Times New Roman"/>
                <w:b/>
                <w:bCs/>
                <w:sz w:val="18"/>
                <w:szCs w:val="21"/>
                <w:highlight w:val="green"/>
              </w:rPr>
              <w:t>Agreement</w:t>
            </w:r>
          </w:p>
          <w:p w14:paraId="691E08E5" w14:textId="77777777" w:rsidR="000D5DB8" w:rsidRPr="00CA2E3D" w:rsidRDefault="000D5DB8" w:rsidP="000D5DB8">
            <w:pPr>
              <w:pStyle w:val="0Maintext"/>
              <w:rPr>
                <w:sz w:val="18"/>
                <w:szCs w:val="21"/>
                <w:lang w:val="en-US" w:eastAsia="zh-CN"/>
              </w:rPr>
            </w:pPr>
            <w:r w:rsidRPr="00CA2E3D">
              <w:rPr>
                <w:sz w:val="18"/>
                <w:szCs w:val="21"/>
                <w:lang w:val="en-US" w:eastAsia="zh-CN"/>
              </w:rPr>
              <w:t>A CPE can be transmitted from a CPE starting position before SL transmission for the following two options:</w:t>
            </w:r>
          </w:p>
          <w:p w14:paraId="40481820" w14:textId="77777777" w:rsidR="000D5DB8" w:rsidRPr="00CA2E3D" w:rsidRDefault="000D5DB8" w:rsidP="000D5DB8">
            <w:pPr>
              <w:pStyle w:val="aff"/>
              <w:numPr>
                <w:ilvl w:val="0"/>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Option 1: within the symbol just before the next AGC symbol</w:t>
            </w:r>
          </w:p>
          <w:p w14:paraId="28D262C9" w14:textId="77777777" w:rsidR="000D5DB8" w:rsidRPr="00CA2E3D" w:rsidRDefault="000D5DB8" w:rsidP="000D5DB8">
            <w:pPr>
              <w:pStyle w:val="aff"/>
              <w:numPr>
                <w:ilvl w:val="0"/>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 xml:space="preserve">Option 2: </w:t>
            </w:r>
          </w:p>
          <w:p w14:paraId="2A2486B9" w14:textId="77777777" w:rsidR="000D5DB8" w:rsidRPr="00CA2E3D" w:rsidRDefault="000D5DB8" w:rsidP="000D5DB8">
            <w:pPr>
              <w:pStyle w:val="aff"/>
              <w:numPr>
                <w:ilvl w:val="1"/>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within the symbol just before the next AGC symbol for 15 kHz SCS</w:t>
            </w:r>
          </w:p>
          <w:p w14:paraId="5651288B" w14:textId="77777777" w:rsidR="000D5DB8" w:rsidRPr="00CA2E3D" w:rsidRDefault="000D5DB8" w:rsidP="000D5DB8">
            <w:pPr>
              <w:pStyle w:val="aff"/>
              <w:numPr>
                <w:ilvl w:val="1"/>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within at most 2 symbols just before the next AGC symbol for 30 or 60 kHz SCS</w:t>
            </w:r>
          </w:p>
          <w:p w14:paraId="028D4553" w14:textId="77777777" w:rsidR="000D5DB8" w:rsidRPr="00CA2E3D" w:rsidRDefault="000D5DB8" w:rsidP="000D5DB8">
            <w:pPr>
              <w:pStyle w:val="aff"/>
              <w:numPr>
                <w:ilvl w:val="0"/>
                <w:numId w:val="37"/>
              </w:numPr>
              <w:autoSpaceDE w:val="0"/>
              <w:autoSpaceDN w:val="0"/>
              <w:ind w:leftChars="0"/>
              <w:jc w:val="both"/>
              <w:rPr>
                <w:rFonts w:ascii="Times New Roman" w:hAnsi="Times New Roman"/>
                <w:sz w:val="18"/>
                <w:szCs w:val="21"/>
                <w:lang w:val="en-US" w:eastAsia="zh-CN"/>
              </w:rPr>
            </w:pPr>
            <w:r w:rsidRPr="00CA2E3D">
              <w:rPr>
                <w:rFonts w:ascii="Times New Roman" w:hAnsi="Times New Roman"/>
                <w:sz w:val="18"/>
                <w:szCs w:val="21"/>
                <w:lang w:val="en-US" w:eastAsia="zh-CN"/>
              </w:rPr>
              <w:t>FFS applicable scenario(s), condition(s) and channel type(s) to apply Option 1 or Option 2</w:t>
            </w:r>
          </w:p>
          <w:p w14:paraId="00A9390E" w14:textId="77777777" w:rsidR="000D5DB8" w:rsidRPr="00CA2E3D" w:rsidRDefault="000D5DB8" w:rsidP="000D5DB8">
            <w:pPr>
              <w:rPr>
                <w:rFonts w:ascii="Times New Roman" w:hAnsi="Times New Roman"/>
                <w:sz w:val="18"/>
                <w:szCs w:val="21"/>
                <w:lang w:eastAsia="x-none"/>
              </w:rPr>
            </w:pPr>
          </w:p>
          <w:p w14:paraId="76FE6E87" w14:textId="77777777" w:rsidR="000D5DB8" w:rsidRPr="00CA2E3D" w:rsidRDefault="000D5DB8" w:rsidP="000D5DB8">
            <w:pPr>
              <w:autoSpaceDE w:val="0"/>
              <w:autoSpaceDN w:val="0"/>
              <w:jc w:val="both"/>
              <w:rPr>
                <w:rFonts w:ascii="Times New Roman" w:hAnsi="Times New Roman"/>
                <w:sz w:val="18"/>
                <w:szCs w:val="21"/>
                <w:lang w:val="en-US"/>
              </w:rPr>
            </w:pPr>
            <w:r w:rsidRPr="00CA2E3D">
              <w:rPr>
                <w:rFonts w:ascii="Times New Roman" w:hAnsi="Times New Roman"/>
                <w:b/>
                <w:bCs/>
                <w:sz w:val="18"/>
                <w:szCs w:val="21"/>
                <w:highlight w:val="green"/>
                <w:lang w:val="en-US"/>
              </w:rPr>
              <w:t>Agreement</w:t>
            </w:r>
          </w:p>
          <w:p w14:paraId="19E33AD5" w14:textId="77777777" w:rsidR="000D5DB8" w:rsidRPr="00CA2E3D" w:rsidRDefault="000D5DB8" w:rsidP="000D5DB8">
            <w:pPr>
              <w:pStyle w:val="aff"/>
              <w:numPr>
                <w:ilvl w:val="0"/>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A responding UE over a shared COT can be:</w:t>
            </w:r>
          </w:p>
          <w:p w14:paraId="3D54C589" w14:textId="77777777" w:rsidR="000D5DB8" w:rsidRPr="00CA2E3D" w:rsidRDefault="000D5DB8" w:rsidP="000D5DB8">
            <w:pPr>
              <w:pStyle w:val="aff"/>
              <w:numPr>
                <w:ilvl w:val="1"/>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a receiving UE, which is the target of a PSCCH/PSSCH transmission of a COT initiator</w:t>
            </w:r>
          </w:p>
          <w:p w14:paraId="782AEF89" w14:textId="77777777" w:rsidR="000D5DB8" w:rsidRPr="00CA2E3D" w:rsidRDefault="000D5DB8" w:rsidP="000D5DB8">
            <w:pPr>
              <w:numPr>
                <w:ilvl w:val="2"/>
                <w:numId w:val="41"/>
              </w:numPr>
              <w:tabs>
                <w:tab w:val="left" w:pos="720"/>
              </w:tabs>
              <w:autoSpaceDE w:val="0"/>
              <w:autoSpaceDN w:val="0"/>
              <w:jc w:val="both"/>
              <w:rPr>
                <w:rFonts w:ascii="Times New Roman" w:hAnsi="Times New Roman"/>
                <w:sz w:val="18"/>
                <w:szCs w:val="21"/>
                <w:lang w:val="en-US" w:eastAsia="zh-CN"/>
              </w:rPr>
            </w:pPr>
            <w:r w:rsidRPr="00CA2E3D">
              <w:rPr>
                <w:rFonts w:ascii="Times New Roman" w:hAnsi="Times New Roman"/>
                <w:sz w:val="18"/>
                <w:szCs w:val="21"/>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23441A6" w14:textId="77777777" w:rsidR="000D5DB8" w:rsidRPr="00CA2E3D" w:rsidRDefault="000D5DB8" w:rsidP="000D5DB8">
            <w:pPr>
              <w:numPr>
                <w:ilvl w:val="2"/>
                <w:numId w:val="41"/>
              </w:numPr>
              <w:tabs>
                <w:tab w:val="left" w:pos="720"/>
              </w:tabs>
              <w:autoSpaceDE w:val="0"/>
              <w:autoSpaceDN w:val="0"/>
              <w:jc w:val="both"/>
              <w:rPr>
                <w:rFonts w:ascii="Times New Roman" w:hAnsi="Times New Roman"/>
                <w:sz w:val="18"/>
                <w:szCs w:val="21"/>
                <w:lang w:val="en-US" w:eastAsia="zh-CN"/>
              </w:rPr>
            </w:pPr>
            <w:r w:rsidRPr="00CA2E3D">
              <w:rPr>
                <w:rFonts w:ascii="Times New Roman" w:hAnsi="Times New Roman"/>
                <w:sz w:val="18"/>
                <w:szCs w:val="21"/>
                <w:lang w:val="en-US" w:eastAsia="zh-CN"/>
              </w:rPr>
              <w:t>In the case of groupcast and broadcast, when the destination ID contained in the COT initiator’s SCI match to a destination ID known at the receiving UE</w:t>
            </w:r>
          </w:p>
          <w:p w14:paraId="49C73FEA" w14:textId="77777777" w:rsidR="000D5DB8" w:rsidRPr="00CA2E3D" w:rsidRDefault="000D5DB8" w:rsidP="000D5DB8">
            <w:pPr>
              <w:numPr>
                <w:ilvl w:val="1"/>
                <w:numId w:val="41"/>
              </w:numPr>
              <w:tabs>
                <w:tab w:val="left" w:pos="720"/>
              </w:tabs>
              <w:autoSpaceDE w:val="0"/>
              <w:autoSpaceDN w:val="0"/>
              <w:jc w:val="both"/>
              <w:rPr>
                <w:rFonts w:ascii="Times New Roman" w:hAnsi="Times New Roman"/>
                <w:sz w:val="18"/>
                <w:szCs w:val="21"/>
                <w:lang w:val="en-US" w:eastAsia="zh-CN"/>
              </w:rPr>
            </w:pPr>
            <w:r w:rsidRPr="00CA2E3D">
              <w:rPr>
                <w:rFonts w:ascii="Times New Roman" w:hAnsi="Times New Roman"/>
                <w:sz w:val="18"/>
                <w:szCs w:val="21"/>
                <w:lang w:val="en-US" w:eastAsia="zh-CN"/>
              </w:rPr>
              <w:t xml:space="preserve">a UE identified by ID(s), if additional IDs are supported in the COT sharing information (in addition to the source and destination IDs of the </w:t>
            </w:r>
            <w:r w:rsidRPr="00CA2E3D">
              <w:rPr>
                <w:rFonts w:ascii="Times New Roman" w:hAnsi="Times New Roman"/>
                <w:sz w:val="18"/>
                <w:szCs w:val="21"/>
                <w:lang w:val="en-US"/>
              </w:rPr>
              <w:t>PSCCH/PSSCH</w:t>
            </w:r>
            <w:r w:rsidRPr="00CA2E3D">
              <w:rPr>
                <w:rFonts w:ascii="Times New Roman" w:hAnsi="Times New Roman"/>
                <w:sz w:val="18"/>
                <w:szCs w:val="21"/>
                <w:lang w:val="en-US" w:eastAsia="zh-CN"/>
              </w:rPr>
              <w:t xml:space="preserve"> transmission), when additional IDs are included in the COT sharing information from the COT initiator</w:t>
            </w:r>
          </w:p>
          <w:p w14:paraId="7BEBE033" w14:textId="77777777" w:rsidR="000D5DB8" w:rsidRPr="00CA2E3D" w:rsidRDefault="000D5DB8" w:rsidP="000D5DB8">
            <w:pPr>
              <w:numPr>
                <w:ilvl w:val="2"/>
                <w:numId w:val="41"/>
              </w:numPr>
              <w:tabs>
                <w:tab w:val="left" w:pos="720"/>
              </w:tabs>
              <w:autoSpaceDE w:val="0"/>
              <w:autoSpaceDN w:val="0"/>
              <w:jc w:val="both"/>
              <w:rPr>
                <w:rFonts w:ascii="Times New Roman" w:hAnsi="Times New Roman"/>
                <w:sz w:val="18"/>
                <w:szCs w:val="21"/>
                <w:lang w:val="en-US" w:eastAsia="zh-CN"/>
              </w:rPr>
            </w:pPr>
            <w:r w:rsidRPr="00CA2E3D">
              <w:rPr>
                <w:rFonts w:ascii="Times New Roman" w:hAnsi="Times New Roman"/>
                <w:sz w:val="18"/>
                <w:szCs w:val="21"/>
                <w:lang w:val="en-US" w:eastAsia="zh-CN"/>
              </w:rPr>
              <w:t>FFS Limitations on what additional IDs may be included and how they may be indicated</w:t>
            </w:r>
          </w:p>
          <w:p w14:paraId="566E0F83" w14:textId="77777777" w:rsidR="003E7EEA" w:rsidRPr="00CA2E3D" w:rsidRDefault="003E7EEA" w:rsidP="003E7EEA">
            <w:pPr>
              <w:autoSpaceDE w:val="0"/>
              <w:autoSpaceDN w:val="0"/>
              <w:jc w:val="both"/>
              <w:rPr>
                <w:rFonts w:ascii="Times New Roman" w:hAnsi="Times New Roman"/>
                <w:sz w:val="18"/>
                <w:szCs w:val="21"/>
                <w:lang w:val="en-US"/>
              </w:rPr>
            </w:pPr>
            <w:r w:rsidRPr="00CA2E3D">
              <w:rPr>
                <w:rFonts w:ascii="Times New Roman" w:hAnsi="Times New Roman"/>
                <w:b/>
                <w:bCs/>
                <w:sz w:val="18"/>
                <w:szCs w:val="21"/>
                <w:highlight w:val="green"/>
                <w:lang w:val="en-US"/>
              </w:rPr>
              <w:t>Agreement</w:t>
            </w:r>
          </w:p>
          <w:p w14:paraId="5755FC97" w14:textId="77777777" w:rsidR="003E7EEA" w:rsidRPr="00CA2E3D" w:rsidRDefault="003E7EEA" w:rsidP="003E7EEA">
            <w:pPr>
              <w:rPr>
                <w:sz w:val="18"/>
                <w:szCs w:val="21"/>
                <w:lang w:eastAsia="x-none"/>
              </w:rPr>
            </w:pPr>
            <w:r w:rsidRPr="00CA2E3D">
              <w:rPr>
                <w:sz w:val="18"/>
                <w:szCs w:val="21"/>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8C80B31" w14:textId="77777777" w:rsidR="003E7EEA" w:rsidRPr="00CA2E3D" w:rsidRDefault="003E7EEA" w:rsidP="003E7EEA">
            <w:pPr>
              <w:rPr>
                <w:sz w:val="18"/>
                <w:szCs w:val="21"/>
                <w:lang w:val="en-US" w:eastAsia="x-none"/>
              </w:rPr>
            </w:pPr>
          </w:p>
          <w:p w14:paraId="4D622493" w14:textId="77777777" w:rsidR="003E7EEA" w:rsidRPr="00CA2E3D" w:rsidRDefault="003E7EEA" w:rsidP="003E7EEA">
            <w:pPr>
              <w:autoSpaceDE w:val="0"/>
              <w:autoSpaceDN w:val="0"/>
              <w:jc w:val="both"/>
              <w:rPr>
                <w:rFonts w:ascii="Times New Roman" w:hAnsi="Times New Roman"/>
                <w:sz w:val="18"/>
                <w:szCs w:val="21"/>
                <w:lang w:val="en-US"/>
              </w:rPr>
            </w:pPr>
            <w:r w:rsidRPr="00CA2E3D">
              <w:rPr>
                <w:rFonts w:ascii="Times New Roman" w:hAnsi="Times New Roman"/>
                <w:b/>
                <w:bCs/>
                <w:sz w:val="18"/>
                <w:szCs w:val="21"/>
                <w:highlight w:val="green"/>
                <w:lang w:val="en-US"/>
              </w:rPr>
              <w:t>Agreement</w:t>
            </w:r>
          </w:p>
          <w:p w14:paraId="49220A12" w14:textId="77777777" w:rsidR="003E7EEA" w:rsidRPr="00CA2E3D" w:rsidRDefault="003E7EEA" w:rsidP="003E7EEA">
            <w:pPr>
              <w:pStyle w:val="aff"/>
              <w:autoSpaceDE w:val="0"/>
              <w:autoSpaceDN w:val="0"/>
              <w:ind w:leftChars="0" w:left="0"/>
              <w:jc w:val="both"/>
              <w:rPr>
                <w:rFonts w:ascii="Times New Roman" w:hAnsi="Times New Roman"/>
                <w:sz w:val="18"/>
                <w:szCs w:val="21"/>
                <w:lang w:val="en-US"/>
              </w:rPr>
            </w:pPr>
            <w:r w:rsidRPr="00CA2E3D">
              <w:rPr>
                <w:rFonts w:ascii="Times New Roman" w:hAnsi="Times New Roman"/>
                <w:sz w:val="18"/>
                <w:szCs w:val="21"/>
                <w:lang w:val="en-US"/>
              </w:rPr>
              <w:t>A responding UE’s PSSCH/PSCCH transmission(s) within RB set(s) corresponding to a shared COT is intended for the COT initiating UE when,</w:t>
            </w:r>
          </w:p>
          <w:p w14:paraId="39E9393E" w14:textId="77777777" w:rsidR="003E7EEA" w:rsidRPr="00CA2E3D" w:rsidRDefault="003E7EEA" w:rsidP="003E7EEA">
            <w:pPr>
              <w:pStyle w:val="aff"/>
              <w:numPr>
                <w:ilvl w:val="0"/>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 xml:space="preserve">In the case of unicast from the responding UE, when the source and destination IDs contained in the responding UE’s </w:t>
            </w:r>
            <w:r w:rsidRPr="00CA2E3D">
              <w:rPr>
                <w:rFonts w:ascii="Times New Roman" w:hAnsi="Times New Roman"/>
                <w:sz w:val="18"/>
                <w:szCs w:val="21"/>
                <w:lang w:val="en-US"/>
              </w:rPr>
              <w:lastRenderedPageBreak/>
              <w:t xml:space="preserve">PSCCH/PSSCH match to the destination and source IDs from a COT initiator’s unicast transmission that included COT sharing information, or match to the additional ID(s) included in the COT sharing information (if supported) </w:t>
            </w:r>
          </w:p>
          <w:p w14:paraId="4345DE28" w14:textId="77777777" w:rsidR="003E7EEA" w:rsidRPr="00CA2E3D" w:rsidRDefault="003E7EEA" w:rsidP="003E7EEA">
            <w:pPr>
              <w:pStyle w:val="aff"/>
              <w:numPr>
                <w:ilvl w:val="0"/>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6A688E2E" w14:textId="77777777" w:rsidR="003E7EEA" w:rsidRPr="00CA2E3D" w:rsidRDefault="003E7EEA" w:rsidP="003E7EEA">
            <w:pPr>
              <w:pStyle w:val="aff"/>
              <w:numPr>
                <w:ilvl w:val="0"/>
                <w:numId w:val="37"/>
              </w:numPr>
              <w:autoSpaceDE w:val="0"/>
              <w:autoSpaceDN w:val="0"/>
              <w:ind w:leftChars="0"/>
              <w:jc w:val="both"/>
              <w:rPr>
                <w:rFonts w:ascii="Times New Roman" w:hAnsi="Times New Roman"/>
                <w:sz w:val="18"/>
                <w:szCs w:val="21"/>
                <w:lang w:val="en-US"/>
              </w:rPr>
            </w:pPr>
            <w:r w:rsidRPr="00CA2E3D">
              <w:rPr>
                <w:rFonts w:ascii="Times New Roman" w:hAnsi="Times New Roman"/>
                <w:sz w:val="18"/>
                <w:szCs w:val="21"/>
                <w:lang w:val="en-US"/>
              </w:rPr>
              <w:t>FFS: all other details and additional restrictions</w:t>
            </w:r>
          </w:p>
          <w:p w14:paraId="6E325528" w14:textId="4602FF92" w:rsidR="001E6ECB" w:rsidRPr="00CA2E3D" w:rsidRDefault="001E6ECB" w:rsidP="00CA2E3D">
            <w:pPr>
              <w:pStyle w:val="aff"/>
              <w:autoSpaceDE w:val="0"/>
              <w:autoSpaceDN w:val="0"/>
              <w:spacing w:line="259" w:lineRule="auto"/>
              <w:ind w:leftChars="0" w:left="0"/>
              <w:jc w:val="both"/>
              <w:rPr>
                <w:rFonts w:ascii="Times New Roman" w:hAnsi="Times New Roman"/>
                <w:sz w:val="18"/>
                <w:szCs w:val="21"/>
              </w:rPr>
            </w:pPr>
          </w:p>
        </w:tc>
      </w:tr>
    </w:tbl>
    <w:p w14:paraId="5CB7F04D" w14:textId="14849039" w:rsidR="00F757FE" w:rsidRPr="00D455D6" w:rsidRDefault="00F757FE" w:rsidP="00615EC0">
      <w:pPr>
        <w:pStyle w:val="3GPPNormalText"/>
      </w:pPr>
      <w:r w:rsidRPr="00D82213">
        <w:lastRenderedPageBreak/>
        <w:t xml:space="preserve">In this contribution, we discuss our view on </w:t>
      </w:r>
      <w:r w:rsidR="002D1576">
        <w:rPr>
          <w:lang w:eastAsia="ko-KR"/>
        </w:rPr>
        <w:t xml:space="preserve">channel access </w:t>
      </w:r>
      <w:r w:rsidR="00344F56">
        <w:rPr>
          <w:lang w:eastAsia="ko-KR"/>
        </w:rPr>
        <w:t>procedures and c</w:t>
      </w:r>
      <w:r w:rsidR="00344F56" w:rsidRPr="00344F56">
        <w:rPr>
          <w:lang w:eastAsia="ko-KR"/>
        </w:rPr>
        <w:t>hannel occupancy time (COT) sharing</w:t>
      </w:r>
      <w:r w:rsidR="00344F56">
        <w:rPr>
          <w:lang w:eastAsia="ko-KR"/>
        </w:rPr>
        <w:t xml:space="preserve"> </w:t>
      </w:r>
      <w:r w:rsidR="002D1576">
        <w:rPr>
          <w:lang w:eastAsia="ko-KR"/>
        </w:rPr>
        <w:t>for sidelink-unlicensed</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177537C3" w:rsidR="00DC1029" w:rsidRDefault="009E77FB" w:rsidP="00DC1029">
      <w:pPr>
        <w:pStyle w:val="2"/>
      </w:pPr>
      <w:r w:rsidRPr="009E77FB">
        <w:rPr>
          <w:color w:val="000000"/>
        </w:rPr>
        <w:t>Type 2 SL channel access procedure</w:t>
      </w:r>
      <w:r w:rsidDel="009E77FB">
        <w:t xml:space="preserve"> </w:t>
      </w:r>
    </w:p>
    <w:p w14:paraId="250AA60A" w14:textId="7BEDB385" w:rsidR="00E6086B" w:rsidRPr="00E6086B" w:rsidRDefault="00686B19" w:rsidP="00CA2E3D">
      <w:pPr>
        <w:pStyle w:val="3GPPNormalText"/>
      </w:pPr>
      <w:r>
        <w:rPr>
          <w:rFonts w:eastAsia="游明朝" w:hint="eastAsia"/>
          <w:lang w:eastAsia="ja-JP"/>
        </w:rPr>
        <w:t>I</w:t>
      </w:r>
      <w:r>
        <w:rPr>
          <w:rFonts w:eastAsia="游明朝"/>
          <w:lang w:eastAsia="ja-JP"/>
        </w:rPr>
        <w:t xml:space="preserve">n RAN1#112 meeting, </w:t>
      </w:r>
      <w:r w:rsidR="00CE2B95">
        <w:rPr>
          <w:rFonts w:eastAsia="游明朝"/>
          <w:lang w:eastAsia="ja-JP"/>
        </w:rPr>
        <w:t>RAN1 discussed an applicability of Type 2A channel access procedure for PSFCH</w:t>
      </w:r>
      <w:r w:rsidR="00B30653">
        <w:rPr>
          <w:rFonts w:eastAsia="游明朝"/>
          <w:lang w:eastAsia="ja-JP"/>
        </w:rPr>
        <w:t xml:space="preserve"> transmission</w:t>
      </w:r>
      <w:r w:rsidR="004510F5" w:rsidRPr="004510F5">
        <w:t xml:space="preserve"> </w:t>
      </w:r>
      <w:r w:rsidR="004510F5" w:rsidRPr="004510F5">
        <w:rPr>
          <w:rFonts w:eastAsia="游明朝"/>
          <w:lang w:eastAsia="ja-JP"/>
        </w:rPr>
        <w:t>from a UE without a shared channel occupancy</w:t>
      </w:r>
      <w:r w:rsidR="004510F5">
        <w:rPr>
          <w:rFonts w:eastAsia="游明朝"/>
          <w:lang w:eastAsia="ja-JP"/>
        </w:rPr>
        <w:t xml:space="preserve">. </w:t>
      </w:r>
      <w:r w:rsidR="00782E76">
        <w:rPr>
          <w:rFonts w:eastAsia="游明朝"/>
          <w:lang w:eastAsia="ja-JP"/>
        </w:rPr>
        <w:t>W</w:t>
      </w:r>
      <w:r w:rsidR="001A397E">
        <w:t xml:space="preserve">e </w:t>
      </w:r>
      <w:r w:rsidR="00782E76">
        <w:t xml:space="preserve">think </w:t>
      </w:r>
      <w:r w:rsidR="00242181" w:rsidRPr="00242181">
        <w:rPr>
          <w:rFonts w:eastAsia="游明朝"/>
          <w:lang w:eastAsia="ja-JP"/>
        </w:rPr>
        <w:t>Type 2A channel access procedure for PSFCH transmission</w:t>
      </w:r>
      <w:r w:rsidR="00E511C4">
        <w:rPr>
          <w:rFonts w:eastAsia="游明朝"/>
          <w:lang w:eastAsia="ja-JP"/>
        </w:rPr>
        <w:t xml:space="preserve"> has some</w:t>
      </w:r>
      <w:r w:rsidR="00E6086B" w:rsidRPr="00E6086B">
        <w:t xml:space="preserve"> advantages and benefits</w:t>
      </w:r>
      <w:r w:rsidR="00A02579">
        <w:t xml:space="preserve"> as follows</w:t>
      </w:r>
      <w:r w:rsidR="00E6086B" w:rsidRPr="00E6086B">
        <w:t>.</w:t>
      </w:r>
    </w:p>
    <w:p w14:paraId="418E9692" w14:textId="547E539B" w:rsidR="00E6086B" w:rsidRPr="00E6086B" w:rsidRDefault="00A02579" w:rsidP="00CA2E3D">
      <w:pPr>
        <w:pStyle w:val="3GPPNormalText"/>
      </w:pPr>
      <w:r>
        <w:t>First, a</w:t>
      </w:r>
      <w:r w:rsidR="00E6086B" w:rsidRPr="00E6086B">
        <w:t>pplying the Type 2A channel access procedure to PSFCH transmissions enhances the chances of successful channel access. As successful transmission of PSFCH is crucial to ensure the SL system performance, adopting Type 2A for PSFCH transmissions will positively impact overall system performance.</w:t>
      </w:r>
      <w:r w:rsidR="002834AC">
        <w:t xml:space="preserve"> Especially, i</w:t>
      </w:r>
      <w:r w:rsidR="002834AC" w:rsidRPr="00E6086B">
        <w:t>n scenarios where a UE does not need to transmit S-SSB, utilizing Type 2A for PSFCH transmissions increases the likelihood of successful transmission. This approach is particularly helpful in cases where PSFCH transmission is vital, ensuring the system's efficient functioning.</w:t>
      </w:r>
    </w:p>
    <w:p w14:paraId="11C5D86B" w14:textId="77777777" w:rsidR="00E6086B" w:rsidRPr="00E6086B" w:rsidRDefault="00E6086B" w:rsidP="00CA2E3D">
      <w:pPr>
        <w:pStyle w:val="3GPPNormalText"/>
      </w:pPr>
      <w:r w:rsidRPr="00E6086B">
        <w:t>Allowing Type 2A channel access for PSFCH transmissions offers the gNB the flexibility to configure resources for PSFCH transmissions. This flexibility is essential, as it enables the gNB to determine whether and which resources can utilize Type 2A channel access for PSFCH transmissions, based on the network conditions and requirements.</w:t>
      </w:r>
    </w:p>
    <w:p w14:paraId="349E342A" w14:textId="77777777" w:rsidR="00E6086B" w:rsidRPr="00E6086B" w:rsidRDefault="00E6086B" w:rsidP="00CA2E3D">
      <w:pPr>
        <w:pStyle w:val="3GPPNormalText"/>
      </w:pPr>
      <w:r w:rsidRPr="00E6086B">
        <w:t>When S-SSB transmissions are sparse, there will be available resources for SCSt transmissions, making it reasonable to apply Type 2A channel access for PSFCH transmission. This approach effectively utilizes the available resources in the network, leading to enhanced overall system performance.</w:t>
      </w:r>
    </w:p>
    <w:p w14:paraId="5A9EF69F" w14:textId="69E46C54" w:rsidR="00ED6872" w:rsidRDefault="00C415BC" w:rsidP="00CA2E3D">
      <w:pPr>
        <w:pStyle w:val="3GPPNormalText"/>
      </w:pPr>
      <w:r>
        <w:t>Therefore</w:t>
      </w:r>
      <w:r w:rsidR="00E6086B" w:rsidRPr="00E6086B">
        <w:t xml:space="preserve">, </w:t>
      </w:r>
      <w:r w:rsidR="00C269D7">
        <w:t>we</w:t>
      </w:r>
      <w:r w:rsidR="00E6086B" w:rsidRPr="00E6086B">
        <w:t xml:space="preserve"> support the proposal to apply the Type 2A channel access procedure for PSFCH transmissions from a UE without a shared channel occupancy. This approach offers improved channel access success, flexibility for gNB configuration, efficient utilization of sparse S-SSB transmissions, and benefits for specific scenarios.</w:t>
      </w:r>
    </w:p>
    <w:p w14:paraId="66EB0A7D" w14:textId="661BAFCA" w:rsidR="0047754C" w:rsidRPr="008A3D06" w:rsidRDefault="0047754C" w:rsidP="0047754C">
      <w:pPr>
        <w:pStyle w:val="af4"/>
      </w:pPr>
      <w:bookmarkStart w:id="3" w:name="_Ref115192123"/>
      <w:r w:rsidRPr="00B169D4">
        <w:t xml:space="preserve">Proposal </w:t>
      </w:r>
      <w:r w:rsidR="00856B95" w:rsidRPr="00B169D4">
        <w:fldChar w:fldCharType="begin"/>
      </w:r>
      <w:r w:rsidR="00856B95" w:rsidRPr="00B169D4">
        <w:instrText xml:space="preserve"> SEQ Proposal \* ARABIC </w:instrText>
      </w:r>
      <w:r w:rsidR="00856B95" w:rsidRPr="00B169D4">
        <w:fldChar w:fldCharType="separate"/>
      </w:r>
      <w:r w:rsidR="003E7EEA">
        <w:rPr>
          <w:noProof/>
        </w:rPr>
        <w:t>1</w:t>
      </w:r>
      <w:r w:rsidR="00856B95" w:rsidRPr="00B169D4">
        <w:fldChar w:fldCharType="end"/>
      </w:r>
      <w:r w:rsidRPr="00B169D4">
        <w:t>: Type 2</w:t>
      </w:r>
      <w:r w:rsidR="00B169D4" w:rsidRPr="004E4948">
        <w:t>A</w:t>
      </w:r>
      <w:r w:rsidRPr="00B169D4">
        <w:t xml:space="preserve"> channel access procedure(s) is </w:t>
      </w:r>
      <w:r w:rsidR="006B1CDB">
        <w:t>applicable</w:t>
      </w:r>
      <w:r w:rsidRPr="00B169D4">
        <w:t xml:space="preserve"> for PSFCH transmission</w:t>
      </w:r>
      <w:r w:rsidR="00105CFC" w:rsidRPr="00105CFC">
        <w:t xml:space="preserve"> from a UE without a shared channel occupancy</w:t>
      </w:r>
      <w:r w:rsidRPr="00B169D4">
        <w:t>.</w:t>
      </w:r>
      <w:bookmarkEnd w:id="3"/>
    </w:p>
    <w:p w14:paraId="0036FE80" w14:textId="60EF431D" w:rsidR="00550C1D" w:rsidRDefault="00550C1D" w:rsidP="00674701">
      <w:pPr>
        <w:jc w:val="both"/>
        <w:rPr>
          <w:rFonts w:cs="Times"/>
          <w:bCs/>
        </w:rPr>
      </w:pPr>
    </w:p>
    <w:p w14:paraId="55EE87F3" w14:textId="77777777" w:rsidR="00ED6872" w:rsidRDefault="00ED6872"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gNB to/from UE. </w:t>
      </w:r>
      <w:r w:rsidR="00380E66">
        <w:rPr>
          <w:rFonts w:eastAsia="游明朝"/>
          <w:lang w:eastAsia="ja-JP"/>
        </w:rPr>
        <w:t xml:space="preserve">The responding device </w:t>
      </w:r>
      <w:r w:rsidR="005D6614">
        <w:rPr>
          <w:rFonts w:eastAsia="游明朝"/>
          <w:lang w:eastAsia="ja-JP"/>
        </w:rPr>
        <w:t xml:space="preserve">(i.e.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E07E872" w14:textId="77EFBF0B" w:rsidR="00E5331F" w:rsidRDefault="000E513D" w:rsidP="00E377FA">
      <w:pPr>
        <w:pStyle w:val="3GPPNormalText"/>
        <w:rPr>
          <w:rFonts w:eastAsia="游明朝"/>
          <w:lang w:eastAsia="ja-JP"/>
        </w:rPr>
      </w:pPr>
      <w:r>
        <w:rPr>
          <w:rFonts w:eastAsia="游明朝" w:hint="eastAsia"/>
          <w:lang w:eastAsia="ja-JP"/>
        </w:rPr>
        <w:t>F</w:t>
      </w:r>
      <w:r>
        <w:rPr>
          <w:rFonts w:eastAsia="游明朝"/>
          <w:lang w:eastAsia="ja-JP"/>
        </w:rPr>
        <w:t>or sidelink, a RX-UE can report</w:t>
      </w:r>
      <w:r w:rsidR="0052788A">
        <w:rPr>
          <w:rFonts w:eastAsia="游明朝"/>
          <w:lang w:eastAsia="ja-JP"/>
        </w:rPr>
        <w:t xml:space="preserve"> HARQ-ACK bit for a corresponding PSSCH</w:t>
      </w:r>
      <w:r w:rsidR="008009D4">
        <w:rPr>
          <w:rFonts w:eastAsia="游明朝"/>
          <w:lang w:eastAsia="ja-JP"/>
        </w:rPr>
        <w:t xml:space="preserve"> through PSFCH to a TX-UE. </w:t>
      </w:r>
      <w:r w:rsidR="006D6302">
        <w:rPr>
          <w:rFonts w:eastAsia="游明朝"/>
          <w:lang w:eastAsia="ja-JP"/>
        </w:rPr>
        <w:t xml:space="preserve">If </w:t>
      </w:r>
      <w:r w:rsidR="00053640">
        <w:rPr>
          <w:rFonts w:eastAsia="游明朝"/>
          <w:lang w:eastAsia="ja-JP"/>
        </w:rPr>
        <w:t xml:space="preserve">the TX-UE shares the TX-UE initiated COT to RX-UE for </w:t>
      </w:r>
      <w:r w:rsidR="00AE55D3">
        <w:rPr>
          <w:rFonts w:eastAsia="游明朝"/>
          <w:lang w:eastAsia="ja-JP"/>
        </w:rPr>
        <w:t xml:space="preserve">PSFCH transmission, </w:t>
      </w:r>
      <w:r w:rsidR="00D87800">
        <w:rPr>
          <w:rFonts w:eastAsia="游明朝"/>
          <w:lang w:eastAsia="ja-JP"/>
        </w:rPr>
        <w:t xml:space="preserve">the HARQ-ACK reporting would be </w:t>
      </w:r>
      <w:r w:rsidR="007A41FE">
        <w:rPr>
          <w:rFonts w:eastAsia="游明朝"/>
          <w:lang w:eastAsia="ja-JP"/>
        </w:rPr>
        <w:t xml:space="preserve">more reliable as compared with the case of </w:t>
      </w:r>
      <w:r w:rsidR="000744C9">
        <w:rPr>
          <w:rFonts w:eastAsia="游明朝"/>
          <w:lang w:eastAsia="ja-JP"/>
        </w:rPr>
        <w:t>the HARQ-ACK reporting based on</w:t>
      </w:r>
      <w:r w:rsidR="00EF4C1D">
        <w:rPr>
          <w:rFonts w:eastAsia="游明朝"/>
          <w:lang w:eastAsia="ja-JP"/>
        </w:rPr>
        <w:t xml:space="preserve"> Type 1 channel access procedure</w:t>
      </w:r>
      <w:r w:rsidR="000744C9">
        <w:rPr>
          <w:rFonts w:eastAsia="游明朝"/>
          <w:lang w:eastAsia="ja-JP"/>
        </w:rPr>
        <w:t xml:space="preserve">. Therefore, </w:t>
      </w:r>
      <w:r w:rsidR="00160289">
        <w:rPr>
          <w:rFonts w:eastAsia="游明朝"/>
          <w:lang w:eastAsia="ja-JP"/>
        </w:rPr>
        <w:t xml:space="preserve">the </w:t>
      </w:r>
      <w:r w:rsidR="00F723F6">
        <w:rPr>
          <w:rFonts w:eastAsia="游明朝"/>
          <w:lang w:eastAsia="ja-JP"/>
        </w:rPr>
        <w:t>PSFCH</w:t>
      </w:r>
      <w:r w:rsidR="00160289">
        <w:rPr>
          <w:rFonts w:eastAsia="游明朝"/>
          <w:lang w:eastAsia="ja-JP"/>
        </w:rPr>
        <w:t xml:space="preserve"> can be tran</w:t>
      </w:r>
      <w:r w:rsidR="00F723F6">
        <w:rPr>
          <w:rFonts w:eastAsia="游明朝"/>
          <w:lang w:eastAsia="ja-JP"/>
        </w:rPr>
        <w:t xml:space="preserve">smitted </w:t>
      </w:r>
      <w:r w:rsidR="00C33742">
        <w:rPr>
          <w:rFonts w:eastAsia="游明朝"/>
          <w:lang w:eastAsia="ja-JP"/>
        </w:rPr>
        <w:t>in</w:t>
      </w:r>
      <w:r w:rsidR="00F723F6">
        <w:rPr>
          <w:rFonts w:eastAsia="游明朝"/>
          <w:lang w:eastAsia="ja-JP"/>
        </w:rPr>
        <w:t xml:space="preserve"> the shared COT</w:t>
      </w:r>
      <w:r w:rsidR="00BF2CD1">
        <w:rPr>
          <w:rFonts w:eastAsia="游明朝"/>
          <w:lang w:eastAsia="ja-JP"/>
        </w:rPr>
        <w:t>.</w:t>
      </w:r>
    </w:p>
    <w:p w14:paraId="11582109" w14:textId="6F773F92" w:rsidR="00D26EE6" w:rsidRPr="00D26EE6" w:rsidRDefault="000E6703" w:rsidP="002D3623">
      <w:pPr>
        <w:pStyle w:val="3GPPNormalText"/>
        <w:rPr>
          <w:rFonts w:eastAsia="游明朝"/>
          <w:lang w:eastAsia="ja-JP"/>
        </w:rPr>
      </w:pPr>
      <w:r>
        <w:rPr>
          <w:rFonts w:eastAsia="游明朝" w:hint="eastAsia"/>
          <w:lang w:eastAsia="ja-JP"/>
        </w:rPr>
        <w:t>I</w:t>
      </w:r>
      <w:r>
        <w:rPr>
          <w:rFonts w:eastAsia="游明朝"/>
          <w:lang w:eastAsia="ja-JP"/>
        </w:rPr>
        <w:t>n addition,</w:t>
      </w:r>
      <w:r w:rsidR="00FC441F">
        <w:rPr>
          <w:rFonts w:eastAsia="游明朝"/>
          <w:lang w:eastAsia="ja-JP"/>
        </w:rPr>
        <w:t xml:space="preserve"> PSCCH/PSSCH </w:t>
      </w:r>
      <w:r w:rsidR="006E1427">
        <w:rPr>
          <w:rFonts w:eastAsia="游明朝"/>
          <w:lang w:eastAsia="ja-JP"/>
        </w:rPr>
        <w:t xml:space="preserve">transmission in the shared COT should be beneficial </w:t>
      </w:r>
      <w:r w:rsidR="005169DA">
        <w:rPr>
          <w:rFonts w:eastAsia="游明朝"/>
          <w:lang w:eastAsia="ja-JP"/>
        </w:rPr>
        <w:t>between the initiating device and the responding device</w:t>
      </w:r>
      <w:r w:rsidR="00A20FA5">
        <w:rPr>
          <w:rFonts w:eastAsia="游明朝"/>
          <w:lang w:eastAsia="ja-JP"/>
        </w:rPr>
        <w:t xml:space="preserve">. </w:t>
      </w:r>
      <w:r w:rsidR="00737F2C">
        <w:rPr>
          <w:rFonts w:eastAsia="游明朝"/>
          <w:lang w:eastAsia="ja-JP"/>
        </w:rPr>
        <w:t xml:space="preserve">At RAN1#109-e, there was discussion </w:t>
      </w:r>
      <w:r w:rsidR="00264872">
        <w:rPr>
          <w:rFonts w:eastAsia="游明朝"/>
          <w:lang w:eastAsia="ja-JP"/>
        </w:rPr>
        <w:t>on support</w:t>
      </w:r>
      <w:r w:rsidR="0057400E">
        <w:rPr>
          <w:rFonts w:eastAsia="游明朝"/>
          <w:lang w:eastAsia="ja-JP"/>
        </w:rPr>
        <w:t>ing</w:t>
      </w:r>
      <w:r w:rsidR="00264872">
        <w:rPr>
          <w:rFonts w:eastAsia="游明朝"/>
          <w:lang w:eastAsia="ja-JP"/>
        </w:rPr>
        <w:t xml:space="preserve"> cast</w:t>
      </w:r>
      <w:r w:rsidR="0057400E">
        <w:rPr>
          <w:rFonts w:eastAsia="游明朝"/>
          <w:lang w:eastAsia="ja-JP"/>
        </w:rPr>
        <w:t xml:space="preserve"> </w:t>
      </w:r>
      <w:r w:rsidR="00264872">
        <w:rPr>
          <w:rFonts w:eastAsia="游明朝"/>
          <w:lang w:eastAsia="ja-JP"/>
        </w:rPr>
        <w:t>type</w:t>
      </w:r>
      <w:r w:rsidR="00A56745">
        <w:rPr>
          <w:rFonts w:eastAsia="游明朝"/>
          <w:lang w:eastAsia="ja-JP"/>
        </w:rPr>
        <w:t xml:space="preserve"> of SL transmission</w:t>
      </w:r>
      <w:r w:rsidR="00264872">
        <w:rPr>
          <w:rFonts w:eastAsia="游明朝"/>
          <w:lang w:eastAsia="ja-JP"/>
        </w:rPr>
        <w:t xml:space="preserve"> for </w:t>
      </w:r>
      <w:r w:rsidR="00A56745">
        <w:rPr>
          <w:rFonts w:eastAsia="游明朝"/>
          <w:lang w:eastAsia="ja-JP"/>
        </w:rPr>
        <w:t>COT sharing; i.e. unicast, groupcast, broadcast.</w:t>
      </w:r>
      <w:r w:rsidR="00A067AA">
        <w:rPr>
          <w:rFonts w:eastAsia="游明朝"/>
          <w:lang w:eastAsia="ja-JP"/>
        </w:rPr>
        <w:t xml:space="preserve"> At least unicast PSSCH</w:t>
      </w:r>
      <w:r w:rsidR="00394C0C">
        <w:rPr>
          <w:rFonts w:eastAsia="游明朝"/>
          <w:lang w:eastAsia="ja-JP"/>
        </w:rPr>
        <w:t xml:space="preserve"> and corresponding PSCCH should be supported for applicable </w:t>
      </w:r>
      <w:r w:rsidR="009322B3">
        <w:rPr>
          <w:rFonts w:eastAsia="游明朝"/>
          <w:lang w:eastAsia="ja-JP"/>
        </w:rPr>
        <w:t>SL channel for COT sharing.</w:t>
      </w:r>
      <w:r w:rsidR="000D6696">
        <w:rPr>
          <w:rFonts w:eastAsia="游明朝"/>
          <w:lang w:eastAsia="ja-JP"/>
        </w:rPr>
        <w:t xml:space="preserve"> </w:t>
      </w:r>
      <w:r w:rsidR="009013F4">
        <w:rPr>
          <w:rFonts w:eastAsia="游明朝"/>
          <w:lang w:eastAsia="ja-JP"/>
        </w:rPr>
        <w:t>In addition</w:t>
      </w:r>
      <w:r w:rsidR="00624961">
        <w:rPr>
          <w:rFonts w:eastAsia="游明朝"/>
          <w:lang w:eastAsia="ja-JP"/>
        </w:rPr>
        <w:t xml:space="preserve">, groupcast and broadcast transmission </w:t>
      </w:r>
      <w:r w:rsidR="00755479">
        <w:rPr>
          <w:rFonts w:eastAsia="游明朝"/>
          <w:lang w:eastAsia="ja-JP"/>
        </w:rPr>
        <w:t xml:space="preserve">in the shared COT </w:t>
      </w:r>
      <w:r w:rsidR="009013F4">
        <w:rPr>
          <w:rFonts w:eastAsia="游明朝"/>
          <w:lang w:eastAsia="ja-JP"/>
        </w:rPr>
        <w:t>should</w:t>
      </w:r>
      <w:r w:rsidR="00755479">
        <w:rPr>
          <w:rFonts w:eastAsia="游明朝"/>
          <w:lang w:eastAsia="ja-JP"/>
        </w:rPr>
        <w:t xml:space="preserve"> be also supported.</w:t>
      </w:r>
    </w:p>
    <w:p w14:paraId="0A1DBAE7" w14:textId="08779E98" w:rsidR="00D26EE6" w:rsidRDefault="00925F13" w:rsidP="00D26EE6">
      <w:pPr>
        <w:pStyle w:val="3GPPNormalText"/>
        <w:rPr>
          <w:lang w:eastAsia="ar-SA"/>
        </w:rPr>
      </w:pPr>
      <w:bookmarkStart w:id="4" w:name="_Ref102061787"/>
      <w:r>
        <w:t xml:space="preserve">At the </w:t>
      </w:r>
      <w:r w:rsidRPr="00925F13">
        <w:t>RAN1#110</w:t>
      </w:r>
      <w:bookmarkEnd w:id="4"/>
      <w:r>
        <w:rPr>
          <w:rFonts w:hint="cs"/>
          <w:lang w:eastAsia="ar-SA"/>
        </w:rPr>
        <w:t>,</w:t>
      </w:r>
      <w:r>
        <w:rPr>
          <w:lang w:eastAsia="ar-SA"/>
        </w:rPr>
        <w:t xml:space="preserve"> </w:t>
      </w:r>
      <w:r w:rsidR="00B63CD9" w:rsidRPr="00B63CD9">
        <w:rPr>
          <w:lang w:eastAsia="ar-SA"/>
        </w:rPr>
        <w:t>high-level details for UE-to-UE COT sharing was discussed</w:t>
      </w:r>
      <w:r w:rsidR="001E5F64">
        <w:rPr>
          <w:lang w:eastAsia="ar-SA"/>
        </w:rPr>
        <w:t xml:space="preserve">, and </w:t>
      </w:r>
      <w:r w:rsidR="00EB73A6">
        <w:rPr>
          <w:lang w:eastAsia="ar-SA"/>
        </w:rPr>
        <w:t xml:space="preserve">we </w:t>
      </w:r>
      <w:r w:rsidR="00E15AB7">
        <w:rPr>
          <w:lang w:eastAsia="ar-SA"/>
        </w:rPr>
        <w:t>agreed two alternatives</w:t>
      </w:r>
      <w:r w:rsidR="00EB73A6">
        <w:rPr>
          <w:lang w:eastAsia="ar-SA"/>
        </w:rPr>
        <w:t xml:space="preserve"> on </w:t>
      </w:r>
      <w:r w:rsidR="00E15AB7">
        <w:rPr>
          <w:lang w:eastAsia="ar-SA"/>
        </w:rPr>
        <w:t>a</w:t>
      </w:r>
      <w:r w:rsidR="00EB73A6" w:rsidRPr="00EB73A6">
        <w:rPr>
          <w:lang w:eastAsia="ar-SA"/>
        </w:rPr>
        <w:t xml:space="preserve"> definition of a responding UE which can utilize a COT shared by a COT initiating UE</w:t>
      </w:r>
      <w:r w:rsidR="00E15AB7">
        <w:rPr>
          <w:lang w:eastAsia="ar-SA"/>
        </w:rPr>
        <w:t>.</w:t>
      </w:r>
      <w:r w:rsidR="00C5436D">
        <w:rPr>
          <w:lang w:eastAsia="ar-SA"/>
        </w:rPr>
        <w:t xml:space="preserve"> </w:t>
      </w:r>
      <w:r w:rsidR="00C5436D" w:rsidRPr="00C5436D">
        <w:rPr>
          <w:lang w:eastAsia="ar-SA"/>
        </w:rPr>
        <w:t>On Alternative 1,</w:t>
      </w:r>
      <w:r w:rsidR="00B1739D">
        <w:rPr>
          <w:lang w:eastAsia="ar-SA"/>
        </w:rPr>
        <w:t xml:space="preserve"> t</w:t>
      </w:r>
      <w:r w:rsidR="00B1739D" w:rsidRPr="00B1739D">
        <w:rPr>
          <w:lang w:eastAsia="ar-SA"/>
        </w:rPr>
        <w:t>he responding UE is always the target data SCH receiver of the transmitter.</w:t>
      </w:r>
      <w:r w:rsidR="002C6A28">
        <w:rPr>
          <w:lang w:eastAsia="ar-SA"/>
        </w:rPr>
        <w:t xml:space="preserve"> On </w:t>
      </w:r>
      <w:r w:rsidR="002C6A28" w:rsidRPr="00C5436D">
        <w:rPr>
          <w:lang w:eastAsia="ar-SA"/>
        </w:rPr>
        <w:t>Alternative</w:t>
      </w:r>
      <w:r w:rsidR="002C6A28">
        <w:rPr>
          <w:lang w:eastAsia="ar-SA"/>
        </w:rPr>
        <w:t xml:space="preserve"> 2, </w:t>
      </w:r>
      <w:r w:rsidR="00BD224C" w:rsidRPr="00BD224C">
        <w:rPr>
          <w:lang w:eastAsia="ar-SA"/>
        </w:rPr>
        <w:t>the intention is to make the use of COT sharing more flexible and/or widely available to more SL UEs, even for UEs that are not the intended receivers for the PSSCH data.</w:t>
      </w:r>
      <w:r w:rsidR="00BD224C">
        <w:rPr>
          <w:lang w:eastAsia="ar-SA"/>
        </w:rPr>
        <w:t xml:space="preserve"> </w:t>
      </w:r>
      <w:r w:rsidR="00560ECD">
        <w:rPr>
          <w:lang w:eastAsia="ar-SA"/>
        </w:rPr>
        <w:t>We</w:t>
      </w:r>
      <w:r w:rsidR="00532A80">
        <w:rPr>
          <w:lang w:eastAsia="ar-SA"/>
        </w:rPr>
        <w:t xml:space="preserve"> have supported </w:t>
      </w:r>
      <w:r w:rsidR="00CF1E26">
        <w:rPr>
          <w:lang w:eastAsia="ar-SA"/>
        </w:rPr>
        <w:t xml:space="preserve">the alternative 2, i.e. </w:t>
      </w:r>
      <w:r w:rsidR="00831BF8">
        <w:rPr>
          <w:lang w:eastAsia="ar-SA"/>
        </w:rPr>
        <w:t xml:space="preserve">the responding SL UE should not be restricted to </w:t>
      </w:r>
      <w:r w:rsidR="009637CB" w:rsidRPr="00B1739D">
        <w:rPr>
          <w:lang w:eastAsia="ar-SA"/>
        </w:rPr>
        <w:t xml:space="preserve">the target data </w:t>
      </w:r>
      <w:r w:rsidR="009637CB" w:rsidRPr="00B1739D">
        <w:rPr>
          <w:lang w:eastAsia="ar-SA"/>
        </w:rPr>
        <w:lastRenderedPageBreak/>
        <w:t>SCH receiver of the transmitter</w:t>
      </w:r>
      <w:r w:rsidR="009637CB">
        <w:rPr>
          <w:lang w:eastAsia="ar-SA"/>
        </w:rPr>
        <w:t>.</w:t>
      </w:r>
      <w:r w:rsidR="003B5A23">
        <w:rPr>
          <w:lang w:eastAsia="ar-SA"/>
        </w:rPr>
        <w:t xml:space="preserve"> We </w:t>
      </w:r>
      <w:r w:rsidR="00EF5EAE">
        <w:rPr>
          <w:lang w:eastAsia="ar-SA"/>
        </w:rPr>
        <w:t xml:space="preserve">think the responding SL UE can be </w:t>
      </w:r>
      <w:r w:rsidR="005B6A56">
        <w:rPr>
          <w:lang w:eastAsia="ar-SA"/>
        </w:rPr>
        <w:t xml:space="preserve">explicitly </w:t>
      </w:r>
      <w:r w:rsidR="00EF5EAE">
        <w:rPr>
          <w:lang w:eastAsia="ar-SA"/>
        </w:rPr>
        <w:t xml:space="preserve">indicated by </w:t>
      </w:r>
      <w:r w:rsidR="005B6A56">
        <w:rPr>
          <w:lang w:eastAsia="ar-SA"/>
        </w:rPr>
        <w:t>COT sharing information</w:t>
      </w:r>
      <w:r w:rsidR="00795C58">
        <w:rPr>
          <w:lang w:eastAsia="ar-SA"/>
        </w:rPr>
        <w:t xml:space="preserve"> which </w:t>
      </w:r>
      <w:r w:rsidR="0065186E">
        <w:rPr>
          <w:lang w:eastAsia="ar-SA"/>
        </w:rPr>
        <w:t>are</w:t>
      </w:r>
      <w:r w:rsidR="00524DD9">
        <w:rPr>
          <w:lang w:eastAsia="ar-SA"/>
        </w:rPr>
        <w:t xml:space="preserve"> conveyed by SCI in PSCCH transmitted from COT initiating UE</w:t>
      </w:r>
      <w:r w:rsidR="005B6A56">
        <w:rPr>
          <w:lang w:eastAsia="ar-SA"/>
        </w:rPr>
        <w:t>.</w:t>
      </w:r>
      <w:r w:rsidR="006525CD">
        <w:rPr>
          <w:lang w:eastAsia="ar-SA"/>
        </w:rPr>
        <w:t xml:space="preserve"> The indication of </w:t>
      </w:r>
      <w:r w:rsidR="00FB77D8">
        <w:rPr>
          <w:lang w:eastAsia="ar-SA"/>
        </w:rPr>
        <w:t xml:space="preserve">the </w:t>
      </w:r>
      <w:r w:rsidR="00EF5A50">
        <w:rPr>
          <w:lang w:eastAsia="ar-SA"/>
        </w:rPr>
        <w:t xml:space="preserve">initiating SL UE and the </w:t>
      </w:r>
      <w:r w:rsidR="00FB77D8">
        <w:rPr>
          <w:lang w:eastAsia="ar-SA"/>
        </w:rPr>
        <w:t>responding SL UE can reuse</w:t>
      </w:r>
      <w:r w:rsidR="007F1BAD">
        <w:rPr>
          <w:lang w:eastAsia="ar-SA"/>
        </w:rPr>
        <w:t xml:space="preserve"> L1 </w:t>
      </w:r>
      <w:r w:rsidR="00EF5A50">
        <w:rPr>
          <w:lang w:eastAsia="ar-SA"/>
        </w:rPr>
        <w:t>source/</w:t>
      </w:r>
      <w:r w:rsidR="0044120E">
        <w:rPr>
          <w:lang w:eastAsia="ar-SA"/>
        </w:rPr>
        <w:t xml:space="preserve">destination </w:t>
      </w:r>
      <w:r w:rsidR="007F1BAD">
        <w:rPr>
          <w:lang w:eastAsia="ar-SA"/>
        </w:rPr>
        <w:t>ID</w:t>
      </w:r>
      <w:r w:rsidR="003E73F6">
        <w:rPr>
          <w:lang w:eastAsia="ar-SA"/>
        </w:rPr>
        <w:t>.</w:t>
      </w:r>
    </w:p>
    <w:p w14:paraId="781100F2" w14:textId="5BC74758" w:rsidR="002D3623" w:rsidRPr="0098384F" w:rsidRDefault="00AE6444" w:rsidP="0098384F">
      <w:r>
        <w:rPr>
          <w:rFonts w:hint="cs"/>
          <w:lang w:eastAsia="ar-SA"/>
        </w:rPr>
        <w:t>W</w:t>
      </w:r>
      <w:r>
        <w:rPr>
          <w:lang w:eastAsia="ar-SA"/>
        </w:rPr>
        <w:t xml:space="preserve">e have also discussed </w:t>
      </w:r>
      <w:r w:rsidR="00FD2D6A">
        <w:rPr>
          <w:lang w:eastAsia="ar-SA"/>
        </w:rPr>
        <w:t xml:space="preserve">contents of the COT sharing information. In addition to the L1 destination ID, </w:t>
      </w:r>
      <w:r w:rsidR="00CA63FB">
        <w:rPr>
          <w:lang w:eastAsia="ar-SA"/>
        </w:rPr>
        <w:t>we support to include</w:t>
      </w:r>
      <w:r w:rsidR="00E44C58">
        <w:rPr>
          <w:lang w:eastAsia="ar-SA"/>
        </w:rPr>
        <w:t xml:space="preserve"> at least</w:t>
      </w:r>
      <w:r w:rsidR="00CA63FB">
        <w:rPr>
          <w:lang w:eastAsia="ar-SA"/>
        </w:rPr>
        <w:t xml:space="preserve"> CAPC level, </w:t>
      </w:r>
      <w:r w:rsidR="00F72DB6">
        <w:rPr>
          <w:lang w:eastAsia="ar-SA"/>
        </w:rPr>
        <w:t>remaining COT duration, RB set(s) in the COT</w:t>
      </w:r>
      <w:r w:rsidR="0081249F">
        <w:rPr>
          <w:lang w:eastAsia="ar-SA"/>
        </w:rPr>
        <w:t xml:space="preserve"> for the responding SL UE</w:t>
      </w:r>
      <w:r w:rsidR="00E44C58">
        <w:rPr>
          <w:lang w:eastAsia="ar-SA"/>
        </w:rPr>
        <w:t>.</w:t>
      </w:r>
      <w:r w:rsidR="00263794">
        <w:rPr>
          <w:lang w:eastAsia="ar-SA"/>
        </w:rPr>
        <w:t xml:space="preserve"> Furthermore, </w:t>
      </w:r>
      <w:r w:rsidR="00512C95">
        <w:rPr>
          <w:lang w:eastAsia="ar-SA"/>
        </w:rPr>
        <w:t xml:space="preserve">it can be indicated that </w:t>
      </w:r>
      <w:r w:rsidR="00E5115F">
        <w:rPr>
          <w:lang w:eastAsia="ar-SA"/>
        </w:rPr>
        <w:t xml:space="preserve">shared </w:t>
      </w:r>
      <w:r w:rsidR="00BF5EC5">
        <w:rPr>
          <w:lang w:eastAsia="ar-SA"/>
        </w:rPr>
        <w:t>time</w:t>
      </w:r>
      <w:r w:rsidR="00043C06">
        <w:rPr>
          <w:lang w:eastAsia="ar-SA"/>
        </w:rPr>
        <w:t xml:space="preserve"> and frequency resource(s) </w:t>
      </w:r>
      <w:r w:rsidR="00F004AF">
        <w:rPr>
          <w:lang w:eastAsia="ar-SA"/>
        </w:rPr>
        <w:t>within the</w:t>
      </w:r>
      <w:r w:rsidR="00F004AF" w:rsidRPr="00F004AF">
        <w:rPr>
          <w:lang w:eastAsia="ar-SA"/>
        </w:rPr>
        <w:t xml:space="preserve"> </w:t>
      </w:r>
      <w:r w:rsidR="00F004AF">
        <w:rPr>
          <w:lang w:eastAsia="ar-SA"/>
        </w:rPr>
        <w:t>remaining COT duration and the RB set(s) in the COT</w:t>
      </w:r>
      <w:r w:rsidR="005D3EA1">
        <w:rPr>
          <w:lang w:eastAsia="ar-SA"/>
        </w:rPr>
        <w:t>.</w:t>
      </w:r>
    </w:p>
    <w:p w14:paraId="4DE6DFAD" w14:textId="43919754" w:rsidR="00E60454" w:rsidRDefault="00E60454" w:rsidP="00E60454">
      <w:pPr>
        <w:pStyle w:val="af4"/>
      </w:pPr>
      <w:bookmarkStart w:id="5" w:name="_Ref118632654"/>
      <w:r w:rsidRPr="008A3D06">
        <w:t xml:space="preserve">Proposal </w:t>
      </w:r>
      <w:r>
        <w:fldChar w:fldCharType="begin"/>
      </w:r>
      <w:r>
        <w:instrText xml:space="preserve"> SEQ Proposal \* ARABIC </w:instrText>
      </w:r>
      <w:r>
        <w:fldChar w:fldCharType="separate"/>
      </w:r>
      <w:r w:rsidR="003E7EEA">
        <w:rPr>
          <w:noProof/>
        </w:rPr>
        <w:t>2</w:t>
      </w:r>
      <w:r>
        <w:fldChar w:fldCharType="end"/>
      </w:r>
      <w:r w:rsidRPr="008A3D06">
        <w:t xml:space="preserve">: </w:t>
      </w:r>
      <w:r>
        <w:t>the COT sharing information is transmitted by SCI.</w:t>
      </w:r>
    </w:p>
    <w:p w14:paraId="3600216C" w14:textId="4367546C" w:rsidR="005D3EA1" w:rsidRDefault="005D3EA1" w:rsidP="005D3EA1">
      <w:pPr>
        <w:pStyle w:val="af4"/>
      </w:pPr>
      <w:r w:rsidRPr="008A3D06">
        <w:t xml:space="preserve">Proposal </w:t>
      </w:r>
      <w:r>
        <w:fldChar w:fldCharType="begin"/>
      </w:r>
      <w:r>
        <w:instrText xml:space="preserve"> SEQ Proposal \* ARABIC </w:instrText>
      </w:r>
      <w:r>
        <w:fldChar w:fldCharType="separate"/>
      </w:r>
      <w:r w:rsidR="003E7EEA">
        <w:rPr>
          <w:noProof/>
        </w:rPr>
        <w:t>3</w:t>
      </w:r>
      <w:r>
        <w:fldChar w:fldCharType="end"/>
      </w:r>
      <w:r w:rsidRPr="008A3D06">
        <w:t xml:space="preserve">: </w:t>
      </w:r>
      <w:r>
        <w:t>the COT sharing information includes at least</w:t>
      </w:r>
      <w:r w:rsidR="003456A8">
        <w:t xml:space="preserve"> </w:t>
      </w:r>
      <w:r w:rsidR="00E60454">
        <w:t>source ID, destination ID,</w:t>
      </w:r>
      <w:r>
        <w:t xml:space="preserve"> CAPC level, remaining COT duration, RB set(s) in the COT</w:t>
      </w:r>
      <w:r w:rsidR="00C01160">
        <w:t xml:space="preserve"> and shared time and frequency resource(s)</w:t>
      </w:r>
      <w:r>
        <w:t>.</w:t>
      </w:r>
      <w:bookmarkEnd w:id="5"/>
    </w:p>
    <w:p w14:paraId="7BE6CE13" w14:textId="77777777" w:rsidR="00C84275" w:rsidRDefault="00C84275" w:rsidP="0098384F">
      <w:pPr>
        <w:pStyle w:val="3GPPNormalText"/>
        <w:rPr>
          <w:lang w:val="en-US"/>
        </w:rPr>
      </w:pPr>
    </w:p>
    <w:p w14:paraId="06795FF2" w14:textId="4AD2BE55" w:rsidR="001729FC" w:rsidRDefault="002E75EF" w:rsidP="001729FC">
      <w:pPr>
        <w:pStyle w:val="2"/>
      </w:pPr>
      <w:r>
        <w:t xml:space="preserve">UE behaviour in case of </w:t>
      </w:r>
      <w:r w:rsidR="001729FC">
        <w:t>LBT blocking</w:t>
      </w:r>
    </w:p>
    <w:p w14:paraId="50FC5883" w14:textId="746195A8" w:rsidR="001729FC" w:rsidRDefault="00E22E21" w:rsidP="0098384F">
      <w:pPr>
        <w:pStyle w:val="3GPPNormalText"/>
        <w:rPr>
          <w:rFonts w:eastAsia="游明朝"/>
          <w:lang w:val="en-US" w:eastAsia="ja-JP"/>
        </w:rPr>
      </w:pPr>
      <w:r>
        <w:rPr>
          <w:rFonts w:eastAsia="游明朝" w:hint="eastAsia"/>
          <w:lang w:val="en-US" w:eastAsia="ja-JP"/>
        </w:rPr>
        <w:t>I</w:t>
      </w:r>
      <w:r>
        <w:rPr>
          <w:rFonts w:eastAsia="游明朝"/>
          <w:lang w:val="en-US" w:eastAsia="ja-JP"/>
        </w:rPr>
        <w:t>n RAN1#</w:t>
      </w:r>
      <w:r w:rsidR="00FA52D7">
        <w:rPr>
          <w:rFonts w:eastAsia="游明朝"/>
          <w:lang w:val="en-US" w:eastAsia="ja-JP"/>
        </w:rPr>
        <w:t>112, RAN1 has discussed on this issues</w:t>
      </w:r>
      <w:r w:rsidR="00384F6B">
        <w:rPr>
          <w:rFonts w:eastAsia="游明朝"/>
          <w:lang w:val="en-US" w:eastAsia="ja-JP"/>
        </w:rPr>
        <w:t xml:space="preserve"> and FL</w:t>
      </w:r>
      <w:r w:rsidR="00EE6C08">
        <w:rPr>
          <w:rFonts w:eastAsia="游明朝"/>
          <w:lang w:val="en-US" w:eastAsia="ja-JP"/>
        </w:rPr>
        <w:t xml:space="preserve"> made the following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EE6C08" w14:paraId="6986C1D5" w14:textId="77777777">
        <w:tc>
          <w:tcPr>
            <w:tcW w:w="9839" w:type="dxa"/>
            <w:shd w:val="clear" w:color="auto" w:fill="auto"/>
          </w:tcPr>
          <w:p w14:paraId="60709DBC" w14:textId="77777777" w:rsidR="00EE6C08" w:rsidRPr="00CA2E3D" w:rsidRDefault="00EE6C08">
            <w:pPr>
              <w:autoSpaceDE w:val="0"/>
              <w:autoSpaceDN w:val="0"/>
              <w:spacing w:before="120"/>
              <w:jc w:val="both"/>
              <w:rPr>
                <w:rFonts w:ascii="Calibri" w:hAnsi="Calibri" w:cs="Calibri"/>
                <w:szCs w:val="21"/>
              </w:rPr>
            </w:pPr>
            <w:r w:rsidRPr="00CA2E3D">
              <w:rPr>
                <w:rFonts w:ascii="Calibri" w:hAnsi="Calibri" w:cs="Calibri"/>
                <w:b/>
                <w:bCs/>
                <w:szCs w:val="21"/>
              </w:rPr>
              <w:t>Proposal 6 (I):</w:t>
            </w:r>
            <w:r w:rsidRPr="00CA2E3D">
              <w:rPr>
                <w:rFonts w:ascii="Calibri" w:hAnsi="Calibri" w:cs="Calibri"/>
                <w:szCs w:val="21"/>
              </w:rPr>
              <w:t xml:space="preserve"> </w:t>
            </w:r>
          </w:p>
          <w:p w14:paraId="5B600E16" w14:textId="77777777" w:rsidR="00EE6C08" w:rsidRPr="00CA2E3D" w:rsidRDefault="00EE6C08">
            <w:pPr>
              <w:numPr>
                <w:ilvl w:val="0"/>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 xml:space="preserve">To resolve the Type 1 LBT blocking issue, where </w:t>
            </w:r>
            <w:r w:rsidRPr="00CA2E3D">
              <w:rPr>
                <w:rFonts w:ascii="Calibri" w:hAnsi="Calibri" w:cs="Calibri"/>
                <w:color w:val="000000"/>
                <w:szCs w:val="21"/>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0F0950AA" w14:textId="77777777" w:rsidR="00EE6C08" w:rsidRPr="00CA2E3D" w:rsidRDefault="00EE6C08">
            <w:pPr>
              <w:numPr>
                <w:ilvl w:val="1"/>
                <w:numId w:val="41"/>
              </w:numPr>
              <w:autoSpaceDE w:val="0"/>
              <w:autoSpaceDN w:val="0"/>
              <w:spacing w:after="60"/>
              <w:ind w:left="1276"/>
              <w:jc w:val="both"/>
              <w:rPr>
                <w:rFonts w:ascii="Calibri" w:hAnsi="Calibri" w:cs="Calibri"/>
                <w:szCs w:val="21"/>
                <w:lang w:val="en-US" w:eastAsia="zh-CN"/>
              </w:rPr>
            </w:pPr>
            <w:r w:rsidRPr="00CA2E3D">
              <w:rPr>
                <w:rFonts w:ascii="Calibri" w:hAnsi="Calibri" w:cs="Calibri"/>
                <w:szCs w:val="21"/>
                <w:lang w:val="en-US" w:eastAsia="zh-CN"/>
              </w:rPr>
              <w:t xml:space="preserve">Option 1: </w:t>
            </w:r>
          </w:p>
          <w:p w14:paraId="73684818"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 xml:space="preserve">UE </w:t>
            </w:r>
            <w:r w:rsidRPr="00CA2E3D">
              <w:rPr>
                <w:rFonts w:ascii="Calibri" w:hAnsi="Calibri" w:cs="Calibri"/>
                <w:szCs w:val="21"/>
                <w:u w:val="single"/>
                <w:lang w:val="en-US" w:eastAsia="zh-CN"/>
              </w:rPr>
              <w:t>avoid selection</w:t>
            </w:r>
            <w:r w:rsidRPr="00CA2E3D">
              <w:rPr>
                <w:rFonts w:ascii="Calibri" w:hAnsi="Calibri" w:cs="Calibri"/>
                <w:szCs w:val="21"/>
                <w:lang w:val="en-US" w:eastAsia="zh-CN"/>
              </w:rPr>
              <w:t xml:space="preserve"> of a resource </w:t>
            </w:r>
            <w:r w:rsidRPr="00CA2E3D">
              <w:rPr>
                <w:rFonts w:ascii="Calibri" w:hAnsi="Calibri" w:cs="Calibri"/>
                <w:szCs w:val="21"/>
                <w:u w:val="single"/>
                <w:lang w:val="en-US" w:eastAsia="zh-CN"/>
              </w:rPr>
              <w:t>before</w:t>
            </w:r>
            <w:r w:rsidRPr="00CA2E3D">
              <w:rPr>
                <w:rFonts w:ascii="Calibri" w:hAnsi="Calibri" w:cs="Calibri"/>
                <w:szCs w:val="21"/>
                <w:lang w:val="en-US" w:eastAsia="zh-CN"/>
              </w:rPr>
              <w:t xml:space="preserve"> a reserved resource when the transmitting symbols of the selected resource overlap with Type 1 LBT of the reserved resource.</w:t>
            </w:r>
          </w:p>
          <w:p w14:paraId="02A2C5B8"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bCs/>
                <w:iCs/>
                <w:szCs w:val="21"/>
                <w:lang w:val="en-US"/>
              </w:rPr>
              <w:t xml:space="preserve">UE </w:t>
            </w:r>
            <w:r w:rsidRPr="00CA2E3D">
              <w:rPr>
                <w:rFonts w:ascii="Calibri" w:hAnsi="Calibri" w:cs="Calibri"/>
                <w:bCs/>
                <w:iCs/>
                <w:szCs w:val="21"/>
                <w:u w:val="single"/>
                <w:lang w:val="en-US"/>
              </w:rPr>
              <w:t>avoid selection</w:t>
            </w:r>
            <w:r w:rsidRPr="00CA2E3D">
              <w:rPr>
                <w:rFonts w:ascii="Calibri" w:hAnsi="Calibri" w:cs="Calibri"/>
                <w:bCs/>
                <w:iCs/>
                <w:szCs w:val="21"/>
                <w:lang w:val="en-US"/>
              </w:rPr>
              <w:t xml:space="preserve"> of a resource </w:t>
            </w:r>
            <w:r w:rsidRPr="00CA2E3D">
              <w:rPr>
                <w:rFonts w:ascii="Calibri" w:hAnsi="Calibri" w:cs="Calibri"/>
                <w:bCs/>
                <w:iCs/>
                <w:szCs w:val="21"/>
                <w:u w:val="single"/>
                <w:lang w:val="en-US"/>
              </w:rPr>
              <w:t>after</w:t>
            </w:r>
            <w:r w:rsidRPr="00CA2E3D">
              <w:rPr>
                <w:rFonts w:ascii="Calibri" w:hAnsi="Calibri" w:cs="Calibri"/>
                <w:bCs/>
                <w:iCs/>
                <w:szCs w:val="21"/>
                <w:lang w:val="en-US"/>
              </w:rPr>
              <w:t xml:space="preserve"> a reserved resource when the transmitting symbols of the reserved resource overlap with LBT of the selected resource.</w:t>
            </w:r>
          </w:p>
          <w:p w14:paraId="3987E734"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bCs/>
                <w:iCs/>
                <w:szCs w:val="21"/>
                <w:lang w:val="en-US"/>
              </w:rPr>
              <w:t>FFS: the avoidance should be performed by L1 exclusion or L2 MAC selection</w:t>
            </w:r>
          </w:p>
          <w:p w14:paraId="2DBD9B0C"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bCs/>
                <w:iCs/>
                <w:szCs w:val="21"/>
                <w:lang w:val="en-US"/>
              </w:rPr>
              <w:t>FFS: whether / how to achieve this in RA mode 1</w:t>
            </w:r>
          </w:p>
          <w:p w14:paraId="5DF1EE14" w14:textId="77777777" w:rsidR="00EE6C08" w:rsidRPr="00CA2E3D" w:rsidRDefault="00EE6C08">
            <w:pPr>
              <w:numPr>
                <w:ilvl w:val="1"/>
                <w:numId w:val="41"/>
              </w:numPr>
              <w:autoSpaceDE w:val="0"/>
              <w:autoSpaceDN w:val="0"/>
              <w:spacing w:after="60"/>
              <w:ind w:left="1276"/>
              <w:jc w:val="both"/>
              <w:rPr>
                <w:rFonts w:ascii="Calibri" w:hAnsi="Calibri" w:cs="Calibri"/>
                <w:szCs w:val="21"/>
                <w:lang w:val="en-US" w:eastAsia="zh-CN"/>
              </w:rPr>
            </w:pPr>
            <w:r w:rsidRPr="00CA2E3D">
              <w:rPr>
                <w:rFonts w:ascii="Calibri" w:hAnsi="Calibri" w:cs="Calibri"/>
                <w:szCs w:val="21"/>
                <w:lang w:val="en-US" w:eastAsia="zh-CN"/>
              </w:rPr>
              <w:t xml:space="preserve">Option 2: </w:t>
            </w:r>
          </w:p>
          <w:p w14:paraId="2547637D"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 xml:space="preserve">UE prioritizes/selects resource(s) for transmission in slot(s) </w:t>
            </w:r>
            <w:r w:rsidRPr="00CA2E3D">
              <w:rPr>
                <w:rFonts w:ascii="Calibri" w:hAnsi="Calibri" w:cs="Calibri"/>
                <w:szCs w:val="21"/>
                <w:u w:val="single"/>
                <w:lang w:val="en-US" w:eastAsia="zh-CN"/>
              </w:rPr>
              <w:t>after</w:t>
            </w:r>
            <w:r w:rsidRPr="00CA2E3D">
              <w:rPr>
                <w:rFonts w:ascii="Calibri" w:hAnsi="Calibri" w:cs="Calibri"/>
                <w:szCs w:val="21"/>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EC06D4E"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 xml:space="preserve">UE prioritizes/selects resource(s) for transmission in slot(s) </w:t>
            </w:r>
            <w:r w:rsidRPr="00CA2E3D">
              <w:rPr>
                <w:rFonts w:ascii="Calibri" w:hAnsi="Calibri" w:cs="Calibri"/>
                <w:szCs w:val="21"/>
                <w:u w:val="single"/>
                <w:lang w:val="en-US" w:eastAsia="zh-CN"/>
              </w:rPr>
              <w:t>before</w:t>
            </w:r>
            <w:r w:rsidRPr="00CA2E3D">
              <w:rPr>
                <w:rFonts w:ascii="Calibri" w:hAnsi="Calibri" w:cs="Calibri"/>
                <w:szCs w:val="21"/>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772E1A55" w14:textId="77777777" w:rsidR="00EE6C08" w:rsidRPr="00CA2E3D" w:rsidRDefault="00EE6C08">
            <w:pPr>
              <w:numPr>
                <w:ilvl w:val="2"/>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FFS whether / how to achieve this in RA mode 1.</w:t>
            </w:r>
          </w:p>
          <w:p w14:paraId="3EB51648" w14:textId="77777777" w:rsidR="00EE6C08" w:rsidRPr="00CA2E3D" w:rsidRDefault="00EE6C08">
            <w:pPr>
              <w:numPr>
                <w:ilvl w:val="1"/>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Option 3: UE selects extra / more resources than required for transmitting a TB (i.e., overbooking) to accommodate potential Type 1 LBT failures.</w:t>
            </w:r>
          </w:p>
          <w:p w14:paraId="4424951C" w14:textId="77777777" w:rsidR="00EE6C08" w:rsidRPr="00CA2E3D" w:rsidRDefault="00EE6C08">
            <w:pPr>
              <w:numPr>
                <w:ilvl w:val="1"/>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Option 4: LBT duration is determined firstly, then resource selection takes into account of the LBT duration is performed.</w:t>
            </w:r>
          </w:p>
          <w:p w14:paraId="4A791B8D" w14:textId="77777777" w:rsidR="00EE6C08" w:rsidRPr="00CA2E3D" w:rsidRDefault="00EE6C08">
            <w:pPr>
              <w:numPr>
                <w:ilvl w:val="1"/>
                <w:numId w:val="41"/>
              </w:numPr>
              <w:autoSpaceDE w:val="0"/>
              <w:autoSpaceDN w:val="0"/>
              <w:spacing w:after="60"/>
              <w:jc w:val="both"/>
              <w:rPr>
                <w:rFonts w:ascii="Calibri" w:hAnsi="Calibri" w:cs="Calibri"/>
                <w:szCs w:val="21"/>
                <w:lang w:val="en-US" w:eastAsia="zh-CN"/>
              </w:rPr>
            </w:pPr>
            <w:r w:rsidRPr="00CA2E3D">
              <w:rPr>
                <w:rFonts w:ascii="Calibri" w:hAnsi="Calibri" w:cs="Calibri"/>
                <w:szCs w:val="21"/>
                <w:lang w:val="en-US" w:eastAsia="zh-CN"/>
              </w:rPr>
              <w:t>Option 5: At MAC layer, selection of resource(s) among the reported set of candidate resources from L1 is up to UE implementation in mode 2 for SL-U, instead of random selection.</w:t>
            </w:r>
          </w:p>
          <w:p w14:paraId="7E825869" w14:textId="77777777" w:rsidR="00EE6C08" w:rsidRPr="00F62C6D" w:rsidRDefault="00EE6C08" w:rsidP="0098384F">
            <w:pPr>
              <w:pStyle w:val="3GPPNormalText"/>
              <w:rPr>
                <w:rFonts w:eastAsia="游明朝"/>
                <w:szCs w:val="21"/>
                <w:lang w:val="en-US" w:eastAsia="ja-JP"/>
              </w:rPr>
            </w:pPr>
          </w:p>
        </w:tc>
      </w:tr>
    </w:tbl>
    <w:p w14:paraId="0CB9CD19" w14:textId="77777777" w:rsidR="00EE6C08" w:rsidRDefault="00EE6C08" w:rsidP="0098384F">
      <w:pPr>
        <w:pStyle w:val="3GPPNormalText"/>
        <w:rPr>
          <w:rFonts w:eastAsia="游明朝"/>
          <w:lang w:val="en-US" w:eastAsia="ja-JP"/>
        </w:rPr>
      </w:pPr>
    </w:p>
    <w:p w14:paraId="3E5CCAED" w14:textId="77777777" w:rsidR="00432B3B" w:rsidRPr="00432B3B" w:rsidRDefault="00432B3B" w:rsidP="00432B3B">
      <w:pPr>
        <w:pStyle w:val="3GPPNormalText"/>
        <w:rPr>
          <w:rFonts w:eastAsia="游明朝"/>
          <w:lang w:val="en-US" w:eastAsia="ja-JP"/>
        </w:rPr>
      </w:pPr>
      <w:r w:rsidRPr="00432B3B">
        <w:rPr>
          <w:rFonts w:eastAsia="游明朝"/>
          <w:lang w:val="en-US" w:eastAsia="ja-JP"/>
        </w:rPr>
        <w:t>Option 1 proposes that UE avoids selecting a resource before a reserved resource when the transmitting symbols of the selected resource overlap with Type 1 LBT of the reserved resource. Similarly, UE avoids selecting a resource after a reserved resource when the transmitting symbols of the reserved resource overlap with LBT of the selected resource.</w:t>
      </w:r>
    </w:p>
    <w:p w14:paraId="56A73634" w14:textId="77777777" w:rsidR="00432B3B" w:rsidRPr="00432B3B" w:rsidRDefault="00432B3B" w:rsidP="00432B3B">
      <w:pPr>
        <w:pStyle w:val="3GPPNormalText"/>
        <w:rPr>
          <w:rFonts w:eastAsia="游明朝"/>
          <w:lang w:val="en-US" w:eastAsia="ja-JP"/>
        </w:rPr>
      </w:pPr>
      <w:r w:rsidRPr="00432B3B">
        <w:rPr>
          <w:rFonts w:eastAsia="游明朝"/>
          <w:lang w:val="en-US" w:eastAsia="ja-JP"/>
        </w:rPr>
        <w:lastRenderedPageBreak/>
        <w:t>One of the reasons to support Option 1 is that it is a practical solution that can be implemented without significant changes to the current system. This option allows the UE to avoid selecting resources that overlap with the LBT of a reserved resource, thus reducing the possibility of Type 1 LBT blocking.</w:t>
      </w:r>
    </w:p>
    <w:p w14:paraId="4B806B11" w14:textId="7C1671A9" w:rsidR="00432B3B" w:rsidRPr="00432B3B" w:rsidRDefault="00432B3B" w:rsidP="00432B3B">
      <w:pPr>
        <w:pStyle w:val="3GPPNormalText"/>
        <w:rPr>
          <w:rFonts w:eastAsia="游明朝"/>
          <w:lang w:val="en-US" w:eastAsia="ja-JP"/>
        </w:rPr>
      </w:pPr>
      <w:r w:rsidRPr="00432B3B">
        <w:rPr>
          <w:rFonts w:eastAsia="游明朝"/>
          <w:lang w:val="en-US" w:eastAsia="ja-JP"/>
        </w:rPr>
        <w:t xml:space="preserve">Additionally, as mentioned from </w:t>
      </w:r>
      <w:r w:rsidR="00A2537A">
        <w:rPr>
          <w:rFonts w:eastAsia="游明朝"/>
          <w:lang w:val="en-US" w:eastAsia="ja-JP"/>
        </w:rPr>
        <w:t>some companies</w:t>
      </w:r>
      <w:r w:rsidRPr="00432B3B">
        <w:rPr>
          <w:rFonts w:eastAsia="游明朝"/>
          <w:lang w:val="en-US" w:eastAsia="ja-JP"/>
        </w:rPr>
        <w:t>, the resource selection mechanism should consider the priority of the transmission to ensure that it does not block higher priority transmissions or itself transmission with higher transmission being blocked. This consideration can be achieved by performing L1 exclusion or L2 MAC selection.</w:t>
      </w:r>
    </w:p>
    <w:p w14:paraId="2479FDAE" w14:textId="77777777" w:rsidR="00432B3B" w:rsidRPr="00432B3B" w:rsidRDefault="00432B3B" w:rsidP="00432B3B">
      <w:pPr>
        <w:pStyle w:val="3GPPNormalText"/>
        <w:rPr>
          <w:rFonts w:eastAsia="游明朝"/>
          <w:lang w:val="en-US" w:eastAsia="ja-JP"/>
        </w:rPr>
      </w:pPr>
      <w:r w:rsidRPr="00432B3B">
        <w:rPr>
          <w:rFonts w:eastAsia="游明朝"/>
          <w:lang w:val="en-US" w:eastAsia="ja-JP"/>
        </w:rPr>
        <w:t>Moreover, this option is in line with the current mode of operation in Release 17, which allows for dynamic resource allocation using the RA procedure. Therefore, the UE can avoid selecting resources that are likely to cause Type 1 LBT blocking, ensuring efficient use of the available resources.</w:t>
      </w:r>
    </w:p>
    <w:p w14:paraId="6CD2B854" w14:textId="31C9F23F" w:rsidR="00EE6C08" w:rsidRPr="00CA2E3D" w:rsidRDefault="00432B3B" w:rsidP="00432B3B">
      <w:pPr>
        <w:pStyle w:val="3GPPNormalText"/>
        <w:rPr>
          <w:rFonts w:eastAsia="游明朝"/>
          <w:lang w:val="en-US" w:eastAsia="ja-JP"/>
        </w:rPr>
      </w:pPr>
      <w:r w:rsidRPr="00432B3B">
        <w:rPr>
          <w:rFonts w:eastAsia="游明朝"/>
          <w:lang w:val="en-US" w:eastAsia="ja-JP"/>
        </w:rPr>
        <w:t>In conclusion, Option 1 is a practical solution that can be easily implemented to mitigate the Type 1 LBT blocking issue. By avoiding selecting resources that overlap with the LBT of a reserved resource, the UE can reduce the possibility of Type 1 LBT blocking, ensuring efficient use of the available resources while maintaining priority considerations.</w:t>
      </w:r>
    </w:p>
    <w:p w14:paraId="64B2223B" w14:textId="3924E9D9" w:rsidR="00E22E21" w:rsidRPr="00CA2E3D" w:rsidRDefault="00A2537A" w:rsidP="0098384F">
      <w:pPr>
        <w:pStyle w:val="3GPPNormalText"/>
        <w:rPr>
          <w:b/>
          <w:bCs/>
          <w:lang w:val="en-US"/>
        </w:rPr>
      </w:pPr>
      <w:bookmarkStart w:id="6" w:name="_Ref131769596"/>
      <w:r w:rsidRPr="00CA2E3D">
        <w:rPr>
          <w:b/>
          <w:bCs/>
        </w:rPr>
        <w:t xml:space="preserve">Proposal </w:t>
      </w:r>
      <w:r w:rsidRPr="00CA2E3D">
        <w:rPr>
          <w:b/>
          <w:bCs/>
        </w:rPr>
        <w:fldChar w:fldCharType="begin"/>
      </w:r>
      <w:r w:rsidRPr="00CA2E3D">
        <w:rPr>
          <w:b/>
          <w:bCs/>
        </w:rPr>
        <w:instrText xml:space="preserve"> SEQ Proposal \* ARABIC </w:instrText>
      </w:r>
      <w:r w:rsidRPr="00CA2E3D">
        <w:rPr>
          <w:b/>
          <w:bCs/>
        </w:rPr>
        <w:fldChar w:fldCharType="separate"/>
      </w:r>
      <w:r w:rsidR="003E7EEA">
        <w:rPr>
          <w:b/>
          <w:bCs/>
          <w:noProof/>
        </w:rPr>
        <w:t>4</w:t>
      </w:r>
      <w:r w:rsidRPr="00CA2E3D">
        <w:rPr>
          <w:b/>
          <w:bCs/>
        </w:rPr>
        <w:fldChar w:fldCharType="end"/>
      </w:r>
      <w:r w:rsidRPr="00CA2E3D">
        <w:rPr>
          <w:b/>
          <w:bCs/>
        </w:rPr>
        <w:t xml:space="preserve">: </w:t>
      </w:r>
      <w:r w:rsidR="001C59F0">
        <w:rPr>
          <w:b/>
          <w:bCs/>
        </w:rPr>
        <w:t xml:space="preserve">support option 1 </w:t>
      </w:r>
      <w:r w:rsidR="001C59F0">
        <w:rPr>
          <w:rFonts w:eastAsia="游明朝" w:hint="eastAsia"/>
          <w:b/>
          <w:bCs/>
          <w:lang w:eastAsia="ja-JP"/>
        </w:rPr>
        <w:t>t</w:t>
      </w:r>
      <w:r w:rsidR="001C59F0" w:rsidRPr="001C59F0">
        <w:rPr>
          <w:b/>
          <w:bCs/>
        </w:rPr>
        <w:t>o resolve the Type 1 LBT blocking issue</w:t>
      </w:r>
      <w:r w:rsidR="001C59F0">
        <w:rPr>
          <w:b/>
          <w:bCs/>
        </w:rPr>
        <w:t>.</w:t>
      </w:r>
      <w:bookmarkEnd w:id="6"/>
    </w:p>
    <w:p w14:paraId="0720415A" w14:textId="77777777" w:rsidR="005D049D" w:rsidRPr="00CA2E3D" w:rsidRDefault="005D049D" w:rsidP="00CA2E3D">
      <w:pPr>
        <w:pStyle w:val="3GPPNormalText"/>
        <w:numPr>
          <w:ilvl w:val="0"/>
          <w:numId w:val="41"/>
        </w:numPr>
        <w:rPr>
          <w:b/>
          <w:bCs/>
          <w:lang w:val="en-US"/>
        </w:rPr>
      </w:pPr>
      <w:r w:rsidRPr="00CA2E3D">
        <w:rPr>
          <w:b/>
          <w:bCs/>
          <w:lang w:val="en-US"/>
        </w:rPr>
        <w:t>UE avoid selection of a resource before a reserved resource when the transmitting symbols of the selected resource overlap with Type 1 LBT of the reserved resource.</w:t>
      </w:r>
    </w:p>
    <w:p w14:paraId="7B77D1F7" w14:textId="77777777" w:rsidR="005D049D" w:rsidRPr="00CA2E3D" w:rsidRDefault="005D049D" w:rsidP="00CA2E3D">
      <w:pPr>
        <w:pStyle w:val="3GPPNormalText"/>
        <w:numPr>
          <w:ilvl w:val="0"/>
          <w:numId w:val="41"/>
        </w:numPr>
        <w:rPr>
          <w:b/>
          <w:bCs/>
          <w:lang w:val="en-US"/>
        </w:rPr>
      </w:pPr>
      <w:r w:rsidRPr="00CA2E3D">
        <w:rPr>
          <w:b/>
          <w:bCs/>
          <w:iCs/>
          <w:lang w:val="en-US"/>
        </w:rPr>
        <w:t>UE avoid selection of a resource after a reserved resource when the transmitting symbols of the reserved resource overlap with LBT of the selected resource.</w:t>
      </w:r>
    </w:p>
    <w:p w14:paraId="0A2640EC" w14:textId="77777777" w:rsidR="00180835" w:rsidRDefault="00180835" w:rsidP="0098384F">
      <w:pPr>
        <w:pStyle w:val="3GPPNormalText"/>
      </w:pPr>
    </w:p>
    <w:p w14:paraId="711107F0" w14:textId="77777777" w:rsidR="009E1C3B" w:rsidRPr="0098384F" w:rsidRDefault="009E1C3B" w:rsidP="0098384F">
      <w:pPr>
        <w:pStyle w:val="3GPPNormalText"/>
      </w:pPr>
    </w:p>
    <w:p w14:paraId="51EC091E" w14:textId="77777777" w:rsidR="001D5A41" w:rsidRPr="00D455D6" w:rsidRDefault="00B041CE" w:rsidP="00674701">
      <w:pPr>
        <w:pStyle w:val="1"/>
        <w:spacing w:before="120" w:after="120"/>
        <w:jc w:val="both"/>
      </w:pPr>
      <w:r w:rsidRPr="00D455D6">
        <w:t>Conclusion</w:t>
      </w:r>
    </w:p>
    <w:p w14:paraId="1FD9FCBB" w14:textId="32A5BBC5" w:rsidR="0064075C" w:rsidRPr="003E7EEA" w:rsidRDefault="00856B95" w:rsidP="00615EC0">
      <w:pPr>
        <w:pStyle w:val="3GPPNormalText"/>
        <w:rPr>
          <w:rFonts w:eastAsia="游明朝"/>
          <w:b/>
          <w:bCs/>
          <w:lang w:eastAsia="ja-JP"/>
        </w:rPr>
      </w:pPr>
      <w:r w:rsidRPr="003E7EEA">
        <w:rPr>
          <w:rFonts w:eastAsia="游明朝"/>
          <w:b/>
          <w:bCs/>
          <w:lang w:eastAsia="ja-JP"/>
        </w:rPr>
        <w:fldChar w:fldCharType="begin"/>
      </w:r>
      <w:r w:rsidRPr="003E7EEA">
        <w:rPr>
          <w:rFonts w:eastAsia="游明朝"/>
          <w:b/>
          <w:bCs/>
          <w:lang w:eastAsia="ja-JP"/>
        </w:rPr>
        <w:instrText xml:space="preserve"> REF _Ref115192123 \h </w:instrText>
      </w:r>
      <w:r w:rsidR="00A2574C" w:rsidRPr="003E7EEA">
        <w:rPr>
          <w:rFonts w:eastAsia="游明朝"/>
          <w:b/>
          <w:bCs/>
          <w:lang w:eastAsia="ja-JP"/>
        </w:rPr>
        <w:instrText xml:space="preserve"> \* MERGEFORMAT </w:instrText>
      </w:r>
      <w:r w:rsidRPr="003E7EEA">
        <w:rPr>
          <w:rFonts w:eastAsia="游明朝"/>
          <w:b/>
          <w:bCs/>
          <w:lang w:eastAsia="ja-JP"/>
        </w:rPr>
      </w:r>
      <w:r w:rsidRPr="003E7EEA">
        <w:rPr>
          <w:rFonts w:eastAsia="游明朝"/>
          <w:b/>
          <w:bCs/>
          <w:lang w:eastAsia="ja-JP"/>
        </w:rPr>
        <w:fldChar w:fldCharType="separate"/>
      </w:r>
      <w:r w:rsidR="003E7EEA" w:rsidRPr="00CA2E3D">
        <w:rPr>
          <w:b/>
          <w:bCs/>
        </w:rPr>
        <w:t xml:space="preserve">Proposal </w:t>
      </w:r>
      <w:r w:rsidR="003E7EEA" w:rsidRPr="00CA2E3D">
        <w:rPr>
          <w:b/>
          <w:bCs/>
          <w:noProof/>
        </w:rPr>
        <w:t>1</w:t>
      </w:r>
      <w:r w:rsidR="003E7EEA" w:rsidRPr="00CA2E3D">
        <w:rPr>
          <w:b/>
          <w:bCs/>
        </w:rPr>
        <w:t>: Type 2A channel access procedure(s) is applicable for PSFCH transmission from a UE without a shared channel occupancy.</w:t>
      </w:r>
      <w:r w:rsidRPr="003E7EEA">
        <w:rPr>
          <w:rFonts w:eastAsia="游明朝"/>
          <w:b/>
          <w:bCs/>
          <w:lang w:eastAsia="ja-JP"/>
        </w:rPr>
        <w:fldChar w:fldCharType="end"/>
      </w:r>
    </w:p>
    <w:p w14:paraId="3822DB1C" w14:textId="77777777" w:rsidR="003E7EEA" w:rsidRPr="003E7EEA" w:rsidRDefault="000B35FD" w:rsidP="00CA2E3D">
      <w:pPr>
        <w:pStyle w:val="3GPPNormalText"/>
        <w:rPr>
          <w:bCs/>
        </w:rPr>
      </w:pPr>
      <w:r w:rsidRPr="00CF5E0B">
        <w:rPr>
          <w:rFonts w:eastAsia="游明朝"/>
          <w:b/>
          <w:bCs/>
          <w:lang w:eastAsia="ja-JP"/>
        </w:rPr>
        <w:fldChar w:fldCharType="begin"/>
      </w:r>
      <w:r w:rsidRPr="004E4948">
        <w:rPr>
          <w:rFonts w:eastAsia="游明朝"/>
          <w:b/>
          <w:bCs/>
          <w:lang w:eastAsia="ja-JP"/>
        </w:rPr>
        <w:instrText xml:space="preserve"> REF _Ref118632654 \h  \* MERGEFORMAT </w:instrText>
      </w:r>
      <w:r w:rsidRPr="00CF5E0B">
        <w:rPr>
          <w:rFonts w:eastAsia="游明朝"/>
          <w:b/>
          <w:bCs/>
          <w:lang w:eastAsia="ja-JP"/>
        </w:rPr>
      </w:r>
      <w:r w:rsidRPr="00CF5E0B">
        <w:rPr>
          <w:rFonts w:eastAsia="游明朝"/>
          <w:b/>
          <w:bCs/>
          <w:lang w:eastAsia="ja-JP"/>
        </w:rPr>
        <w:fldChar w:fldCharType="separate"/>
      </w:r>
      <w:r w:rsidR="003E7EEA" w:rsidRPr="00CA2E3D">
        <w:rPr>
          <w:b/>
          <w:bCs/>
        </w:rPr>
        <w:t xml:space="preserve">Proposal </w:t>
      </w:r>
      <w:r w:rsidR="003E7EEA" w:rsidRPr="00CA2E3D">
        <w:rPr>
          <w:b/>
          <w:bCs/>
          <w:noProof/>
        </w:rPr>
        <w:t>2</w:t>
      </w:r>
      <w:r w:rsidR="003E7EEA" w:rsidRPr="00CA2E3D">
        <w:rPr>
          <w:b/>
          <w:bCs/>
        </w:rPr>
        <w:t xml:space="preserve">: the </w:t>
      </w:r>
      <w:r w:rsidR="003E7EEA" w:rsidRPr="00CA2E3D">
        <w:rPr>
          <w:b/>
          <w:bCs/>
          <w:lang w:eastAsia="ar-SA"/>
        </w:rPr>
        <w:t>COT sharing information</w:t>
      </w:r>
      <w:r w:rsidR="003E7EEA" w:rsidRPr="00CA2E3D">
        <w:rPr>
          <w:b/>
          <w:bCs/>
        </w:rPr>
        <w:t xml:space="preserve"> is transmitted by </w:t>
      </w:r>
      <w:r w:rsidR="003E7EEA" w:rsidRPr="00CA2E3D">
        <w:rPr>
          <w:b/>
          <w:bCs/>
          <w:lang w:eastAsia="ar-SA"/>
        </w:rPr>
        <w:t>SCI.</w:t>
      </w:r>
    </w:p>
    <w:p w14:paraId="723B06D2" w14:textId="22CA10D3" w:rsidR="000B1BB5" w:rsidRPr="004E4948" w:rsidRDefault="003E7EEA" w:rsidP="00615EC0">
      <w:pPr>
        <w:pStyle w:val="3GPPNormalText"/>
        <w:rPr>
          <w:b/>
          <w:bCs/>
        </w:rPr>
      </w:pPr>
      <w:r w:rsidRPr="00CA2E3D">
        <w:rPr>
          <w:b/>
          <w:bCs/>
          <w:lang w:eastAsia="ar-SA"/>
        </w:rPr>
        <w:t xml:space="preserve">Proposal 3: the COT sharing information includes at least source </w:t>
      </w:r>
      <w:r w:rsidRPr="00CA2E3D">
        <w:rPr>
          <w:b/>
          <w:bCs/>
        </w:rPr>
        <w:t xml:space="preserve">ID, </w:t>
      </w:r>
      <w:r w:rsidRPr="00CA2E3D">
        <w:rPr>
          <w:b/>
          <w:bCs/>
          <w:lang w:eastAsia="ar-SA"/>
        </w:rPr>
        <w:t xml:space="preserve">destination ID, CAPC level, remaining </w:t>
      </w:r>
      <w:r w:rsidRPr="00CA2E3D">
        <w:rPr>
          <w:b/>
          <w:bCs/>
        </w:rPr>
        <w:t>COT duration, RB set(s) in the COT and shared time and frequency resource(s).</w:t>
      </w:r>
      <w:r w:rsidR="000B35FD" w:rsidRPr="00CF5E0B">
        <w:rPr>
          <w:rFonts w:eastAsia="游明朝"/>
          <w:b/>
          <w:bCs/>
          <w:lang w:eastAsia="ja-JP"/>
        </w:rPr>
        <w:fldChar w:fldCharType="end"/>
      </w:r>
    </w:p>
    <w:p w14:paraId="7989FB60" w14:textId="58DC3872" w:rsidR="000B1BB5" w:rsidRDefault="003E7EEA" w:rsidP="00615EC0">
      <w:pPr>
        <w:pStyle w:val="3GPPNormalText"/>
      </w:pPr>
      <w:r>
        <w:fldChar w:fldCharType="begin"/>
      </w:r>
      <w:r>
        <w:instrText xml:space="preserve"> REF _Ref131769596 \h </w:instrText>
      </w:r>
      <w:r>
        <w:fldChar w:fldCharType="separate"/>
      </w:r>
      <w:r w:rsidRPr="00CA2E3D">
        <w:rPr>
          <w:b/>
          <w:bCs/>
        </w:rPr>
        <w:t xml:space="preserve">Proposal </w:t>
      </w:r>
      <w:r>
        <w:rPr>
          <w:b/>
          <w:bCs/>
          <w:noProof/>
        </w:rPr>
        <w:t>4</w:t>
      </w:r>
      <w:r w:rsidRPr="00CA2E3D">
        <w:rPr>
          <w:b/>
          <w:bCs/>
        </w:rPr>
        <w:t xml:space="preserve">: </w:t>
      </w:r>
      <w:r>
        <w:rPr>
          <w:b/>
          <w:bCs/>
        </w:rPr>
        <w:t xml:space="preserve">support option 1 </w:t>
      </w:r>
      <w:r>
        <w:rPr>
          <w:rFonts w:eastAsia="游明朝" w:hint="eastAsia"/>
          <w:b/>
          <w:bCs/>
          <w:lang w:eastAsia="ja-JP"/>
        </w:rPr>
        <w:t>t</w:t>
      </w:r>
      <w:r w:rsidRPr="001C59F0">
        <w:rPr>
          <w:b/>
          <w:bCs/>
        </w:rPr>
        <w:t>o resolve the Type 1 LBT blocking issue</w:t>
      </w:r>
      <w:r>
        <w:rPr>
          <w:b/>
          <w:bCs/>
        </w:rPr>
        <w:t>.</w:t>
      </w:r>
      <w:r>
        <w:fldChar w:fldCharType="end"/>
      </w:r>
    </w:p>
    <w:p w14:paraId="05687359" w14:textId="77777777" w:rsidR="003E7EEA" w:rsidRPr="0079173A" w:rsidRDefault="003E7EEA" w:rsidP="003E7EEA">
      <w:pPr>
        <w:pStyle w:val="3GPPNormalText"/>
        <w:numPr>
          <w:ilvl w:val="0"/>
          <w:numId w:val="41"/>
        </w:numPr>
        <w:rPr>
          <w:b/>
          <w:bCs/>
          <w:lang w:val="en-US"/>
        </w:rPr>
      </w:pPr>
      <w:r w:rsidRPr="0079173A">
        <w:rPr>
          <w:b/>
          <w:bCs/>
          <w:lang w:val="en-US"/>
        </w:rPr>
        <w:t>UE avoid selection of a resource before a reserved resource when the transmitting symbols of the selected resource overlap with Type 1 LBT of the reserved resource.</w:t>
      </w:r>
    </w:p>
    <w:p w14:paraId="131DCF76" w14:textId="77777777" w:rsidR="003E7EEA" w:rsidRPr="0079173A" w:rsidRDefault="003E7EEA" w:rsidP="003E7EEA">
      <w:pPr>
        <w:pStyle w:val="3GPPNormalText"/>
        <w:numPr>
          <w:ilvl w:val="0"/>
          <w:numId w:val="41"/>
        </w:numPr>
        <w:rPr>
          <w:b/>
          <w:bCs/>
          <w:lang w:val="en-US"/>
        </w:rPr>
      </w:pPr>
      <w:r w:rsidRPr="0079173A">
        <w:rPr>
          <w:b/>
          <w:bCs/>
          <w:iCs/>
          <w:lang w:val="en-US"/>
        </w:rPr>
        <w:t>UE avoid selection of a resource after a reserved resource when the transmitting symbols of the reserved resource overlap with LBT of the selected resource.</w:t>
      </w:r>
    </w:p>
    <w:p w14:paraId="13CBCBB7" w14:textId="77777777" w:rsidR="00F41B84" w:rsidRPr="00674701" w:rsidRDefault="00F41B84"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5ABD1582" w14:textId="3CF43E4D" w:rsidR="00BE062A" w:rsidRPr="0098384F"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w:t>
      </w:r>
      <w:r w:rsidR="003E7EEA">
        <w:rPr>
          <w:rFonts w:eastAsia="游明朝" w:cs="Times"/>
          <w:lang w:eastAsia="ja-JP"/>
        </w:rPr>
        <w:t>2</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476D" w14:textId="77777777" w:rsidR="00FF758C" w:rsidRDefault="00FF758C">
      <w:r>
        <w:separator/>
      </w:r>
    </w:p>
  </w:endnote>
  <w:endnote w:type="continuationSeparator" w:id="0">
    <w:p w14:paraId="000CE077" w14:textId="77777777" w:rsidR="00FF758C" w:rsidRDefault="00FF758C">
      <w:r>
        <w:continuationSeparator/>
      </w:r>
    </w:p>
  </w:endnote>
  <w:endnote w:type="continuationNotice" w:id="1">
    <w:p w14:paraId="298C3230" w14:textId="77777777" w:rsidR="00FF758C" w:rsidRDefault="00FF7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6471" w14:textId="77777777" w:rsidR="00FF758C" w:rsidRDefault="00FF758C">
      <w:r>
        <w:separator/>
      </w:r>
    </w:p>
  </w:footnote>
  <w:footnote w:type="continuationSeparator" w:id="0">
    <w:p w14:paraId="6706BDB5" w14:textId="77777777" w:rsidR="00FF758C" w:rsidRDefault="00FF758C">
      <w:r>
        <w:continuationSeparator/>
      </w:r>
    </w:p>
  </w:footnote>
  <w:footnote w:type="continuationNotice" w:id="1">
    <w:p w14:paraId="4BED8ACD" w14:textId="77777777" w:rsidR="00FF758C" w:rsidRDefault="00FF75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5"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18862900">
    <w:abstractNumId w:val="4"/>
  </w:num>
  <w:num w:numId="2" w16cid:durableId="183833135">
    <w:abstractNumId w:val="26"/>
  </w:num>
  <w:num w:numId="3" w16cid:durableId="2028671416">
    <w:abstractNumId w:val="42"/>
  </w:num>
  <w:num w:numId="4" w16cid:durableId="789009071">
    <w:abstractNumId w:val="41"/>
  </w:num>
  <w:num w:numId="5" w16cid:durableId="1875345297">
    <w:abstractNumId w:val="11"/>
  </w:num>
  <w:num w:numId="6" w16cid:durableId="27960690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686567040">
    <w:abstractNumId w:val="38"/>
  </w:num>
  <w:num w:numId="8" w16cid:durableId="1694964458">
    <w:abstractNumId w:val="20"/>
  </w:num>
  <w:num w:numId="9" w16cid:durableId="1735928334">
    <w:abstractNumId w:val="31"/>
  </w:num>
  <w:num w:numId="10" w16cid:durableId="363138449">
    <w:abstractNumId w:val="30"/>
  </w:num>
  <w:num w:numId="11" w16cid:durableId="1434129967">
    <w:abstractNumId w:val="2"/>
  </w:num>
  <w:num w:numId="12" w16cid:durableId="186985500">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7151105">
    <w:abstractNumId w:val="39"/>
  </w:num>
  <w:num w:numId="14" w16cid:durableId="36509289">
    <w:abstractNumId w:val="40"/>
  </w:num>
  <w:num w:numId="15" w16cid:durableId="218445172">
    <w:abstractNumId w:val="27"/>
  </w:num>
  <w:num w:numId="16" w16cid:durableId="726808142">
    <w:abstractNumId w:val="24"/>
  </w:num>
  <w:num w:numId="17" w16cid:durableId="1369254782">
    <w:abstractNumId w:val="16"/>
  </w:num>
  <w:num w:numId="18" w16cid:durableId="1020938115">
    <w:abstractNumId w:val="33"/>
  </w:num>
  <w:num w:numId="19" w16cid:durableId="1188372507">
    <w:abstractNumId w:val="18"/>
  </w:num>
  <w:num w:numId="20" w16cid:durableId="276110303">
    <w:abstractNumId w:val="28"/>
  </w:num>
  <w:num w:numId="21" w16cid:durableId="567765450">
    <w:abstractNumId w:val="37"/>
  </w:num>
  <w:num w:numId="22" w16cid:durableId="639774466">
    <w:abstractNumId w:val="10"/>
  </w:num>
  <w:num w:numId="23" w16cid:durableId="1617448878">
    <w:abstractNumId w:val="22"/>
  </w:num>
  <w:num w:numId="24" w16cid:durableId="472646521">
    <w:abstractNumId w:val="15"/>
  </w:num>
  <w:num w:numId="25" w16cid:durableId="187527376">
    <w:abstractNumId w:val="13"/>
  </w:num>
  <w:num w:numId="26" w16cid:durableId="2027906222">
    <w:abstractNumId w:val="14"/>
  </w:num>
  <w:num w:numId="27" w16cid:durableId="1553344550">
    <w:abstractNumId w:val="36"/>
  </w:num>
  <w:num w:numId="28" w16cid:durableId="1476220873">
    <w:abstractNumId w:val="34"/>
  </w:num>
  <w:num w:numId="29" w16cid:durableId="269246483">
    <w:abstractNumId w:val="29"/>
  </w:num>
  <w:num w:numId="30" w16cid:durableId="1668022837">
    <w:abstractNumId w:val="23"/>
  </w:num>
  <w:num w:numId="31" w16cid:durableId="1433668924">
    <w:abstractNumId w:val="6"/>
  </w:num>
  <w:num w:numId="32" w16cid:durableId="1603149176">
    <w:abstractNumId w:val="7"/>
  </w:num>
  <w:num w:numId="33" w16cid:durableId="74784095">
    <w:abstractNumId w:val="21"/>
  </w:num>
  <w:num w:numId="34" w16cid:durableId="1445419591">
    <w:abstractNumId w:val="32"/>
  </w:num>
  <w:num w:numId="35" w16cid:durableId="2119526879">
    <w:abstractNumId w:val="35"/>
  </w:num>
  <w:num w:numId="36" w16cid:durableId="1674600631">
    <w:abstractNumId w:val="12"/>
  </w:num>
  <w:num w:numId="37" w16cid:durableId="1401947692">
    <w:abstractNumId w:val="8"/>
  </w:num>
  <w:num w:numId="38" w16cid:durableId="1136414265">
    <w:abstractNumId w:val="19"/>
  </w:num>
  <w:num w:numId="39" w16cid:durableId="858350420">
    <w:abstractNumId w:val="9"/>
  </w:num>
  <w:num w:numId="40" w16cid:durableId="868296172">
    <w:abstractNumId w:val="3"/>
  </w:num>
  <w:num w:numId="41" w16cid:durableId="1108233326">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C10"/>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3C06"/>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1F2"/>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1F94"/>
    <w:rsid w:val="000B20F7"/>
    <w:rsid w:val="000B22ED"/>
    <w:rsid w:val="000B249C"/>
    <w:rsid w:val="000B280A"/>
    <w:rsid w:val="000B2B27"/>
    <w:rsid w:val="000B2EC5"/>
    <w:rsid w:val="000B2EF3"/>
    <w:rsid w:val="000B315B"/>
    <w:rsid w:val="000B3427"/>
    <w:rsid w:val="000B35AC"/>
    <w:rsid w:val="000B35FD"/>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DB8"/>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CFC"/>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BD9"/>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190"/>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9FC"/>
    <w:rsid w:val="00172D31"/>
    <w:rsid w:val="00172E93"/>
    <w:rsid w:val="0017311B"/>
    <w:rsid w:val="00173629"/>
    <w:rsid w:val="00173B43"/>
    <w:rsid w:val="00173F4F"/>
    <w:rsid w:val="00173F69"/>
    <w:rsid w:val="00174247"/>
    <w:rsid w:val="00174362"/>
    <w:rsid w:val="00174508"/>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397E"/>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51B"/>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9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9F0"/>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C7E82"/>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5F64"/>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181"/>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9F3"/>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794"/>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4AC"/>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6ECD"/>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07C"/>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28"/>
    <w:rsid w:val="002C6AF1"/>
    <w:rsid w:val="002C6BD2"/>
    <w:rsid w:val="002C6C5D"/>
    <w:rsid w:val="002C7F85"/>
    <w:rsid w:val="002D02EA"/>
    <w:rsid w:val="002D11F8"/>
    <w:rsid w:val="002D1576"/>
    <w:rsid w:val="002D15B5"/>
    <w:rsid w:val="002D18A3"/>
    <w:rsid w:val="002D1935"/>
    <w:rsid w:val="002D1D02"/>
    <w:rsid w:val="002D1F42"/>
    <w:rsid w:val="002D20EA"/>
    <w:rsid w:val="002D2388"/>
    <w:rsid w:val="002D26B8"/>
    <w:rsid w:val="002D2D41"/>
    <w:rsid w:val="002D2D8F"/>
    <w:rsid w:val="002D2F2A"/>
    <w:rsid w:val="002D31D9"/>
    <w:rsid w:val="002D3309"/>
    <w:rsid w:val="002D33EA"/>
    <w:rsid w:val="002D361B"/>
    <w:rsid w:val="002D3623"/>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5EF"/>
    <w:rsid w:val="002E78DD"/>
    <w:rsid w:val="002E7C06"/>
    <w:rsid w:val="002E7C6B"/>
    <w:rsid w:val="002E7EDA"/>
    <w:rsid w:val="002E7F09"/>
    <w:rsid w:val="002F03B0"/>
    <w:rsid w:val="002F0697"/>
    <w:rsid w:val="002F0767"/>
    <w:rsid w:val="002F087B"/>
    <w:rsid w:val="002F08C2"/>
    <w:rsid w:val="002F0984"/>
    <w:rsid w:val="002F0C3F"/>
    <w:rsid w:val="002F0C5B"/>
    <w:rsid w:val="002F1148"/>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17"/>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6A8"/>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4F6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23"/>
    <w:rsid w:val="003B5A99"/>
    <w:rsid w:val="003B5D04"/>
    <w:rsid w:val="003B5FE4"/>
    <w:rsid w:val="003B6629"/>
    <w:rsid w:val="003B68AC"/>
    <w:rsid w:val="003B6B93"/>
    <w:rsid w:val="003B6E90"/>
    <w:rsid w:val="003B70B0"/>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3F6"/>
    <w:rsid w:val="003E74AC"/>
    <w:rsid w:val="003E7536"/>
    <w:rsid w:val="003E78D8"/>
    <w:rsid w:val="003E7AA3"/>
    <w:rsid w:val="003E7B95"/>
    <w:rsid w:val="003E7EEA"/>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121"/>
    <w:rsid w:val="004238A7"/>
    <w:rsid w:val="0042403A"/>
    <w:rsid w:val="00424476"/>
    <w:rsid w:val="0042499D"/>
    <w:rsid w:val="00424BAB"/>
    <w:rsid w:val="00424C05"/>
    <w:rsid w:val="00424DF2"/>
    <w:rsid w:val="004251DB"/>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B3B"/>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20E"/>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0F5"/>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BD4"/>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2B"/>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CA4"/>
    <w:rsid w:val="004E2EE6"/>
    <w:rsid w:val="004E3115"/>
    <w:rsid w:val="004E3772"/>
    <w:rsid w:val="004E3A38"/>
    <w:rsid w:val="004E3B23"/>
    <w:rsid w:val="004E3C1E"/>
    <w:rsid w:val="004E3CBF"/>
    <w:rsid w:val="004E3FB7"/>
    <w:rsid w:val="004E40A9"/>
    <w:rsid w:val="004E4292"/>
    <w:rsid w:val="004E4565"/>
    <w:rsid w:val="004E4948"/>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2C95"/>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DD9"/>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A80"/>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0ECD"/>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2FA"/>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A56"/>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49D"/>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EA1"/>
    <w:rsid w:val="005D3F72"/>
    <w:rsid w:val="005D3F77"/>
    <w:rsid w:val="005D41C1"/>
    <w:rsid w:val="005D4259"/>
    <w:rsid w:val="005D4500"/>
    <w:rsid w:val="005D48A8"/>
    <w:rsid w:val="005D48B3"/>
    <w:rsid w:val="005D4B7D"/>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C7"/>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B9B"/>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86E"/>
    <w:rsid w:val="00651A9F"/>
    <w:rsid w:val="00651F59"/>
    <w:rsid w:val="00652191"/>
    <w:rsid w:val="006524DA"/>
    <w:rsid w:val="006525CD"/>
    <w:rsid w:val="0065270A"/>
    <w:rsid w:val="006527AE"/>
    <w:rsid w:val="006527B1"/>
    <w:rsid w:val="00652FD7"/>
    <w:rsid w:val="00653184"/>
    <w:rsid w:val="006532F0"/>
    <w:rsid w:val="006535FB"/>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186"/>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B19"/>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4E9"/>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1CDB"/>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C6A"/>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951"/>
    <w:rsid w:val="006E7A1A"/>
    <w:rsid w:val="006E7B73"/>
    <w:rsid w:val="006E7D4F"/>
    <w:rsid w:val="006E7DDA"/>
    <w:rsid w:val="006F0034"/>
    <w:rsid w:val="006F0454"/>
    <w:rsid w:val="006F04D4"/>
    <w:rsid w:val="006F0676"/>
    <w:rsid w:val="006F0755"/>
    <w:rsid w:val="006F09A4"/>
    <w:rsid w:val="006F101C"/>
    <w:rsid w:val="006F1659"/>
    <w:rsid w:val="006F1736"/>
    <w:rsid w:val="006F1C8A"/>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5F9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0EB"/>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4D85"/>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0DD5"/>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76"/>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C58"/>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3F3D"/>
    <w:rsid w:val="007A41FE"/>
    <w:rsid w:val="007A43AF"/>
    <w:rsid w:val="007A45EC"/>
    <w:rsid w:val="007A45FE"/>
    <w:rsid w:val="007A46EE"/>
    <w:rsid w:val="007A4ADF"/>
    <w:rsid w:val="007A4B18"/>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35B"/>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09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BA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0DF"/>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49F"/>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1BF8"/>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377"/>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28"/>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4D"/>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D08"/>
    <w:rsid w:val="008C6EC4"/>
    <w:rsid w:val="008C767E"/>
    <w:rsid w:val="008C7949"/>
    <w:rsid w:val="008C7CC8"/>
    <w:rsid w:val="008C7D2E"/>
    <w:rsid w:val="008C7E6C"/>
    <w:rsid w:val="008C7FDC"/>
    <w:rsid w:val="008D0137"/>
    <w:rsid w:val="008D0237"/>
    <w:rsid w:val="008D034A"/>
    <w:rsid w:val="008D0628"/>
    <w:rsid w:val="008D0A2F"/>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411"/>
    <w:rsid w:val="009006F3"/>
    <w:rsid w:val="009009A1"/>
    <w:rsid w:val="00900E08"/>
    <w:rsid w:val="00901135"/>
    <w:rsid w:val="009013F4"/>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99"/>
    <w:rsid w:val="009118F2"/>
    <w:rsid w:val="009119B0"/>
    <w:rsid w:val="00911BC7"/>
    <w:rsid w:val="009127BF"/>
    <w:rsid w:val="00912AC3"/>
    <w:rsid w:val="00912DD5"/>
    <w:rsid w:val="00913200"/>
    <w:rsid w:val="0091323B"/>
    <w:rsid w:val="009134BF"/>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A2F"/>
    <w:rsid w:val="00923BF0"/>
    <w:rsid w:val="00923CA7"/>
    <w:rsid w:val="00923FBF"/>
    <w:rsid w:val="0092433B"/>
    <w:rsid w:val="00924789"/>
    <w:rsid w:val="00924BCA"/>
    <w:rsid w:val="009250F5"/>
    <w:rsid w:val="00925110"/>
    <w:rsid w:val="009251BA"/>
    <w:rsid w:val="009253EC"/>
    <w:rsid w:val="00925E44"/>
    <w:rsid w:val="00925F13"/>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7CB"/>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0F0"/>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84F"/>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5EB"/>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14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89B"/>
    <w:rsid w:val="009E19D9"/>
    <w:rsid w:val="009E1A32"/>
    <w:rsid w:val="009E1BB6"/>
    <w:rsid w:val="009E1C3B"/>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7FB"/>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71B"/>
    <w:rsid w:val="00A00858"/>
    <w:rsid w:val="00A00ECC"/>
    <w:rsid w:val="00A0109E"/>
    <w:rsid w:val="00A013EB"/>
    <w:rsid w:val="00A01592"/>
    <w:rsid w:val="00A01741"/>
    <w:rsid w:val="00A01AA4"/>
    <w:rsid w:val="00A01B73"/>
    <w:rsid w:val="00A01C41"/>
    <w:rsid w:val="00A01F4B"/>
    <w:rsid w:val="00A021C9"/>
    <w:rsid w:val="00A0223C"/>
    <w:rsid w:val="00A02425"/>
    <w:rsid w:val="00A02579"/>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DBC"/>
    <w:rsid w:val="00A16E10"/>
    <w:rsid w:val="00A1706C"/>
    <w:rsid w:val="00A174D2"/>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035"/>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6444"/>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CAF"/>
    <w:rsid w:val="00B15D02"/>
    <w:rsid w:val="00B1615E"/>
    <w:rsid w:val="00B163C0"/>
    <w:rsid w:val="00B1658C"/>
    <w:rsid w:val="00B16615"/>
    <w:rsid w:val="00B16705"/>
    <w:rsid w:val="00B1679C"/>
    <w:rsid w:val="00B169D4"/>
    <w:rsid w:val="00B16B6B"/>
    <w:rsid w:val="00B17130"/>
    <w:rsid w:val="00B17191"/>
    <w:rsid w:val="00B1739D"/>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653"/>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5F"/>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2FE"/>
    <w:rsid w:val="00B5048C"/>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90F"/>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CD9"/>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24C"/>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394"/>
    <w:rsid w:val="00BF4776"/>
    <w:rsid w:val="00BF48AB"/>
    <w:rsid w:val="00BF4921"/>
    <w:rsid w:val="00BF4DF0"/>
    <w:rsid w:val="00BF5140"/>
    <w:rsid w:val="00BF51E5"/>
    <w:rsid w:val="00BF53A9"/>
    <w:rsid w:val="00BF53C1"/>
    <w:rsid w:val="00BF5463"/>
    <w:rsid w:val="00BF5EC5"/>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160"/>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D7"/>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5BC"/>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36D"/>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275"/>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329"/>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2E3D"/>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3FB"/>
    <w:rsid w:val="00CA6412"/>
    <w:rsid w:val="00CA662A"/>
    <w:rsid w:val="00CA686B"/>
    <w:rsid w:val="00CA69E9"/>
    <w:rsid w:val="00CA6ED6"/>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477"/>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1E64"/>
    <w:rsid w:val="00CE2113"/>
    <w:rsid w:val="00CE2662"/>
    <w:rsid w:val="00CE2B95"/>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26"/>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5E0B"/>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6EE6"/>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A4A"/>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7FC"/>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79C"/>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268"/>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AB7"/>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2E21"/>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4C58"/>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15F"/>
    <w:rsid w:val="00E511C4"/>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4"/>
    <w:rsid w:val="00E6045E"/>
    <w:rsid w:val="00E60675"/>
    <w:rsid w:val="00E60770"/>
    <w:rsid w:val="00E607C9"/>
    <w:rsid w:val="00E6086B"/>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982"/>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3A6"/>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B03"/>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08"/>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A50"/>
    <w:rsid w:val="00EF5B0E"/>
    <w:rsid w:val="00EF5B0F"/>
    <w:rsid w:val="00EF5B77"/>
    <w:rsid w:val="00EF5EAE"/>
    <w:rsid w:val="00EF66CA"/>
    <w:rsid w:val="00EF66E2"/>
    <w:rsid w:val="00EF66F7"/>
    <w:rsid w:val="00EF67F6"/>
    <w:rsid w:val="00EF6B08"/>
    <w:rsid w:val="00EF6FC5"/>
    <w:rsid w:val="00EF7433"/>
    <w:rsid w:val="00EF7CCB"/>
    <w:rsid w:val="00F001E0"/>
    <w:rsid w:val="00F00250"/>
    <w:rsid w:val="00F002FC"/>
    <w:rsid w:val="00F0040E"/>
    <w:rsid w:val="00F004AF"/>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66D"/>
    <w:rsid w:val="00F12940"/>
    <w:rsid w:val="00F12BC2"/>
    <w:rsid w:val="00F12BEC"/>
    <w:rsid w:val="00F13275"/>
    <w:rsid w:val="00F13340"/>
    <w:rsid w:val="00F13508"/>
    <w:rsid w:val="00F1363B"/>
    <w:rsid w:val="00F13719"/>
    <w:rsid w:val="00F1389F"/>
    <w:rsid w:val="00F1393E"/>
    <w:rsid w:val="00F13B46"/>
    <w:rsid w:val="00F13C4F"/>
    <w:rsid w:val="00F13C76"/>
    <w:rsid w:val="00F13E83"/>
    <w:rsid w:val="00F13EBE"/>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A52"/>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B84"/>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6D"/>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2DB6"/>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6DBF"/>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2D7"/>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7D8"/>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2D6A"/>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58C"/>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40D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 w:type="paragraph" w:customStyle="1" w:styleId="0Maintext">
    <w:name w:val="0 Main text"/>
    <w:basedOn w:val="a0"/>
    <w:link w:val="0MaintextChar"/>
    <w:qFormat/>
    <w:rsid w:val="002B707C"/>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2B707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5481373">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426272">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2.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774</TotalTime>
  <Pages>4</Pages>
  <Words>2115</Words>
  <Characters>12059</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515</cp:revision>
  <cp:lastPrinted>2013-05-14T11:37:00Z</cp:lastPrinted>
  <dcterms:created xsi:type="dcterms:W3CDTF">2022-02-15T02:31:00Z</dcterms:created>
  <dcterms:modified xsi:type="dcterms:W3CDTF">2023-04-07T05:21:00Z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SIP_Label_1f8e20e6-048a-4bad-a26b-318dd1cd4d47_Enabled">
    <vt:lpwstr>true</vt:lpwstr>
  </property>
  <property fmtid="{D5CDD505-2E9C-101B-9397-08002B2CF9AE}" pid="5" name="MSIP_Label_1f8e20e6-048a-4bad-a26b-318dd1cd4d47_SetDate">
    <vt:lpwstr>2023-04-05T00:12:39Z</vt:lpwstr>
  </property>
  <property fmtid="{D5CDD505-2E9C-101B-9397-08002B2CF9AE}" pid="6" name="MSIP_Label_1f8e20e6-048a-4bad-a26b-318dd1cd4d47_Method">
    <vt:lpwstr>Privileged</vt:lpwstr>
  </property>
  <property fmtid="{D5CDD505-2E9C-101B-9397-08002B2CF9AE}" pid="7" name="MSIP_Label_1f8e20e6-048a-4bad-a26b-318dd1cd4d47_Name">
    <vt:lpwstr>1f8e20e6-048a-4bad-a26b-318dd1cd4d47</vt:lpwstr>
  </property>
  <property fmtid="{D5CDD505-2E9C-101B-9397-08002B2CF9AE}" pid="8" name="MSIP_Label_1f8e20e6-048a-4bad-a26b-318dd1cd4d47_SiteId">
    <vt:lpwstr>66c65d8a-9158-4521-a2d8-664963db48e4</vt:lpwstr>
  </property>
  <property fmtid="{D5CDD505-2E9C-101B-9397-08002B2CF9AE}" pid="9" name="MSIP_Label_1f8e20e6-048a-4bad-a26b-318dd1cd4d47_ActionId">
    <vt:lpwstr>674e2c48-f8b6-44e3-808a-d9df666e96aa</vt:lpwstr>
  </property>
  <property fmtid="{D5CDD505-2E9C-101B-9397-08002B2CF9AE}" pid="10" name="MSIP_Label_1f8e20e6-048a-4bad-a26b-318dd1cd4d47_ContentBits">
    <vt:lpwstr>0</vt:lpwstr>
  </property>
</Properties>
</file>