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579F14FA" w:rsidR="008D4E3F" w:rsidRPr="000A47FB" w:rsidRDefault="000D6257" w:rsidP="008D4E3F">
      <w:pPr>
        <w:pStyle w:val="Header"/>
        <w:tabs>
          <w:tab w:val="right" w:pos="9639"/>
        </w:tabs>
        <w:rPr>
          <w:bCs/>
          <w:noProof w:val="0"/>
          <w:sz w:val="24"/>
          <w:szCs w:val="24"/>
          <w:highlight w:val="yellow"/>
        </w:rPr>
      </w:pPr>
      <w:bookmarkStart w:id="0" w:name="_Hlk68690920"/>
      <w:r w:rsidRPr="000D6257">
        <w:rPr>
          <w:bCs/>
          <w:noProof w:val="0"/>
          <w:sz w:val="24"/>
          <w:szCs w:val="24"/>
        </w:rPr>
        <w:t>3GPP TSG RAN WG1 #11</w:t>
      </w:r>
      <w:r w:rsidR="003407CF">
        <w:rPr>
          <w:bCs/>
          <w:noProof w:val="0"/>
          <w:sz w:val="24"/>
          <w:szCs w:val="24"/>
        </w:rPr>
        <w:t>2</w:t>
      </w:r>
      <w:r w:rsidR="00683E84">
        <w:rPr>
          <w:bCs/>
          <w:noProof w:val="0"/>
          <w:sz w:val="24"/>
          <w:szCs w:val="24"/>
        </w:rPr>
        <w:t>bis-e</w:t>
      </w:r>
      <w:r w:rsidR="00452DC7" w:rsidRPr="002A7401">
        <w:rPr>
          <w:bCs/>
          <w:noProof w:val="0"/>
          <w:sz w:val="24"/>
          <w:szCs w:val="24"/>
        </w:rPr>
        <w:t xml:space="preserve"> </w:t>
      </w:r>
      <w:r w:rsidR="00452DC7" w:rsidRPr="002A7401">
        <w:tab/>
      </w:r>
      <w:r w:rsidR="00C24724" w:rsidRPr="00262345">
        <w:rPr>
          <w:sz w:val="24"/>
          <w:szCs w:val="24"/>
        </w:rPr>
        <w:t>R1-</w:t>
      </w:r>
      <w:r w:rsidR="00461A4B" w:rsidRPr="002C0633">
        <w:rPr>
          <w:sz w:val="24"/>
          <w:szCs w:val="24"/>
        </w:rPr>
        <w:t>2302837</w:t>
      </w:r>
    </w:p>
    <w:p w14:paraId="0513CBBD" w14:textId="38D689B2" w:rsidR="003407CF" w:rsidRPr="003407CF" w:rsidRDefault="00683E84" w:rsidP="003407CF">
      <w:pPr>
        <w:tabs>
          <w:tab w:val="center" w:pos="4536"/>
          <w:tab w:val="right" w:pos="9072"/>
        </w:tabs>
        <w:rPr>
          <w:rFonts w:ascii="Arial" w:eastAsia="宋体" w:hAnsi="Arial" w:cs="Arial"/>
          <w:b/>
          <w:bCs/>
          <w:sz w:val="24"/>
          <w:szCs w:val="24"/>
        </w:rPr>
      </w:pPr>
      <w:bookmarkStart w:id="1" w:name="OLE_LINK2"/>
      <w:r>
        <w:rPr>
          <w:rFonts w:ascii="Arial" w:eastAsia="宋体" w:hAnsi="Arial" w:cs="Arial"/>
          <w:b/>
          <w:bCs/>
          <w:sz w:val="24"/>
          <w:szCs w:val="24"/>
        </w:rPr>
        <w:t>e</w:t>
      </w:r>
      <w:r w:rsidR="00C5009C">
        <w:rPr>
          <w:rFonts w:ascii="Arial" w:eastAsia="宋体" w:hAnsi="Arial" w:cs="Arial"/>
          <w:b/>
          <w:bCs/>
          <w:sz w:val="24"/>
          <w:szCs w:val="24"/>
        </w:rPr>
        <w:t>-M</w:t>
      </w:r>
      <w:r>
        <w:rPr>
          <w:rFonts w:ascii="Arial" w:eastAsia="宋体" w:hAnsi="Arial" w:cs="Arial"/>
          <w:b/>
          <w:bCs/>
          <w:sz w:val="24"/>
          <w:szCs w:val="24"/>
        </w:rPr>
        <w:t>eeting</w:t>
      </w:r>
      <w:r w:rsidR="003407CF" w:rsidRPr="003407CF">
        <w:rPr>
          <w:rFonts w:ascii="Arial" w:eastAsia="宋体" w:hAnsi="Arial" w:cs="Arial"/>
          <w:b/>
          <w:bCs/>
          <w:sz w:val="24"/>
          <w:szCs w:val="24"/>
        </w:rPr>
        <w:t xml:space="preserve">, </w:t>
      </w:r>
      <w:r>
        <w:rPr>
          <w:rFonts w:ascii="Arial" w:eastAsia="宋体" w:hAnsi="Arial" w:cs="Arial"/>
          <w:b/>
          <w:bCs/>
          <w:sz w:val="24"/>
          <w:szCs w:val="24"/>
        </w:rPr>
        <w:t>Apr</w:t>
      </w:r>
      <w:r w:rsidRPr="003407CF">
        <w:rPr>
          <w:rFonts w:ascii="Arial" w:eastAsia="宋体" w:hAnsi="Arial" w:cs="Arial"/>
          <w:b/>
          <w:bCs/>
          <w:sz w:val="24"/>
          <w:szCs w:val="24"/>
        </w:rPr>
        <w:t xml:space="preserve"> </w:t>
      </w:r>
      <w:r>
        <w:rPr>
          <w:rFonts w:ascii="Arial" w:eastAsia="宋体" w:hAnsi="Arial" w:cs="Arial"/>
          <w:b/>
          <w:bCs/>
          <w:sz w:val="24"/>
          <w:szCs w:val="24"/>
        </w:rPr>
        <w:t>1</w:t>
      </w:r>
      <w:r w:rsidRPr="003407CF">
        <w:rPr>
          <w:rFonts w:ascii="Arial" w:eastAsia="宋体" w:hAnsi="Arial" w:cs="Arial"/>
          <w:b/>
          <w:bCs/>
          <w:sz w:val="24"/>
          <w:szCs w:val="24"/>
        </w:rPr>
        <w:t xml:space="preserve">7th </w:t>
      </w:r>
      <w:r w:rsidR="003407CF" w:rsidRPr="003407CF">
        <w:rPr>
          <w:rFonts w:ascii="Arial" w:eastAsia="宋体" w:hAnsi="Arial" w:cs="Arial"/>
          <w:b/>
          <w:bCs/>
          <w:sz w:val="24"/>
          <w:szCs w:val="24"/>
        </w:rPr>
        <w:t xml:space="preserve">– </w:t>
      </w:r>
      <w:r>
        <w:rPr>
          <w:rFonts w:ascii="Arial" w:eastAsia="宋体" w:hAnsi="Arial" w:cs="Arial"/>
          <w:b/>
          <w:bCs/>
          <w:sz w:val="24"/>
          <w:szCs w:val="24"/>
        </w:rPr>
        <w:t>Apr</w:t>
      </w:r>
      <w:r w:rsidRPr="003407CF">
        <w:rPr>
          <w:rFonts w:ascii="Arial" w:eastAsia="宋体" w:hAnsi="Arial" w:cs="Arial"/>
          <w:b/>
          <w:bCs/>
          <w:sz w:val="24"/>
          <w:szCs w:val="24"/>
        </w:rPr>
        <w:t xml:space="preserve"> </w:t>
      </w:r>
      <w:r>
        <w:rPr>
          <w:rFonts w:ascii="Arial" w:eastAsia="宋体" w:hAnsi="Arial" w:cs="Arial"/>
          <w:b/>
          <w:bCs/>
          <w:sz w:val="24"/>
          <w:szCs w:val="24"/>
        </w:rPr>
        <w:t>26th</w:t>
      </w:r>
      <w:r w:rsidR="003407CF" w:rsidRPr="003407CF">
        <w:rPr>
          <w:rFonts w:ascii="Arial" w:eastAsia="宋体" w:hAnsi="Arial" w:cs="Arial"/>
          <w:b/>
          <w:bCs/>
          <w:sz w:val="24"/>
          <w:szCs w:val="24"/>
        </w:rPr>
        <w:t>, 2023</w:t>
      </w:r>
      <w:bookmarkEnd w:id="1"/>
    </w:p>
    <w:p w14:paraId="4C654E43" w14:textId="0ED9FDDA"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8463A8">
        <w:rPr>
          <w:rFonts w:cs="Arial"/>
          <w:b/>
          <w:bCs/>
          <w:sz w:val="24"/>
          <w:szCs w:val="24"/>
        </w:rPr>
        <w:t>9</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 xml:space="preserve">NB-IoT/eMTC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B03A62">
        <w:tc>
          <w:tcPr>
            <w:tcW w:w="9629" w:type="dxa"/>
            <w:tcMar>
              <w:top w:w="57" w:type="dxa"/>
              <w:bottom w:w="57" w:type="dxa"/>
            </w:tcMar>
            <w:vAlign w:val="center"/>
          </w:tcPr>
          <w:p w14:paraId="3DF1C988" w14:textId="72BB402E"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026EBB18" w14:textId="77777777" w:rsidR="00B03A62" w:rsidRPr="00B03A62" w:rsidRDefault="00B03A62" w:rsidP="00B03A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This work considers Rel-17 IoT-NTN as baseline as well as Rel-17 NR-NTN outcome and the further IoT-NTN performance enhancements objectives are listed below:</w:t>
            </w:r>
          </w:p>
          <w:p w14:paraId="6D0C38CB" w14:textId="77777777"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Disabling of HARQ feedback to mitigate impact of HARQ stalling on UE data rates [RAN</w:t>
            </w:r>
            <w:proofErr w:type="gramStart"/>
            <w:r w:rsidRPr="00B03A62">
              <w:rPr>
                <w:rFonts w:ascii="Times New Roman" w:eastAsia="Times New Roman" w:hAnsi="Times New Roman" w:cs="Times New Roman"/>
                <w:sz w:val="20"/>
                <w:szCs w:val="20"/>
                <w:lang w:val="en-GB"/>
              </w:rPr>
              <w:t>1,RAN</w:t>
            </w:r>
            <w:proofErr w:type="gramEnd"/>
            <w:r w:rsidRPr="00B03A62">
              <w:rPr>
                <w:rFonts w:ascii="Times New Roman" w:eastAsia="Times New Roman" w:hAnsi="Times New Roman" w:cs="Times New Roman"/>
                <w:sz w:val="20"/>
                <w:szCs w:val="20"/>
                <w:lang w:val="en-GB"/>
              </w:rPr>
              <w:t>2]</w:t>
            </w:r>
          </w:p>
          <w:p w14:paraId="08EBC2FB" w14:textId="0BD51B1A"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Study and specify needed improved GNSS operations for a new position fix for UE pre-compensation during long connection times and for reduced power consumption. Simultaneous GNSS and NTN NB-IoT/eMTC operation is not assumed</w:t>
            </w:r>
            <w:r w:rsidRPr="00B03A62">
              <w:rPr>
                <w:rFonts w:ascii="Times New Roman" w:eastAsia="Times New Roman" w:hAnsi="Times New Roman" w:cs="Times New Roman"/>
                <w:lang w:val="en-GB"/>
              </w:rPr>
              <w:t>.</w:t>
            </w:r>
            <w:r w:rsidRPr="00B03A62">
              <w:rPr>
                <w:rFonts w:ascii="Times New Roman" w:eastAsia="Times New Roman" w:hAnsi="Times New Roman" w:cs="Times New Roman"/>
                <w:sz w:val="20"/>
                <w:szCs w:val="20"/>
                <w:lang w:val="en-GB"/>
              </w:rPr>
              <w:t xml:space="preserve"> [RAN1, RAN2]</w:t>
            </w:r>
          </w:p>
          <w:p w14:paraId="7CBFFA8B" w14:textId="14F1BC42" w:rsidR="0080410A" w:rsidRPr="00B03A62" w:rsidRDefault="00B03A62" w:rsidP="00B03A62">
            <w:pPr>
              <w:numPr>
                <w:ilvl w:val="0"/>
                <w:numId w:val="33"/>
              </w:numPr>
              <w:overflowPunct w:val="0"/>
              <w:autoSpaceDE w:val="0"/>
              <w:autoSpaceDN w:val="0"/>
              <w:adjustRightInd w:val="0"/>
              <w:spacing w:after="120" w:line="240" w:lineRule="auto"/>
              <w:ind w:left="1077" w:hanging="357"/>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7BC836EC" w14:textId="77777777" w:rsidR="002D6F23" w:rsidRPr="00247B7B" w:rsidRDefault="002D6F23" w:rsidP="002D6F23">
      <w:pPr>
        <w:spacing w:before="160"/>
        <w:jc w:val="both"/>
        <w:rPr>
          <w:rFonts w:ascii="Times New Roman" w:hAnsi="Times New Roman" w:cs="Times New Roman"/>
          <w:sz w:val="20"/>
          <w:szCs w:val="20"/>
        </w:rPr>
      </w:pPr>
      <w:r>
        <w:t xml:space="preserve">In this contribution, we provide further analysis and discussion on HARQ feedback enabling/disabling signaling mechanism and related issues. </w:t>
      </w:r>
    </w:p>
    <w:p w14:paraId="127D276C" w14:textId="77777777" w:rsidR="008D4E3F" w:rsidRDefault="008D4E3F" w:rsidP="003E5AFA">
      <w:pPr>
        <w:pStyle w:val="Heading1"/>
      </w:pPr>
      <w:r>
        <w:t>Discussion</w:t>
      </w:r>
    </w:p>
    <w:p w14:paraId="6137A5F8" w14:textId="7BF8DBD4" w:rsidR="008D4E3F" w:rsidRPr="00EC7650" w:rsidRDefault="7AEBBA00" w:rsidP="008D4E3F">
      <w:pPr>
        <w:pStyle w:val="Heading2"/>
        <w:rPr>
          <w:lang w:val="en-US"/>
        </w:rPr>
      </w:pPr>
      <w:r w:rsidRPr="494F3B94">
        <w:rPr>
          <w:lang w:val="en-US"/>
        </w:rPr>
        <w:t xml:space="preserve">HARQ feedback enabling/disabling </w:t>
      </w:r>
      <w:r w:rsidR="00B27A16">
        <w:rPr>
          <w:lang w:val="en-US"/>
        </w:rPr>
        <w:t>configuration and indication</w:t>
      </w:r>
    </w:p>
    <w:p w14:paraId="2408EA31" w14:textId="21D07E21" w:rsidR="5BEACB4C" w:rsidRDefault="00081E02" w:rsidP="00DC26CC">
      <w:pPr>
        <w:spacing w:line="257" w:lineRule="auto"/>
        <w:jc w:val="both"/>
        <w:rPr>
          <w:rFonts w:ascii="Calibri" w:eastAsia="Calibri" w:hAnsi="Calibri" w:cs="Calibri"/>
          <w:lang w:val="en-GB"/>
        </w:rPr>
      </w:pPr>
      <w:r>
        <w:rPr>
          <w:rFonts w:ascii="Calibri" w:eastAsia="Calibri" w:hAnsi="Calibri" w:cs="Calibri"/>
          <w:lang w:val="en-GB"/>
        </w:rPr>
        <w:t>Agreements i</w:t>
      </w:r>
      <w:r w:rsidRPr="494F3B94">
        <w:rPr>
          <w:rFonts w:ascii="Calibri" w:eastAsia="Calibri" w:hAnsi="Calibri" w:cs="Calibri"/>
          <w:lang w:val="en-GB"/>
        </w:rPr>
        <w:t xml:space="preserve">n </w:t>
      </w:r>
      <w:r w:rsidR="5BEACB4C" w:rsidRPr="494F3B94">
        <w:rPr>
          <w:rFonts w:ascii="Calibri" w:eastAsia="Calibri" w:hAnsi="Calibri" w:cs="Calibri"/>
          <w:lang w:val="en-GB"/>
        </w:rPr>
        <w:t>RAN1#11</w:t>
      </w:r>
      <w:r>
        <w:rPr>
          <w:rFonts w:ascii="Calibri" w:eastAsia="Calibri" w:hAnsi="Calibri" w:cs="Calibri"/>
          <w:lang w:val="en-GB"/>
        </w:rPr>
        <w:t>2</w:t>
      </w:r>
      <w:r w:rsidR="5BEACB4C" w:rsidRPr="494F3B94">
        <w:rPr>
          <w:rFonts w:ascii="Calibri" w:eastAsia="Calibri" w:hAnsi="Calibri" w:cs="Calibri"/>
          <w:lang w:val="en-GB"/>
        </w:rPr>
        <w:t xml:space="preserve"> meeting</w:t>
      </w:r>
      <w:r w:rsidR="009B55CF">
        <w:rPr>
          <w:rFonts w:ascii="Calibri" w:eastAsia="Calibri" w:hAnsi="Calibri" w:cs="Calibri"/>
          <w:lang w:val="en-GB"/>
        </w:rPr>
        <w:t xml:space="preserve"> regarding how to configure/indicate the enabling/disabling of HARQ feedback for IoT NTN</w:t>
      </w:r>
      <w:r>
        <w:rPr>
          <w:rFonts w:ascii="Calibri" w:eastAsia="Calibri" w:hAnsi="Calibri" w:cs="Calibri"/>
          <w:lang w:val="en-GB"/>
        </w:rPr>
        <w:t xml:space="preserve"> are listed as follows</w:t>
      </w:r>
      <w:r w:rsidR="00F6698B">
        <w:rPr>
          <w:rFonts w:ascii="Calibri" w:eastAsia="Calibri" w:hAnsi="Calibri" w:cs="Calibri"/>
          <w:lang w:val="en-GB"/>
        </w:rPr>
        <w:t xml:space="preserve"> </w:t>
      </w:r>
      <w:r w:rsidR="006E48DD">
        <w:rPr>
          <w:rFonts w:ascii="Calibri" w:eastAsia="Calibri" w:hAnsi="Calibri" w:cs="Calibri"/>
          <w:lang w:val="en-GB"/>
        </w:rPr>
        <w:fldChar w:fldCharType="begin"/>
      </w:r>
      <w:r w:rsidR="006E48DD">
        <w:rPr>
          <w:rFonts w:ascii="Calibri" w:eastAsia="Calibri" w:hAnsi="Calibri" w:cs="Calibri"/>
          <w:lang w:val="en-GB"/>
        </w:rPr>
        <w:instrText xml:space="preserve"> REF _Ref117621126 \r \h </w:instrText>
      </w:r>
      <w:r w:rsidR="006E48DD">
        <w:rPr>
          <w:rFonts w:ascii="Calibri" w:eastAsia="Calibri" w:hAnsi="Calibri" w:cs="Calibri"/>
          <w:lang w:val="en-GB"/>
        </w:rPr>
      </w:r>
      <w:r w:rsidR="006E48DD">
        <w:rPr>
          <w:rFonts w:ascii="Calibri" w:eastAsia="Calibri" w:hAnsi="Calibri" w:cs="Calibri"/>
          <w:lang w:val="en-GB"/>
        </w:rPr>
        <w:fldChar w:fldCharType="separate"/>
      </w:r>
      <w:r w:rsidR="006E48DD">
        <w:rPr>
          <w:rFonts w:ascii="Calibri" w:eastAsia="Calibri" w:hAnsi="Calibri" w:cs="Calibri"/>
          <w:lang w:val="en-GB"/>
        </w:rPr>
        <w:t>[2]</w:t>
      </w:r>
      <w:r w:rsidR="006E48DD">
        <w:rPr>
          <w:rFonts w:ascii="Calibri" w:eastAsia="Calibri" w:hAnsi="Calibri" w:cs="Calibri"/>
          <w:lang w:val="en-GB"/>
        </w:rPr>
        <w:fldChar w:fldCharType="end"/>
      </w:r>
      <w:r w:rsidR="5BEACB4C" w:rsidRPr="494F3B94">
        <w:rPr>
          <w:rFonts w:ascii="Calibri" w:eastAsia="Calibri" w:hAnsi="Calibri" w:cs="Calibri"/>
          <w:lang w:val="en-GB"/>
        </w:rPr>
        <w:t>:</w:t>
      </w:r>
    </w:p>
    <w:tbl>
      <w:tblPr>
        <w:tblStyle w:val="TableGrid"/>
        <w:tblW w:w="0" w:type="auto"/>
        <w:tblLayout w:type="fixed"/>
        <w:tblLook w:val="04A0" w:firstRow="1" w:lastRow="0" w:firstColumn="1" w:lastColumn="0" w:noHBand="0" w:noVBand="1"/>
      </w:tblPr>
      <w:tblGrid>
        <w:gridCol w:w="9630"/>
      </w:tblGrid>
      <w:tr w:rsidR="494F3B94" w14:paraId="21DD0AE7" w14:textId="77777777" w:rsidTr="00CA2CD1">
        <w:tc>
          <w:tcPr>
            <w:tcW w:w="9630" w:type="dxa"/>
            <w:tcBorders>
              <w:top w:val="single" w:sz="8" w:space="0" w:color="auto"/>
              <w:left w:val="single" w:sz="8" w:space="0" w:color="auto"/>
              <w:bottom w:val="single" w:sz="8" w:space="0" w:color="auto"/>
              <w:right w:val="single" w:sz="8" w:space="0" w:color="auto"/>
            </w:tcBorders>
            <w:tcMar>
              <w:top w:w="57" w:type="dxa"/>
              <w:bottom w:w="57" w:type="dxa"/>
            </w:tcMar>
            <w:vAlign w:val="center"/>
          </w:tcPr>
          <w:p w14:paraId="61C15DFA" w14:textId="77777777" w:rsidR="000B14B0" w:rsidRPr="000B14B0" w:rsidRDefault="000B14B0" w:rsidP="000B14B0">
            <w:pPr>
              <w:spacing w:after="0" w:line="240" w:lineRule="auto"/>
              <w:rPr>
                <w:rFonts w:ascii="Times" w:eastAsia="Malgun Gothic" w:hAnsi="Times" w:cs="Times New Roman"/>
                <w:b/>
                <w:iCs/>
                <w:sz w:val="20"/>
                <w:szCs w:val="20"/>
                <w:lang w:val="en-GB" w:eastAsia="en-US"/>
              </w:rPr>
            </w:pPr>
            <w:r w:rsidRPr="000B14B0">
              <w:rPr>
                <w:rFonts w:ascii="Times" w:eastAsia="Malgun Gothic" w:hAnsi="Times" w:cs="Times New Roman"/>
                <w:b/>
                <w:iCs/>
                <w:sz w:val="20"/>
                <w:szCs w:val="20"/>
                <w:highlight w:val="green"/>
                <w:lang w:val="en-GB" w:eastAsia="en-US"/>
              </w:rPr>
              <w:t>Agreement</w:t>
            </w:r>
          </w:p>
          <w:p w14:paraId="523F1FE1" w14:textId="77777777" w:rsidR="000B14B0" w:rsidRPr="000B14B0" w:rsidRDefault="000B14B0" w:rsidP="000B14B0">
            <w:pPr>
              <w:spacing w:after="0" w:line="240" w:lineRule="auto"/>
              <w:rPr>
                <w:rFonts w:ascii="Times" w:eastAsia="等线" w:hAnsi="Times" w:cs="Times New Roman"/>
                <w:sz w:val="20"/>
                <w:szCs w:val="20"/>
                <w:lang w:val="en-GB"/>
              </w:rPr>
            </w:pPr>
            <w:r w:rsidRPr="000B14B0">
              <w:rPr>
                <w:rFonts w:ascii="Times" w:eastAsia="等线" w:hAnsi="Times" w:cs="Times New Roman"/>
                <w:sz w:val="20"/>
                <w:szCs w:val="20"/>
                <w:lang w:val="en-GB"/>
              </w:rPr>
              <w:t xml:space="preserve">For DCI-based overridden mechanism/indication in single TB scheduled by DCI, </w:t>
            </w:r>
            <w:r w:rsidRPr="000B14B0">
              <w:rPr>
                <w:rFonts w:ascii="Times" w:eastAsia="等线" w:hAnsi="Times" w:cs="Times New Roman" w:hint="eastAsia"/>
                <w:sz w:val="20"/>
                <w:szCs w:val="20"/>
                <w:lang w:val="en-GB"/>
              </w:rPr>
              <w:t>d</w:t>
            </w:r>
            <w:r w:rsidRPr="000B14B0">
              <w:rPr>
                <w:rFonts w:ascii="Times" w:eastAsia="等线" w:hAnsi="Times" w:cs="Times New Roman"/>
                <w:sz w:val="20"/>
                <w:szCs w:val="20"/>
                <w:lang w:val="en-GB"/>
              </w:rPr>
              <w:t>own select one of the following alternatives based on the criteria DCI overhead, PDCCH monitoring/power consumption, HARQ timer, impact on scheduling flexibility, UE implementation complexity</w:t>
            </w:r>
          </w:p>
          <w:p w14:paraId="5AB6CF55" w14:textId="77777777" w:rsidR="000B14B0" w:rsidRPr="000B14B0" w:rsidRDefault="000B14B0" w:rsidP="000B14B0">
            <w:pPr>
              <w:numPr>
                <w:ilvl w:val="0"/>
                <w:numId w:val="35"/>
              </w:numPr>
              <w:spacing w:after="0" w:line="240" w:lineRule="auto"/>
              <w:rPr>
                <w:rFonts w:ascii="Times New Roman" w:eastAsia="等线" w:hAnsi="Times New Roman" w:cs="Times New Roman"/>
                <w:sz w:val="20"/>
                <w:szCs w:val="20"/>
                <w:lang w:val="en-GB"/>
              </w:rPr>
            </w:pPr>
            <w:r w:rsidRPr="000B14B0">
              <w:rPr>
                <w:rFonts w:ascii="Times New Roman" w:eastAsia="等线" w:hAnsi="Times New Roman" w:cs="Times New Roman"/>
                <w:sz w:val="20"/>
                <w:szCs w:val="20"/>
                <w:lang w:val="en-GB"/>
              </w:rPr>
              <w:t>Alternative 1: applies to both semi-statically HARQ enabled and disabled processes</w:t>
            </w:r>
          </w:p>
          <w:p w14:paraId="323CCC7E" w14:textId="77777777" w:rsidR="000B14B0" w:rsidRPr="000B14B0" w:rsidRDefault="000B14B0" w:rsidP="000B14B0">
            <w:pPr>
              <w:numPr>
                <w:ilvl w:val="0"/>
                <w:numId w:val="35"/>
              </w:numPr>
              <w:spacing w:after="0" w:line="240" w:lineRule="auto"/>
              <w:rPr>
                <w:rFonts w:ascii="Times New Roman" w:eastAsia="等线" w:hAnsi="Times New Roman" w:cs="Times New Roman"/>
                <w:sz w:val="20"/>
                <w:szCs w:val="20"/>
                <w:lang w:val="en-GB"/>
              </w:rPr>
            </w:pPr>
            <w:r w:rsidRPr="000B14B0">
              <w:rPr>
                <w:rFonts w:ascii="Times New Roman" w:eastAsia="等线" w:hAnsi="Times New Roman" w:cs="Times New Roman"/>
                <w:sz w:val="20"/>
                <w:szCs w:val="20"/>
                <w:lang w:val="en-GB"/>
              </w:rPr>
              <w:t>Alternative 2: only applied to semi-statically HARQ disabled processes</w:t>
            </w:r>
          </w:p>
          <w:p w14:paraId="617DC4BB" w14:textId="6334AFE4" w:rsidR="000B14B0" w:rsidRDefault="000B14B0" w:rsidP="000B14B0">
            <w:pPr>
              <w:numPr>
                <w:ilvl w:val="0"/>
                <w:numId w:val="35"/>
              </w:numPr>
              <w:spacing w:after="0" w:line="240" w:lineRule="auto"/>
              <w:rPr>
                <w:rFonts w:ascii="Times New Roman" w:eastAsia="等线" w:hAnsi="Times New Roman" w:cs="Times New Roman"/>
                <w:sz w:val="20"/>
                <w:szCs w:val="20"/>
                <w:lang w:val="en-GB"/>
              </w:rPr>
            </w:pPr>
            <w:r w:rsidRPr="000B14B0">
              <w:rPr>
                <w:rFonts w:ascii="Times New Roman" w:eastAsia="等线" w:hAnsi="Times New Roman" w:cs="Times New Roman"/>
                <w:sz w:val="20"/>
                <w:szCs w:val="20"/>
                <w:lang w:val="en-GB"/>
              </w:rPr>
              <w:t>Alternative 3: only applied to semi-statically HARQ enabled processes</w:t>
            </w:r>
          </w:p>
          <w:p w14:paraId="774C9797" w14:textId="67594952" w:rsidR="0003742B" w:rsidRDefault="0003742B" w:rsidP="0003742B">
            <w:pPr>
              <w:spacing w:after="0" w:line="240" w:lineRule="auto"/>
              <w:rPr>
                <w:rFonts w:ascii="Times New Roman" w:eastAsia="等线" w:hAnsi="Times New Roman" w:cs="Times New Roman"/>
                <w:sz w:val="20"/>
                <w:szCs w:val="20"/>
                <w:lang w:val="en-GB"/>
              </w:rPr>
            </w:pPr>
          </w:p>
          <w:p w14:paraId="7EE81271" w14:textId="77777777" w:rsidR="0003742B" w:rsidRPr="0003742B" w:rsidRDefault="0003742B" w:rsidP="0003742B">
            <w:pPr>
              <w:spacing w:beforeLines="50" w:before="120" w:afterLines="50" w:after="120" w:line="240" w:lineRule="auto"/>
              <w:rPr>
                <w:rFonts w:ascii="Times" w:eastAsia="Batang" w:hAnsi="Times" w:cs="Times New Roman"/>
                <w:b/>
                <w:bCs/>
                <w:sz w:val="20"/>
                <w:szCs w:val="20"/>
                <w:highlight w:val="green"/>
                <w:lang w:val="en-GB"/>
              </w:rPr>
            </w:pPr>
            <w:r w:rsidRPr="0003742B">
              <w:rPr>
                <w:rFonts w:ascii="Times" w:eastAsia="Batang" w:hAnsi="Times" w:cs="Times New Roman"/>
                <w:b/>
                <w:bCs/>
                <w:sz w:val="20"/>
                <w:szCs w:val="20"/>
                <w:highlight w:val="green"/>
                <w:lang w:val="en-GB" w:eastAsia="en-US"/>
              </w:rPr>
              <w:t>Agreement</w:t>
            </w:r>
          </w:p>
          <w:p w14:paraId="28186F70" w14:textId="77777777" w:rsidR="0003742B" w:rsidRPr="0003742B" w:rsidRDefault="0003742B" w:rsidP="0003742B">
            <w:pPr>
              <w:spacing w:after="0" w:line="240" w:lineRule="auto"/>
              <w:rPr>
                <w:rFonts w:ascii="Times" w:eastAsia="Batang" w:hAnsi="Times" w:cs="Times New Roman"/>
                <w:sz w:val="20"/>
                <w:szCs w:val="20"/>
                <w:lang w:val="en-GB" w:eastAsia="en-US"/>
              </w:rPr>
            </w:pPr>
            <w:r w:rsidRPr="0003742B">
              <w:rPr>
                <w:rFonts w:ascii="Times" w:eastAsia="Batang" w:hAnsi="Times" w:cs="Times New Roman"/>
                <w:sz w:val="20"/>
                <w:szCs w:val="20"/>
                <w:lang w:val="en-GB" w:eastAsia="en-US"/>
              </w:rPr>
              <w:t>Confirm the following working assumption with the following update:</w:t>
            </w:r>
          </w:p>
          <w:p w14:paraId="4C77F53A" w14:textId="77777777" w:rsidR="0003742B" w:rsidRPr="0003742B" w:rsidRDefault="0003742B" w:rsidP="0003742B">
            <w:pPr>
              <w:spacing w:beforeLines="50" w:before="120" w:afterLines="50" w:after="120" w:line="240" w:lineRule="auto"/>
              <w:ind w:leftChars="100" w:left="220"/>
              <w:rPr>
                <w:rFonts w:ascii="Times" w:eastAsia="Batang" w:hAnsi="Times" w:cs="Times New Roman"/>
                <w:b/>
                <w:bCs/>
                <w:i/>
                <w:sz w:val="20"/>
                <w:szCs w:val="20"/>
                <w:lang w:val="en-GB"/>
              </w:rPr>
            </w:pPr>
            <w:r w:rsidRPr="0003742B">
              <w:rPr>
                <w:rFonts w:ascii="Times" w:eastAsia="Batang" w:hAnsi="Times" w:cs="Times New Roman"/>
                <w:b/>
                <w:bCs/>
                <w:i/>
                <w:sz w:val="20"/>
                <w:szCs w:val="20"/>
                <w:highlight w:val="darkYellow"/>
                <w:lang w:val="en-GB"/>
              </w:rPr>
              <w:t>Working assumption</w:t>
            </w:r>
          </w:p>
          <w:p w14:paraId="31078E3C" w14:textId="77777777" w:rsidR="0003742B" w:rsidRPr="0003742B" w:rsidRDefault="0003742B" w:rsidP="0003742B">
            <w:pPr>
              <w:spacing w:after="0" w:line="240" w:lineRule="auto"/>
              <w:ind w:leftChars="100" w:left="220"/>
              <w:rPr>
                <w:rFonts w:ascii="Times New Roman" w:eastAsia="Calibri" w:hAnsi="Times New Roman" w:cs="Times New Roman"/>
                <w:iCs/>
                <w:sz w:val="20"/>
                <w:szCs w:val="20"/>
                <w:lang w:eastAsia="en-US"/>
              </w:rPr>
            </w:pPr>
            <w:r w:rsidRPr="0003742B">
              <w:rPr>
                <w:rFonts w:ascii="Times New Roman" w:eastAsia="Calibri" w:hAnsi="Times New Roman" w:cs="Times New Roman"/>
                <w:iCs/>
                <w:sz w:val="20"/>
                <w:szCs w:val="20"/>
                <w:lang w:eastAsia="en-US"/>
              </w:rPr>
              <w:t>For NB-IoT NTN and eMTC NTN for CE Mode B, to configure/indicate enabling/disabling of HARQ feedback for downlink transmission:</w:t>
            </w:r>
          </w:p>
          <w:p w14:paraId="09E85750" w14:textId="77777777" w:rsidR="0003742B" w:rsidRPr="0003742B" w:rsidRDefault="0003742B" w:rsidP="0003742B">
            <w:pPr>
              <w:numPr>
                <w:ilvl w:val="0"/>
                <w:numId w:val="25"/>
              </w:numPr>
              <w:snapToGrid w:val="0"/>
              <w:spacing w:after="0" w:line="240" w:lineRule="auto"/>
              <w:ind w:leftChars="310" w:left="1102"/>
              <w:rPr>
                <w:rFonts w:ascii="Times New Roman" w:eastAsia="Batang" w:hAnsi="Times New Roman" w:cs="Times New Roman"/>
                <w:iCs/>
                <w:sz w:val="20"/>
                <w:szCs w:val="20"/>
                <w:lang w:val="en-GB" w:eastAsia="en-US"/>
              </w:rPr>
            </w:pPr>
            <w:r w:rsidRPr="0003742B">
              <w:rPr>
                <w:rFonts w:ascii="Times New Roman" w:eastAsia="Batang" w:hAnsi="Times New Roman" w:cs="Times New Roman"/>
                <w:iCs/>
                <w:sz w:val="20"/>
                <w:szCs w:val="20"/>
                <w:lang w:val="en-GB" w:eastAsia="en-US"/>
              </w:rPr>
              <w:t xml:space="preserve">Support Option 1 in case only per-HARQ process bitmap signaling is configured </w:t>
            </w:r>
          </w:p>
          <w:p w14:paraId="316A3E6D" w14:textId="77777777" w:rsidR="0003742B" w:rsidRPr="0003742B" w:rsidRDefault="0003742B" w:rsidP="0003742B">
            <w:pPr>
              <w:numPr>
                <w:ilvl w:val="0"/>
                <w:numId w:val="25"/>
              </w:numPr>
              <w:snapToGrid w:val="0"/>
              <w:spacing w:after="0" w:line="240" w:lineRule="auto"/>
              <w:ind w:leftChars="310" w:left="1102"/>
              <w:rPr>
                <w:rFonts w:ascii="Times New Roman" w:eastAsia="Batang" w:hAnsi="Times New Roman" w:cs="Times New Roman"/>
                <w:iCs/>
                <w:sz w:val="20"/>
                <w:szCs w:val="20"/>
                <w:lang w:val="en-GB" w:eastAsia="en-US"/>
              </w:rPr>
            </w:pPr>
            <w:r w:rsidRPr="0003742B">
              <w:rPr>
                <w:rFonts w:ascii="Times New Roman" w:eastAsia="Batang" w:hAnsi="Times New Roman" w:cs="Times New Roman"/>
                <w:iCs/>
                <w:sz w:val="20"/>
                <w:szCs w:val="20"/>
                <w:lang w:val="en-GB" w:eastAsia="en-US"/>
              </w:rPr>
              <w:lastRenderedPageBreak/>
              <w:t>Support Option 3 DCI direct indication of HARQ feedback enable/disable in case only DCI solution enabling/disabling signaling is configured</w:t>
            </w:r>
          </w:p>
          <w:p w14:paraId="53E9B570" w14:textId="77777777" w:rsidR="0003742B" w:rsidRPr="0003742B" w:rsidRDefault="0003742B" w:rsidP="0003742B">
            <w:pPr>
              <w:numPr>
                <w:ilvl w:val="0"/>
                <w:numId w:val="25"/>
              </w:numPr>
              <w:snapToGrid w:val="0"/>
              <w:spacing w:after="0" w:line="240" w:lineRule="auto"/>
              <w:ind w:leftChars="310" w:left="1102"/>
              <w:rPr>
                <w:rFonts w:ascii="Times New Roman" w:eastAsia="Batang" w:hAnsi="Times New Roman" w:cs="Times New Roman"/>
                <w:iCs/>
                <w:sz w:val="20"/>
                <w:szCs w:val="20"/>
                <w:lang w:val="en-GB" w:eastAsia="en-US"/>
              </w:rPr>
            </w:pPr>
            <w:r w:rsidRPr="0003742B">
              <w:rPr>
                <w:rFonts w:ascii="Times New Roman" w:eastAsia="Batang" w:hAnsi="Times New Roman" w:cs="Times New Roman"/>
                <w:iCs/>
                <w:sz w:val="20"/>
                <w:szCs w:val="20"/>
                <w:lang w:val="en-GB" w:eastAsia="en-US"/>
              </w:rPr>
              <w:t>Support Option 3 DCI indication to override Option 1 configuration for corresponding transmission in case both per-HARQ process bitmap and DCI solution enabling/disabling signaling are configured</w:t>
            </w:r>
          </w:p>
          <w:p w14:paraId="47E25B5C" w14:textId="77777777" w:rsidR="0003742B" w:rsidRPr="0003742B" w:rsidRDefault="0003742B" w:rsidP="0003742B">
            <w:pPr>
              <w:numPr>
                <w:ilvl w:val="1"/>
                <w:numId w:val="25"/>
              </w:numPr>
              <w:snapToGrid w:val="0"/>
              <w:spacing w:after="0" w:line="240" w:lineRule="auto"/>
              <w:ind w:leftChars="457" w:left="1425"/>
              <w:rPr>
                <w:rFonts w:ascii="Times New Roman" w:eastAsia="Batang" w:hAnsi="Times New Roman" w:cs="Times New Roman"/>
                <w:iCs/>
                <w:sz w:val="20"/>
                <w:szCs w:val="20"/>
                <w:lang w:val="en-GB" w:eastAsia="en-US"/>
              </w:rPr>
            </w:pPr>
            <w:r w:rsidRPr="0003742B">
              <w:rPr>
                <w:rFonts w:ascii="Times New Roman" w:eastAsia="Batang" w:hAnsi="Times New Roman" w:cs="Times New Roman"/>
                <w:iCs/>
                <w:sz w:val="20"/>
                <w:szCs w:val="20"/>
                <w:lang w:val="en-GB"/>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51D7B1D0" w14:textId="77777777" w:rsidR="0003742B" w:rsidRPr="0003742B" w:rsidRDefault="0003742B" w:rsidP="0003742B">
            <w:pPr>
              <w:numPr>
                <w:ilvl w:val="1"/>
                <w:numId w:val="25"/>
              </w:numPr>
              <w:snapToGrid w:val="0"/>
              <w:spacing w:after="0" w:line="240" w:lineRule="auto"/>
              <w:ind w:leftChars="457" w:left="1425"/>
              <w:rPr>
                <w:rFonts w:ascii="Times New Roman" w:eastAsia="Batang" w:hAnsi="Times New Roman" w:cs="Times New Roman"/>
                <w:iCs/>
                <w:sz w:val="20"/>
                <w:szCs w:val="20"/>
                <w:lang w:val="en-GB" w:eastAsia="en-US"/>
              </w:rPr>
            </w:pPr>
            <w:r w:rsidRPr="0003742B">
              <w:rPr>
                <w:rFonts w:ascii="Times New Roman" w:eastAsia="Batang" w:hAnsi="Times New Roman" w:cs="Times New Roman"/>
                <w:iCs/>
                <w:sz w:val="20"/>
                <w:szCs w:val="20"/>
                <w:lang w:val="en-GB"/>
              </w:rPr>
              <w:t>FFS #2: whether/how to support Option 3 overriding Option 1 configuration for corresponding transmission for multiple TBs scheduled by single DCI</w:t>
            </w:r>
          </w:p>
          <w:p w14:paraId="5ACD46C9" w14:textId="77777777" w:rsidR="0003742B" w:rsidRPr="0003742B" w:rsidRDefault="0003742B" w:rsidP="0003742B">
            <w:pPr>
              <w:numPr>
                <w:ilvl w:val="1"/>
                <w:numId w:val="25"/>
              </w:numPr>
              <w:snapToGrid w:val="0"/>
              <w:spacing w:after="0" w:line="240" w:lineRule="auto"/>
              <w:ind w:leftChars="457" w:left="1425"/>
              <w:rPr>
                <w:rFonts w:ascii="Times New Roman" w:eastAsia="Batang" w:hAnsi="Times New Roman" w:cs="Times New Roman"/>
                <w:iCs/>
                <w:sz w:val="20"/>
                <w:szCs w:val="20"/>
                <w:lang w:val="en-GB" w:eastAsia="en-US"/>
              </w:rPr>
            </w:pPr>
            <w:r w:rsidRPr="0003742B">
              <w:rPr>
                <w:rFonts w:ascii="Times New Roman" w:eastAsia="Batang" w:hAnsi="Times New Roman" w:cs="Times New Roman"/>
                <w:sz w:val="20"/>
                <w:szCs w:val="20"/>
                <w:lang w:val="en-GB" w:eastAsia="en-US"/>
              </w:rPr>
              <w:t>FFS#3</w:t>
            </w:r>
            <w:r w:rsidRPr="0003742B">
              <w:rPr>
                <w:rFonts w:ascii="Times New Roman" w:eastAsia="Batang" w:hAnsi="Times New Roman" w:cs="Times New Roman"/>
                <w:sz w:val="20"/>
                <w:szCs w:val="20"/>
                <w:lang w:val="en-GB" w:eastAsia="en-US"/>
              </w:rPr>
              <w:t>：</w:t>
            </w:r>
            <w:r w:rsidRPr="0003742B">
              <w:rPr>
                <w:rFonts w:ascii="Times New Roman" w:eastAsia="Batang" w:hAnsi="Times New Roman" w:cs="Times New Roman"/>
                <w:sz w:val="20"/>
                <w:szCs w:val="20"/>
                <w:lang w:val="en-GB" w:eastAsia="en-US"/>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10217F23" w14:textId="77777777" w:rsidR="0003742B" w:rsidRPr="0003742B" w:rsidRDefault="0003742B" w:rsidP="0003742B">
            <w:pPr>
              <w:spacing w:after="0" w:line="240" w:lineRule="auto"/>
              <w:ind w:leftChars="100" w:left="220"/>
              <w:rPr>
                <w:rFonts w:ascii="Times New Roman" w:eastAsia="Batang" w:hAnsi="Times New Roman" w:cs="Times New Roman"/>
                <w:sz w:val="20"/>
                <w:szCs w:val="20"/>
                <w:lang w:val="en-GB" w:eastAsia="en-US"/>
              </w:rPr>
            </w:pPr>
            <w:r w:rsidRPr="0003742B">
              <w:rPr>
                <w:rFonts w:ascii="Times New Roman" w:eastAsia="Batang" w:hAnsi="Times New Roman" w:cs="Times New Roman"/>
                <w:sz w:val="20"/>
                <w:szCs w:val="20"/>
                <w:lang w:val="en-GB" w:eastAsia="en-US"/>
              </w:rPr>
              <w:t>RAN1 strives to have a common design (in terms of DCI design, PDCCH monitoring, etc.) for “Option 3” and “Option 3 + Option 1”.</w:t>
            </w:r>
          </w:p>
          <w:p w14:paraId="788C0AB3" w14:textId="77777777" w:rsidR="494F3B94" w:rsidRDefault="0003742B" w:rsidP="0003742B">
            <w:pPr>
              <w:spacing w:after="0" w:line="240" w:lineRule="auto"/>
              <w:ind w:leftChars="100" w:left="220"/>
              <w:rPr>
                <w:rFonts w:ascii="Times New Roman" w:eastAsia="Batang" w:hAnsi="Times New Roman" w:cs="Times New Roman"/>
                <w:iCs/>
                <w:sz w:val="20"/>
                <w:szCs w:val="20"/>
                <w:lang w:val="en-GB"/>
              </w:rPr>
            </w:pPr>
            <w:r w:rsidRPr="0003742B">
              <w:rPr>
                <w:rFonts w:ascii="Times New Roman" w:eastAsia="Batang" w:hAnsi="Times New Roman" w:cs="Times New Roman"/>
                <w:iCs/>
                <w:sz w:val="20"/>
                <w:szCs w:val="20"/>
                <w:lang w:val="en-GB"/>
              </w:rPr>
              <w:t xml:space="preserve">For eMTC NTN, to configure/indicate enabling/disabling of </w:t>
            </w:r>
            <w:r w:rsidRPr="0003742B">
              <w:rPr>
                <w:rFonts w:ascii="Times New Roman" w:eastAsia="Batang" w:hAnsi="Times New Roman" w:cs="Times New Roman"/>
                <w:iCs/>
                <w:sz w:val="20"/>
                <w:szCs w:val="20"/>
                <w:lang w:val="en-GB" w:eastAsia="en-US"/>
              </w:rPr>
              <w:t xml:space="preserve">HARQ feedback </w:t>
            </w:r>
            <w:r w:rsidRPr="0003742B">
              <w:rPr>
                <w:rFonts w:ascii="Times New Roman" w:eastAsia="Batang" w:hAnsi="Times New Roman" w:cs="Times New Roman"/>
                <w:iCs/>
                <w:sz w:val="20"/>
                <w:szCs w:val="20"/>
                <w:lang w:val="en-GB"/>
              </w:rPr>
              <w:t>for downlink transmission, take Option 1 for CE Mode A.</w:t>
            </w:r>
          </w:p>
          <w:p w14:paraId="024CAAED" w14:textId="77777777" w:rsidR="002E23F0" w:rsidRDefault="002E23F0" w:rsidP="0003742B">
            <w:pPr>
              <w:spacing w:after="0" w:line="240" w:lineRule="auto"/>
              <w:ind w:leftChars="100" w:left="220"/>
              <w:rPr>
                <w:rFonts w:ascii="Times New Roman" w:eastAsia="Batang" w:hAnsi="Times New Roman" w:cs="Times New Roman"/>
                <w:iCs/>
                <w:sz w:val="20"/>
                <w:szCs w:val="20"/>
                <w:lang w:val="en-GB"/>
              </w:rPr>
            </w:pPr>
          </w:p>
          <w:p w14:paraId="653B461E" w14:textId="77777777" w:rsidR="002E23F0" w:rsidRPr="00A84F22" w:rsidRDefault="002E23F0" w:rsidP="002E23F0">
            <w:pPr>
              <w:spacing w:after="0" w:line="240" w:lineRule="auto"/>
              <w:rPr>
                <w:rFonts w:ascii="Times" w:eastAsia="Batang" w:hAnsi="Times" w:cs="Times New Roman"/>
                <w:b/>
                <w:sz w:val="20"/>
                <w:szCs w:val="24"/>
                <w:lang w:val="en-GB" w:eastAsia="x-none"/>
              </w:rPr>
            </w:pPr>
            <w:r w:rsidRPr="00A84F22">
              <w:rPr>
                <w:rFonts w:ascii="Times" w:eastAsia="Batang" w:hAnsi="Times" w:cs="Times New Roman"/>
                <w:b/>
                <w:sz w:val="20"/>
                <w:szCs w:val="24"/>
                <w:highlight w:val="green"/>
                <w:lang w:val="en-GB" w:eastAsia="x-none"/>
              </w:rPr>
              <w:t>Agreement</w:t>
            </w:r>
          </w:p>
          <w:p w14:paraId="2DFDDBCB" w14:textId="77777777" w:rsidR="002E23F0" w:rsidRPr="00A84F22" w:rsidRDefault="002E23F0" w:rsidP="002E23F0">
            <w:pPr>
              <w:spacing w:after="0" w:line="240" w:lineRule="auto"/>
              <w:rPr>
                <w:rFonts w:ascii="Times" w:eastAsia="Batang" w:hAnsi="Times" w:cs="Times New Roman"/>
                <w:sz w:val="20"/>
                <w:szCs w:val="20"/>
                <w:lang w:val="en-GB" w:eastAsia="en-US"/>
              </w:rPr>
            </w:pPr>
            <w:r w:rsidRPr="00A84F22">
              <w:rPr>
                <w:rFonts w:ascii="Times" w:eastAsia="Batang" w:hAnsi="Times" w:cs="Times New Roman"/>
                <w:sz w:val="20"/>
                <w:szCs w:val="20"/>
                <w:lang w:val="en-GB" w:eastAsia="en-US"/>
              </w:rPr>
              <w:t>For DCI-based overridden/direct indication, down select one of the following based on the criteria DCI overhead, PDCCH monitoring</w:t>
            </w:r>
            <w:r w:rsidRPr="00A84F22">
              <w:rPr>
                <w:rFonts w:ascii="Times" w:eastAsia="Batang" w:hAnsi="Times" w:cs="Times New Roman" w:hint="eastAsia"/>
                <w:sz w:val="20"/>
                <w:szCs w:val="20"/>
                <w:lang w:val="en-GB"/>
              </w:rPr>
              <w:t xml:space="preserve"> </w:t>
            </w:r>
            <w:proofErr w:type="spellStart"/>
            <w:r w:rsidRPr="00A84F22">
              <w:rPr>
                <w:rFonts w:ascii="Times" w:eastAsia="Batang" w:hAnsi="Times" w:cs="Times New Roman" w:hint="eastAsia"/>
                <w:sz w:val="20"/>
                <w:szCs w:val="20"/>
                <w:lang w:val="en-GB"/>
              </w:rPr>
              <w:t>behavior</w:t>
            </w:r>
            <w:proofErr w:type="spellEnd"/>
            <w:r w:rsidRPr="00A84F22">
              <w:rPr>
                <w:rFonts w:ascii="Times" w:eastAsia="Batang" w:hAnsi="Times" w:cs="Times New Roman"/>
                <w:sz w:val="20"/>
                <w:szCs w:val="20"/>
                <w:lang w:val="en-GB" w:eastAsia="en-US"/>
              </w:rPr>
              <w:t>, impact on scheduling flexibility, UE implementation complexity, etc</w:t>
            </w:r>
          </w:p>
          <w:p w14:paraId="00381B20" w14:textId="77777777" w:rsidR="002E23F0" w:rsidRPr="002E23F0" w:rsidRDefault="002E23F0" w:rsidP="002E23F0">
            <w:pPr>
              <w:numPr>
                <w:ilvl w:val="0"/>
                <w:numId w:val="35"/>
              </w:numPr>
              <w:spacing w:after="0" w:line="240" w:lineRule="auto"/>
              <w:rPr>
                <w:rFonts w:ascii="Times New Roman" w:eastAsia="Batang" w:hAnsi="Times New Roman" w:cs="Times New Roman"/>
                <w:iCs/>
                <w:sz w:val="20"/>
                <w:szCs w:val="20"/>
                <w:lang w:val="en-GB"/>
              </w:rPr>
            </w:pPr>
            <w:r w:rsidRPr="00A84F22">
              <w:rPr>
                <w:rFonts w:ascii="Times New Roman" w:eastAsia="等线" w:hAnsi="Times New Roman" w:cs="Times New Roman"/>
                <w:sz w:val="20"/>
                <w:szCs w:val="20"/>
                <w:lang w:val="en-GB"/>
              </w:rPr>
              <w:t>Option 1: Indication by adding one field in DCI</w:t>
            </w:r>
            <w:r>
              <w:rPr>
                <w:rFonts w:ascii="Times New Roman" w:eastAsia="等线" w:hAnsi="Times New Roman" w:cs="Times New Roman"/>
                <w:sz w:val="20"/>
                <w:szCs w:val="20"/>
                <w:lang w:val="en-GB"/>
              </w:rPr>
              <w:t xml:space="preserve"> </w:t>
            </w:r>
          </w:p>
          <w:p w14:paraId="1C60A43F" w14:textId="77472A8B" w:rsidR="002E23F0" w:rsidRPr="0003742B" w:rsidRDefault="002E23F0" w:rsidP="002E23F0">
            <w:pPr>
              <w:numPr>
                <w:ilvl w:val="0"/>
                <w:numId w:val="35"/>
              </w:numPr>
              <w:spacing w:after="0" w:line="240" w:lineRule="auto"/>
              <w:rPr>
                <w:rFonts w:ascii="Times New Roman" w:eastAsia="Batang" w:hAnsi="Times New Roman" w:cs="Times New Roman"/>
                <w:iCs/>
                <w:sz w:val="20"/>
                <w:szCs w:val="20"/>
                <w:lang w:val="en-GB"/>
              </w:rPr>
            </w:pPr>
            <w:r w:rsidRPr="00880CBA">
              <w:rPr>
                <w:rFonts w:ascii="Times New Roman" w:eastAsia="等线" w:hAnsi="Times New Roman" w:cs="Times New Roman"/>
                <w:sz w:val="20"/>
                <w:szCs w:val="20"/>
                <w:lang w:val="en-GB"/>
              </w:rPr>
              <w:t>Option 2: Indication by reusing/reinterpreting existing field in DCI</w:t>
            </w:r>
          </w:p>
        </w:tc>
      </w:tr>
    </w:tbl>
    <w:p w14:paraId="0A77FD63" w14:textId="77777777" w:rsidR="004D66EC" w:rsidRDefault="004D66EC" w:rsidP="004D66EC">
      <w:pPr>
        <w:spacing w:before="120" w:line="257" w:lineRule="auto"/>
        <w:jc w:val="both"/>
        <w:rPr>
          <w:rFonts w:ascii="Calibri" w:eastAsia="Calibri" w:hAnsi="Calibri" w:cs="Calibri"/>
          <w:lang w:val="en-GB"/>
        </w:rPr>
      </w:pPr>
      <w:r>
        <w:rPr>
          <w:rFonts w:ascii="Calibri" w:eastAsia="Calibri" w:hAnsi="Calibri" w:cs="Calibri"/>
          <w:lang w:val="en-GB"/>
        </w:rPr>
        <w:lastRenderedPageBreak/>
        <w:t xml:space="preserve">The agreements adopt Option 3 (enabling/disabling HARQ feedback by DCI indication) for NB-IoT and eMTC CE mode B. In those cases, Option 3 can be configured in addition to Option 1 (semi-static per HARQ process bitmap), or independent of Option 1. If both Option 1 and Option 3 are configured, DCI indication can be used to override the semi-statical HARQ feedback configuration. One open issue is whether DCI override should be applied to semi-statically HARQ enabled processes, or semi-statically HARQ disabled processes, or both. In our view, enabling HARQ feedback for a semi-statically feedback-disabled process can be useful for MAC CE and RRC signaling and link adaptation. While disabling HARQ feedback for a semi-statically feedback-enabled process can provide a higher data rate for delay sensitive services. Networks should be given the flexibility of overriding both semi-statically HARQ feedback-enabled and semi-statically HARQ feedback-disabled processes. </w:t>
      </w:r>
    </w:p>
    <w:p w14:paraId="384077D6" w14:textId="3865C145" w:rsidR="004D66EC" w:rsidRPr="003C5670" w:rsidRDefault="004D66EC" w:rsidP="004D66EC">
      <w:pPr>
        <w:spacing w:before="120" w:line="257" w:lineRule="auto"/>
        <w:jc w:val="both"/>
        <w:rPr>
          <w:rFonts w:ascii="Calibri" w:eastAsia="Calibri" w:hAnsi="Calibri" w:cs="Calibri"/>
          <w:b/>
          <w:bCs/>
          <w:lang w:val="en-GB"/>
        </w:rPr>
      </w:pPr>
      <w:r w:rsidRPr="003C5670">
        <w:rPr>
          <w:rFonts w:ascii="Calibri" w:eastAsia="Calibri" w:hAnsi="Calibri" w:cs="Calibri"/>
          <w:b/>
          <w:bCs/>
          <w:lang w:val="en-GB"/>
        </w:rPr>
        <w:t xml:space="preserve">Proposal </w:t>
      </w:r>
      <w:r w:rsidR="00730D43">
        <w:rPr>
          <w:rFonts w:ascii="Calibri" w:eastAsia="Calibri" w:hAnsi="Calibri" w:cs="Calibri"/>
          <w:b/>
          <w:bCs/>
          <w:lang w:val="en-GB"/>
        </w:rPr>
        <w:t>1</w:t>
      </w:r>
      <w:r w:rsidRPr="003C5670">
        <w:rPr>
          <w:rFonts w:ascii="Calibri" w:eastAsia="Calibri" w:hAnsi="Calibri" w:cs="Calibri"/>
          <w:b/>
          <w:bCs/>
          <w:lang w:val="en-GB"/>
        </w:rPr>
        <w:t>: When configured with Option 1 and Option 3, the DCI-based overridden mechanism applies to both semi-statically HARQ feedback enabled and disabled processes.</w:t>
      </w:r>
    </w:p>
    <w:p w14:paraId="1C42216A" w14:textId="77777777" w:rsidR="004D66EC" w:rsidRDefault="004D66EC" w:rsidP="004D66EC">
      <w:pPr>
        <w:spacing w:before="120" w:line="257" w:lineRule="auto"/>
        <w:jc w:val="both"/>
        <w:rPr>
          <w:rFonts w:ascii="Calibri" w:eastAsia="Calibri" w:hAnsi="Calibri" w:cs="Calibri"/>
          <w:lang w:val="en-GB"/>
        </w:rPr>
      </w:pPr>
      <w:r>
        <w:rPr>
          <w:rFonts w:ascii="Calibri" w:eastAsia="Calibri" w:hAnsi="Calibri" w:cs="Calibri"/>
          <w:lang w:val="en-GB"/>
        </w:rPr>
        <w:t>It is also possible that only Option 3 is configured. In that case, enabling/disabling HARQ feedback for the scheduled TB is solely based on DCI indication. From implementation point of view, it would be beneficial to have the same DCI indications for HARQ feedback enabling/disabling with “Option 3 only” and with “Option 1 + Option 3” configurations. The implementation can be the same with these configurations if the DCI directly indicates “enable” or “disable” HARQ feedback. Direct indication is also simpler to implement than the “override indication” since looking up the semi-static HARQ feedback status of the HARQ process is not needed.</w:t>
      </w:r>
    </w:p>
    <w:p w14:paraId="30089CBA" w14:textId="32B435B5" w:rsidR="004D66EC" w:rsidRPr="00EF486D" w:rsidRDefault="004D66EC" w:rsidP="004D66EC">
      <w:pPr>
        <w:spacing w:before="120" w:line="257" w:lineRule="auto"/>
        <w:jc w:val="both"/>
        <w:rPr>
          <w:rFonts w:ascii="Calibri" w:eastAsia="Calibri" w:hAnsi="Calibri" w:cs="Calibri"/>
          <w:b/>
          <w:bCs/>
          <w:lang w:val="en-GB"/>
        </w:rPr>
      </w:pPr>
      <w:r w:rsidRPr="00EF486D">
        <w:rPr>
          <w:rFonts w:ascii="Calibri" w:eastAsia="Calibri" w:hAnsi="Calibri" w:cs="Calibri"/>
          <w:b/>
          <w:bCs/>
          <w:lang w:val="en-GB"/>
        </w:rPr>
        <w:t xml:space="preserve">Proposal </w:t>
      </w:r>
      <w:r w:rsidR="0073447E">
        <w:rPr>
          <w:rFonts w:ascii="Calibri" w:eastAsia="Calibri" w:hAnsi="Calibri" w:cs="Calibri"/>
          <w:b/>
          <w:bCs/>
          <w:lang w:val="en-GB"/>
        </w:rPr>
        <w:t>2</w:t>
      </w:r>
      <w:r w:rsidRPr="00EF486D">
        <w:rPr>
          <w:rFonts w:ascii="Calibri" w:eastAsia="Calibri" w:hAnsi="Calibri" w:cs="Calibri"/>
          <w:b/>
          <w:bCs/>
          <w:lang w:val="en-GB"/>
        </w:rPr>
        <w:t>: The DCI indication in Option 3 directly indicates enabling or disabling of HARQ feedback for the scheduled TB.</w:t>
      </w:r>
    </w:p>
    <w:p w14:paraId="603665D3" w14:textId="692C302B" w:rsidR="006B29CC" w:rsidRDefault="00C76E11" w:rsidP="006D30D5">
      <w:pPr>
        <w:spacing w:before="120" w:line="257" w:lineRule="auto"/>
        <w:jc w:val="both"/>
        <w:rPr>
          <w:rFonts w:ascii="Calibri" w:eastAsia="Calibri" w:hAnsi="Calibri" w:cs="Calibri"/>
          <w:lang w:val="en-GB"/>
        </w:rPr>
      </w:pPr>
      <w:r>
        <w:rPr>
          <w:rFonts w:ascii="Calibri" w:eastAsia="Calibri" w:hAnsi="Calibri" w:cs="Calibri"/>
          <w:lang w:val="en-GB"/>
        </w:rPr>
        <w:t xml:space="preserve">To support Option 3, </w:t>
      </w:r>
      <w:r w:rsidR="00512ABF">
        <w:rPr>
          <w:rFonts w:ascii="Calibri" w:eastAsia="Calibri" w:hAnsi="Calibri" w:cs="Calibri"/>
          <w:lang w:val="en-GB"/>
        </w:rPr>
        <w:t xml:space="preserve">it is highly desirable </w:t>
      </w:r>
      <w:r w:rsidR="009824FE">
        <w:rPr>
          <w:rFonts w:ascii="Calibri" w:eastAsia="Calibri" w:hAnsi="Calibri" w:cs="Calibri"/>
          <w:lang w:val="en-GB"/>
        </w:rPr>
        <w:t xml:space="preserve">not </w:t>
      </w:r>
      <w:r w:rsidR="00512ABF">
        <w:rPr>
          <w:rFonts w:ascii="Calibri" w:eastAsia="Calibri" w:hAnsi="Calibri" w:cs="Calibri"/>
          <w:lang w:val="en-GB"/>
        </w:rPr>
        <w:t xml:space="preserve">to </w:t>
      </w:r>
      <w:r w:rsidR="00456832">
        <w:rPr>
          <w:rFonts w:ascii="Calibri" w:eastAsia="Calibri" w:hAnsi="Calibri" w:cs="Calibri"/>
          <w:lang w:val="en-GB"/>
        </w:rPr>
        <w:t>increase DCI detection complexity at UE</w:t>
      </w:r>
      <w:r w:rsidR="00D76525">
        <w:rPr>
          <w:rFonts w:ascii="Calibri" w:eastAsia="Calibri" w:hAnsi="Calibri" w:cs="Calibri"/>
          <w:lang w:val="en-GB"/>
        </w:rPr>
        <w:t xml:space="preserve"> by </w:t>
      </w:r>
      <w:r w:rsidR="001C0A5C">
        <w:rPr>
          <w:rFonts w:ascii="Calibri" w:eastAsia="Calibri" w:hAnsi="Calibri" w:cs="Calibri"/>
          <w:lang w:val="en-GB"/>
        </w:rPr>
        <w:t xml:space="preserve">introducing a new field. </w:t>
      </w:r>
      <w:r w:rsidR="00954B59">
        <w:rPr>
          <w:rFonts w:ascii="Calibri" w:eastAsia="Calibri" w:hAnsi="Calibri" w:cs="Calibri"/>
          <w:lang w:val="en-GB"/>
        </w:rPr>
        <w:t xml:space="preserve">We think </w:t>
      </w:r>
      <w:r w:rsidR="00114FA0">
        <w:rPr>
          <w:rFonts w:ascii="Calibri" w:eastAsia="Calibri" w:hAnsi="Calibri" w:cs="Calibri"/>
          <w:lang w:val="en-GB"/>
        </w:rPr>
        <w:t xml:space="preserve">reusing existing fields should be </w:t>
      </w:r>
      <w:r w:rsidR="00DA69F8">
        <w:rPr>
          <w:rFonts w:ascii="Calibri" w:eastAsia="Calibri" w:hAnsi="Calibri" w:cs="Calibri"/>
          <w:lang w:val="en-GB"/>
        </w:rPr>
        <w:t xml:space="preserve">considered </w:t>
      </w:r>
      <w:r w:rsidR="00D4482F">
        <w:rPr>
          <w:rFonts w:ascii="Calibri" w:eastAsia="Calibri" w:hAnsi="Calibri" w:cs="Calibri"/>
          <w:lang w:val="en-GB"/>
        </w:rPr>
        <w:t xml:space="preserve">first for HARQ feedback enabled/disabled </w:t>
      </w:r>
      <w:r w:rsidR="00DF1F99">
        <w:rPr>
          <w:rFonts w:ascii="Calibri" w:eastAsia="Calibri" w:hAnsi="Calibri" w:cs="Calibri"/>
          <w:lang w:val="en-GB"/>
        </w:rPr>
        <w:t>indication.</w:t>
      </w:r>
    </w:p>
    <w:p w14:paraId="1A1A8EA1" w14:textId="467D2FBA" w:rsidR="00FC3E74" w:rsidRPr="00F2259B" w:rsidRDefault="00FC3E74" w:rsidP="00FC3E74">
      <w:pPr>
        <w:rPr>
          <w:b/>
          <w:bCs/>
          <w:lang w:val="en-GB" w:eastAsia="en-US"/>
        </w:rPr>
      </w:pPr>
      <w:r w:rsidRPr="00F2259B">
        <w:rPr>
          <w:b/>
          <w:bCs/>
          <w:lang w:val="en-GB" w:eastAsia="en-US"/>
        </w:rPr>
        <w:t xml:space="preserve">Proposal </w:t>
      </w:r>
      <w:r w:rsidR="009B2332">
        <w:rPr>
          <w:b/>
          <w:bCs/>
          <w:lang w:val="en-GB" w:eastAsia="en-US"/>
        </w:rPr>
        <w:t>3</w:t>
      </w:r>
      <w:r w:rsidRPr="00F2259B">
        <w:rPr>
          <w:b/>
          <w:bCs/>
          <w:lang w:val="en-GB" w:eastAsia="en-US"/>
        </w:rPr>
        <w:t xml:space="preserve">: Reuse existing DCI fields for Option 3 HARQ feedback enabling/disabling indication. </w:t>
      </w:r>
    </w:p>
    <w:p w14:paraId="1344C838" w14:textId="3544D5C2" w:rsidR="00FC3E74" w:rsidRDefault="00FC3E74" w:rsidP="00FC3E74">
      <w:pPr>
        <w:rPr>
          <w:lang w:val="en-GB" w:eastAsia="en-US"/>
        </w:rPr>
      </w:pPr>
      <w:r>
        <w:rPr>
          <w:lang w:val="en-GB" w:eastAsia="en-US"/>
        </w:rPr>
        <w:lastRenderedPageBreak/>
        <w:t xml:space="preserve">For convenience, </w:t>
      </w:r>
      <w:r w:rsidR="00BF1C28">
        <w:rPr>
          <w:lang w:val="en-GB" w:eastAsia="en-US"/>
        </w:rPr>
        <w:t xml:space="preserve">relevant fields of </w:t>
      </w:r>
      <w:r>
        <w:rPr>
          <w:lang w:val="en-GB" w:eastAsia="en-US"/>
        </w:rPr>
        <w:t>DCI formats for DL data scheduling in CE Mode B and NB-IoT are shown in Tables 1 and 2 respectively. We see at least three possibilities of reusing existing DCI fields for HARQ feedback indication:</w:t>
      </w:r>
    </w:p>
    <w:p w14:paraId="50C1D58C" w14:textId="77777777" w:rsidR="00FC3E74" w:rsidRPr="00C21D89" w:rsidRDefault="00FC3E74" w:rsidP="00FC3E74">
      <w:pPr>
        <w:pStyle w:val="ListParagraph"/>
        <w:numPr>
          <w:ilvl w:val="0"/>
          <w:numId w:val="37"/>
        </w:numPr>
        <w:rPr>
          <w:sz w:val="22"/>
          <w:szCs w:val="22"/>
          <w:lang w:val="en-GB" w:eastAsia="en-US"/>
        </w:rPr>
      </w:pPr>
      <w:r w:rsidRPr="00C21D89">
        <w:rPr>
          <w:sz w:val="22"/>
          <w:szCs w:val="22"/>
          <w:lang w:val="en-GB" w:eastAsia="en-US"/>
        </w:rPr>
        <w:t xml:space="preserve">Use one bit from </w:t>
      </w:r>
      <w:r>
        <w:rPr>
          <w:sz w:val="22"/>
          <w:szCs w:val="22"/>
          <w:lang w:val="en-GB" w:eastAsia="en-US"/>
        </w:rPr>
        <w:t>an existing</w:t>
      </w:r>
      <w:r w:rsidRPr="00C21D89">
        <w:rPr>
          <w:sz w:val="22"/>
          <w:szCs w:val="22"/>
          <w:lang w:val="en-GB" w:eastAsia="en-US"/>
        </w:rPr>
        <w:t xml:space="preserve"> field</w:t>
      </w:r>
    </w:p>
    <w:p w14:paraId="372A4775" w14:textId="54D8C5BF" w:rsidR="00FC3E74" w:rsidRPr="00C21D89" w:rsidRDefault="00FC3E74" w:rsidP="00FC3E74">
      <w:pPr>
        <w:ind w:left="720"/>
        <w:jc w:val="both"/>
        <w:rPr>
          <w:lang w:val="en-GB" w:eastAsia="en-US"/>
        </w:rPr>
      </w:pPr>
      <w:r w:rsidRPr="00C21D89">
        <w:rPr>
          <w:lang w:val="en-GB" w:eastAsia="en-US"/>
        </w:rPr>
        <w:t xml:space="preserve">One bit of </w:t>
      </w:r>
      <w:proofErr w:type="spellStart"/>
      <w:proofErr w:type="gramStart"/>
      <w:r w:rsidRPr="00C21D89">
        <w:rPr>
          <w:lang w:val="en-GB" w:eastAsia="en-US"/>
        </w:rPr>
        <w:t>a</w:t>
      </w:r>
      <w:proofErr w:type="spellEnd"/>
      <w:proofErr w:type="gramEnd"/>
      <w:r w:rsidRPr="00C21D89">
        <w:rPr>
          <w:lang w:val="en-GB" w:eastAsia="en-US"/>
        </w:rPr>
        <w:t xml:space="preserve"> existing field, e.g., MCS or repetition number, is dedicated to HARQ feedback indication. This would reduce the number of values for that field by half, but</w:t>
      </w:r>
      <w:r>
        <w:rPr>
          <w:lang w:val="en-GB" w:eastAsia="en-US"/>
        </w:rPr>
        <w:t xml:space="preserve"> given that radio links in NTN are expected to be LOS, a reduced range of MCS or repetitions </w:t>
      </w:r>
      <w:r w:rsidR="004D5746">
        <w:rPr>
          <w:lang w:val="en-GB" w:eastAsia="en-US"/>
        </w:rPr>
        <w:t>can be</w:t>
      </w:r>
      <w:r>
        <w:rPr>
          <w:lang w:val="en-GB" w:eastAsia="en-US"/>
        </w:rPr>
        <w:t xml:space="preserve"> acceptable</w:t>
      </w:r>
      <w:r w:rsidR="00D147A9">
        <w:rPr>
          <w:lang w:val="en-GB" w:eastAsia="en-US"/>
        </w:rPr>
        <w:t xml:space="preserve">, considering </w:t>
      </w:r>
      <w:r w:rsidR="00472790">
        <w:rPr>
          <w:lang w:val="en-GB" w:eastAsia="en-US"/>
        </w:rPr>
        <w:t xml:space="preserve">channel status will not change </w:t>
      </w:r>
      <w:r w:rsidR="00FB687B">
        <w:rPr>
          <w:lang w:val="en-GB" w:eastAsia="en-US"/>
        </w:rPr>
        <w:t xml:space="preserve">so large during </w:t>
      </w:r>
      <w:r w:rsidR="00EE5BF5">
        <w:rPr>
          <w:lang w:val="en-GB" w:eastAsia="en-US"/>
        </w:rPr>
        <w:t xml:space="preserve">a short-middle time </w:t>
      </w:r>
      <w:proofErr w:type="gramStart"/>
      <w:r w:rsidR="00FB687B">
        <w:rPr>
          <w:lang w:val="en-GB" w:eastAsia="en-US"/>
        </w:rPr>
        <w:t>e.g.</w:t>
      </w:r>
      <w:proofErr w:type="gramEnd"/>
      <w:r w:rsidR="00FB687B">
        <w:rPr>
          <w:lang w:val="en-GB" w:eastAsia="en-US"/>
        </w:rPr>
        <w:t xml:space="preserve"> several second</w:t>
      </w:r>
      <w:r>
        <w:rPr>
          <w:lang w:val="en-GB" w:eastAsia="en-US"/>
        </w:rPr>
        <w:t xml:space="preserve">. </w:t>
      </w:r>
    </w:p>
    <w:p w14:paraId="6C04270C" w14:textId="77777777" w:rsidR="00FC3E74" w:rsidRDefault="00FC3E74" w:rsidP="00FC3E74">
      <w:pPr>
        <w:pStyle w:val="ListParagraph"/>
        <w:numPr>
          <w:ilvl w:val="0"/>
          <w:numId w:val="37"/>
        </w:numPr>
        <w:rPr>
          <w:sz w:val="22"/>
          <w:szCs w:val="22"/>
          <w:lang w:val="en-GB" w:eastAsia="en-US"/>
        </w:rPr>
      </w:pPr>
      <w:r w:rsidRPr="00C21D89">
        <w:rPr>
          <w:sz w:val="22"/>
          <w:szCs w:val="22"/>
          <w:lang w:val="en-GB" w:eastAsia="en-US"/>
        </w:rPr>
        <w:t>Use one value of HARQ-ACK resource</w:t>
      </w:r>
      <w:r>
        <w:rPr>
          <w:sz w:val="22"/>
          <w:szCs w:val="22"/>
          <w:lang w:val="en-GB" w:eastAsia="en-US"/>
        </w:rPr>
        <w:t xml:space="preserve"> field</w:t>
      </w:r>
    </w:p>
    <w:p w14:paraId="765AE580" w14:textId="77777777" w:rsidR="00FC3E74" w:rsidRPr="0036329B" w:rsidRDefault="00FC3E74" w:rsidP="00FC3E74">
      <w:pPr>
        <w:ind w:left="720"/>
        <w:jc w:val="both"/>
        <w:rPr>
          <w:lang w:val="en-GB" w:eastAsia="en-US"/>
        </w:rPr>
      </w:pPr>
      <w:r>
        <w:rPr>
          <w:lang w:val="en-GB" w:eastAsia="en-US"/>
        </w:rPr>
        <w:t>One value of the HARQ-ACK resource field is used to indicate “disabling” of HARQ feedback, while the rest of values indicate “enabling” of HARQ feedback. This would reduce possible HARQ-ACK resource assignments by one, but this resource restriction can be mitigated if the special value for feedback disabling is configured per UE.</w:t>
      </w:r>
    </w:p>
    <w:p w14:paraId="1823604E" w14:textId="77777777" w:rsidR="00FC3E74" w:rsidRDefault="00FC3E74" w:rsidP="00FC3E74">
      <w:pPr>
        <w:pStyle w:val="ListParagraph"/>
        <w:numPr>
          <w:ilvl w:val="0"/>
          <w:numId w:val="37"/>
        </w:numPr>
        <w:rPr>
          <w:sz w:val="22"/>
          <w:szCs w:val="22"/>
          <w:lang w:val="en-GB" w:eastAsia="en-US"/>
        </w:rPr>
      </w:pPr>
      <w:r w:rsidRPr="00C21D89">
        <w:rPr>
          <w:sz w:val="22"/>
          <w:szCs w:val="22"/>
          <w:lang w:val="en-GB" w:eastAsia="en-US"/>
        </w:rPr>
        <w:t xml:space="preserve">Use </w:t>
      </w:r>
      <w:r>
        <w:rPr>
          <w:sz w:val="22"/>
          <w:szCs w:val="22"/>
          <w:lang w:val="en-GB" w:eastAsia="en-US"/>
        </w:rPr>
        <w:t>a condition set by</w:t>
      </w:r>
      <w:r w:rsidRPr="00C21D89">
        <w:rPr>
          <w:sz w:val="22"/>
          <w:szCs w:val="22"/>
          <w:lang w:val="en-GB" w:eastAsia="en-US"/>
        </w:rPr>
        <w:t xml:space="preserve"> </w:t>
      </w:r>
      <w:r>
        <w:rPr>
          <w:sz w:val="22"/>
          <w:szCs w:val="22"/>
          <w:lang w:val="en-GB" w:eastAsia="en-US"/>
        </w:rPr>
        <w:t xml:space="preserve">existing </w:t>
      </w:r>
      <w:r w:rsidRPr="00C21D89">
        <w:rPr>
          <w:sz w:val="22"/>
          <w:szCs w:val="22"/>
          <w:lang w:val="en-GB" w:eastAsia="en-US"/>
        </w:rPr>
        <w:t>fields</w:t>
      </w:r>
    </w:p>
    <w:p w14:paraId="20324D1B" w14:textId="77777777" w:rsidR="00FC3E74" w:rsidRPr="009F68E5" w:rsidRDefault="00FC3E74" w:rsidP="00FC3E74">
      <w:pPr>
        <w:ind w:left="720"/>
        <w:jc w:val="both"/>
        <w:rPr>
          <w:lang w:val="en-GB" w:eastAsia="en-US"/>
        </w:rPr>
      </w:pPr>
      <w:r>
        <w:rPr>
          <w:lang w:val="en-GB" w:eastAsia="en-US"/>
        </w:rPr>
        <w:t>One or more fields can be used to set a condition for enabling or disabling HARQ feedback. For example, when MCS and repetition number are respectively in a certain range of values. This would restrict network flexibility of scheduling resources, but on the other hand, network can properly set the condition considering the most likely or least likely resource assignment when HARQ feedback is enabled or disabled.</w:t>
      </w:r>
    </w:p>
    <w:p w14:paraId="5F1EF8F7" w14:textId="3C7A4288" w:rsidR="00F5546B" w:rsidRDefault="00FC3E74" w:rsidP="004C7D3C">
      <w:pPr>
        <w:jc w:val="both"/>
        <w:rPr>
          <w:lang w:val="en-GB" w:eastAsia="en-US"/>
        </w:rPr>
      </w:pPr>
      <w:r w:rsidRPr="0001310C">
        <w:rPr>
          <w:b/>
          <w:bCs/>
          <w:lang w:val="en-GB" w:eastAsia="en-US"/>
        </w:rPr>
        <w:t xml:space="preserve">Proposal </w:t>
      </w:r>
      <w:r w:rsidR="009B2332">
        <w:rPr>
          <w:b/>
          <w:bCs/>
          <w:lang w:val="en-GB" w:eastAsia="en-US"/>
        </w:rPr>
        <w:t>4</w:t>
      </w:r>
      <w:r w:rsidRPr="0001310C">
        <w:rPr>
          <w:b/>
          <w:bCs/>
          <w:lang w:val="en-GB" w:eastAsia="en-US"/>
        </w:rPr>
        <w:t xml:space="preserve">: </w:t>
      </w:r>
      <w:proofErr w:type="gramStart"/>
      <w:r w:rsidR="00F717DE">
        <w:rPr>
          <w:b/>
          <w:bCs/>
          <w:lang w:val="en-GB" w:eastAsia="en-US"/>
        </w:rPr>
        <w:t>Down-select</w:t>
      </w:r>
      <w:proofErr w:type="gramEnd"/>
      <w:r w:rsidR="00F717DE">
        <w:rPr>
          <w:b/>
          <w:bCs/>
          <w:lang w:val="en-GB" w:eastAsia="en-US"/>
        </w:rPr>
        <w:t xml:space="preserve"> one of</w:t>
      </w:r>
      <w:r w:rsidRPr="0001310C">
        <w:rPr>
          <w:b/>
          <w:bCs/>
          <w:lang w:val="en-GB" w:eastAsia="en-US"/>
        </w:rPr>
        <w:t xml:space="preserve"> </w:t>
      </w:r>
      <w:r w:rsidR="00F717DE">
        <w:rPr>
          <w:b/>
          <w:bCs/>
          <w:lang w:val="en-GB" w:eastAsia="en-US"/>
        </w:rPr>
        <w:t>the following</w:t>
      </w:r>
      <w:r w:rsidRPr="0001310C">
        <w:rPr>
          <w:b/>
          <w:bCs/>
          <w:lang w:val="en-GB" w:eastAsia="en-US"/>
        </w:rPr>
        <w:t xml:space="preserve"> options </w:t>
      </w:r>
      <w:r w:rsidR="00F717DE">
        <w:rPr>
          <w:b/>
          <w:bCs/>
          <w:lang w:val="en-GB" w:eastAsia="en-US"/>
        </w:rPr>
        <w:t>for</w:t>
      </w:r>
      <w:r w:rsidRPr="0001310C">
        <w:rPr>
          <w:b/>
          <w:bCs/>
          <w:lang w:val="en-GB" w:eastAsia="en-US"/>
        </w:rPr>
        <w:t xml:space="preserve"> reus</w:t>
      </w:r>
      <w:r w:rsidR="00F717DE">
        <w:rPr>
          <w:b/>
          <w:bCs/>
          <w:lang w:val="en-GB" w:eastAsia="en-US"/>
        </w:rPr>
        <w:t>ing</w:t>
      </w:r>
      <w:r w:rsidRPr="0001310C">
        <w:rPr>
          <w:b/>
          <w:bCs/>
          <w:lang w:val="en-GB" w:eastAsia="en-US"/>
        </w:rPr>
        <w:t xml:space="preserve"> existing DCI fields for HARQ feedback enabling/disabling indication: 1) Use one bit from an existing field. 2) Use one value of HARQ-ACK resource field. 3) Use a condition set by existing fields.</w:t>
      </w:r>
      <w:bookmarkStart w:id="2" w:name="_Hlk87092729"/>
    </w:p>
    <w:p w14:paraId="01910F55" w14:textId="78224118" w:rsidR="00A120E1" w:rsidRDefault="007D3767" w:rsidP="005C57B4">
      <w:pPr>
        <w:pStyle w:val="Caption"/>
        <w:spacing w:before="240" w:after="60" w:line="240" w:lineRule="auto"/>
        <w:jc w:val="center"/>
        <w:rPr>
          <w:lang w:val="en-GB" w:eastAsia="en-US"/>
        </w:rPr>
      </w:pPr>
      <w:r>
        <w:rPr>
          <w:lang w:val="en-GB" w:eastAsia="en-US"/>
        </w:rPr>
        <w:t>Table 1. DCI format 6-1B for CE Mode B PDSCH scheduling</w:t>
      </w:r>
    </w:p>
    <w:tbl>
      <w:tblPr>
        <w:tblW w:w="6237" w:type="dxa"/>
        <w:jc w:val="center"/>
        <w:tblCellMar>
          <w:left w:w="0" w:type="dxa"/>
          <w:right w:w="0" w:type="dxa"/>
        </w:tblCellMar>
        <w:tblLook w:val="0600" w:firstRow="0" w:lastRow="0" w:firstColumn="0" w:lastColumn="0" w:noHBand="1" w:noVBand="1"/>
      </w:tblPr>
      <w:tblGrid>
        <w:gridCol w:w="4106"/>
        <w:gridCol w:w="2131"/>
      </w:tblGrid>
      <w:tr w:rsidR="00A120E1" w:rsidRPr="00A120E1" w14:paraId="2343E64C"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131EC5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DCI format 6-1B for PDSCH scheduling</w:t>
            </w:r>
          </w:p>
        </w:tc>
      </w:tr>
      <w:tr w:rsidR="00A120E1" w:rsidRPr="00A120E1" w14:paraId="107143F2"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EE6C9A6"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Field</w:t>
            </w:r>
          </w:p>
        </w:tc>
        <w:tc>
          <w:tcPr>
            <w:tcW w:w="213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6D2CF8D"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Size (bits)</w:t>
            </w:r>
          </w:p>
        </w:tc>
      </w:tr>
      <w:tr w:rsidR="00A120E1" w:rsidRPr="00A120E1" w14:paraId="7CE18702"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44847CB"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Flag for 6-0B/6-1B differentiation</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3F72F6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16AEF7E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30551B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MCS</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E1C81D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4</w:t>
            </w:r>
          </w:p>
        </w:tc>
      </w:tr>
      <w:tr w:rsidR="00A120E1" w:rsidRPr="00A120E1" w14:paraId="01C9C350"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168C24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Resource block assignment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AF27044" w14:textId="77777777" w:rsidR="00A120E1" w:rsidRPr="00A120E1" w:rsidRDefault="00A120E1" w:rsidP="00A120E1">
            <w:pPr>
              <w:spacing w:after="0" w:line="240" w:lineRule="auto"/>
              <w:jc w:val="center"/>
              <w:textAlignment w:val="bottom"/>
              <w:rPr>
                <w:rFonts w:ascii="Calibri" w:eastAsia="宋体" w:hAnsi="Calibri" w:cs="Calibri"/>
                <w:color w:val="000000"/>
                <w:kern w:val="24"/>
                <w:lang w:eastAsia="ja-JP"/>
              </w:rPr>
            </w:pPr>
            <w:r w:rsidRPr="00A120E1">
              <w:rPr>
                <w:rFonts w:ascii="Arial" w:eastAsia="宋体" w:hAnsi="Arial" w:cs="Times New Roman"/>
                <w:noProof/>
                <w:position w:val="-32"/>
                <w:lang w:val="en-GB" w:eastAsia="en-US"/>
              </w:rPr>
              <w:drawing>
                <wp:inline distT="0" distB="0" distL="0" distR="0" wp14:anchorId="739E9DD3" wp14:editId="27198EC1">
                  <wp:extent cx="776605" cy="474345"/>
                  <wp:effectExtent l="0" t="0" r="444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6605" cy="474345"/>
                          </a:xfrm>
                          <a:prstGeom prst="rect">
                            <a:avLst/>
                          </a:prstGeom>
                          <a:noFill/>
                          <a:ln>
                            <a:noFill/>
                          </a:ln>
                        </pic:spPr>
                      </pic:pic>
                    </a:graphicData>
                  </a:graphic>
                </wp:inline>
              </w:drawing>
            </w:r>
            <w:r w:rsidRPr="00A120E1">
              <w:rPr>
                <w:rFonts w:ascii="Calibri" w:eastAsia="宋体" w:hAnsi="Calibri" w:cs="Calibri"/>
                <w:lang w:val="en-GB" w:eastAsia="en-US"/>
              </w:rPr>
              <w:t>+1</w:t>
            </w:r>
          </w:p>
        </w:tc>
      </w:tr>
      <w:tr w:rsidR="00A120E1" w:rsidRPr="00A120E1" w14:paraId="3F4C370B"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456890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6D40838"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3</w:t>
            </w:r>
          </w:p>
        </w:tc>
      </w:tr>
      <w:tr w:rsidR="00A120E1" w:rsidRPr="00A120E1" w14:paraId="234E302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9E86DA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 process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4C34C2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30F0D597"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99AE19"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NDI</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7B8A07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0F6C9898"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23ECBF6"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HARQ-ACK resource offset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E23687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BFD2E71"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426CB7F"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DCI subframe 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F599D8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7084728"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AEB7C32" w14:textId="77777777" w:rsidR="00A120E1" w:rsidRPr="00A120E1" w:rsidRDefault="00A120E1" w:rsidP="00A120E1">
            <w:pPr>
              <w:spacing w:before="60" w:after="60" w:line="240" w:lineRule="auto"/>
              <w:ind w:left="113"/>
              <w:jc w:val="both"/>
              <w:textAlignment w:val="bottom"/>
              <w:rPr>
                <w:rFonts w:ascii="Calibri" w:eastAsia="宋体" w:hAnsi="Calibri" w:cs="Calibri"/>
                <w:color w:val="000000"/>
                <w:kern w:val="24"/>
                <w:lang w:eastAsia="ja-JP"/>
              </w:rPr>
            </w:pPr>
            <w:r w:rsidRPr="00A120E1">
              <w:rPr>
                <w:rFonts w:ascii="Calibri" w:eastAsia="宋体" w:hAnsi="Calibri" w:cs="Calibri"/>
                <w:color w:val="000000"/>
                <w:kern w:val="24"/>
                <w:lang w:eastAsia="ja-JP"/>
              </w:rPr>
              <w:t>Note:</w:t>
            </w:r>
            <w:r w:rsidRPr="00A120E1">
              <w:rPr>
                <w:rFonts w:ascii="Times New Roman" w:eastAsia="宋体" w:hAnsi="Times New Roman" w:cs="Times New Roman"/>
                <w:color w:val="000000"/>
                <w:kern w:val="24"/>
                <w:lang w:eastAsia="ja-JP"/>
              </w:rPr>
              <w:t xml:space="preserve"> </w:t>
            </w:r>
            <m:oMath>
              <m:sSubSup>
                <m:sSubSupPr>
                  <m:ctrlPr>
                    <w:rPr>
                      <w:rFonts w:ascii="Cambria Math" w:eastAsia="宋体" w:hAnsi="Cambria Math" w:cs="Calibri"/>
                      <w:i/>
                      <w:color w:val="000000"/>
                      <w:kern w:val="24"/>
                      <w:lang w:eastAsia="ja-JP"/>
                    </w:rPr>
                  </m:ctrlPr>
                </m:sSubSupPr>
                <m:e>
                  <m:r>
                    <w:rPr>
                      <w:rFonts w:ascii="Cambria Math" w:eastAsia="宋体" w:hAnsi="Cambria Math" w:cs="Calibri"/>
                      <w:color w:val="000000"/>
                      <w:kern w:val="24"/>
                      <w:lang w:eastAsia="ja-JP"/>
                    </w:rPr>
                    <m:t>N</m:t>
                  </m:r>
                </m:e>
                <m:sub>
                  <m:r>
                    <w:rPr>
                      <w:rFonts w:ascii="Cambria Math" w:eastAsia="宋体" w:hAnsi="Cambria Math" w:cs="Calibri"/>
                      <w:color w:val="000000"/>
                      <w:kern w:val="24"/>
                      <w:lang w:eastAsia="ja-JP"/>
                    </w:rPr>
                    <m:t>RB</m:t>
                  </m:r>
                </m:sub>
                <m:sup>
                  <m:r>
                    <w:rPr>
                      <w:rFonts w:ascii="Cambria Math" w:eastAsia="宋体" w:hAnsi="Cambria Math" w:cs="Calibri"/>
                      <w:color w:val="000000"/>
                      <w:kern w:val="24"/>
                      <w:lang w:eastAsia="ja-JP"/>
                    </w:rPr>
                    <m:t>DL</m:t>
                  </m:r>
                </m:sup>
              </m:sSubSup>
            </m:oMath>
            <w:r w:rsidRPr="00A120E1">
              <w:rPr>
                <w:rFonts w:ascii="Calibri" w:eastAsia="宋体" w:hAnsi="Calibri" w:cs="Calibri"/>
                <w:color w:val="000000"/>
                <w:kern w:val="24"/>
                <w:lang w:eastAsia="ja-JP"/>
              </w:rPr>
              <w:t xml:space="preserve"> is the allocated number of resource blocks.</w:t>
            </w:r>
          </w:p>
        </w:tc>
      </w:tr>
    </w:tbl>
    <w:p w14:paraId="75F9DA98" w14:textId="2F1DD7F7" w:rsidR="00A120E1" w:rsidRDefault="005C57B4" w:rsidP="005C57B4">
      <w:pPr>
        <w:pStyle w:val="Caption"/>
        <w:spacing w:before="240" w:after="60" w:line="240" w:lineRule="auto"/>
        <w:jc w:val="center"/>
        <w:rPr>
          <w:lang w:val="en-GB" w:eastAsia="en-US"/>
        </w:rPr>
      </w:pPr>
      <w:r>
        <w:rPr>
          <w:lang w:val="en-GB" w:eastAsia="en-US"/>
        </w:rPr>
        <w:t>Table 2. DCI format N1 for NPDSCH scheduling</w:t>
      </w:r>
    </w:p>
    <w:tbl>
      <w:tblPr>
        <w:tblW w:w="4536" w:type="dxa"/>
        <w:jc w:val="center"/>
        <w:tblCellMar>
          <w:left w:w="0" w:type="dxa"/>
          <w:right w:w="0" w:type="dxa"/>
        </w:tblCellMar>
        <w:tblLook w:val="0600" w:firstRow="0" w:lastRow="0" w:firstColumn="0" w:lastColumn="0" w:noHBand="1" w:noVBand="1"/>
      </w:tblPr>
      <w:tblGrid>
        <w:gridCol w:w="3335"/>
        <w:gridCol w:w="1201"/>
      </w:tblGrid>
      <w:tr w:rsidR="00A120E1" w:rsidRPr="00A120E1" w14:paraId="020B6C6F" w14:textId="77777777" w:rsidTr="004D0672">
        <w:trPr>
          <w:trHeight w:val="300"/>
          <w:jc w:val="center"/>
        </w:trPr>
        <w:tc>
          <w:tcPr>
            <w:tcW w:w="12474"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1F00F032"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DCI format N1 for NPDSCH scheduling</w:t>
            </w:r>
          </w:p>
        </w:tc>
      </w:tr>
      <w:tr w:rsidR="00A120E1" w:rsidRPr="00A120E1" w14:paraId="49C777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0B4B8FA1"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Field</w:t>
            </w:r>
          </w:p>
        </w:tc>
        <w:tc>
          <w:tcPr>
            <w:tcW w:w="4179"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6CD1DAE5"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Size (bits)</w:t>
            </w:r>
          </w:p>
        </w:tc>
      </w:tr>
      <w:tr w:rsidR="00A120E1" w:rsidRPr="00A120E1" w14:paraId="2D2B8DE9"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4534316"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Flag for N0/N1 differentiation</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41677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24152781"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AEFEE45"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lastRenderedPageBreak/>
              <w:t>NPDCCH order indicator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194C9F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4C2DF2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9955B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Scheduling delay</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77AC6E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0A60569C"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9D001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Resource assignment</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BD1601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3C847B58"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CE742A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MCS</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EF4483F"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0FAD08D"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17CAC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6ED8456"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EEDAE3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11F8DF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NDI</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296D170"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616FF45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F428AB2"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HARQ-ACK resource</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6CF800C"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2A027BC2"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EFEBA3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DCI subframe 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D3A20A1"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2</w:t>
            </w:r>
          </w:p>
        </w:tc>
      </w:tr>
    </w:tbl>
    <w:p w14:paraId="70484160" w14:textId="77777777" w:rsidR="00A120E1" w:rsidRPr="00A120E1" w:rsidRDefault="00A120E1" w:rsidP="00F75F28">
      <w:pPr>
        <w:rPr>
          <w:lang w:val="en-GB" w:eastAsia="en-US"/>
        </w:rPr>
      </w:pPr>
    </w:p>
    <w:p w14:paraId="6B6D17D9" w14:textId="1F364679" w:rsidR="0043116B" w:rsidRDefault="0043116B" w:rsidP="00EA50BA">
      <w:pPr>
        <w:pStyle w:val="Heading2"/>
      </w:pPr>
      <w:r>
        <w:t>NDI out of sync problem</w:t>
      </w:r>
    </w:p>
    <w:p w14:paraId="1371C355" w14:textId="79C3C1EB" w:rsidR="00A87C0B" w:rsidRDefault="00A87C0B" w:rsidP="00A87C0B">
      <w:pPr>
        <w:jc w:val="both"/>
        <w:rPr>
          <w:lang w:val="en-GB" w:eastAsia="en-US"/>
        </w:rPr>
      </w:pPr>
      <w:r w:rsidRPr="004B3E8C">
        <w:rPr>
          <w:lang w:val="en-GB" w:eastAsia="en-US"/>
        </w:rPr>
        <w:t xml:space="preserve">When HARQ feedback is disabled in the DL, </w:t>
      </w:r>
      <w:r>
        <w:rPr>
          <w:lang w:val="en-GB" w:eastAsia="en-US"/>
        </w:rPr>
        <w:t xml:space="preserve">the </w:t>
      </w:r>
      <w:r w:rsidRPr="004B3E8C">
        <w:rPr>
          <w:lang w:val="en-GB" w:eastAsia="en-US"/>
        </w:rPr>
        <w:t>eNB has no knowledge of TB decoding outcome, not sure even if the DCI scheduling the TB has been decoded</w:t>
      </w:r>
      <w:r w:rsidR="00466840">
        <w:rPr>
          <w:lang w:val="en-GB" w:eastAsia="en-US"/>
        </w:rPr>
        <w:t xml:space="preserve"> or not</w:t>
      </w:r>
      <w:r w:rsidRPr="004B3E8C">
        <w:rPr>
          <w:lang w:val="en-GB" w:eastAsia="en-US"/>
        </w:rPr>
        <w:t>. In legacy HARQ operation where HARQ</w:t>
      </w:r>
      <w:r>
        <w:rPr>
          <w:lang w:val="en-GB" w:eastAsia="en-US"/>
        </w:rPr>
        <w:t>-ACK</w:t>
      </w:r>
      <w:r w:rsidRPr="004B3E8C">
        <w:rPr>
          <w:lang w:val="en-GB" w:eastAsia="en-US"/>
        </w:rPr>
        <w:t xml:space="preserve"> is always reported by the UE, the eNB would know DCI may not have been detected if HARQ</w:t>
      </w:r>
      <w:r>
        <w:rPr>
          <w:lang w:val="en-GB" w:eastAsia="en-US"/>
        </w:rPr>
        <w:t>-ACK</w:t>
      </w:r>
      <w:r w:rsidRPr="004B3E8C">
        <w:rPr>
          <w:lang w:val="en-GB" w:eastAsia="en-US"/>
        </w:rPr>
        <w:t xml:space="preserve"> is not received. In that case, the </w:t>
      </w:r>
      <w:r>
        <w:rPr>
          <w:lang w:val="en-GB" w:eastAsia="en-US"/>
        </w:rPr>
        <w:t>eNB</w:t>
      </w:r>
      <w:r w:rsidRPr="004B3E8C">
        <w:rPr>
          <w:lang w:val="en-GB" w:eastAsia="en-US"/>
        </w:rPr>
        <w:t xml:space="preserve"> would resend the TB with the same DCI </w:t>
      </w:r>
      <w:r>
        <w:rPr>
          <w:lang w:val="en-GB" w:eastAsia="en-US"/>
        </w:rPr>
        <w:t>(</w:t>
      </w:r>
      <w:r w:rsidRPr="004B3E8C">
        <w:rPr>
          <w:lang w:val="en-GB" w:eastAsia="en-US"/>
        </w:rPr>
        <w:t>NDI, RV, HARQ process ID, MCS, etc</w:t>
      </w:r>
      <w:r>
        <w:rPr>
          <w:lang w:val="en-GB" w:eastAsia="en-US"/>
        </w:rPr>
        <w:t>)</w:t>
      </w:r>
      <w:r w:rsidRPr="004B3E8C">
        <w:rPr>
          <w:lang w:val="en-GB" w:eastAsia="en-US"/>
        </w:rPr>
        <w:t xml:space="preserve">. </w:t>
      </w:r>
    </w:p>
    <w:p w14:paraId="0E5F5BD0" w14:textId="77777777" w:rsidR="00A87C0B" w:rsidRDefault="00A87C0B" w:rsidP="00A87C0B">
      <w:pPr>
        <w:jc w:val="both"/>
        <w:rPr>
          <w:lang w:val="en-GB" w:eastAsia="en-US"/>
        </w:rPr>
      </w:pPr>
      <w:r>
        <w:rPr>
          <w:lang w:val="en-GB" w:eastAsia="en-US"/>
        </w:rPr>
        <w:t>However, w</w:t>
      </w:r>
      <w:r w:rsidRPr="004B3E8C">
        <w:rPr>
          <w:lang w:val="en-GB" w:eastAsia="en-US"/>
        </w:rPr>
        <w:t xml:space="preserve">hen HARQ feedback is disabled, </w:t>
      </w:r>
      <w:r>
        <w:rPr>
          <w:lang w:val="en-GB" w:eastAsia="en-US"/>
        </w:rPr>
        <w:t xml:space="preserve">the </w:t>
      </w:r>
      <w:r w:rsidRPr="004B3E8C">
        <w:rPr>
          <w:lang w:val="en-GB" w:eastAsia="en-US"/>
        </w:rPr>
        <w:t xml:space="preserve">eNB has no way of knowing DCI </w:t>
      </w:r>
      <w:r>
        <w:rPr>
          <w:lang w:val="en-GB" w:eastAsia="en-US"/>
        </w:rPr>
        <w:t>has not been</w:t>
      </w:r>
      <w:r w:rsidRPr="004B3E8C">
        <w:rPr>
          <w:lang w:val="en-GB" w:eastAsia="en-US"/>
        </w:rPr>
        <w:t xml:space="preserve"> detected by the UE. This could lead to NDI state out of sync between the eNB and </w:t>
      </w:r>
      <w:r>
        <w:rPr>
          <w:lang w:val="en-GB" w:eastAsia="en-US"/>
        </w:rPr>
        <w:t>UE</w:t>
      </w:r>
      <w:r w:rsidRPr="004B3E8C">
        <w:rPr>
          <w:lang w:val="en-GB" w:eastAsia="en-US"/>
        </w:rPr>
        <w:t xml:space="preserve"> and result in decoding failure of subsequent transmissions.</w:t>
      </w:r>
      <w:r>
        <w:rPr>
          <w:lang w:val="en-GB" w:eastAsia="en-US"/>
        </w:rPr>
        <w:t xml:space="preserve"> An example is illustrated in Figure 1. The NDI states at UE and eNB become out of sync after the UE missed a DCI with a toggled NDI at time t2. In the next transmission at time t3, the UE sees the DCI with an untoggled NDI and processes the PDSCH with TB3 as a retransmission of TB1. This will result in decoding failure of both TB1 and TB3.</w:t>
      </w:r>
    </w:p>
    <w:p w14:paraId="7B51FC6C" w14:textId="6A183748" w:rsidR="00A87C0B" w:rsidRPr="00473468" w:rsidRDefault="00A87C0B" w:rsidP="00A87C0B">
      <w:pPr>
        <w:jc w:val="both"/>
        <w:rPr>
          <w:b/>
          <w:bCs/>
          <w:lang w:val="en-GB" w:eastAsia="en-US"/>
        </w:rPr>
      </w:pPr>
      <w:r w:rsidRPr="00473468">
        <w:rPr>
          <w:b/>
          <w:bCs/>
          <w:lang w:val="en-GB" w:eastAsia="en-US"/>
        </w:rPr>
        <w:t xml:space="preserve">Observation </w:t>
      </w:r>
      <w:r w:rsidR="00C167E4">
        <w:rPr>
          <w:b/>
          <w:bCs/>
          <w:lang w:val="en-GB" w:eastAsia="en-US"/>
        </w:rPr>
        <w:t>1</w:t>
      </w:r>
      <w:r w:rsidRPr="00473468">
        <w:rPr>
          <w:b/>
          <w:bCs/>
          <w:lang w:val="en-GB" w:eastAsia="en-US"/>
        </w:rPr>
        <w:t>: When the UE fails to detect a DCI with a toggled NDI, the UE’s NDI state becomes out of sync with the network and results in subsequent TB decoding errors.</w:t>
      </w:r>
    </w:p>
    <w:p w14:paraId="6B7CB820" w14:textId="77777777" w:rsidR="00010BBC" w:rsidRDefault="00A87C0B" w:rsidP="00A87C0B">
      <w:pPr>
        <w:jc w:val="both"/>
        <w:rPr>
          <w:lang w:val="en-GB" w:eastAsia="en-US"/>
        </w:rPr>
      </w:pPr>
      <w:r>
        <w:rPr>
          <w:lang w:val="en-GB" w:eastAsia="en-US"/>
        </w:rPr>
        <w:t xml:space="preserve">This problem can happen when a HARQ process is feedback disabled either semi-statically by RRC (Option 1) or dynamically by NDI indication (Option 3). </w:t>
      </w:r>
      <w:r w:rsidR="00E02109">
        <w:rPr>
          <w:lang w:val="en-GB" w:eastAsia="en-US"/>
        </w:rPr>
        <w:t>RAN1</w:t>
      </w:r>
      <w:r>
        <w:rPr>
          <w:lang w:val="en-GB" w:eastAsia="en-US"/>
        </w:rPr>
        <w:t xml:space="preserve"> should evaluate the impact of this issue and come up with a mitigation solution. Relying on NDI bit alone may not be sufficient for new TB indication in </w:t>
      </w:r>
      <w:proofErr w:type="gramStart"/>
      <w:r>
        <w:rPr>
          <w:lang w:val="en-GB" w:eastAsia="en-US"/>
        </w:rPr>
        <w:t>a feedback</w:t>
      </w:r>
      <w:proofErr w:type="gramEnd"/>
      <w:r>
        <w:rPr>
          <w:lang w:val="en-GB" w:eastAsia="en-US"/>
        </w:rPr>
        <w:t xml:space="preserve"> disabled HARQ process. </w:t>
      </w:r>
    </w:p>
    <w:p w14:paraId="262B3FE2" w14:textId="3E0DA97C" w:rsidR="00A87C0B" w:rsidRPr="005437CE" w:rsidRDefault="00A87C0B" w:rsidP="00A87C0B">
      <w:pPr>
        <w:jc w:val="both"/>
        <w:rPr>
          <w:b/>
          <w:bCs/>
          <w:lang w:val="en-GB" w:eastAsia="en-US"/>
        </w:rPr>
      </w:pPr>
      <w:r w:rsidRPr="005437CE">
        <w:rPr>
          <w:b/>
          <w:bCs/>
          <w:lang w:val="en-GB" w:eastAsia="en-US"/>
        </w:rPr>
        <w:t xml:space="preserve">Proposal </w:t>
      </w:r>
      <w:r w:rsidR="00925301">
        <w:rPr>
          <w:b/>
          <w:bCs/>
          <w:lang w:val="en-GB" w:eastAsia="en-US"/>
        </w:rPr>
        <w:t>5</w:t>
      </w:r>
      <w:r w:rsidRPr="005437CE">
        <w:rPr>
          <w:b/>
          <w:bCs/>
          <w:lang w:val="en-GB" w:eastAsia="en-US"/>
        </w:rPr>
        <w:t xml:space="preserve">: Evaluate the impact of NDI out of sync due to DCI detection failure </w:t>
      </w:r>
      <w:r>
        <w:rPr>
          <w:b/>
          <w:bCs/>
          <w:lang w:val="en-GB" w:eastAsia="en-US"/>
        </w:rPr>
        <w:t xml:space="preserve">when HARQ feedback is disabled </w:t>
      </w:r>
      <w:r w:rsidRPr="005437CE">
        <w:rPr>
          <w:b/>
          <w:bCs/>
          <w:lang w:val="en-GB" w:eastAsia="en-US"/>
        </w:rPr>
        <w:t>and study possible solutions.</w:t>
      </w:r>
    </w:p>
    <w:p w14:paraId="643E9877" w14:textId="77777777" w:rsidR="00A87C0B" w:rsidRDefault="00A87C0B" w:rsidP="00A87C0B">
      <w:pPr>
        <w:spacing w:after="0"/>
        <w:jc w:val="center"/>
        <w:rPr>
          <w:lang w:val="en-GB" w:eastAsia="en-US"/>
        </w:rPr>
      </w:pPr>
      <w:r>
        <w:rPr>
          <w:noProof/>
          <w:lang w:val="en-GB" w:eastAsia="en-US"/>
        </w:rPr>
        <w:lastRenderedPageBreak/>
        <w:drawing>
          <wp:inline distT="0" distB="0" distL="0" distR="0" wp14:anchorId="5B1B7AB4" wp14:editId="483F339E">
            <wp:extent cx="4035600" cy="3355200"/>
            <wp:effectExtent l="0" t="0" r="317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035600" cy="3355200"/>
                    </a:xfrm>
                    <a:prstGeom prst="rect">
                      <a:avLst/>
                    </a:prstGeom>
                  </pic:spPr>
                </pic:pic>
              </a:graphicData>
            </a:graphic>
          </wp:inline>
        </w:drawing>
      </w:r>
    </w:p>
    <w:p w14:paraId="506C057D" w14:textId="77777777" w:rsidR="00A87C0B" w:rsidRPr="008D6D3D" w:rsidRDefault="00A87C0B" w:rsidP="00A87C0B">
      <w:pPr>
        <w:pStyle w:val="Caption"/>
        <w:spacing w:before="0" w:after="240"/>
        <w:jc w:val="center"/>
        <w:rPr>
          <w:lang w:val="en-GB" w:eastAsia="en-US"/>
        </w:rPr>
      </w:pPr>
      <w:r>
        <w:rPr>
          <w:lang w:val="en-GB" w:eastAsia="en-US"/>
        </w:rPr>
        <w:t xml:space="preserve">Figure 1. </w:t>
      </w:r>
      <w:r w:rsidRPr="008D6D3D">
        <w:rPr>
          <w:lang w:val="en-GB" w:eastAsia="en-US"/>
        </w:rPr>
        <w:t>NDI out of sync due to DCI detection failure when HARQ feedback is disabled</w:t>
      </w:r>
    </w:p>
    <w:p w14:paraId="0CC44664" w14:textId="77777777" w:rsidR="0043116B" w:rsidRPr="0043116B" w:rsidRDefault="0043116B" w:rsidP="0043116B">
      <w:pPr>
        <w:jc w:val="both"/>
        <w:rPr>
          <w:lang w:val="en-GB" w:eastAsia="en-US"/>
        </w:rPr>
      </w:pPr>
    </w:p>
    <w:p w14:paraId="5E484242" w14:textId="5299A573" w:rsidR="00134B0D" w:rsidRDefault="648F882E" w:rsidP="00EA50BA">
      <w:pPr>
        <w:pStyle w:val="Heading2"/>
      </w:pPr>
      <w:r>
        <w:t>HARQ feedback for SPS</w:t>
      </w:r>
    </w:p>
    <w:p w14:paraId="3096EE2F" w14:textId="6BE2EB76" w:rsidR="002D1B9D" w:rsidRDefault="006B232E" w:rsidP="00CA2CD1">
      <w:pPr>
        <w:jc w:val="both"/>
      </w:pPr>
      <w:r>
        <w:t xml:space="preserve">The agreement in RAN1#112 regarding SPS activation and deactivation is as follows </w:t>
      </w:r>
      <w:r>
        <w:fldChar w:fldCharType="begin"/>
      </w:r>
      <w:r>
        <w:instrText xml:space="preserve"> REF _Ref130930496 \r \h </w:instrText>
      </w:r>
      <w:r>
        <w:fldChar w:fldCharType="separate"/>
      </w:r>
      <w:r>
        <w:t>[2]</w:t>
      </w:r>
      <w:r>
        <w:fldChar w:fldCharType="end"/>
      </w:r>
      <w:r>
        <w:t xml:space="preserve">. </w:t>
      </w:r>
    </w:p>
    <w:tbl>
      <w:tblPr>
        <w:tblStyle w:val="TableGrid"/>
        <w:tblW w:w="0" w:type="auto"/>
        <w:tblLook w:val="04A0" w:firstRow="1" w:lastRow="0" w:firstColumn="1" w:lastColumn="0" w:noHBand="0" w:noVBand="1"/>
      </w:tblPr>
      <w:tblGrid>
        <w:gridCol w:w="9629"/>
      </w:tblGrid>
      <w:tr w:rsidR="002D1B9D" w14:paraId="09E68198" w14:textId="77777777" w:rsidTr="008C3325">
        <w:tc>
          <w:tcPr>
            <w:tcW w:w="9629" w:type="dxa"/>
            <w:tcMar>
              <w:top w:w="57" w:type="dxa"/>
              <w:bottom w:w="57" w:type="dxa"/>
            </w:tcMar>
            <w:vAlign w:val="center"/>
          </w:tcPr>
          <w:p w14:paraId="20D1C399" w14:textId="77777777" w:rsidR="00225139" w:rsidRPr="00225139" w:rsidRDefault="00225139" w:rsidP="00225139">
            <w:pPr>
              <w:spacing w:after="0" w:line="240" w:lineRule="auto"/>
              <w:rPr>
                <w:rFonts w:ascii="Times" w:eastAsia="Malgun Gothic" w:hAnsi="Times" w:cs="Times New Roman"/>
                <w:b/>
                <w:iCs/>
                <w:sz w:val="20"/>
                <w:szCs w:val="20"/>
                <w:lang w:val="en-GB" w:eastAsia="en-US"/>
              </w:rPr>
            </w:pPr>
            <w:r w:rsidRPr="00225139">
              <w:rPr>
                <w:rFonts w:ascii="Times" w:eastAsia="Malgun Gothic" w:hAnsi="Times" w:cs="Times New Roman"/>
                <w:b/>
                <w:iCs/>
                <w:sz w:val="20"/>
                <w:szCs w:val="20"/>
                <w:highlight w:val="green"/>
                <w:lang w:val="en-GB" w:eastAsia="en-US"/>
              </w:rPr>
              <w:t>Agreement</w:t>
            </w:r>
          </w:p>
          <w:p w14:paraId="2A49792F" w14:textId="77777777" w:rsidR="00225139" w:rsidRPr="00225139" w:rsidRDefault="00225139" w:rsidP="00225139">
            <w:pPr>
              <w:shd w:val="clear" w:color="auto" w:fill="FFFFFF"/>
              <w:spacing w:after="0" w:line="240" w:lineRule="auto"/>
              <w:rPr>
                <w:rFonts w:ascii="Times" w:eastAsia="Batang" w:hAnsi="Times" w:cs="Times New Roman"/>
                <w:iCs/>
                <w:sz w:val="20"/>
                <w:szCs w:val="20"/>
                <w:lang w:val="en-GB" w:eastAsia="en-US"/>
              </w:rPr>
            </w:pPr>
            <w:r w:rsidRPr="00225139">
              <w:rPr>
                <w:rFonts w:ascii="Times" w:eastAsia="Batang" w:hAnsi="Times" w:cs="Times New Roman"/>
                <w:iCs/>
                <w:sz w:val="20"/>
                <w:szCs w:val="20"/>
                <w:lang w:val="en-GB" w:eastAsia="en-US"/>
              </w:rPr>
              <w:t>For HARQ feedback for eMTC SPS PDSCH, at least the following is supported: UE follows the per-process HARQ feedback enabled/disabled configuration for the associated HARQ process except for the first SPS PDSCH after activation</w:t>
            </w:r>
          </w:p>
          <w:p w14:paraId="5FBAC72E" w14:textId="77777777" w:rsidR="00225139" w:rsidRPr="00225139" w:rsidRDefault="00225139" w:rsidP="00225139">
            <w:pPr>
              <w:numPr>
                <w:ilvl w:val="0"/>
                <w:numId w:val="35"/>
              </w:numPr>
              <w:spacing w:after="0" w:line="240" w:lineRule="auto"/>
              <w:rPr>
                <w:rFonts w:ascii="Times New Roman" w:eastAsia="Batang" w:hAnsi="Times New Roman" w:cs="Times New Roman"/>
                <w:sz w:val="20"/>
                <w:szCs w:val="20"/>
                <w:lang w:val="en-GB" w:eastAsia="en-US"/>
              </w:rPr>
            </w:pPr>
            <w:r w:rsidRPr="00225139">
              <w:rPr>
                <w:rFonts w:ascii="Times New Roman" w:eastAsia="Batang" w:hAnsi="Times New Roman" w:cs="Times New Roman"/>
                <w:sz w:val="20"/>
                <w:szCs w:val="20"/>
                <w:lang w:val="en-GB" w:eastAsia="en-US"/>
              </w:rPr>
              <w:t>for the first SPS PDSCH after activation</w:t>
            </w:r>
            <w:r w:rsidRPr="00225139">
              <w:rPr>
                <w:rFonts w:ascii="Times New Roman" w:eastAsia="Batang" w:hAnsi="Times New Roman" w:cs="Times New Roman" w:hint="eastAsia"/>
                <w:sz w:val="20"/>
                <w:szCs w:val="20"/>
                <w:lang w:val="en-GB"/>
              </w:rPr>
              <w:t>,</w:t>
            </w:r>
          </w:p>
          <w:p w14:paraId="1B781804" w14:textId="77777777" w:rsidR="00225139" w:rsidRPr="00225139" w:rsidRDefault="00225139" w:rsidP="00225139">
            <w:pPr>
              <w:numPr>
                <w:ilvl w:val="1"/>
                <w:numId w:val="35"/>
              </w:numPr>
              <w:spacing w:after="0" w:line="240" w:lineRule="auto"/>
              <w:rPr>
                <w:rFonts w:ascii="Times New Roman" w:eastAsia="Batang" w:hAnsi="Times New Roman" w:cs="Times New Roman"/>
                <w:sz w:val="20"/>
                <w:szCs w:val="20"/>
                <w:lang w:val="en-GB" w:eastAsia="en-US"/>
              </w:rPr>
            </w:pPr>
            <w:r w:rsidRPr="00225139">
              <w:rPr>
                <w:rFonts w:ascii="Times New Roman" w:eastAsia="Batang" w:hAnsi="Times New Roman" w:cs="Times New Roman" w:hint="eastAsia"/>
                <w:sz w:val="20"/>
                <w:szCs w:val="20"/>
                <w:lang w:val="en-GB"/>
              </w:rPr>
              <w:t>O</w:t>
            </w:r>
            <w:r w:rsidRPr="00225139">
              <w:rPr>
                <w:rFonts w:ascii="Times New Roman" w:eastAsia="Batang" w:hAnsi="Times New Roman" w:cs="Times New Roman"/>
                <w:sz w:val="20"/>
                <w:szCs w:val="20"/>
                <w:lang w:val="en-GB"/>
              </w:rPr>
              <w:t>ption 1:</w:t>
            </w:r>
            <w:r w:rsidRPr="00225139">
              <w:rPr>
                <w:rFonts w:ascii="Times New Roman" w:eastAsia="Batang" w:hAnsi="Times New Roman" w:cs="Times New Roman"/>
                <w:sz w:val="20"/>
                <w:szCs w:val="20"/>
                <w:lang w:val="en-GB" w:eastAsia="en-US"/>
              </w:rPr>
              <w:t xml:space="preserve"> If HARQ feedback for SPS activation is additionally enabled, ACK/NACK is reported by UE for the first SPS PDSCH after activation regardless of network configuration of enabled/disabled for this HARQ </w:t>
            </w:r>
            <w:proofErr w:type="gramStart"/>
            <w:r w:rsidRPr="00225139">
              <w:rPr>
                <w:rFonts w:ascii="Times New Roman" w:eastAsia="Batang" w:hAnsi="Times New Roman" w:cs="Times New Roman"/>
                <w:sz w:val="20"/>
                <w:szCs w:val="20"/>
                <w:lang w:val="en-GB" w:eastAsia="en-US"/>
              </w:rPr>
              <w:t>process, and</w:t>
            </w:r>
            <w:proofErr w:type="gramEnd"/>
            <w:r w:rsidRPr="00225139">
              <w:rPr>
                <w:rFonts w:ascii="Times New Roman" w:eastAsia="Batang" w:hAnsi="Times New Roman" w:cs="Times New Roman"/>
                <w:sz w:val="20"/>
                <w:szCs w:val="20"/>
                <w:lang w:val="en-GB" w:eastAsia="en-US"/>
              </w:rPr>
              <w:t xml:space="preserve"> follow per-process HARQ feedback enabled/disabled configuration otherwise.</w:t>
            </w:r>
          </w:p>
          <w:p w14:paraId="693DFEEF" w14:textId="77777777" w:rsidR="00225139" w:rsidRPr="00225139" w:rsidRDefault="00225139" w:rsidP="00225139">
            <w:pPr>
              <w:spacing w:after="0" w:line="240" w:lineRule="auto"/>
              <w:rPr>
                <w:rFonts w:ascii="Times" w:eastAsia="Batang" w:hAnsi="Times" w:cs="Times New Roman"/>
                <w:sz w:val="20"/>
                <w:szCs w:val="20"/>
                <w:highlight w:val="lightGray"/>
                <w:lang w:val="en-GB" w:eastAsia="en-US"/>
              </w:rPr>
            </w:pPr>
          </w:p>
          <w:p w14:paraId="0A69FA7C" w14:textId="77777777" w:rsidR="00225139" w:rsidRPr="00225139" w:rsidRDefault="00225139" w:rsidP="00225139">
            <w:pPr>
              <w:spacing w:after="0" w:line="240" w:lineRule="auto"/>
              <w:rPr>
                <w:rFonts w:ascii="Times" w:eastAsia="Batang" w:hAnsi="Times" w:cs="Times New Roman"/>
                <w:b/>
                <w:bCs/>
                <w:sz w:val="20"/>
                <w:szCs w:val="20"/>
                <w:lang w:val="en-GB" w:eastAsia="en-US"/>
              </w:rPr>
            </w:pPr>
            <w:r w:rsidRPr="00225139">
              <w:rPr>
                <w:rFonts w:ascii="Times" w:eastAsia="Batang" w:hAnsi="Times" w:cs="Times New Roman"/>
                <w:b/>
                <w:bCs/>
                <w:sz w:val="20"/>
                <w:szCs w:val="20"/>
                <w:lang w:val="en-GB"/>
              </w:rPr>
              <w:t>Conclusion</w:t>
            </w:r>
          </w:p>
          <w:p w14:paraId="3B5368C1" w14:textId="137C6A4B" w:rsidR="002D1B9D" w:rsidRPr="0049484A" w:rsidRDefault="00225139" w:rsidP="009F179A">
            <w:pPr>
              <w:spacing w:after="0"/>
              <w:rPr>
                <w:b/>
                <w:bCs/>
                <w:sz w:val="20"/>
                <w:szCs w:val="20"/>
              </w:rPr>
            </w:pPr>
            <w:r w:rsidRPr="00225139">
              <w:rPr>
                <w:rFonts w:ascii="Times" w:eastAsia="Batang" w:hAnsi="Times" w:cs="Times New Roman"/>
                <w:sz w:val="20"/>
                <w:szCs w:val="20"/>
                <w:lang w:val="en-GB"/>
              </w:rPr>
              <w:t>For</w:t>
            </w:r>
            <w:r w:rsidRPr="00225139">
              <w:rPr>
                <w:rFonts w:ascii="Times" w:eastAsia="Batang" w:hAnsi="Times" w:cs="Times New Roman"/>
                <w:sz w:val="20"/>
                <w:szCs w:val="20"/>
                <w:lang w:val="en-GB" w:eastAsia="en-US"/>
              </w:rPr>
              <w:t xml:space="preserve"> </w:t>
            </w:r>
            <w:r w:rsidRPr="00225139">
              <w:rPr>
                <w:rFonts w:ascii="Times" w:eastAsia="Batang" w:hAnsi="Times" w:cs="Times New Roman"/>
                <w:sz w:val="20"/>
                <w:szCs w:val="20"/>
                <w:lang w:val="en-GB"/>
              </w:rPr>
              <w:t xml:space="preserve">DCI indicating SPS PDSCH release, HARQ-ACK report is performed as legacy in eMTC, regardless of </w:t>
            </w:r>
            <w:r w:rsidRPr="00225139">
              <w:rPr>
                <w:rFonts w:ascii="Times New Roman" w:eastAsia="Batang" w:hAnsi="Times New Roman" w:cs="Times New Roman"/>
                <w:sz w:val="20"/>
                <w:szCs w:val="20"/>
                <w:lang w:val="en-GB" w:eastAsia="en-US"/>
              </w:rPr>
              <w:t>HARQ feedback enabled/disabled configuration</w:t>
            </w:r>
            <w:r w:rsidRPr="00225139">
              <w:rPr>
                <w:rFonts w:ascii="Times" w:eastAsia="Batang" w:hAnsi="Times" w:cs="Times New Roman"/>
                <w:sz w:val="20"/>
                <w:szCs w:val="20"/>
                <w:lang w:val="en-GB"/>
              </w:rPr>
              <w:t>.</w:t>
            </w:r>
            <w:r>
              <w:rPr>
                <w:rFonts w:ascii="Times" w:eastAsia="Batang" w:hAnsi="Times" w:cs="Times New Roman"/>
                <w:sz w:val="20"/>
                <w:szCs w:val="20"/>
                <w:lang w:val="en-GB"/>
              </w:rPr>
              <w:t xml:space="preserve"> </w:t>
            </w:r>
          </w:p>
        </w:tc>
      </w:tr>
    </w:tbl>
    <w:p w14:paraId="323C1FD3" w14:textId="4408410A" w:rsidR="0082278D" w:rsidRDefault="0082278D" w:rsidP="004F386E">
      <w:pPr>
        <w:spacing w:before="120"/>
        <w:jc w:val="both"/>
        <w:rPr>
          <w:lang w:val="en-GB"/>
        </w:rPr>
      </w:pPr>
      <w:r w:rsidRPr="0082278D">
        <w:rPr>
          <w:lang w:val="en-GB"/>
        </w:rPr>
        <w:t>The issues of HARQ feedback at SPS activation and deactivation have been resolved in the last meeting. During the SPS session, UE follows the per-process HARQ feedback enabled/disabled configuration for the associated HARQ process. We think that a small change in “per-process HARQ feedback enabled/disabled configuration” should be made to improve the efficiency of SPS operation in IoT NTN.</w:t>
      </w:r>
    </w:p>
    <w:p w14:paraId="7680EFE8" w14:textId="632DF769" w:rsidR="002D1B9D" w:rsidRDefault="002D1B9D" w:rsidP="002D1B9D">
      <w:pPr>
        <w:jc w:val="both"/>
      </w:pPr>
      <w:r>
        <w:rPr>
          <w:lang w:val="en-GB"/>
        </w:rPr>
        <w:t xml:space="preserve">For feedback enabled HARQ processes in SPS, the </w:t>
      </w:r>
      <w:r w:rsidRPr="005D6160">
        <w:rPr>
          <w:lang w:val="en-GB"/>
        </w:rPr>
        <w:t xml:space="preserve">retransmission of an erroneous TB </w:t>
      </w:r>
      <w:proofErr w:type="gramStart"/>
      <w:r w:rsidR="0064633D" w:rsidRPr="005D6160">
        <w:rPr>
          <w:lang w:val="en-GB"/>
        </w:rPr>
        <w:t>has to</w:t>
      </w:r>
      <w:proofErr w:type="gramEnd"/>
      <w:r w:rsidR="0064633D" w:rsidRPr="005D6160">
        <w:rPr>
          <w:lang w:val="en-GB"/>
        </w:rPr>
        <w:t xml:space="preserve"> be completed </w:t>
      </w:r>
      <w:r w:rsidR="00BC252C" w:rsidRPr="005D6160">
        <w:rPr>
          <w:lang w:val="en-GB"/>
        </w:rPr>
        <w:t xml:space="preserve">before </w:t>
      </w:r>
      <w:r w:rsidR="00382F53" w:rsidRPr="005D6160">
        <w:rPr>
          <w:lang w:val="en-GB"/>
        </w:rPr>
        <w:t xml:space="preserve">the next SPS occasion </w:t>
      </w:r>
      <w:r w:rsidR="00E72F36" w:rsidRPr="005D6160">
        <w:rPr>
          <w:lang w:val="en-GB"/>
        </w:rPr>
        <w:t>for the same process</w:t>
      </w:r>
      <w:r w:rsidRPr="005D6160">
        <w:rPr>
          <w:lang w:val="en-GB"/>
        </w:rPr>
        <w:t xml:space="preserve">. As illustrated in Figure </w:t>
      </w:r>
      <w:r w:rsidR="00D7014F">
        <w:rPr>
          <w:lang w:val="en-GB"/>
        </w:rPr>
        <w:t>2</w:t>
      </w:r>
      <w:r w:rsidR="00D7014F" w:rsidRPr="005D6160">
        <w:rPr>
          <w:lang w:val="en-GB"/>
        </w:rPr>
        <w:t xml:space="preserve"> </w:t>
      </w:r>
      <w:r w:rsidRPr="005D6160">
        <w:rPr>
          <w:lang w:val="en-GB"/>
        </w:rPr>
        <w:t>with</w:t>
      </w:r>
      <w:r>
        <w:rPr>
          <w:lang w:val="en-GB"/>
        </w:rPr>
        <w:t xml:space="preserve"> 4 HARQ processes, </w:t>
      </w:r>
      <w:r>
        <w:t>the duration between two new data scheduling opportunities on the same HARQ process is T*N</w:t>
      </w:r>
      <w:r w:rsidRPr="00D0343D">
        <w:rPr>
          <w:vertAlign w:val="subscript"/>
        </w:rPr>
        <w:t>HARQ</w:t>
      </w:r>
      <w:r>
        <w:t>, with T being the SPS interval (</w:t>
      </w:r>
      <w:proofErr w:type="spellStart"/>
      <w:r w:rsidRPr="0010257E">
        <w:rPr>
          <w:i/>
          <w:iCs/>
        </w:rPr>
        <w:t>semiPersistSchedIntervalDL</w:t>
      </w:r>
      <w:proofErr w:type="spellEnd"/>
      <w:r>
        <w:t>) and N</w:t>
      </w:r>
      <w:r w:rsidRPr="00514980">
        <w:rPr>
          <w:vertAlign w:val="subscript"/>
        </w:rPr>
        <w:t>HARQ</w:t>
      </w:r>
      <w:r>
        <w:t xml:space="preserve"> the number of SPS HARQ processes (</w:t>
      </w:r>
      <w:proofErr w:type="spellStart"/>
      <w:r w:rsidRPr="00D217DA">
        <w:rPr>
          <w:i/>
          <w:iCs/>
        </w:rPr>
        <w:t>numberOfConfSPS</w:t>
      </w:r>
      <w:proofErr w:type="spellEnd"/>
      <w:r w:rsidRPr="00D217DA">
        <w:rPr>
          <w:i/>
          <w:iCs/>
        </w:rPr>
        <w:t>-Processes</w:t>
      </w:r>
      <w:r>
        <w:t xml:space="preserve">). </w:t>
      </w:r>
      <w:r w:rsidR="003713E6">
        <w:t>The HARQ RTT for a retransmission</w:t>
      </w:r>
      <w:r w:rsidR="0058059F">
        <w:t xml:space="preserve"> includes </w:t>
      </w:r>
      <w:r w:rsidR="007B6D23">
        <w:t xml:space="preserve">the </w:t>
      </w:r>
      <w:r w:rsidR="007340BC">
        <w:t>HARQ-ACK and</w:t>
      </w:r>
      <w:r w:rsidR="007B6D23">
        <w:t xml:space="preserve"> </w:t>
      </w:r>
      <w:r w:rsidR="00D95011">
        <w:t xml:space="preserve">PDSCH </w:t>
      </w:r>
      <w:r w:rsidR="007B6D23">
        <w:t>transmission time</w:t>
      </w:r>
      <w:r w:rsidR="00E55759">
        <w:t xml:space="preserve">, </w:t>
      </w:r>
      <w:r w:rsidR="00982550">
        <w:t xml:space="preserve">processing delay, and </w:t>
      </w:r>
      <w:r w:rsidR="006A35D5">
        <w:t xml:space="preserve">round-trip </w:t>
      </w:r>
      <w:r w:rsidR="00982550">
        <w:t>propagation time</w:t>
      </w:r>
      <w:r w:rsidR="00F264CB">
        <w:t>.</w:t>
      </w:r>
      <w:r w:rsidR="0058059F">
        <w:t xml:space="preserve"> </w:t>
      </w:r>
      <w:r w:rsidR="00C66062">
        <w:t>I</w:t>
      </w:r>
      <w:r>
        <w:t>f HARQ RTT is greater than T*N</w:t>
      </w:r>
      <w:r w:rsidRPr="00D0343D">
        <w:rPr>
          <w:vertAlign w:val="subscript"/>
        </w:rPr>
        <w:t>HARQ</w:t>
      </w:r>
      <w:r w:rsidR="00AB35FB">
        <w:t xml:space="preserve">, </w:t>
      </w:r>
      <w:r w:rsidR="00423CC3">
        <w:t xml:space="preserve">retransmission </w:t>
      </w:r>
      <w:r w:rsidR="002C71D0">
        <w:t xml:space="preserve">would </w:t>
      </w:r>
      <w:r w:rsidR="00A63B54">
        <w:t>be impossible</w:t>
      </w:r>
      <w:r w:rsidR="0092770A">
        <w:t xml:space="preserve"> </w:t>
      </w:r>
      <w:r w:rsidR="0073428B">
        <w:t xml:space="preserve">and the resource </w:t>
      </w:r>
      <w:r w:rsidR="00913851">
        <w:t>for HARQ-ACK w</w:t>
      </w:r>
      <w:r w:rsidR="00BC72B9">
        <w:t>ould be wasted.</w:t>
      </w:r>
      <w:r>
        <w:t xml:space="preserve"> </w:t>
      </w:r>
      <w:r w:rsidR="00E92E51">
        <w:t xml:space="preserve">This situation is </w:t>
      </w:r>
      <w:r w:rsidR="00780809">
        <w:t xml:space="preserve">more </w:t>
      </w:r>
      <w:r w:rsidR="00780809">
        <w:lastRenderedPageBreak/>
        <w:t xml:space="preserve">likely for IoT NTN given the </w:t>
      </w:r>
      <w:r w:rsidR="005B2796">
        <w:t>sma</w:t>
      </w:r>
      <w:r w:rsidR="00A16B9F">
        <w:t xml:space="preserve">ller number HARQ processes </w:t>
      </w:r>
      <w:r w:rsidR="002E5E1D">
        <w:t xml:space="preserve">and </w:t>
      </w:r>
      <w:r w:rsidR="008A496E">
        <w:t>a</w:t>
      </w:r>
      <w:r w:rsidR="00DF3FF8">
        <w:t xml:space="preserve"> </w:t>
      </w:r>
      <w:r w:rsidR="00F4648B">
        <w:t xml:space="preserve">much longer RTT </w:t>
      </w:r>
      <w:r w:rsidR="007C16AD">
        <w:t xml:space="preserve">compared to </w:t>
      </w:r>
      <w:r w:rsidR="00882D5B">
        <w:t xml:space="preserve">the </w:t>
      </w:r>
      <w:r w:rsidR="007C16AD">
        <w:t xml:space="preserve">typical SPS </w:t>
      </w:r>
      <w:r w:rsidR="00882D5B">
        <w:t>operation in a terrestrial network</w:t>
      </w:r>
      <w:r w:rsidR="00386523">
        <w:t>.</w:t>
      </w:r>
      <w:r>
        <w:t xml:space="preserve">  </w:t>
      </w:r>
    </w:p>
    <w:p w14:paraId="4B808F17" w14:textId="34B2F8D7" w:rsidR="002D1B9D" w:rsidRPr="0020531D" w:rsidRDefault="002D1B9D" w:rsidP="002D1B9D">
      <w:pPr>
        <w:jc w:val="both"/>
        <w:rPr>
          <w:b/>
          <w:bCs/>
        </w:rPr>
      </w:pPr>
      <w:r w:rsidRPr="0020531D">
        <w:rPr>
          <w:b/>
          <w:bCs/>
        </w:rPr>
        <w:t xml:space="preserve">Observation </w:t>
      </w:r>
      <w:r w:rsidR="00C167E4">
        <w:rPr>
          <w:b/>
          <w:bCs/>
        </w:rPr>
        <w:t>2</w:t>
      </w:r>
      <w:r w:rsidRPr="0020531D">
        <w:rPr>
          <w:b/>
          <w:bCs/>
        </w:rPr>
        <w:t xml:space="preserve">: A short SPS interval and a small number of SPS HARQ processes may </w:t>
      </w:r>
      <w:r w:rsidR="00C57EEC">
        <w:rPr>
          <w:b/>
          <w:bCs/>
        </w:rPr>
        <w:t>the</w:t>
      </w:r>
      <w:r w:rsidR="00C57EEC" w:rsidRPr="0020531D">
        <w:rPr>
          <w:b/>
          <w:bCs/>
        </w:rPr>
        <w:t xml:space="preserve"> </w:t>
      </w:r>
      <w:r w:rsidRPr="0020531D">
        <w:rPr>
          <w:b/>
          <w:bCs/>
        </w:rPr>
        <w:t xml:space="preserve">HARQ </w:t>
      </w:r>
      <w:r w:rsidR="00FB2949">
        <w:rPr>
          <w:b/>
          <w:bCs/>
        </w:rPr>
        <w:t>retransmission</w:t>
      </w:r>
      <w:r w:rsidR="00C57EEC">
        <w:rPr>
          <w:b/>
          <w:bCs/>
        </w:rPr>
        <w:t>s</w:t>
      </w:r>
      <w:r w:rsidR="00FB2949">
        <w:rPr>
          <w:b/>
          <w:bCs/>
        </w:rPr>
        <w:t xml:space="preserve"> </w:t>
      </w:r>
      <w:r w:rsidR="00C57EEC">
        <w:rPr>
          <w:b/>
          <w:bCs/>
        </w:rPr>
        <w:t>un</w:t>
      </w:r>
      <w:r w:rsidR="003A788C">
        <w:rPr>
          <w:b/>
          <w:bCs/>
        </w:rPr>
        <w:t xml:space="preserve">able to </w:t>
      </w:r>
      <w:r w:rsidR="00B6525D">
        <w:rPr>
          <w:b/>
          <w:bCs/>
        </w:rPr>
        <w:t xml:space="preserve">complete </w:t>
      </w:r>
      <w:r w:rsidRPr="0020531D">
        <w:rPr>
          <w:b/>
          <w:bCs/>
        </w:rPr>
        <w:t xml:space="preserve">in </w:t>
      </w:r>
      <w:r w:rsidR="00C42552">
        <w:rPr>
          <w:b/>
          <w:bCs/>
        </w:rPr>
        <w:t>IoT</w:t>
      </w:r>
      <w:r w:rsidRPr="0020531D">
        <w:rPr>
          <w:b/>
          <w:bCs/>
        </w:rPr>
        <w:t xml:space="preserve"> NTN scenarios.</w:t>
      </w:r>
    </w:p>
    <w:p w14:paraId="1DFE5048" w14:textId="77777777" w:rsidR="002D1B9D" w:rsidRDefault="002D1B9D" w:rsidP="002D1B9D">
      <w:pPr>
        <w:spacing w:after="0" w:line="240" w:lineRule="auto"/>
        <w:jc w:val="center"/>
      </w:pPr>
      <w:r>
        <w:rPr>
          <w:noProof/>
        </w:rPr>
        <w:drawing>
          <wp:inline distT="0" distB="0" distL="0" distR="0" wp14:anchorId="7ED2D4A5" wp14:editId="7934C509">
            <wp:extent cx="3780000" cy="1627200"/>
            <wp:effectExtent l="0" t="0" r="0" b="0"/>
            <wp:docPr id="4" name="Picture 4"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3780000" cy="1627200"/>
                    </a:xfrm>
                    <a:prstGeom prst="rect">
                      <a:avLst/>
                    </a:prstGeom>
                  </pic:spPr>
                </pic:pic>
              </a:graphicData>
            </a:graphic>
          </wp:inline>
        </w:drawing>
      </w:r>
    </w:p>
    <w:p w14:paraId="405A955A" w14:textId="757962D0" w:rsidR="002D1B9D" w:rsidRPr="007824E3" w:rsidRDefault="002D1B9D" w:rsidP="002D1B9D">
      <w:pPr>
        <w:jc w:val="center"/>
        <w:rPr>
          <w:b/>
        </w:rPr>
      </w:pPr>
      <w:r w:rsidRPr="007824E3">
        <w:rPr>
          <w:b/>
        </w:rPr>
        <w:t xml:space="preserve">Figure </w:t>
      </w:r>
      <w:r w:rsidR="00D7014F">
        <w:rPr>
          <w:b/>
        </w:rPr>
        <w:t>2</w:t>
      </w:r>
      <w:r w:rsidRPr="007824E3">
        <w:rPr>
          <w:b/>
        </w:rPr>
        <w:t xml:space="preserve">. </w:t>
      </w:r>
      <w:r>
        <w:rPr>
          <w:b/>
        </w:rPr>
        <w:t>Duration between two new data transmissions on the same HARQ process in SPS</w:t>
      </w:r>
    </w:p>
    <w:p w14:paraId="6E206433" w14:textId="3409CA9A" w:rsidR="002D1B9D" w:rsidRDefault="007D5A25" w:rsidP="00041326">
      <w:pPr>
        <w:jc w:val="both"/>
      </w:pPr>
      <w:r>
        <w:t xml:space="preserve">The </w:t>
      </w:r>
      <w:r w:rsidR="00D82D4A">
        <w:t xml:space="preserve">large </w:t>
      </w:r>
      <w:r>
        <w:t xml:space="preserve">retransmission delay </w:t>
      </w:r>
      <w:r w:rsidR="00710F38">
        <w:t xml:space="preserve">in NTN </w:t>
      </w:r>
      <w:r w:rsidR="00207351">
        <w:t xml:space="preserve">may cause the network to </w:t>
      </w:r>
      <w:r w:rsidR="00C9188C">
        <w:t xml:space="preserve">disable HARQ feedback </w:t>
      </w:r>
      <w:r w:rsidR="00CC397E">
        <w:t xml:space="preserve">for VoIP </w:t>
      </w:r>
      <w:r w:rsidR="00133F9B">
        <w:t>and</w:t>
      </w:r>
      <w:r w:rsidR="00CC397E">
        <w:t xml:space="preserve"> </w:t>
      </w:r>
      <w:r w:rsidR="006363DF">
        <w:t>other delay sensitive</w:t>
      </w:r>
      <w:r w:rsidR="00CF3FC7">
        <w:t xml:space="preserve"> </w:t>
      </w:r>
      <w:r w:rsidR="00D40547">
        <w:t>services</w:t>
      </w:r>
      <w:r w:rsidR="00131FC0">
        <w:t xml:space="preserve"> delivered over SPS transmissions</w:t>
      </w:r>
      <w:r w:rsidR="00015EAF">
        <w:t>.</w:t>
      </w:r>
      <w:r w:rsidR="00E61528">
        <w:t xml:space="preserve"> </w:t>
      </w:r>
      <w:r w:rsidR="00DF15EE">
        <w:t xml:space="preserve">On the other hand, </w:t>
      </w:r>
      <w:r w:rsidR="00FC238D">
        <w:t>some limited HARQ feedback</w:t>
      </w:r>
      <w:r w:rsidR="008A1ADA">
        <w:t xml:space="preserve"> </w:t>
      </w:r>
      <w:r w:rsidR="001352CB">
        <w:t xml:space="preserve">is needed </w:t>
      </w:r>
      <w:r w:rsidR="007B5449">
        <w:t xml:space="preserve">for the </w:t>
      </w:r>
      <w:r w:rsidR="008A1ADA">
        <w:t xml:space="preserve">network </w:t>
      </w:r>
      <w:r w:rsidR="00BE10D2">
        <w:t xml:space="preserve">to </w:t>
      </w:r>
      <w:r w:rsidR="007F0759">
        <w:t xml:space="preserve">know the transmission status and </w:t>
      </w:r>
      <w:r w:rsidR="00053331">
        <w:t xml:space="preserve">adjust </w:t>
      </w:r>
      <w:r w:rsidR="00756A5D">
        <w:t>MCS and repetitions</w:t>
      </w:r>
      <w:r w:rsidR="00C83528">
        <w:t xml:space="preserve"> and for MAC CE</w:t>
      </w:r>
      <w:r w:rsidR="000D499F">
        <w:t xml:space="preserve"> commands</w:t>
      </w:r>
      <w:r w:rsidR="00756A5D">
        <w:t>.</w:t>
      </w:r>
      <w:r w:rsidR="00FC238D">
        <w:t xml:space="preserve"> </w:t>
      </w:r>
      <w:r w:rsidR="0016692E">
        <w:t xml:space="preserve">For those </w:t>
      </w:r>
      <w:r w:rsidR="008A696B">
        <w:t>lower latency</w:t>
      </w:r>
      <w:r w:rsidR="004C180B">
        <w:t xml:space="preserve"> data traffics</w:t>
      </w:r>
      <w:r w:rsidR="00563683">
        <w:t xml:space="preserve">, </w:t>
      </w:r>
      <w:r w:rsidR="005601D9">
        <w:t xml:space="preserve">UL resource and UE power can be saved by </w:t>
      </w:r>
      <w:r w:rsidR="00932E76">
        <w:t xml:space="preserve">reducing </w:t>
      </w:r>
      <w:r w:rsidR="00DE4CDE">
        <w:t>the feedback rate</w:t>
      </w:r>
      <w:r w:rsidR="00FD6635">
        <w:t xml:space="preserve"> for a HARQ</w:t>
      </w:r>
      <w:r w:rsidR="00E93B27">
        <w:t xml:space="preserve"> feedback-enabled process</w:t>
      </w:r>
      <w:r w:rsidR="00DE4CDE">
        <w:t xml:space="preserve">, </w:t>
      </w:r>
      <w:r w:rsidR="00C02BF5">
        <w:t xml:space="preserve">for example, </w:t>
      </w:r>
      <w:r w:rsidR="002D1B9D">
        <w:t xml:space="preserve">reporting one HARQ-ACK for every n TBs received. This can be done in the semi-static RRC configuration per HARQ process: a feedback rate of 0 </w:t>
      </w:r>
      <w:r w:rsidR="007314BC">
        <w:t xml:space="preserve">for </w:t>
      </w:r>
      <w:r w:rsidR="004E4AC7">
        <w:t xml:space="preserve">a </w:t>
      </w:r>
      <w:r w:rsidR="00105155">
        <w:t>feedback</w:t>
      </w:r>
      <w:r w:rsidR="00A22F1F">
        <w:t xml:space="preserve">-disabled </w:t>
      </w:r>
      <w:r w:rsidR="007D2A05">
        <w:t xml:space="preserve">HARQ </w:t>
      </w:r>
      <w:r w:rsidR="00A22F1F">
        <w:t>process</w:t>
      </w:r>
      <w:r w:rsidR="005456B3">
        <w:t xml:space="preserve"> </w:t>
      </w:r>
      <w:r w:rsidR="00156E65">
        <w:t xml:space="preserve">and a feedback rate </w:t>
      </w:r>
      <w:r w:rsidR="002D1B9D">
        <w:t xml:space="preserve">1/n </w:t>
      </w:r>
      <w:r w:rsidR="009E5DF0">
        <w:t>(where n</w:t>
      </w:r>
      <w:r w:rsidR="009E5DF0">
        <w:rPr>
          <w:rFonts w:cstheme="minorHAnsi"/>
        </w:rPr>
        <w:t>≥</w:t>
      </w:r>
      <w:r w:rsidR="009E5DF0">
        <w:t>1)</w:t>
      </w:r>
      <w:r w:rsidR="002D1B9D">
        <w:t xml:space="preserve"> for </w:t>
      </w:r>
      <w:r w:rsidR="004E4AC7">
        <w:t xml:space="preserve">a </w:t>
      </w:r>
      <w:r w:rsidR="005456B3">
        <w:t xml:space="preserve">feedback-enabled </w:t>
      </w:r>
      <w:r w:rsidR="00826184">
        <w:t xml:space="preserve">HARQ </w:t>
      </w:r>
      <w:r w:rsidR="002D1B9D">
        <w:t>proces</w:t>
      </w:r>
      <w:r w:rsidR="009E5DF0">
        <w:t>s</w:t>
      </w:r>
      <w:r w:rsidR="002D1B9D">
        <w:t xml:space="preserve">. With a reduced feedback rate, short latency data transmission can be more </w:t>
      </w:r>
      <w:r w:rsidR="00B475E2">
        <w:t xml:space="preserve">efficiently </w:t>
      </w:r>
      <w:r w:rsidR="002D1B9D">
        <w:t>supported with fewer HARQ processes in IoT NTN scenarios.</w:t>
      </w:r>
    </w:p>
    <w:p w14:paraId="6BB0F5CE" w14:textId="51010D65" w:rsidR="002D1B9D" w:rsidRPr="00097671" w:rsidRDefault="002D1B9D" w:rsidP="002D1B9D">
      <w:pPr>
        <w:jc w:val="both"/>
        <w:rPr>
          <w:b/>
          <w:bCs/>
        </w:rPr>
      </w:pPr>
      <w:r w:rsidRPr="00097671">
        <w:rPr>
          <w:b/>
          <w:bCs/>
        </w:rPr>
        <w:t xml:space="preserve">Proposal </w:t>
      </w:r>
      <w:r w:rsidR="00925301">
        <w:rPr>
          <w:b/>
          <w:bCs/>
        </w:rPr>
        <w:t>6</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0C5CEF3D" w14:textId="3D8C86B7" w:rsidR="005543D9" w:rsidRPr="00BC61EB" w:rsidRDefault="005543D9" w:rsidP="005543D9">
      <w:pPr>
        <w:jc w:val="both"/>
        <w:rPr>
          <w:b/>
        </w:rPr>
      </w:pPr>
    </w:p>
    <w:p w14:paraId="0208AD4E" w14:textId="3F97F522" w:rsidR="00134B0D" w:rsidRDefault="648F882E" w:rsidP="00EA50BA">
      <w:pPr>
        <w:pStyle w:val="Heading2"/>
      </w:pPr>
      <w:r>
        <w:t>HARQ feedback disabling</w:t>
      </w:r>
      <w:r w:rsidR="000350E7">
        <w:t xml:space="preserve"> for multi-TB scheduling</w:t>
      </w:r>
    </w:p>
    <w:p w14:paraId="55C629CB" w14:textId="77777777" w:rsidR="003A11C1" w:rsidRDefault="003A11C1" w:rsidP="0027576E">
      <w:pPr>
        <w:spacing w:after="120"/>
        <w:jc w:val="both"/>
      </w:pPr>
      <w:r>
        <w:t xml:space="preserve">DCI format 6-1B for CE mode B multi-TB scheduling and DCI format N1 for NB-IoT multi-TB scheduling are shown in Tables 3 and 4 respectively. For CE mode B, DCI format 6-1B can schedule up to four </w:t>
      </w:r>
      <w:proofErr w:type="spellStart"/>
      <w:r>
        <w:t>TBs.</w:t>
      </w:r>
      <w:proofErr w:type="spellEnd"/>
      <w:r>
        <w:t xml:space="preserve"> The field “Scheduling TBs for Unicast” indicates MCS, HARQ processes, and NDI. For NB-IoT, DCI format N1 can schedule up to two TBs (when “</w:t>
      </w:r>
      <w:r w:rsidRPr="000349D3">
        <w:t>Number of scheduled TB for Unicast</w:t>
      </w:r>
      <w:r>
        <w:t>” is set to 1). Possible fields for Option 3 HARQ feedback enabling/disabling indication such as MCS, repetition number, HARQ-ACK resource, have the same size as in single-TB scheduling. We think the same DCI indication by reusing existing fields can be applied to multi-TB scheduling to support Option 3 for CE mode B and NB-IoT.</w:t>
      </w:r>
    </w:p>
    <w:p w14:paraId="2E3E3BE5" w14:textId="306BCBDC" w:rsidR="003A11C1" w:rsidRPr="00A742EE" w:rsidRDefault="003A11C1" w:rsidP="003A11C1">
      <w:pPr>
        <w:jc w:val="both"/>
        <w:rPr>
          <w:b/>
          <w:bCs/>
        </w:rPr>
      </w:pPr>
      <w:r w:rsidRPr="00A742EE">
        <w:rPr>
          <w:b/>
          <w:bCs/>
        </w:rPr>
        <w:t xml:space="preserve">Proposal </w:t>
      </w:r>
      <w:r w:rsidR="00925301">
        <w:rPr>
          <w:b/>
          <w:bCs/>
        </w:rPr>
        <w:t>7</w:t>
      </w:r>
      <w:r w:rsidRPr="00A742EE">
        <w:rPr>
          <w:b/>
          <w:bCs/>
        </w:rPr>
        <w:t xml:space="preserve">: The same DCI indication with existing fields for HARQ feedback </w:t>
      </w:r>
      <w:proofErr w:type="spellStart"/>
      <w:r w:rsidRPr="00A742EE">
        <w:rPr>
          <w:b/>
          <w:bCs/>
        </w:rPr>
        <w:t>enabliling</w:t>
      </w:r>
      <w:proofErr w:type="spellEnd"/>
      <w:r w:rsidRPr="00A742EE">
        <w:rPr>
          <w:b/>
          <w:bCs/>
        </w:rPr>
        <w:t xml:space="preserve">/disabling in Option 3 is used for single-TB scheduling and multi-TB scheduling. </w:t>
      </w:r>
    </w:p>
    <w:p w14:paraId="248C904B" w14:textId="77777777" w:rsidR="003A11C1" w:rsidRDefault="003A11C1" w:rsidP="003A11C1">
      <w:pPr>
        <w:pStyle w:val="Caption"/>
        <w:spacing w:before="240" w:after="60" w:line="240" w:lineRule="auto"/>
        <w:jc w:val="center"/>
        <w:rPr>
          <w:lang w:val="en-GB" w:eastAsia="en-US"/>
        </w:rPr>
      </w:pPr>
      <w:r>
        <w:rPr>
          <w:lang w:val="en-GB" w:eastAsia="en-US"/>
        </w:rPr>
        <w:t xml:space="preserve">Table 3. DCI format 6-1B for CE Mode B PDSCH multi-TB scheduling </w:t>
      </w:r>
    </w:p>
    <w:tbl>
      <w:tblPr>
        <w:tblW w:w="6237" w:type="dxa"/>
        <w:jc w:val="center"/>
        <w:tblCellMar>
          <w:left w:w="0" w:type="dxa"/>
          <w:right w:w="0" w:type="dxa"/>
        </w:tblCellMar>
        <w:tblLook w:val="0600" w:firstRow="0" w:lastRow="0" w:firstColumn="0" w:lastColumn="0" w:noHBand="1" w:noVBand="1"/>
      </w:tblPr>
      <w:tblGrid>
        <w:gridCol w:w="4106"/>
        <w:gridCol w:w="2131"/>
      </w:tblGrid>
      <w:tr w:rsidR="003A11C1" w:rsidRPr="00A120E1" w14:paraId="6A279F5E" w14:textId="77777777" w:rsidTr="007846CC">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3F884764"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DCI format 6-1B for PDSCH scheduling</w:t>
            </w:r>
          </w:p>
        </w:tc>
      </w:tr>
      <w:tr w:rsidR="003A11C1" w:rsidRPr="00A120E1" w14:paraId="6A267492"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0D19C366" w14:textId="77777777" w:rsidR="003A11C1" w:rsidRPr="00A120E1" w:rsidRDefault="003A11C1" w:rsidP="007846CC">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Field</w:t>
            </w:r>
          </w:p>
        </w:tc>
        <w:tc>
          <w:tcPr>
            <w:tcW w:w="213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3069E943" w14:textId="77777777" w:rsidR="003A11C1" w:rsidRPr="00A120E1" w:rsidRDefault="003A11C1" w:rsidP="007846CC">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Size (bits)</w:t>
            </w:r>
          </w:p>
        </w:tc>
      </w:tr>
      <w:tr w:rsidR="003A11C1" w:rsidRPr="00A120E1" w14:paraId="3209B1BD" w14:textId="77777777" w:rsidTr="007846CC">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052FEF2"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Flag for 6-0B/6-1B differentiation</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B0B780E"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3A11C1" w:rsidRPr="00A120E1" w14:paraId="7CEDCD26" w14:textId="77777777" w:rsidTr="007846CC">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8F474DB"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lastRenderedPageBreak/>
              <w:t>Resource block assignment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533BD31" w14:textId="77777777" w:rsidR="003A11C1" w:rsidRPr="00A120E1" w:rsidRDefault="003A11C1" w:rsidP="007846CC">
            <w:pPr>
              <w:spacing w:after="0" w:line="240" w:lineRule="auto"/>
              <w:jc w:val="center"/>
              <w:textAlignment w:val="bottom"/>
              <w:rPr>
                <w:rFonts w:ascii="Calibri" w:eastAsia="宋体" w:hAnsi="Calibri" w:cs="Calibri"/>
                <w:color w:val="000000"/>
                <w:kern w:val="24"/>
                <w:lang w:eastAsia="ja-JP"/>
              </w:rPr>
            </w:pPr>
            <w:r w:rsidRPr="00A120E1">
              <w:rPr>
                <w:rFonts w:ascii="Arial" w:eastAsia="宋体" w:hAnsi="Arial" w:cs="Times New Roman"/>
                <w:noProof/>
                <w:position w:val="-32"/>
                <w:lang w:val="en-GB" w:eastAsia="en-US"/>
              </w:rPr>
              <w:drawing>
                <wp:inline distT="0" distB="0" distL="0" distR="0" wp14:anchorId="039D641B" wp14:editId="481613BC">
                  <wp:extent cx="776605" cy="47434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6605" cy="474345"/>
                          </a:xfrm>
                          <a:prstGeom prst="rect">
                            <a:avLst/>
                          </a:prstGeom>
                          <a:noFill/>
                          <a:ln>
                            <a:noFill/>
                          </a:ln>
                        </pic:spPr>
                      </pic:pic>
                    </a:graphicData>
                  </a:graphic>
                </wp:inline>
              </w:drawing>
            </w:r>
            <w:r w:rsidRPr="00A120E1">
              <w:rPr>
                <w:rFonts w:ascii="Calibri" w:eastAsia="宋体" w:hAnsi="Calibri" w:cs="Calibri"/>
                <w:lang w:val="en-GB" w:eastAsia="en-US"/>
              </w:rPr>
              <w:t>+1</w:t>
            </w:r>
          </w:p>
        </w:tc>
      </w:tr>
      <w:tr w:rsidR="003A11C1" w:rsidRPr="00A120E1" w14:paraId="2D2BFC0C"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9E42E87"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1D9D778"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3</w:t>
            </w:r>
          </w:p>
        </w:tc>
      </w:tr>
      <w:tr w:rsidR="003A11C1" w:rsidRPr="00A120E1" w14:paraId="6A913532"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B712FF4"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HARQ-ACK resource offset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0496415"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3A11C1" w:rsidRPr="00A120E1" w14:paraId="2BB30B07"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FB2A883"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DCI subframe 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3F79243"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3A11C1" w:rsidRPr="00A120E1" w14:paraId="686E7090"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0EBADA98" w14:textId="77777777" w:rsidR="003A11C1" w:rsidRPr="00A120E1" w:rsidRDefault="003A11C1" w:rsidP="007846CC">
            <w:pPr>
              <w:spacing w:after="0" w:line="240" w:lineRule="auto"/>
              <w:textAlignment w:val="center"/>
              <w:rPr>
                <w:rFonts w:ascii="Calibri" w:eastAsia="宋体" w:hAnsi="Calibri" w:cs="Calibri"/>
                <w:color w:val="000000"/>
                <w:kern w:val="24"/>
                <w:lang w:eastAsia="ja-JP"/>
              </w:rPr>
            </w:pPr>
            <w:r w:rsidRPr="00095351">
              <w:rPr>
                <w:rFonts w:ascii="Calibri" w:eastAsia="宋体" w:hAnsi="Calibri" w:cs="Calibri"/>
                <w:color w:val="000000"/>
                <w:kern w:val="24"/>
                <w:lang w:eastAsia="ja-JP"/>
              </w:rPr>
              <w:t>Scheduling TBs for Unicast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160C4E6" w14:textId="77777777" w:rsidR="003A11C1" w:rsidRPr="00A120E1" w:rsidRDefault="003A11C1" w:rsidP="007846CC">
            <w:pPr>
              <w:spacing w:after="0" w:line="240" w:lineRule="auto"/>
              <w:jc w:val="center"/>
              <w:textAlignment w:val="bottom"/>
              <w:rPr>
                <w:rFonts w:ascii="Calibri" w:eastAsia="宋体" w:hAnsi="Calibri" w:cs="Calibri"/>
                <w:color w:val="000000"/>
                <w:kern w:val="24"/>
                <w:lang w:eastAsia="ja-JP"/>
              </w:rPr>
            </w:pPr>
            <w:r>
              <w:rPr>
                <w:rFonts w:ascii="Calibri" w:eastAsia="宋体" w:hAnsi="Calibri" w:cs="Calibri"/>
                <w:color w:val="000000"/>
                <w:kern w:val="24"/>
                <w:lang w:eastAsia="ja-JP"/>
              </w:rPr>
              <w:t>10</w:t>
            </w:r>
          </w:p>
        </w:tc>
      </w:tr>
      <w:tr w:rsidR="003A11C1" w:rsidRPr="00A120E1" w14:paraId="2BFADC92" w14:textId="77777777" w:rsidTr="007846CC">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6FE12950" w14:textId="77777777" w:rsidR="003A11C1" w:rsidRPr="00A120E1" w:rsidRDefault="003A11C1" w:rsidP="007846CC">
            <w:pPr>
              <w:spacing w:before="60" w:after="60" w:line="240" w:lineRule="auto"/>
              <w:ind w:left="113"/>
              <w:jc w:val="both"/>
              <w:textAlignment w:val="bottom"/>
              <w:rPr>
                <w:rFonts w:ascii="Calibri" w:eastAsia="宋体" w:hAnsi="Calibri" w:cs="Calibri"/>
                <w:color w:val="000000"/>
                <w:kern w:val="24"/>
                <w:lang w:eastAsia="ja-JP"/>
              </w:rPr>
            </w:pPr>
            <w:r w:rsidRPr="00A120E1">
              <w:rPr>
                <w:rFonts w:ascii="Calibri" w:eastAsia="宋体" w:hAnsi="Calibri" w:cs="Calibri"/>
                <w:color w:val="000000"/>
                <w:kern w:val="24"/>
                <w:lang w:eastAsia="ja-JP"/>
              </w:rPr>
              <w:t>Note:</w:t>
            </w:r>
            <w:r w:rsidRPr="00A120E1">
              <w:rPr>
                <w:rFonts w:ascii="Times New Roman" w:eastAsia="宋体" w:hAnsi="Times New Roman" w:cs="Times New Roman"/>
                <w:color w:val="000000"/>
                <w:kern w:val="24"/>
                <w:lang w:eastAsia="ja-JP"/>
              </w:rPr>
              <w:t xml:space="preserve"> </w:t>
            </w:r>
            <m:oMath>
              <m:sSubSup>
                <m:sSubSupPr>
                  <m:ctrlPr>
                    <w:rPr>
                      <w:rFonts w:ascii="Cambria Math" w:eastAsia="宋体" w:hAnsi="Cambria Math" w:cs="Calibri"/>
                      <w:i/>
                      <w:color w:val="000000"/>
                      <w:kern w:val="24"/>
                      <w:lang w:eastAsia="ja-JP"/>
                    </w:rPr>
                  </m:ctrlPr>
                </m:sSubSupPr>
                <m:e>
                  <m:r>
                    <w:rPr>
                      <w:rFonts w:ascii="Cambria Math" w:eastAsia="宋体" w:hAnsi="Cambria Math" w:cs="Calibri"/>
                      <w:color w:val="000000"/>
                      <w:kern w:val="24"/>
                      <w:lang w:eastAsia="ja-JP"/>
                    </w:rPr>
                    <m:t>N</m:t>
                  </m:r>
                </m:e>
                <m:sub>
                  <m:r>
                    <w:rPr>
                      <w:rFonts w:ascii="Cambria Math" w:eastAsia="宋体" w:hAnsi="Cambria Math" w:cs="Calibri"/>
                      <w:color w:val="000000"/>
                      <w:kern w:val="24"/>
                      <w:lang w:eastAsia="ja-JP"/>
                    </w:rPr>
                    <m:t>RB</m:t>
                  </m:r>
                </m:sub>
                <m:sup>
                  <m:r>
                    <w:rPr>
                      <w:rFonts w:ascii="Cambria Math" w:eastAsia="宋体" w:hAnsi="Cambria Math" w:cs="Calibri"/>
                      <w:color w:val="000000"/>
                      <w:kern w:val="24"/>
                      <w:lang w:eastAsia="ja-JP"/>
                    </w:rPr>
                    <m:t>DL</m:t>
                  </m:r>
                </m:sup>
              </m:sSubSup>
            </m:oMath>
            <w:r w:rsidRPr="00A120E1">
              <w:rPr>
                <w:rFonts w:ascii="Calibri" w:eastAsia="宋体" w:hAnsi="Calibri" w:cs="Calibri"/>
                <w:color w:val="000000"/>
                <w:kern w:val="24"/>
                <w:lang w:eastAsia="ja-JP"/>
              </w:rPr>
              <w:t xml:space="preserve"> is the allocated number of resource blocks.</w:t>
            </w:r>
          </w:p>
        </w:tc>
      </w:tr>
    </w:tbl>
    <w:p w14:paraId="51ECA647" w14:textId="77777777" w:rsidR="003A11C1" w:rsidRDefault="003A11C1" w:rsidP="003A11C1">
      <w:pPr>
        <w:pStyle w:val="Caption"/>
        <w:spacing w:before="240" w:after="60" w:line="240" w:lineRule="auto"/>
        <w:jc w:val="center"/>
        <w:rPr>
          <w:lang w:val="en-GB" w:eastAsia="en-US"/>
        </w:rPr>
      </w:pPr>
      <w:r>
        <w:rPr>
          <w:lang w:val="en-GB" w:eastAsia="en-US"/>
        </w:rPr>
        <w:t>Table 4. DCI format N1 for NPDSCH multi-TB scheduling</w:t>
      </w:r>
    </w:p>
    <w:tbl>
      <w:tblPr>
        <w:tblW w:w="4967" w:type="dxa"/>
        <w:jc w:val="center"/>
        <w:tblCellMar>
          <w:left w:w="0" w:type="dxa"/>
          <w:right w:w="0" w:type="dxa"/>
        </w:tblCellMar>
        <w:tblLook w:val="0600" w:firstRow="0" w:lastRow="0" w:firstColumn="0" w:lastColumn="0" w:noHBand="1" w:noVBand="1"/>
      </w:tblPr>
      <w:tblGrid>
        <w:gridCol w:w="3681"/>
        <w:gridCol w:w="1286"/>
      </w:tblGrid>
      <w:tr w:rsidR="003A11C1" w:rsidRPr="00A120E1" w14:paraId="54836168" w14:textId="77777777" w:rsidTr="007846CC">
        <w:trPr>
          <w:trHeight w:val="300"/>
          <w:jc w:val="center"/>
        </w:trPr>
        <w:tc>
          <w:tcPr>
            <w:tcW w:w="496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EB3D871"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DCI format N1 for NPDSCH scheduling</w:t>
            </w:r>
          </w:p>
        </w:tc>
      </w:tr>
      <w:tr w:rsidR="003A11C1" w:rsidRPr="00A120E1" w14:paraId="390201F2"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4F3CC472" w14:textId="77777777" w:rsidR="003A11C1" w:rsidRPr="00A120E1" w:rsidRDefault="003A11C1" w:rsidP="007846CC">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Field</w:t>
            </w:r>
          </w:p>
        </w:tc>
        <w:tc>
          <w:tcPr>
            <w:tcW w:w="128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6949384E" w14:textId="77777777" w:rsidR="003A11C1" w:rsidRPr="00A120E1" w:rsidRDefault="003A11C1" w:rsidP="007846CC">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Size (bits)</w:t>
            </w:r>
          </w:p>
        </w:tc>
      </w:tr>
      <w:tr w:rsidR="003A11C1" w:rsidRPr="00A120E1" w14:paraId="6965A473"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D117330"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Flag for N0/N1 differentiation</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17CBCD9"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7C85F047"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B62C4E3"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NPDCCH order indicator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728350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6BAC865E"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95FC53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Scheduling delay</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A1E68F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3A11C1" w:rsidRPr="00A120E1" w14:paraId="07A78E1F"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4ABB36B"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Resource assignment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0EDFAB"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3A11C1" w:rsidRPr="00A120E1" w14:paraId="50189AD6"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203FD6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MCS</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E1E00FC"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0E13FFA5"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F8F508"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Repetition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BDD2653"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4DC851A9"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04306FA"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NDI</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66F7AD7"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7CE5CDD9"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8F1AC25"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HARQ-ACK resource</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A65C29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0A8F2511"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716FF3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DCI subframe repetition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84A6EF2"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2</w:t>
            </w:r>
          </w:p>
        </w:tc>
      </w:tr>
      <w:tr w:rsidR="003A11C1" w:rsidRPr="00A120E1" w14:paraId="2056C536"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08DA6EA" w14:textId="77777777" w:rsidR="003A11C1" w:rsidRPr="00A120E1" w:rsidRDefault="003A11C1" w:rsidP="007846CC">
            <w:pPr>
              <w:spacing w:after="0" w:line="240" w:lineRule="auto"/>
              <w:textAlignment w:val="bottom"/>
              <w:rPr>
                <w:rFonts w:ascii="Calibri" w:eastAsia="ヒラギノ角ゴ Pro W3" w:hAnsi="Calibri" w:cs="Calibri"/>
                <w:kern w:val="24"/>
                <w:lang w:eastAsia="ja-JP"/>
              </w:rPr>
            </w:pPr>
            <w:bookmarkStart w:id="3" w:name="_Hlk131532090"/>
            <w:r w:rsidRPr="000A5DB6">
              <w:rPr>
                <w:rFonts w:ascii="Calibri" w:eastAsia="ヒラギノ角ゴ Pro W3" w:hAnsi="Calibri" w:cs="Calibri"/>
                <w:kern w:val="24"/>
                <w:lang w:eastAsia="ja-JP"/>
              </w:rPr>
              <w:t>Number of scheduled TB for Unicast</w:t>
            </w:r>
            <w:bookmarkEnd w:id="3"/>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45491927" w14:textId="77777777" w:rsidR="003A11C1" w:rsidRPr="00A120E1" w:rsidRDefault="003A11C1" w:rsidP="007846CC">
            <w:pPr>
              <w:spacing w:after="0" w:line="240" w:lineRule="auto"/>
              <w:jc w:val="center"/>
              <w:textAlignment w:val="bottom"/>
              <w:rPr>
                <w:rFonts w:ascii="Calibri" w:eastAsia="ヒラギノ角ゴ Pro W3" w:hAnsi="Calibri" w:cs="Calibri"/>
                <w:kern w:val="24"/>
                <w:lang w:eastAsia="ja-JP"/>
              </w:rPr>
            </w:pPr>
            <w:r>
              <w:rPr>
                <w:rFonts w:ascii="Calibri" w:eastAsia="ヒラギノ角ゴ Pro W3" w:hAnsi="Calibri" w:cs="Calibri"/>
                <w:kern w:val="24"/>
                <w:lang w:eastAsia="ja-JP"/>
              </w:rPr>
              <w:t>1</w:t>
            </w:r>
          </w:p>
        </w:tc>
      </w:tr>
      <w:tr w:rsidR="003A11C1" w:rsidRPr="00A120E1" w14:paraId="12D729C7"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BD86C81" w14:textId="77777777" w:rsidR="003A11C1" w:rsidRPr="000A5DB6" w:rsidRDefault="003A11C1" w:rsidP="007846CC">
            <w:pPr>
              <w:spacing w:after="0" w:line="240" w:lineRule="auto"/>
              <w:textAlignment w:val="bottom"/>
              <w:rPr>
                <w:rFonts w:ascii="Calibri" w:eastAsia="ヒラギノ角ゴ Pro W3" w:hAnsi="Calibri" w:cs="Calibri"/>
                <w:kern w:val="24"/>
                <w:lang w:eastAsia="ja-JP"/>
              </w:rPr>
            </w:pPr>
            <w:r w:rsidRPr="000A5DB6">
              <w:rPr>
                <w:rFonts w:ascii="Calibri" w:eastAsia="ヒラギノ角ゴ Pro W3" w:hAnsi="Calibri" w:cs="Calibri"/>
                <w:kern w:val="24"/>
                <w:lang w:eastAsia="ja-JP"/>
              </w:rPr>
              <w:t>HARQ process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78C75A11" w14:textId="77777777" w:rsidR="003A11C1" w:rsidRDefault="003A11C1" w:rsidP="007846CC">
            <w:pPr>
              <w:spacing w:after="0" w:line="240" w:lineRule="auto"/>
              <w:jc w:val="center"/>
              <w:textAlignment w:val="bottom"/>
              <w:rPr>
                <w:rFonts w:ascii="Calibri" w:eastAsia="ヒラギノ角ゴ Pro W3" w:hAnsi="Calibri" w:cs="Calibri"/>
                <w:kern w:val="24"/>
                <w:lang w:eastAsia="ja-JP"/>
              </w:rPr>
            </w:pPr>
            <w:r>
              <w:rPr>
                <w:rFonts w:ascii="Calibri" w:eastAsia="ヒラギノ角ゴ Pro W3" w:hAnsi="Calibri" w:cs="Calibri"/>
                <w:kern w:val="24"/>
                <w:lang w:eastAsia="ja-JP"/>
              </w:rPr>
              <w:t>1</w:t>
            </w:r>
          </w:p>
        </w:tc>
      </w:tr>
    </w:tbl>
    <w:p w14:paraId="1AD20440" w14:textId="77777777" w:rsidR="00BE5E03" w:rsidRDefault="00BE5E03" w:rsidP="0013112E">
      <w:pPr>
        <w:spacing w:before="240" w:after="120"/>
        <w:jc w:val="both"/>
        <w:rPr>
          <w:lang w:eastAsia="en-US"/>
        </w:rPr>
      </w:pPr>
      <w:r>
        <w:rPr>
          <w:lang w:eastAsia="en-US"/>
        </w:rPr>
        <w:t xml:space="preserve">When Option 3 is used in multi-TB scheduling, it may not be necessary to enable or disable HARQ feedback for all the scheduled </w:t>
      </w:r>
      <w:proofErr w:type="spellStart"/>
      <w:r>
        <w:rPr>
          <w:lang w:eastAsia="en-US"/>
        </w:rPr>
        <w:t>TBs.</w:t>
      </w:r>
      <w:proofErr w:type="spellEnd"/>
      <w:r>
        <w:rPr>
          <w:lang w:eastAsia="en-US"/>
        </w:rPr>
        <w:t xml:space="preserve"> For example, if there is only one MAC CE to be acknowledged when multiple TBs are scheduled in semi-statically HARQ feedback-disabled processes. For more efficient utilization of UL resources, it may be beneficial to configure only a subset of scheduled TBs (e.g., one TB) for HARQ feedback enabling/disabling by DCI indication.</w:t>
      </w:r>
    </w:p>
    <w:p w14:paraId="0CCF4BC3" w14:textId="32788D8A" w:rsidR="00CC4194" w:rsidRPr="00765EAD" w:rsidRDefault="000F1902" w:rsidP="00DB77E7">
      <w:pPr>
        <w:spacing w:after="120"/>
        <w:rPr>
          <w:b/>
        </w:rPr>
      </w:pPr>
      <w:r>
        <w:rPr>
          <w:b/>
          <w:bCs/>
          <w:lang w:eastAsia="en-US"/>
        </w:rPr>
        <w:t xml:space="preserve">Proposal </w:t>
      </w:r>
      <w:r w:rsidR="00925301">
        <w:rPr>
          <w:b/>
          <w:bCs/>
          <w:lang w:eastAsia="en-US"/>
        </w:rPr>
        <w:t>8</w:t>
      </w:r>
      <w:r>
        <w:rPr>
          <w:b/>
          <w:bCs/>
          <w:lang w:eastAsia="en-US"/>
        </w:rPr>
        <w:t xml:space="preserve">: RAN1 should support </w:t>
      </w:r>
      <w:proofErr w:type="spellStart"/>
      <w:r w:rsidR="0018199F">
        <w:rPr>
          <w:b/>
          <w:bCs/>
          <w:lang w:eastAsia="en-US"/>
        </w:rPr>
        <w:t>enebling</w:t>
      </w:r>
      <w:proofErr w:type="spellEnd"/>
      <w:r w:rsidR="0018199F">
        <w:rPr>
          <w:b/>
          <w:bCs/>
          <w:lang w:eastAsia="en-US"/>
        </w:rPr>
        <w:t xml:space="preserve">/disabling of HARQ feedback for </w:t>
      </w:r>
      <w:r w:rsidR="003B077D">
        <w:rPr>
          <w:b/>
          <w:bCs/>
          <w:lang w:eastAsia="en-US"/>
        </w:rPr>
        <w:t xml:space="preserve">a </w:t>
      </w:r>
      <w:r w:rsidR="00A203D2">
        <w:rPr>
          <w:b/>
          <w:bCs/>
          <w:lang w:eastAsia="en-US"/>
        </w:rPr>
        <w:t xml:space="preserve">subset of </w:t>
      </w:r>
      <w:r w:rsidR="0018199F">
        <w:rPr>
          <w:b/>
          <w:bCs/>
          <w:lang w:eastAsia="en-US"/>
        </w:rPr>
        <w:t xml:space="preserve">TBs </w:t>
      </w:r>
      <w:r w:rsidR="0076034C">
        <w:rPr>
          <w:b/>
          <w:bCs/>
          <w:lang w:eastAsia="en-US"/>
        </w:rPr>
        <w:t>scheduled by one DCI in CE mode B and NB-IoT.</w:t>
      </w:r>
      <w:r w:rsidR="00614D1B" w:rsidRPr="00614D1B" w:rsidDel="00614D1B">
        <w:rPr>
          <w:b/>
        </w:rPr>
        <w:t xml:space="preserve"> </w:t>
      </w:r>
    </w:p>
    <w:p w14:paraId="3D069657" w14:textId="60C9074B" w:rsidR="00FA2AD3" w:rsidRDefault="00FA2AD3" w:rsidP="00FA2AD3">
      <w:pPr>
        <w:spacing w:after="120"/>
        <w:jc w:val="both"/>
        <w:rPr>
          <w:lang w:eastAsia="en-US"/>
        </w:rPr>
      </w:pPr>
      <w:r>
        <w:rPr>
          <w:lang w:eastAsia="en-US"/>
        </w:rPr>
        <w:t xml:space="preserve">In </w:t>
      </w:r>
      <w:r w:rsidR="00DB03FC">
        <w:rPr>
          <w:lang w:eastAsia="en-US"/>
        </w:rPr>
        <w:t>legacy</w:t>
      </w:r>
      <w:r>
        <w:rPr>
          <w:lang w:eastAsia="en-US"/>
        </w:rPr>
        <w:t xml:space="preserve"> specs, HARQ bundling in eMTC multi-TB scheduling is indicated by the DCI field “</w:t>
      </w:r>
      <w:r w:rsidRPr="008D4C23">
        <w:rPr>
          <w:lang w:eastAsia="en-US"/>
        </w:rPr>
        <w:t>Multi-TB HARQ-ACK bundling size</w:t>
      </w:r>
      <w:r>
        <w:rPr>
          <w:lang w:eastAsia="en-US"/>
        </w:rPr>
        <w:t xml:space="preserve">” (TS 36.213, section 7.3) and HARQ-ACK timing depends on whether TB interleaving or HD-FDD is in use (TS 36.213, section 10.2). For NB-IoT, two TBs can be scheduled in two HARQ processes, and HARQ-ACK timing is indicated by the “HARQ-ACK resource” DCI field (TS 36.213, section 16.4.2). </w:t>
      </w:r>
    </w:p>
    <w:p w14:paraId="40C24DBD" w14:textId="77777777" w:rsidR="00FA2AD3" w:rsidRDefault="00FA2AD3" w:rsidP="00FA2AD3">
      <w:pPr>
        <w:spacing w:after="120"/>
        <w:jc w:val="both"/>
        <w:rPr>
          <w:lang w:eastAsia="en-US"/>
        </w:rPr>
      </w:pPr>
      <w:r>
        <w:rPr>
          <w:lang w:eastAsia="en-US"/>
        </w:rPr>
        <w:t>To decide on how HARQ-ACK is reported when some of the HARQ processes of the scheduled TBs are feedback disabled, we need to consider multiple cases such as HARQ bundling, TB interleaving, HD-FDD, and eMTC vs. NB-IoT. Given that the eNB is not expecting HARQ-ACK from a feedback disabled process, the solution should in principle strive for UE power saving, efficient use of UL resource, and less scheduling restriction for new DL data.</w:t>
      </w:r>
    </w:p>
    <w:p w14:paraId="792D2618" w14:textId="04ACA782" w:rsidR="00FA2AD3" w:rsidRDefault="00FA2AD3" w:rsidP="00FA2AD3">
      <w:pPr>
        <w:spacing w:after="120"/>
        <w:jc w:val="both"/>
        <w:rPr>
          <w:b/>
          <w:bCs/>
          <w:lang w:eastAsia="en-US"/>
        </w:rPr>
      </w:pPr>
      <w:r w:rsidRPr="00AE5930">
        <w:rPr>
          <w:b/>
          <w:bCs/>
          <w:lang w:eastAsia="en-US"/>
        </w:rPr>
        <w:t xml:space="preserve">Proposal </w:t>
      </w:r>
      <w:r w:rsidR="00925301">
        <w:rPr>
          <w:b/>
          <w:bCs/>
          <w:lang w:eastAsia="en-US"/>
        </w:rPr>
        <w:t>9</w:t>
      </w:r>
      <w:r w:rsidRPr="00AE5930">
        <w:rPr>
          <w:b/>
          <w:bCs/>
          <w:lang w:eastAsia="en-US"/>
        </w:rPr>
        <w:t xml:space="preserve">: </w:t>
      </w:r>
      <w:r>
        <w:rPr>
          <w:b/>
          <w:bCs/>
          <w:lang w:eastAsia="en-US"/>
        </w:rPr>
        <w:t>HARQ-ACK reporting for IoT NTN in multi-TB scheduling should consider the cases of HARQ bundling, TB interleaving, HD-FDD vs FD-FDD, eMTC vs NB-IoT.</w:t>
      </w:r>
    </w:p>
    <w:p w14:paraId="4376362B" w14:textId="76DD3333" w:rsidR="00625433" w:rsidRDefault="00FA2AD3" w:rsidP="00FA2AD3">
      <w:pPr>
        <w:spacing w:after="120"/>
        <w:jc w:val="both"/>
      </w:pPr>
      <w:r>
        <w:rPr>
          <w:b/>
          <w:bCs/>
          <w:lang w:eastAsia="en-US"/>
        </w:rPr>
        <w:lastRenderedPageBreak/>
        <w:t xml:space="preserve">Proposal </w:t>
      </w:r>
      <w:r w:rsidR="00925301">
        <w:rPr>
          <w:b/>
          <w:bCs/>
          <w:lang w:eastAsia="en-US"/>
        </w:rPr>
        <w:t>10</w:t>
      </w:r>
      <w:r>
        <w:rPr>
          <w:b/>
          <w:bCs/>
          <w:lang w:eastAsia="en-US"/>
        </w:rPr>
        <w:t>: HARQ-ACK reporting for IoT NTN in multi-TB scheduling should try to avoid unnecessary UE power and UL resource waste and allow for earlier DL data monitoring.</w:t>
      </w:r>
    </w:p>
    <w:p w14:paraId="5F8B23BC" w14:textId="022593AA" w:rsidR="0054566C" w:rsidRDefault="03C6060D" w:rsidP="00EA50BA">
      <w:pPr>
        <w:pStyle w:val="Heading2"/>
      </w:pPr>
      <w:r>
        <w:t>Potential issues due to HARQ feedback disabling</w:t>
      </w:r>
    </w:p>
    <w:p w14:paraId="6ABC13E6" w14:textId="6D0506D4" w:rsidR="00427959" w:rsidRDefault="00148957" w:rsidP="44C0594F">
      <w:pPr>
        <w:jc w:val="both"/>
      </w:pPr>
      <w:r w:rsidRPr="44C0594F">
        <w:rPr>
          <w:rFonts w:ascii="Calibri" w:eastAsia="Calibri" w:hAnsi="Calibri" w:cs="Calibri"/>
        </w:rPr>
        <w:t xml:space="preserve">Based on the agreement in RAN1#112, only option 1 is supported in case only per-HARQ process bitmap signaling is configured. </w:t>
      </w:r>
      <w:r w:rsidR="00ED3250">
        <w:t xml:space="preserve">In </w:t>
      </w:r>
      <w:proofErr w:type="gramStart"/>
      <w:r w:rsidR="00ED3250">
        <w:t>th</w:t>
      </w:r>
      <w:r w:rsidR="303678E7">
        <w:t xml:space="preserve">is </w:t>
      </w:r>
      <w:r w:rsidR="00ED3250">
        <w:t xml:space="preserve"> case</w:t>
      </w:r>
      <w:proofErr w:type="gramEnd"/>
      <w:r w:rsidR="00ED3250">
        <w:t xml:space="preserve">, </w:t>
      </w:r>
      <w:r w:rsidR="000F3B89">
        <w:t>the flexibility</w:t>
      </w:r>
      <w:r w:rsidR="001749EC">
        <w:t xml:space="preserve"> and fast changing</w:t>
      </w:r>
      <w:r w:rsidR="000F3B89">
        <w:t xml:space="preserve"> of enabling/disabling feedback will be limited</w:t>
      </w:r>
      <w:r w:rsidR="001749EC">
        <w:t xml:space="preserve"> and </w:t>
      </w:r>
      <w:proofErr w:type="spellStart"/>
      <w:r w:rsidR="001749EC">
        <w:t>can not</w:t>
      </w:r>
      <w:proofErr w:type="spellEnd"/>
      <w:r w:rsidR="001749EC">
        <w:t xml:space="preserve"> satisfy the requirement on </w:t>
      </w:r>
      <w:r w:rsidR="00224700">
        <w:t>feedback</w:t>
      </w:r>
      <w:r w:rsidR="00D1705C">
        <w:t>, e.g. PRACH capacity and link adaptation</w:t>
      </w:r>
      <w:r w:rsidR="00224700">
        <w:t>.</w:t>
      </w:r>
    </w:p>
    <w:p w14:paraId="428BACC8" w14:textId="150ABAE7" w:rsidR="00563422" w:rsidRDefault="00563422" w:rsidP="00FA5AB7">
      <w:pPr>
        <w:rPr>
          <w:b/>
          <w:bCs/>
        </w:rPr>
      </w:pPr>
      <w:r w:rsidRPr="44C0594F">
        <w:rPr>
          <w:b/>
          <w:bCs/>
        </w:rPr>
        <w:t xml:space="preserve">Observation </w:t>
      </w:r>
      <w:r w:rsidR="0018748E">
        <w:rPr>
          <w:b/>
          <w:bCs/>
        </w:rPr>
        <w:t>3</w:t>
      </w:r>
      <w:r w:rsidRPr="44C0594F">
        <w:rPr>
          <w:b/>
          <w:bCs/>
        </w:rPr>
        <w:t xml:space="preserve">: </w:t>
      </w:r>
      <w:bookmarkStart w:id="4" w:name="_Hlk131712536"/>
      <w:r w:rsidR="006B44D5">
        <w:rPr>
          <w:b/>
          <w:bCs/>
        </w:rPr>
        <w:t>W</w:t>
      </w:r>
      <w:r w:rsidRPr="44C0594F">
        <w:rPr>
          <w:b/>
          <w:bCs/>
        </w:rPr>
        <w:t>hen only semi-static H</w:t>
      </w:r>
      <w:r w:rsidR="006907FE">
        <w:rPr>
          <w:b/>
          <w:bCs/>
        </w:rPr>
        <w:t>A</w:t>
      </w:r>
      <w:r w:rsidRPr="44C0594F">
        <w:rPr>
          <w:b/>
          <w:bCs/>
        </w:rPr>
        <w:t xml:space="preserve">RQ feedback enabling/disabling </w:t>
      </w:r>
      <w:r w:rsidR="00EF777C" w:rsidRPr="44C0594F">
        <w:rPr>
          <w:b/>
          <w:bCs/>
        </w:rPr>
        <w:t>configured</w:t>
      </w:r>
      <w:r w:rsidR="00B0674D" w:rsidRPr="44C0594F">
        <w:rPr>
          <w:b/>
          <w:bCs/>
        </w:rPr>
        <w:t xml:space="preserve"> for UE with small number of HARQ process</w:t>
      </w:r>
      <w:r w:rsidRPr="44C0594F">
        <w:rPr>
          <w:b/>
          <w:bCs/>
        </w:rPr>
        <w:t xml:space="preserve">, </w:t>
      </w:r>
      <w:r w:rsidR="00EF777C" w:rsidRPr="44C0594F">
        <w:rPr>
          <w:b/>
          <w:bCs/>
        </w:rPr>
        <w:t>there will be impact on NPRACH capacity and link adaptation</w:t>
      </w:r>
      <w:r w:rsidR="00D1705C" w:rsidRPr="44C0594F">
        <w:rPr>
          <w:b/>
          <w:bCs/>
        </w:rPr>
        <w:t>.</w:t>
      </w:r>
      <w:bookmarkEnd w:id="4"/>
    </w:p>
    <w:p w14:paraId="762B28F7" w14:textId="28180CCA" w:rsidR="001F5DE2" w:rsidRPr="003B44EB" w:rsidRDefault="001F5DE2" w:rsidP="003B4A34">
      <w:pPr>
        <w:jc w:val="both"/>
        <w:rPr>
          <w:b/>
          <w:bCs/>
        </w:rPr>
      </w:pPr>
      <w:r w:rsidRPr="00E032FD">
        <w:rPr>
          <w:rFonts w:cstheme="minorHAnsi"/>
          <w:b/>
          <w:lang w:val="en-GB"/>
        </w:rPr>
        <w:t xml:space="preserve">Proposal </w:t>
      </w:r>
      <w:r w:rsidR="00925301">
        <w:rPr>
          <w:rFonts w:cstheme="minorHAnsi"/>
          <w:b/>
          <w:lang w:val="en-GB"/>
        </w:rPr>
        <w:t>11</w:t>
      </w:r>
      <w:r>
        <w:rPr>
          <w:rFonts w:cstheme="minorHAnsi"/>
          <w:b/>
          <w:lang w:val="en-GB"/>
        </w:rPr>
        <w:t>: To avoid impact on NPRACH capacity and link adaptation, network should configure option 3-only or option 3 to override option 1 for HARQ feedback disabling in IoT NTN.</w:t>
      </w:r>
    </w:p>
    <w:p w14:paraId="01E36CC3" w14:textId="6C329400" w:rsidR="00804E92" w:rsidRDefault="371F8FEF" w:rsidP="00804E92">
      <w:pPr>
        <w:pStyle w:val="Heading3"/>
      </w:pPr>
      <w:r>
        <w:t>NPRACH capacity</w:t>
      </w:r>
    </w:p>
    <w:p w14:paraId="08087752" w14:textId="0A29DE85" w:rsidR="008D1E32" w:rsidRPr="00E755B4" w:rsidRDefault="24BAE2E1" w:rsidP="4B65E5F1">
      <w:pPr>
        <w:jc w:val="both"/>
        <w:rPr>
          <w:rFonts w:eastAsia="宋体"/>
          <w:lang w:val="en-GB"/>
        </w:rPr>
      </w:pPr>
      <w:r w:rsidRPr="4B65E5F1">
        <w:rPr>
          <w:rFonts w:eastAsia="宋体"/>
          <w:lang w:val="en-GB"/>
        </w:rPr>
        <w:t xml:space="preserve">For NB-IoT UEs, scheduling requests (SR) are either </w:t>
      </w:r>
      <w:proofErr w:type="spellStart"/>
      <w:r w:rsidRPr="4B65E5F1">
        <w:rPr>
          <w:rFonts w:eastAsia="宋体"/>
          <w:lang w:val="en-GB"/>
        </w:rPr>
        <w:t>signaled</w:t>
      </w:r>
      <w:proofErr w:type="spellEnd"/>
      <w:r w:rsidRPr="4B65E5F1">
        <w:rPr>
          <w:rFonts w:eastAsia="宋体"/>
          <w:lang w:val="en-GB"/>
        </w:rPr>
        <w:t xml:space="preserve"> in NPUSCH with HARQ-ACK (configured by </w:t>
      </w:r>
      <w:proofErr w:type="spellStart"/>
      <w:r w:rsidRPr="4B65E5F1">
        <w:rPr>
          <w:rFonts w:eastAsia="宋体"/>
          <w:i/>
          <w:iCs/>
          <w:lang w:val="en-GB"/>
        </w:rPr>
        <w:t>sr</w:t>
      </w:r>
      <w:proofErr w:type="spellEnd"/>
      <w:r w:rsidRPr="4B65E5F1">
        <w:rPr>
          <w:rFonts w:eastAsia="宋体"/>
          <w:i/>
          <w:iCs/>
          <w:lang w:val="en-GB"/>
        </w:rPr>
        <w:t>-with-HARQ-ACK-Config</w:t>
      </w:r>
      <w:r w:rsidRPr="4B65E5F1">
        <w:rPr>
          <w:rFonts w:eastAsia="宋体"/>
          <w:lang w:val="en-GB"/>
        </w:rPr>
        <w:t xml:space="preserve">) or indicated via NPRACH (configured by </w:t>
      </w:r>
      <w:proofErr w:type="spellStart"/>
      <w:r w:rsidRPr="4B65E5F1">
        <w:rPr>
          <w:rFonts w:eastAsia="宋体"/>
          <w:i/>
          <w:iCs/>
          <w:lang w:val="en-GB"/>
        </w:rPr>
        <w:t>sr</w:t>
      </w:r>
      <w:proofErr w:type="spellEnd"/>
      <w:r w:rsidRPr="4B65E5F1">
        <w:rPr>
          <w:rFonts w:eastAsia="宋体"/>
          <w:i/>
          <w:iCs/>
          <w:lang w:val="en-GB"/>
        </w:rPr>
        <w:t>-</w:t>
      </w:r>
      <w:proofErr w:type="spellStart"/>
      <w:r w:rsidRPr="4B65E5F1">
        <w:rPr>
          <w:rFonts w:eastAsia="宋体"/>
          <w:i/>
          <w:iCs/>
          <w:lang w:val="en-GB"/>
        </w:rPr>
        <w:t>WithoutHARQ</w:t>
      </w:r>
      <w:proofErr w:type="spellEnd"/>
      <w:r w:rsidRPr="4B65E5F1">
        <w:rPr>
          <w:rFonts w:eastAsia="宋体"/>
          <w:i/>
          <w:iCs/>
          <w:lang w:val="en-GB"/>
        </w:rPr>
        <w:t>-ACK-Config</w:t>
      </w:r>
      <w:r w:rsidRPr="4B65E5F1">
        <w:rPr>
          <w:rFonts w:eastAsia="宋体"/>
          <w:lang w:val="en-GB"/>
        </w:rPr>
        <w:t xml:space="preserve">). </w:t>
      </w:r>
      <w:r w:rsidR="1C7D7F68" w:rsidRPr="4B65E5F1">
        <w:rPr>
          <w:rFonts w:eastAsia="宋体"/>
          <w:lang w:val="en-GB"/>
        </w:rPr>
        <w:t xml:space="preserve">When HARQ feedback is disabled, SR will have to rely on NPRACH and the capacity of NPRACH may become an issue. </w:t>
      </w:r>
    </w:p>
    <w:p w14:paraId="00853204" w14:textId="594AEC79" w:rsidR="4B65E5F1" w:rsidRDefault="02CE8D2C" w:rsidP="005D6160">
      <w:pPr>
        <w:spacing w:line="257" w:lineRule="auto"/>
        <w:jc w:val="both"/>
        <w:rPr>
          <w:rFonts w:eastAsia="宋体"/>
          <w:lang w:val="en-GB"/>
        </w:rPr>
      </w:pPr>
      <w:r w:rsidRPr="00CA2CD1">
        <w:rPr>
          <w:rFonts w:ascii="Calibri" w:eastAsia="Calibri" w:hAnsi="Calibri" w:cs="Calibri"/>
          <w:lang w:val="en-GB"/>
        </w:rPr>
        <w:t xml:space="preserve">As indicated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Pr="00CA2CD1">
        <w:rPr>
          <w:rFonts w:ascii="Calibri" w:eastAsia="Calibri" w:hAnsi="Calibri" w:cs="Calibri"/>
          <w:lang w:val="en-GB"/>
        </w:rPr>
        <w:t>, t</w:t>
      </w:r>
      <w:r w:rsidR="029CAC46" w:rsidRPr="00CA2CD1">
        <w:rPr>
          <w:rFonts w:ascii="Calibri" w:eastAsia="Calibri" w:hAnsi="Calibri" w:cs="Calibri"/>
          <w:lang w:val="en-GB"/>
        </w:rPr>
        <w:t xml:space="preserve">he required NPRACH capacity to support SR can be high if a large repetition is used. For example, with 64 repetitions, NPRACH used by SR would take up 46% of UL resource, and this UL resource occupancy would go up to 96.5% if the NPRACH repetition is 128. The calculation in </w:t>
      </w:r>
      <w:r w:rsidR="004B26E6">
        <w:rPr>
          <w:rFonts w:ascii="Calibri" w:eastAsia="Calibri" w:hAnsi="Calibri" w:cs="Calibri"/>
          <w:lang w:val="en-GB"/>
        </w:rPr>
        <w:fldChar w:fldCharType="begin"/>
      </w:r>
      <w:r w:rsidR="004B26E6">
        <w:rPr>
          <w:rFonts w:ascii="Calibri" w:eastAsia="Calibri" w:hAnsi="Calibri" w:cs="Calibri"/>
          <w:lang w:val="en-GB"/>
        </w:rPr>
        <w:instrText xml:space="preserve"> REF _Ref118448031 \r \h </w:instrText>
      </w:r>
      <w:r w:rsidR="004B26E6">
        <w:rPr>
          <w:rFonts w:ascii="Calibri" w:eastAsia="Calibri" w:hAnsi="Calibri" w:cs="Calibri"/>
          <w:lang w:val="en-GB"/>
        </w:rPr>
      </w:r>
      <w:r w:rsidR="004B26E6">
        <w:rPr>
          <w:rFonts w:ascii="Calibri" w:eastAsia="Calibri" w:hAnsi="Calibri" w:cs="Calibri"/>
          <w:lang w:val="en-GB"/>
        </w:rPr>
        <w:fldChar w:fldCharType="separate"/>
      </w:r>
      <w:r w:rsidR="004B26E6">
        <w:rPr>
          <w:rFonts w:ascii="Calibri" w:eastAsia="Calibri" w:hAnsi="Calibri" w:cs="Calibri"/>
          <w:lang w:val="en-GB"/>
        </w:rPr>
        <w:t>[7]</w:t>
      </w:r>
      <w:r w:rsidR="004B26E6">
        <w:rPr>
          <w:rFonts w:ascii="Calibri" w:eastAsia="Calibri" w:hAnsi="Calibri" w:cs="Calibri"/>
          <w:lang w:val="en-GB"/>
        </w:rPr>
        <w:fldChar w:fldCharType="end"/>
      </w:r>
      <w:r w:rsidR="004B26E6" w:rsidRPr="00CA2CD1" w:rsidDel="004B26E6">
        <w:rPr>
          <w:rFonts w:ascii="Calibri" w:eastAsia="Calibri" w:hAnsi="Calibri" w:cs="Calibri"/>
          <w:lang w:val="en-GB"/>
        </w:rPr>
        <w:t xml:space="preserve"> </w:t>
      </w:r>
      <w:r w:rsidR="029CAC46" w:rsidRPr="00CA2CD1">
        <w:rPr>
          <w:rFonts w:ascii="Calibri" w:eastAsia="Calibri" w:hAnsi="Calibri" w:cs="Calibri"/>
          <w:lang w:val="en-GB"/>
        </w:rPr>
        <w:t>takes mobile autonomous reporting (MAR) traffic model as the example. For the traffic mode with more frequent data arrival, the required PRACH resources may be even higher if SR can only be signalled through NPRACH.</w:t>
      </w:r>
      <w:r w:rsidR="00713703">
        <w:rPr>
          <w:rFonts w:ascii="Calibri" w:eastAsia="Calibri" w:hAnsi="Calibri" w:cs="Calibri"/>
          <w:lang w:val="en-GB"/>
        </w:rPr>
        <w:t xml:space="preserve"> </w:t>
      </w:r>
    </w:p>
    <w:p w14:paraId="61BFABA1" w14:textId="7C1751E0" w:rsidR="009E7DFE" w:rsidRDefault="009E7DFE" w:rsidP="009E7DFE">
      <w:pPr>
        <w:jc w:val="both"/>
        <w:rPr>
          <w:rFonts w:cstheme="minorHAnsi"/>
          <w:b/>
          <w:lang w:val="en-GB"/>
        </w:rPr>
      </w:pPr>
      <w:r w:rsidRPr="00E755B4">
        <w:rPr>
          <w:rFonts w:cstheme="minorHAnsi"/>
          <w:b/>
          <w:lang w:val="en-GB"/>
        </w:rPr>
        <w:t xml:space="preserve">Observation </w:t>
      </w:r>
      <w:r w:rsidR="0018748E">
        <w:rPr>
          <w:rFonts w:cstheme="minorHAnsi"/>
          <w:b/>
          <w:lang w:val="en-GB"/>
        </w:rPr>
        <w:t>4</w:t>
      </w:r>
      <w:r w:rsidRPr="00E755B4">
        <w:rPr>
          <w:rFonts w:cstheme="minorHAnsi"/>
          <w:b/>
          <w:bCs/>
          <w:lang w:val="en-GB"/>
        </w:rPr>
        <w:t>:</w:t>
      </w:r>
      <w:r w:rsidRPr="00E755B4">
        <w:rPr>
          <w:rFonts w:cstheme="minorHAnsi"/>
          <w:b/>
          <w:lang w:val="en-GB"/>
        </w:rPr>
        <w:t xml:space="preserve"> When </w:t>
      </w:r>
      <w:r w:rsidR="004E0A01" w:rsidRPr="00E755B4">
        <w:rPr>
          <w:rFonts w:cstheme="minorHAnsi"/>
          <w:b/>
          <w:lang w:val="en-GB"/>
        </w:rPr>
        <w:t>SR is only indicated by NPRACH</w:t>
      </w:r>
      <w:r w:rsidR="000C7478">
        <w:rPr>
          <w:rFonts w:cstheme="minorHAnsi"/>
          <w:b/>
          <w:lang w:val="en-GB"/>
        </w:rPr>
        <w:t xml:space="preserve"> in some </w:t>
      </w:r>
      <w:proofErr w:type="gramStart"/>
      <w:r w:rsidR="000C7478">
        <w:rPr>
          <w:rFonts w:cstheme="minorHAnsi"/>
          <w:b/>
          <w:lang w:val="en-GB"/>
        </w:rPr>
        <w:t>cases</w:t>
      </w:r>
      <w:r w:rsidR="004E0A01" w:rsidRPr="00E755B4">
        <w:rPr>
          <w:rFonts w:cstheme="minorHAnsi"/>
          <w:b/>
          <w:lang w:val="en-GB"/>
        </w:rPr>
        <w:t xml:space="preserve"> </w:t>
      </w:r>
      <w:r w:rsidRPr="00E755B4">
        <w:rPr>
          <w:rFonts w:cstheme="minorHAnsi"/>
          <w:b/>
          <w:lang w:val="en-GB"/>
        </w:rPr>
        <w:t>,</w:t>
      </w:r>
      <w:proofErr w:type="gramEnd"/>
      <w:r w:rsidRPr="00E755B4">
        <w:rPr>
          <w:rFonts w:cstheme="minorHAnsi"/>
          <w:b/>
          <w:lang w:val="en-GB"/>
        </w:rPr>
        <w:t xml:space="preserve"> </w:t>
      </w:r>
      <w:r w:rsidR="002E131F" w:rsidRPr="00E755B4">
        <w:rPr>
          <w:rFonts w:cstheme="minorHAnsi"/>
          <w:b/>
          <w:lang w:val="en-GB"/>
        </w:rPr>
        <w:t xml:space="preserve">the required NPRACH capacity </w:t>
      </w:r>
      <w:r w:rsidR="000D17B0" w:rsidRPr="00E755B4">
        <w:rPr>
          <w:rFonts w:cstheme="minorHAnsi"/>
          <w:b/>
          <w:lang w:val="en-GB"/>
        </w:rPr>
        <w:t xml:space="preserve">may </w:t>
      </w:r>
      <w:r w:rsidR="002E131F" w:rsidRPr="00E755B4">
        <w:rPr>
          <w:rFonts w:cstheme="minorHAnsi"/>
          <w:b/>
          <w:lang w:val="en-GB"/>
        </w:rPr>
        <w:t>be very high for a NTN cell.</w:t>
      </w:r>
    </w:p>
    <w:p w14:paraId="1EEECAAE" w14:textId="6B58B87C" w:rsidR="736F3A7D" w:rsidRDefault="0DB664FB" w:rsidP="44C0594F">
      <w:pPr>
        <w:spacing w:line="257" w:lineRule="auto"/>
        <w:jc w:val="both"/>
        <w:rPr>
          <w:rFonts w:ascii="Calibri" w:eastAsia="Calibri" w:hAnsi="Calibri" w:cs="Calibri"/>
          <w:lang w:val="en-GB"/>
        </w:rPr>
      </w:pPr>
      <w:r w:rsidRPr="44C0594F">
        <w:rPr>
          <w:rFonts w:ascii="Calibri" w:eastAsia="Calibri" w:hAnsi="Calibri" w:cs="Calibri"/>
          <w:lang w:val="en-GB"/>
        </w:rPr>
        <w:t xml:space="preserve">As above </w:t>
      </w:r>
      <w:r w:rsidR="28CB0FC5" w:rsidRPr="44C0594F">
        <w:rPr>
          <w:rFonts w:ascii="Calibri" w:eastAsia="Calibri" w:hAnsi="Calibri" w:cs="Calibri"/>
          <w:lang w:val="en-GB"/>
        </w:rPr>
        <w:t xml:space="preserve">agreements </w:t>
      </w:r>
      <w:r w:rsidR="00DEB1BA" w:rsidRPr="44C0594F">
        <w:rPr>
          <w:rFonts w:ascii="Calibri" w:eastAsia="Calibri" w:hAnsi="Calibri" w:cs="Calibri"/>
          <w:lang w:val="en-GB"/>
        </w:rPr>
        <w:t>on</w:t>
      </w:r>
      <w:r w:rsidRPr="44C0594F">
        <w:rPr>
          <w:rFonts w:ascii="Calibri" w:eastAsia="Calibri" w:hAnsi="Calibri" w:cs="Calibri"/>
          <w:lang w:val="en-GB"/>
        </w:rPr>
        <w:t xml:space="preserve"> the signalling of HARQ feedback disabling, option1</w:t>
      </w:r>
      <w:r w:rsidR="78A85912" w:rsidRPr="44C0594F">
        <w:rPr>
          <w:rFonts w:ascii="Calibri" w:eastAsia="Calibri" w:hAnsi="Calibri" w:cs="Calibri"/>
          <w:lang w:val="en-GB"/>
        </w:rPr>
        <w:t xml:space="preserve"> only </w:t>
      </w:r>
      <w:r w:rsidRPr="44C0594F">
        <w:rPr>
          <w:rFonts w:ascii="Calibri" w:eastAsia="Calibri" w:hAnsi="Calibri" w:cs="Calibri"/>
          <w:lang w:val="en-GB"/>
        </w:rPr>
        <w:t>(RRC-based signalling</w:t>
      </w:r>
      <w:proofErr w:type="gramStart"/>
      <w:r w:rsidRPr="44C0594F">
        <w:rPr>
          <w:rFonts w:ascii="Calibri" w:eastAsia="Calibri" w:hAnsi="Calibri" w:cs="Calibri"/>
          <w:lang w:val="en-GB"/>
        </w:rPr>
        <w:t xml:space="preserve">) </w:t>
      </w:r>
      <w:r w:rsidR="0E165987" w:rsidRPr="44C0594F">
        <w:rPr>
          <w:rFonts w:ascii="Calibri" w:eastAsia="Calibri" w:hAnsi="Calibri" w:cs="Calibri"/>
          <w:lang w:val="en-GB"/>
        </w:rPr>
        <w:t>,</w:t>
      </w:r>
      <w:proofErr w:type="gramEnd"/>
      <w:r w:rsidRPr="44C0594F">
        <w:rPr>
          <w:rFonts w:ascii="Calibri" w:eastAsia="Calibri" w:hAnsi="Calibri" w:cs="Calibri"/>
          <w:lang w:val="en-GB"/>
        </w:rPr>
        <w:t xml:space="preserve"> option3</w:t>
      </w:r>
      <w:r w:rsidR="2CF67050" w:rsidRPr="44C0594F">
        <w:rPr>
          <w:rFonts w:ascii="Calibri" w:eastAsia="Calibri" w:hAnsi="Calibri" w:cs="Calibri"/>
          <w:lang w:val="en-GB"/>
        </w:rPr>
        <w:t xml:space="preserve"> only</w:t>
      </w:r>
      <w:r w:rsidRPr="44C0594F">
        <w:rPr>
          <w:rFonts w:ascii="Calibri" w:eastAsia="Calibri" w:hAnsi="Calibri" w:cs="Calibri"/>
          <w:lang w:val="en-GB"/>
        </w:rPr>
        <w:t xml:space="preserve"> (DCI-based signalling)</w:t>
      </w:r>
      <w:r w:rsidR="0799503C" w:rsidRPr="44C0594F">
        <w:rPr>
          <w:rFonts w:ascii="Calibri" w:eastAsia="Calibri" w:hAnsi="Calibri" w:cs="Calibri"/>
          <w:lang w:val="en-GB"/>
        </w:rPr>
        <w:t xml:space="preserve"> or o</w:t>
      </w:r>
      <w:r w:rsidR="0799503C" w:rsidRPr="44C0594F">
        <w:rPr>
          <w:rFonts w:ascii="Times New Roman" w:eastAsia="Batang" w:hAnsi="Times New Roman" w:cs="Times New Roman"/>
          <w:sz w:val="20"/>
          <w:szCs w:val="20"/>
          <w:lang w:val="en-GB" w:eastAsia="en-US"/>
        </w:rPr>
        <w:t>ption 3 to override Option 1</w:t>
      </w:r>
      <w:r w:rsidRPr="44C0594F">
        <w:rPr>
          <w:rFonts w:ascii="Calibri" w:eastAsia="Calibri" w:hAnsi="Calibri" w:cs="Calibri"/>
          <w:lang w:val="en-GB"/>
        </w:rPr>
        <w:t xml:space="preserve"> are supported. If DCI-based signalling is used, the </w:t>
      </w:r>
      <w:r w:rsidR="006E66E3" w:rsidRPr="44C0594F">
        <w:rPr>
          <w:rFonts w:ascii="Calibri" w:eastAsia="Calibri" w:hAnsi="Calibri" w:cs="Calibri"/>
          <w:lang w:val="en-GB"/>
        </w:rPr>
        <w:t>eNB</w:t>
      </w:r>
      <w:r w:rsidRPr="44C0594F">
        <w:rPr>
          <w:rFonts w:ascii="Calibri" w:eastAsia="Calibri" w:hAnsi="Calibri" w:cs="Calibri"/>
          <w:lang w:val="en-GB"/>
        </w:rPr>
        <w:t xml:space="preserve"> can determine to enable the HARQ feedback for UE to piggyback SR together with ACK/NACK considering load status of PRACH and other factors such as link adaption performance, HARQ stalling etc., which can alleviate NPRACH capacity starvation in some </w:t>
      </w:r>
      <w:r w:rsidR="00326302" w:rsidRPr="44C0594F">
        <w:rPr>
          <w:rFonts w:ascii="Calibri" w:eastAsia="Calibri" w:hAnsi="Calibri" w:cs="Calibri"/>
          <w:lang w:val="en-GB"/>
        </w:rPr>
        <w:t>case</w:t>
      </w:r>
      <w:r w:rsidRPr="44C0594F">
        <w:rPr>
          <w:rFonts w:ascii="Calibri" w:eastAsia="Calibri" w:hAnsi="Calibri" w:cs="Calibri"/>
          <w:lang w:val="en-GB"/>
        </w:rPr>
        <w:t>. However</w:t>
      </w:r>
      <w:r w:rsidR="1520A836" w:rsidRPr="44C0594F">
        <w:rPr>
          <w:rFonts w:ascii="Calibri" w:eastAsia="Calibri" w:hAnsi="Calibri" w:cs="Calibri"/>
          <w:lang w:val="en-GB"/>
        </w:rPr>
        <w:t xml:space="preserve">, </w:t>
      </w:r>
      <w:r w:rsidRPr="44C0594F">
        <w:rPr>
          <w:rFonts w:ascii="Calibri" w:eastAsia="Calibri" w:hAnsi="Calibri" w:cs="Calibri"/>
          <w:lang w:val="en-GB"/>
        </w:rPr>
        <w:t xml:space="preserve">if only RRC-based </w:t>
      </w:r>
      <w:r w:rsidR="36E75BF4" w:rsidRPr="44C0594F">
        <w:rPr>
          <w:rFonts w:ascii="Calibri" w:eastAsia="Calibri" w:hAnsi="Calibri" w:cs="Calibri"/>
          <w:lang w:val="en-GB"/>
        </w:rPr>
        <w:t>signalling</w:t>
      </w:r>
      <w:r w:rsidRPr="44C0594F">
        <w:rPr>
          <w:rFonts w:ascii="Calibri" w:eastAsia="Calibri" w:hAnsi="Calibri" w:cs="Calibri"/>
          <w:lang w:val="en-GB"/>
        </w:rPr>
        <w:t xml:space="preserve"> is used, NPRACH capacity for SR transmission may be still highly impacted in NB-IoT when HARQ feedback disabling is configured, where some enhanced solutions should be considered, </w:t>
      </w:r>
      <w:proofErr w:type="gramStart"/>
      <w:r w:rsidR="00FB2E3D" w:rsidRPr="44C0594F">
        <w:rPr>
          <w:rFonts w:ascii="Calibri" w:eastAsia="Calibri" w:hAnsi="Calibri" w:cs="Calibri"/>
          <w:lang w:val="en-GB"/>
        </w:rPr>
        <w:t>e.g.</w:t>
      </w:r>
      <w:proofErr w:type="gramEnd"/>
      <w:r w:rsidR="00FB2E3D" w:rsidRPr="44C0594F">
        <w:rPr>
          <w:rFonts w:ascii="Calibri" w:eastAsia="Calibri" w:hAnsi="Calibri" w:cs="Calibri"/>
          <w:lang w:val="en-GB"/>
        </w:rPr>
        <w:t xml:space="preserve"> </w:t>
      </w:r>
      <w:r w:rsidRPr="44C0594F">
        <w:rPr>
          <w:rFonts w:ascii="Calibri" w:eastAsia="Calibri" w:hAnsi="Calibri" w:cs="Calibri"/>
          <w:lang w:val="en-GB"/>
        </w:rPr>
        <w:t xml:space="preserve">the network can still allocate the NPUSCH format 2 resources for SR transmission when HARQ feedback disabling is </w:t>
      </w:r>
      <w:r w:rsidR="59214696" w:rsidRPr="44C0594F">
        <w:rPr>
          <w:rFonts w:ascii="Calibri" w:eastAsia="Calibri" w:hAnsi="Calibri" w:cs="Calibri"/>
          <w:lang w:val="en-GB"/>
        </w:rPr>
        <w:t xml:space="preserve">configured through </w:t>
      </w:r>
      <w:r w:rsidRPr="44C0594F">
        <w:rPr>
          <w:rFonts w:ascii="Calibri" w:eastAsia="Calibri" w:hAnsi="Calibri" w:cs="Calibri"/>
          <w:lang w:val="en-GB"/>
        </w:rPr>
        <w:t xml:space="preserve">RRC signalling by the </w:t>
      </w:r>
      <w:r w:rsidR="00AC4FCC" w:rsidRPr="44C0594F">
        <w:rPr>
          <w:rFonts w:ascii="Calibri" w:eastAsia="Calibri" w:hAnsi="Calibri" w:cs="Calibri"/>
          <w:lang w:val="en-GB"/>
        </w:rPr>
        <w:t>eNB</w:t>
      </w:r>
      <w:r w:rsidRPr="44C0594F">
        <w:rPr>
          <w:rFonts w:ascii="Calibri" w:eastAsia="Calibri" w:hAnsi="Calibri" w:cs="Calibri"/>
          <w:lang w:val="en-GB"/>
        </w:rPr>
        <w:t>. The UE can transmit SR together with ACK/NACK in the allocated NPUSCH resources, which not only reduce the load requirement on PRACH as well as be helpful for good link adaptation.</w:t>
      </w:r>
    </w:p>
    <w:p w14:paraId="4FBD5E4E" w14:textId="25ACF43D" w:rsidR="4B65E5F1" w:rsidRDefault="69B652A0" w:rsidP="4B65E5F1">
      <w:pPr>
        <w:spacing w:line="257" w:lineRule="auto"/>
        <w:jc w:val="both"/>
        <w:rPr>
          <w:rFonts w:eastAsia="Calibri"/>
          <w:lang w:val="en-GB"/>
        </w:rPr>
      </w:pPr>
      <w:r w:rsidRPr="005D6160">
        <w:rPr>
          <w:rFonts w:eastAsia="Calibri"/>
          <w:b/>
          <w:bCs/>
          <w:lang w:val="en-GB"/>
        </w:rPr>
        <w:t xml:space="preserve">Observation </w:t>
      </w:r>
      <w:r w:rsidR="0018748E">
        <w:rPr>
          <w:rFonts w:eastAsia="Calibri"/>
          <w:b/>
          <w:bCs/>
          <w:lang w:val="en-GB"/>
        </w:rPr>
        <w:t>5</w:t>
      </w:r>
      <w:r w:rsidR="4E6A6A84" w:rsidRPr="005D6160">
        <w:rPr>
          <w:rFonts w:eastAsia="Calibri"/>
          <w:b/>
          <w:bCs/>
          <w:lang w:val="en-GB"/>
        </w:rPr>
        <w:t xml:space="preserve">: </w:t>
      </w:r>
      <w:bookmarkStart w:id="5" w:name="_Hlk131712579"/>
      <w:r w:rsidRPr="005D6160">
        <w:rPr>
          <w:rFonts w:eastAsia="Calibri"/>
          <w:b/>
          <w:bCs/>
          <w:lang w:val="en-GB"/>
        </w:rPr>
        <w:t xml:space="preserve">If HARQ feedback disabling is indicated </w:t>
      </w:r>
      <w:r w:rsidR="00B60EA0">
        <w:rPr>
          <w:rFonts w:eastAsia="Calibri"/>
          <w:b/>
          <w:bCs/>
          <w:lang w:val="en-GB"/>
        </w:rPr>
        <w:t xml:space="preserve">only </w:t>
      </w:r>
      <w:r w:rsidR="638D91C0" w:rsidRPr="005D6160">
        <w:rPr>
          <w:rFonts w:eastAsia="Calibri"/>
          <w:b/>
          <w:bCs/>
          <w:lang w:val="en-GB"/>
        </w:rPr>
        <w:t>through</w:t>
      </w:r>
      <w:r w:rsidRPr="005D6160">
        <w:rPr>
          <w:rFonts w:eastAsia="Calibri"/>
          <w:b/>
          <w:bCs/>
          <w:lang w:val="en-GB"/>
        </w:rPr>
        <w:t xml:space="preserve"> RRC signalling, </w:t>
      </w:r>
      <w:r w:rsidR="5C9CBE57" w:rsidRPr="005D6160">
        <w:rPr>
          <w:rFonts w:eastAsia="Calibri"/>
          <w:b/>
          <w:bCs/>
          <w:lang w:val="en-GB"/>
        </w:rPr>
        <w:t>NPRACH capacity for SR transmission may be still highly impacted in NB-IoT</w:t>
      </w:r>
      <w:r w:rsidR="00BD16B3">
        <w:rPr>
          <w:rFonts w:eastAsia="Calibri"/>
          <w:b/>
          <w:bCs/>
          <w:lang w:val="en-GB"/>
        </w:rPr>
        <w:t>.</w:t>
      </w:r>
      <w:bookmarkEnd w:id="5"/>
    </w:p>
    <w:p w14:paraId="51F674E4" w14:textId="05157E0A" w:rsidR="15570CAD" w:rsidRPr="00E755B4" w:rsidRDefault="376A73EB" w:rsidP="4B65E5F1">
      <w:pPr>
        <w:spacing w:line="257" w:lineRule="auto"/>
        <w:jc w:val="both"/>
        <w:rPr>
          <w:rFonts w:eastAsia="Calibri"/>
          <w:b/>
          <w:bCs/>
          <w:lang w:val="en-GB"/>
        </w:rPr>
      </w:pPr>
      <w:r w:rsidRPr="44C0594F">
        <w:rPr>
          <w:rFonts w:eastAsia="Calibri"/>
          <w:b/>
          <w:bCs/>
          <w:lang w:val="en-GB"/>
        </w:rPr>
        <w:t>Proposal</w:t>
      </w:r>
      <w:r w:rsidR="002546FC" w:rsidRPr="44C0594F">
        <w:rPr>
          <w:rFonts w:eastAsia="Calibri"/>
          <w:b/>
          <w:bCs/>
          <w:lang w:val="en-GB"/>
        </w:rPr>
        <w:t xml:space="preserve"> </w:t>
      </w:r>
      <w:r w:rsidR="00925301" w:rsidRPr="44C0594F">
        <w:rPr>
          <w:rFonts w:eastAsia="Calibri"/>
          <w:b/>
          <w:bCs/>
          <w:lang w:val="en-GB"/>
        </w:rPr>
        <w:t>1</w:t>
      </w:r>
      <w:r w:rsidR="00925301">
        <w:rPr>
          <w:rFonts w:eastAsia="Calibri"/>
          <w:b/>
          <w:bCs/>
          <w:lang w:val="en-GB"/>
        </w:rPr>
        <w:t>2</w:t>
      </w:r>
      <w:r w:rsidRPr="44C0594F">
        <w:rPr>
          <w:rFonts w:eastAsia="Calibri"/>
          <w:b/>
          <w:bCs/>
          <w:lang w:val="en-GB"/>
        </w:rPr>
        <w:t>: When HARQ feedback is disabled</w:t>
      </w:r>
      <w:r w:rsidR="716AA89C" w:rsidRPr="44C0594F">
        <w:rPr>
          <w:rFonts w:eastAsia="Calibri"/>
          <w:b/>
          <w:bCs/>
          <w:lang w:val="en-GB"/>
        </w:rPr>
        <w:t xml:space="preserve"> </w:t>
      </w:r>
      <w:r w:rsidR="0D4FB7A7" w:rsidRPr="44C0594F">
        <w:rPr>
          <w:rFonts w:eastAsia="Calibri"/>
          <w:b/>
          <w:bCs/>
          <w:lang w:val="en-GB"/>
        </w:rPr>
        <w:t xml:space="preserve">only </w:t>
      </w:r>
      <w:r w:rsidR="716AA89C" w:rsidRPr="44C0594F">
        <w:rPr>
          <w:rFonts w:eastAsia="Calibri"/>
          <w:b/>
          <w:bCs/>
          <w:lang w:val="en-GB"/>
        </w:rPr>
        <w:t>through RRC signalling</w:t>
      </w:r>
      <w:r w:rsidRPr="44C0594F">
        <w:rPr>
          <w:rFonts w:eastAsia="Calibri"/>
          <w:b/>
          <w:bCs/>
          <w:lang w:val="en-GB"/>
        </w:rPr>
        <w:t xml:space="preserve">, </w:t>
      </w:r>
      <w:r w:rsidR="2C2039E2" w:rsidRPr="44C0594F">
        <w:rPr>
          <w:rFonts w:eastAsia="Calibri"/>
          <w:b/>
          <w:bCs/>
          <w:lang w:val="en-GB"/>
        </w:rPr>
        <w:t xml:space="preserve">RAN1 should study the solution to alleviate NPRACH capacity </w:t>
      </w:r>
      <w:r w:rsidR="3A886976" w:rsidRPr="44C0594F">
        <w:rPr>
          <w:rFonts w:eastAsia="Calibri"/>
          <w:b/>
          <w:bCs/>
          <w:lang w:val="en-GB"/>
        </w:rPr>
        <w:t>requirement</w:t>
      </w:r>
      <w:r w:rsidR="2C2039E2" w:rsidRPr="44C0594F">
        <w:rPr>
          <w:rFonts w:eastAsia="Calibri"/>
          <w:b/>
          <w:bCs/>
          <w:lang w:val="en-GB"/>
        </w:rPr>
        <w:t xml:space="preserve"> for SR </w:t>
      </w:r>
      <w:r w:rsidR="1002D2E8" w:rsidRPr="44C0594F">
        <w:rPr>
          <w:rFonts w:eastAsia="Calibri"/>
          <w:b/>
          <w:bCs/>
          <w:lang w:val="en-GB"/>
        </w:rPr>
        <w:t>transmission</w:t>
      </w:r>
      <w:r w:rsidR="00BD16B3" w:rsidRPr="44C0594F">
        <w:rPr>
          <w:rFonts w:eastAsia="Calibri"/>
          <w:b/>
          <w:bCs/>
          <w:lang w:val="en-GB"/>
        </w:rPr>
        <w:t>.</w:t>
      </w:r>
      <w:r w:rsidR="2C2039E2" w:rsidRPr="44C0594F">
        <w:rPr>
          <w:rFonts w:eastAsia="Calibri"/>
          <w:b/>
          <w:bCs/>
          <w:lang w:val="en-GB"/>
        </w:rPr>
        <w:t xml:space="preserve"> </w:t>
      </w:r>
    </w:p>
    <w:p w14:paraId="1972625C" w14:textId="031C71C0" w:rsidR="00804E92" w:rsidRDefault="20D1478B" w:rsidP="00804E92">
      <w:pPr>
        <w:pStyle w:val="Heading3"/>
      </w:pPr>
      <w:r>
        <w:t>Link adaptation</w:t>
      </w:r>
    </w:p>
    <w:p w14:paraId="359BE22F" w14:textId="1D4478A0" w:rsidR="0077437D" w:rsidRDefault="00431DF2" w:rsidP="0077437D">
      <w:pPr>
        <w:jc w:val="both"/>
        <w:rPr>
          <w:rFonts w:ascii="Calibri" w:eastAsia="宋体" w:hAnsi="Calibri" w:cs="Arial"/>
          <w:lang w:val="en-GB"/>
        </w:rPr>
      </w:pPr>
      <w:r>
        <w:rPr>
          <w:lang w:val="en-GB"/>
        </w:rPr>
        <w:t xml:space="preserve">As one important </w:t>
      </w:r>
      <w:r w:rsidR="0081153A">
        <w:rPr>
          <w:lang w:val="en-GB"/>
        </w:rPr>
        <w:t>effect</w:t>
      </w:r>
      <w:r w:rsidR="0077437D">
        <w:rPr>
          <w:lang w:val="en-GB"/>
        </w:rPr>
        <w:t xml:space="preserve">, HARQ feedback is </w:t>
      </w:r>
      <w:r w:rsidR="00101786">
        <w:rPr>
          <w:lang w:val="en-GB"/>
        </w:rPr>
        <w:t xml:space="preserve">also </w:t>
      </w:r>
      <w:r w:rsidR="0077437D">
        <w:rPr>
          <w:lang w:val="en-GB"/>
        </w:rPr>
        <w:t>used to correct misaligned MCS and adapt to channel condition changes</w:t>
      </w:r>
      <w:r w:rsidR="00DB2D83">
        <w:rPr>
          <w:lang w:val="en-GB"/>
        </w:rPr>
        <w:t>, in the entire link along the time</w:t>
      </w:r>
      <w:r w:rsidR="0077437D">
        <w:rPr>
          <w:lang w:val="en-GB"/>
        </w:rPr>
        <w:t>.</w:t>
      </w:r>
      <w:r w:rsidR="0077437D" w:rsidRPr="32BF16D7">
        <w:rPr>
          <w:lang w:val="en-GB"/>
        </w:rPr>
        <w:t xml:space="preserve"> If feedback is disabled in HARQ processes</w:t>
      </w:r>
      <w:r w:rsidR="00A4434C">
        <w:rPr>
          <w:lang w:val="en-GB"/>
        </w:rPr>
        <w:t xml:space="preserve"> </w:t>
      </w:r>
      <w:proofErr w:type="gramStart"/>
      <w:r w:rsidR="00A4434C">
        <w:rPr>
          <w:lang w:val="en-GB"/>
        </w:rPr>
        <w:t>e.g.</w:t>
      </w:r>
      <w:proofErr w:type="gramEnd"/>
      <w:r w:rsidR="00A4434C">
        <w:rPr>
          <w:lang w:val="en-GB"/>
        </w:rPr>
        <w:t xml:space="preserve"> through RRC </w:t>
      </w:r>
      <w:proofErr w:type="spellStart"/>
      <w:r w:rsidR="00A4434C">
        <w:rPr>
          <w:lang w:val="en-GB"/>
        </w:rPr>
        <w:t>singaling</w:t>
      </w:r>
      <w:proofErr w:type="spellEnd"/>
      <w:r w:rsidR="00A4434C">
        <w:rPr>
          <w:lang w:val="en-GB"/>
        </w:rPr>
        <w:t xml:space="preserve"> for </w:t>
      </w:r>
      <w:r w:rsidR="00F859E5">
        <w:rPr>
          <w:lang w:val="en-GB"/>
        </w:rPr>
        <w:t>UE with small number of HARQ processes</w:t>
      </w:r>
      <w:r w:rsidR="0077437D" w:rsidRPr="32BF16D7">
        <w:rPr>
          <w:lang w:val="en-GB"/>
        </w:rPr>
        <w:t xml:space="preserve">, the eNB </w:t>
      </w:r>
      <w:r w:rsidR="0077437D">
        <w:rPr>
          <w:lang w:val="en-GB"/>
        </w:rPr>
        <w:t>will lose the feedback information required for</w:t>
      </w:r>
      <w:r w:rsidR="0077437D" w:rsidRPr="32BF16D7">
        <w:rPr>
          <w:lang w:val="en-GB"/>
        </w:rPr>
        <w:t xml:space="preserve"> link </w:t>
      </w:r>
      <w:r w:rsidR="00B015A6">
        <w:rPr>
          <w:lang w:val="en-GB"/>
        </w:rPr>
        <w:t>adaptation, resulting a degraded performance</w:t>
      </w:r>
      <w:r w:rsidR="0077437D" w:rsidRPr="32BF16D7">
        <w:rPr>
          <w:lang w:val="en-GB"/>
        </w:rPr>
        <w:t xml:space="preserve">. </w:t>
      </w:r>
      <w:r w:rsidR="00B015A6">
        <w:rPr>
          <w:lang w:val="en-GB"/>
        </w:rPr>
        <w:t>Then from eNB side, to guarantee a</w:t>
      </w:r>
      <w:r w:rsidR="00965B9C">
        <w:rPr>
          <w:lang w:val="en-GB"/>
        </w:rPr>
        <w:t xml:space="preserve">n acceptable BLER, eNB has to select </w:t>
      </w:r>
      <w:proofErr w:type="gramStart"/>
      <w:r w:rsidR="00965B9C">
        <w:rPr>
          <w:lang w:val="en-GB"/>
        </w:rPr>
        <w:t>a</w:t>
      </w:r>
      <w:proofErr w:type="gramEnd"/>
      <w:r w:rsidR="00965B9C">
        <w:rPr>
          <w:lang w:val="en-GB"/>
        </w:rPr>
        <w:t xml:space="preserve"> </w:t>
      </w:r>
      <w:r w:rsidR="00A10101">
        <w:rPr>
          <w:lang w:val="en-GB"/>
        </w:rPr>
        <w:t xml:space="preserve">unnecessary </w:t>
      </w:r>
      <w:r w:rsidR="001C1775">
        <w:rPr>
          <w:rFonts w:hint="eastAsia"/>
          <w:lang w:val="en-GB"/>
        </w:rPr>
        <w:t>con</w:t>
      </w:r>
      <w:r w:rsidR="00567658">
        <w:rPr>
          <w:lang w:val="en-GB"/>
        </w:rPr>
        <w:t xml:space="preserve">servative </w:t>
      </w:r>
      <w:r w:rsidR="00392304">
        <w:rPr>
          <w:lang w:val="en-GB"/>
        </w:rPr>
        <w:t xml:space="preserve">high </w:t>
      </w:r>
      <w:proofErr w:type="spellStart"/>
      <w:r w:rsidR="00567658">
        <w:rPr>
          <w:lang w:val="en-GB"/>
        </w:rPr>
        <w:t>repetitition</w:t>
      </w:r>
      <w:proofErr w:type="spellEnd"/>
      <w:r w:rsidR="00567658">
        <w:rPr>
          <w:lang w:val="en-GB"/>
        </w:rPr>
        <w:t xml:space="preserve"> number or a </w:t>
      </w:r>
      <w:r w:rsidR="001C1775">
        <w:rPr>
          <w:rFonts w:hint="eastAsia"/>
          <w:lang w:val="en-GB"/>
        </w:rPr>
        <w:t>con</w:t>
      </w:r>
      <w:r w:rsidR="001C1775">
        <w:rPr>
          <w:lang w:val="en-GB"/>
        </w:rPr>
        <w:t xml:space="preserve">servative </w:t>
      </w:r>
      <w:proofErr w:type="spellStart"/>
      <w:r w:rsidR="00392304">
        <w:rPr>
          <w:lang w:val="en-GB"/>
        </w:rPr>
        <w:lastRenderedPageBreak/>
        <w:t>lowe</w:t>
      </w:r>
      <w:proofErr w:type="spellEnd"/>
      <w:r w:rsidR="00392304">
        <w:rPr>
          <w:lang w:val="en-GB"/>
        </w:rPr>
        <w:t xml:space="preserve"> </w:t>
      </w:r>
      <w:r w:rsidR="00F62E12">
        <w:rPr>
          <w:lang w:val="en-GB"/>
        </w:rPr>
        <w:t>MCS level. The impact may be differen</w:t>
      </w:r>
      <w:r w:rsidR="00652BB9">
        <w:rPr>
          <w:lang w:val="en-GB"/>
        </w:rPr>
        <w:t xml:space="preserve">t for different fluctuation of the channel. </w:t>
      </w:r>
      <w:r w:rsidR="00AE2756">
        <w:rPr>
          <w:lang w:val="en-GB"/>
        </w:rPr>
        <w:t>But c</w:t>
      </w:r>
      <w:r w:rsidR="00652BB9">
        <w:rPr>
          <w:lang w:val="en-GB"/>
        </w:rPr>
        <w:t xml:space="preserve">onsidering the coverage limitation of the </w:t>
      </w:r>
      <w:r w:rsidR="008A0874">
        <w:rPr>
          <w:lang w:val="en-GB"/>
        </w:rPr>
        <w:t>IoT NTN, the performance may be unacceptable when link adaptation is impacted/disabled</w:t>
      </w:r>
      <w:r w:rsidR="00A10101" w:rsidRPr="00D74D9D">
        <w:rPr>
          <w:lang w:val="en-GB"/>
        </w:rPr>
        <w:t xml:space="preserve">, </w:t>
      </w:r>
      <w:r w:rsidR="00A10101" w:rsidRPr="00D0343D">
        <w:rPr>
          <w:lang w:val="en-GB"/>
        </w:rPr>
        <w:t>as shown in</w:t>
      </w:r>
      <w:r w:rsidR="00A10101" w:rsidRPr="00D74D9D">
        <w:rPr>
          <w:lang w:val="en-GB"/>
        </w:rPr>
        <w:t xml:space="preserve"> </w:t>
      </w:r>
      <w:r w:rsidR="00EE79E8" w:rsidRPr="00665259">
        <w:rPr>
          <w:lang w:val="en-GB"/>
        </w:rPr>
        <w:t xml:space="preserve">Figure </w:t>
      </w:r>
      <w:r w:rsidR="00D7014F">
        <w:rPr>
          <w:lang w:val="en-GB"/>
        </w:rPr>
        <w:t>3</w:t>
      </w:r>
      <w:r w:rsidR="00A44413" w:rsidRPr="00F841C0">
        <w:rPr>
          <w:lang w:val="en-GB"/>
        </w:rPr>
        <w:t>.</w:t>
      </w:r>
      <w:r w:rsidR="00C726C0">
        <w:rPr>
          <w:lang w:val="en-GB"/>
        </w:rPr>
        <w:t xml:space="preserve"> </w:t>
      </w:r>
      <w:r w:rsidR="00F35C28">
        <w:rPr>
          <w:rFonts w:ascii="Calibri" w:eastAsia="宋体" w:hAnsi="Calibri" w:cs="Arial"/>
          <w:lang w:val="en-GB"/>
        </w:rPr>
        <w:t xml:space="preserve">Considering the </w:t>
      </w:r>
      <w:r w:rsidR="002D5A41">
        <w:rPr>
          <w:rFonts w:hint="eastAsia"/>
          <w:lang w:val="en-GB"/>
        </w:rPr>
        <w:t>con</w:t>
      </w:r>
      <w:r w:rsidR="002D5A41">
        <w:rPr>
          <w:lang w:val="en-GB"/>
        </w:rPr>
        <w:t xml:space="preserve">servative </w:t>
      </w:r>
      <w:r w:rsidR="007A3F99">
        <w:rPr>
          <w:lang w:val="en-GB"/>
        </w:rPr>
        <w:t>high repetition number,</w:t>
      </w:r>
      <w:r w:rsidR="002D5A41">
        <w:rPr>
          <w:lang w:val="en-GB"/>
        </w:rPr>
        <w:t xml:space="preserve"> </w:t>
      </w:r>
      <w:r w:rsidR="00A23561">
        <w:rPr>
          <w:rFonts w:ascii="Calibri" w:eastAsia="宋体" w:hAnsi="Calibri" w:cs="Arial"/>
          <w:lang w:val="en-GB"/>
        </w:rPr>
        <w:t xml:space="preserve">when </w:t>
      </w:r>
      <w:r w:rsidR="00B56FBC">
        <w:rPr>
          <w:rFonts w:ascii="Calibri" w:eastAsia="宋体" w:hAnsi="Calibri" w:cs="Arial"/>
          <w:lang w:val="en-GB"/>
        </w:rPr>
        <w:t>mitigating the impact</w:t>
      </w:r>
      <w:r w:rsidR="00E329BD">
        <w:rPr>
          <w:rFonts w:ascii="Calibri" w:eastAsia="宋体" w:hAnsi="Calibri" w:cs="Arial"/>
          <w:lang w:val="en-GB"/>
        </w:rPr>
        <w:t xml:space="preserve"> on performance, </w:t>
      </w:r>
      <w:r w:rsidR="001B6558">
        <w:rPr>
          <w:rFonts w:ascii="Calibri" w:eastAsia="宋体" w:hAnsi="Calibri" w:cs="Arial"/>
          <w:lang w:val="en-GB"/>
        </w:rPr>
        <w:t>it should be considered</w:t>
      </w:r>
      <w:r w:rsidR="00630B87">
        <w:rPr>
          <w:rFonts w:ascii="Calibri" w:eastAsia="宋体" w:hAnsi="Calibri" w:cs="Arial"/>
          <w:lang w:val="en-GB"/>
        </w:rPr>
        <w:t xml:space="preserve"> how to have effective </w:t>
      </w:r>
      <w:r w:rsidR="00986343">
        <w:rPr>
          <w:rFonts w:ascii="Calibri" w:eastAsia="宋体" w:hAnsi="Calibri" w:cs="Arial"/>
          <w:lang w:val="en-GB"/>
        </w:rPr>
        <w:t>feedback meanwhile avoiding</w:t>
      </w:r>
      <w:r w:rsidR="00F35C28">
        <w:rPr>
          <w:rFonts w:ascii="Calibri" w:eastAsia="宋体" w:hAnsi="Calibri" w:cs="Arial"/>
          <w:lang w:val="en-GB"/>
        </w:rPr>
        <w:t xml:space="preserve"> HARQ stalling</w:t>
      </w:r>
      <w:r w:rsidR="000271B8">
        <w:rPr>
          <w:rFonts w:ascii="Calibri" w:eastAsia="宋体" w:hAnsi="Calibri" w:cs="Arial"/>
          <w:lang w:val="en-GB"/>
        </w:rPr>
        <w:t>.</w:t>
      </w:r>
      <w:r w:rsidR="00F35C28">
        <w:rPr>
          <w:rFonts w:ascii="Calibri" w:eastAsia="宋体" w:hAnsi="Calibri" w:cs="Arial"/>
          <w:lang w:val="en-GB"/>
        </w:rPr>
        <w:t xml:space="preserve"> </w:t>
      </w:r>
      <w:r w:rsidR="00C726C0">
        <w:rPr>
          <w:rFonts w:ascii="Calibri" w:eastAsia="宋体" w:hAnsi="Calibri" w:cs="Arial"/>
          <w:lang w:val="en-GB"/>
        </w:rPr>
        <w:t>It should be further discussed how to guarantee a workable link adaptation.</w:t>
      </w:r>
      <w:r w:rsidR="002C748C">
        <w:rPr>
          <w:rFonts w:ascii="Calibri" w:eastAsia="宋体" w:hAnsi="Calibri" w:cs="Arial"/>
          <w:lang w:val="en-GB"/>
        </w:rPr>
        <w:t xml:space="preserve"> This is requested especially for NB-IoT UE with 1 or 2 HARQ processes</w:t>
      </w:r>
      <w:r w:rsidR="00440509">
        <w:rPr>
          <w:rFonts w:ascii="Calibri" w:eastAsia="宋体" w:hAnsi="Calibri" w:cs="Arial"/>
          <w:lang w:val="en-GB"/>
        </w:rPr>
        <w:t>, where the feedback information will be significantly reduced when HARQ feedback disabling is utilized</w:t>
      </w:r>
      <w:r w:rsidR="002C748C">
        <w:rPr>
          <w:rFonts w:ascii="Calibri" w:eastAsia="宋体" w:hAnsi="Calibri" w:cs="Arial"/>
          <w:lang w:val="en-GB"/>
        </w:rPr>
        <w:t>.</w:t>
      </w:r>
    </w:p>
    <w:p w14:paraId="6B2F3669" w14:textId="3F7E1B08" w:rsidR="005F2EA8" w:rsidRDefault="003D7BC8" w:rsidP="000426DF">
      <w:pPr>
        <w:jc w:val="center"/>
        <w:rPr>
          <w:lang w:val="en-GB"/>
        </w:rPr>
      </w:pPr>
      <w:r>
        <w:rPr>
          <w:noProof/>
          <w:lang w:val="en-GB"/>
        </w:rPr>
        <w:drawing>
          <wp:inline distT="0" distB="0" distL="0" distR="0" wp14:anchorId="32A229C5" wp14:editId="5E91C920">
            <wp:extent cx="45720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2743200"/>
                    </a:xfrm>
                    <a:prstGeom prst="rect">
                      <a:avLst/>
                    </a:prstGeom>
                    <a:noFill/>
                  </pic:spPr>
                </pic:pic>
              </a:graphicData>
            </a:graphic>
          </wp:inline>
        </w:drawing>
      </w:r>
    </w:p>
    <w:p w14:paraId="63DFD620" w14:textId="66D443CD" w:rsidR="003D7BC8" w:rsidRPr="000426DF" w:rsidRDefault="003D7BC8" w:rsidP="000426DF">
      <w:pPr>
        <w:pStyle w:val="Caption"/>
        <w:jc w:val="center"/>
      </w:pPr>
      <w:r>
        <w:t xml:space="preserve">Figure </w:t>
      </w:r>
      <w:r w:rsidR="00D7014F">
        <w:t>3</w:t>
      </w:r>
      <w:r>
        <w:t xml:space="preserve"> </w:t>
      </w:r>
      <w:r w:rsidR="0077344E">
        <w:t xml:space="preserve">Reduction of system resource utilization </w:t>
      </w:r>
      <w:proofErr w:type="spellStart"/>
      <w:r w:rsidR="0077344E">
        <w:t>effiency</w:t>
      </w:r>
      <w:proofErr w:type="spellEnd"/>
      <w:r w:rsidR="0077344E">
        <w:t xml:space="preserve"> because of unnecessary repetition number increasing</w:t>
      </w:r>
      <w:r>
        <w:t>.</w:t>
      </w:r>
    </w:p>
    <w:p w14:paraId="3840FA91" w14:textId="377A941C" w:rsidR="0077437D" w:rsidRDefault="0077437D" w:rsidP="0077437D">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w:t>
      </w:r>
      <w:r w:rsidR="0018748E">
        <w:rPr>
          <w:rFonts w:ascii="Calibri" w:eastAsia="宋体" w:hAnsi="Calibri" w:cs="Arial"/>
          <w:b/>
          <w:bCs/>
          <w:lang w:val="en-GB"/>
        </w:rPr>
        <w:t>6</w:t>
      </w:r>
      <w:r w:rsidRPr="000A156F">
        <w:rPr>
          <w:rFonts w:ascii="Calibri" w:eastAsia="宋体" w:hAnsi="Calibri" w:cs="Arial"/>
          <w:b/>
          <w:bCs/>
          <w:lang w:val="en-GB"/>
        </w:rPr>
        <w:t xml:space="preserve">: </w:t>
      </w:r>
      <w:r w:rsidR="00BF1870">
        <w:rPr>
          <w:rFonts w:ascii="Calibri" w:eastAsia="宋体" w:hAnsi="Calibri" w:cs="Arial"/>
          <w:b/>
          <w:bCs/>
          <w:lang w:val="en-GB"/>
        </w:rPr>
        <w:t xml:space="preserve">When only with </w:t>
      </w:r>
      <w:r w:rsidR="00BF1870" w:rsidRPr="44C0594F">
        <w:rPr>
          <w:b/>
          <w:bCs/>
        </w:rPr>
        <w:t>semi-static H</w:t>
      </w:r>
      <w:r w:rsidR="00BF1870">
        <w:rPr>
          <w:b/>
          <w:bCs/>
        </w:rPr>
        <w:t>A</w:t>
      </w:r>
      <w:r w:rsidR="00BF1870" w:rsidRPr="44C0594F">
        <w:rPr>
          <w:b/>
          <w:bCs/>
        </w:rPr>
        <w:t>RQ feedback enabling/disabling</w:t>
      </w:r>
      <w:r w:rsidR="00BF1870">
        <w:rPr>
          <w:b/>
          <w:bCs/>
        </w:rPr>
        <w:t>,</w:t>
      </w:r>
      <w:r w:rsidR="00BF1870" w:rsidRPr="44C0594F">
        <w:rPr>
          <w:b/>
          <w:bCs/>
        </w:rPr>
        <w:t xml:space="preserve"> </w:t>
      </w:r>
      <w:r w:rsidR="00BF1870">
        <w:rPr>
          <w:rFonts w:ascii="Calibri" w:eastAsia="宋体" w:hAnsi="Calibri" w:cs="Arial"/>
          <w:b/>
          <w:bCs/>
          <w:lang w:val="en-GB"/>
        </w:rPr>
        <w:t>d</w:t>
      </w:r>
      <w:r w:rsidR="00BF1870" w:rsidRPr="000A156F">
        <w:rPr>
          <w:rFonts w:ascii="Calibri" w:eastAsia="宋体" w:hAnsi="Calibri" w:cs="Arial"/>
          <w:b/>
          <w:bCs/>
          <w:lang w:val="en-GB"/>
        </w:rPr>
        <w:t xml:space="preserve">isabling </w:t>
      </w:r>
      <w:r w:rsidRPr="000A156F">
        <w:rPr>
          <w:rFonts w:ascii="Calibri" w:eastAsia="宋体" w:hAnsi="Calibri" w:cs="Arial"/>
          <w:b/>
          <w:bCs/>
          <w:lang w:val="en-GB"/>
        </w:rPr>
        <w:t xml:space="preserve">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eMTC</w:t>
      </w:r>
      <w:r w:rsidR="00A44413">
        <w:rPr>
          <w:rFonts w:ascii="Calibri" w:eastAsia="宋体" w:hAnsi="Calibri" w:cs="Arial"/>
          <w:b/>
          <w:bCs/>
          <w:lang w:val="en-GB"/>
        </w:rPr>
        <w:t xml:space="preserve">, resulting </w:t>
      </w:r>
      <w:r w:rsidR="00BC01A5">
        <w:rPr>
          <w:rFonts w:ascii="Calibri" w:eastAsia="宋体" w:hAnsi="Calibri" w:cs="Arial"/>
          <w:b/>
          <w:bCs/>
          <w:lang w:val="en-GB"/>
        </w:rPr>
        <w:t>i</w:t>
      </w:r>
      <w:r w:rsidR="00A44413">
        <w:rPr>
          <w:rFonts w:ascii="Calibri" w:eastAsia="宋体" w:hAnsi="Calibri" w:cs="Arial"/>
          <w:b/>
          <w:bCs/>
          <w:lang w:val="en-GB"/>
        </w:rPr>
        <w:t>n degraded/unacceptable per</w:t>
      </w:r>
      <w:r w:rsidR="00BC01A5">
        <w:rPr>
          <w:rFonts w:ascii="Calibri" w:eastAsia="宋体" w:hAnsi="Calibri" w:cs="Arial"/>
          <w:b/>
          <w:bCs/>
          <w:lang w:val="en-GB"/>
        </w:rPr>
        <w:t>f</w:t>
      </w:r>
      <w:r w:rsidR="00A44413">
        <w:rPr>
          <w:rFonts w:ascii="Calibri" w:eastAsia="宋体" w:hAnsi="Calibri" w:cs="Arial"/>
          <w:b/>
          <w:bCs/>
          <w:lang w:val="en-GB"/>
        </w:rPr>
        <w:t>ormance</w:t>
      </w:r>
      <w:r w:rsidRPr="000A156F">
        <w:rPr>
          <w:rFonts w:ascii="Calibri" w:eastAsia="宋体" w:hAnsi="Calibri" w:cs="Arial"/>
          <w:b/>
          <w:bCs/>
          <w:lang w:val="en-GB"/>
        </w:rPr>
        <w:t>.</w:t>
      </w:r>
    </w:p>
    <w:p w14:paraId="2CD0D36B" w14:textId="73496C18" w:rsidR="00730955" w:rsidRDefault="00730955" w:rsidP="0077437D">
      <w:pPr>
        <w:jc w:val="both"/>
        <w:rPr>
          <w:rFonts w:ascii="Calibri" w:eastAsia="宋体" w:hAnsi="Calibri" w:cs="Arial"/>
          <w:b/>
          <w:bCs/>
          <w:lang w:val="en-GB"/>
        </w:rPr>
      </w:pPr>
      <w:r>
        <w:rPr>
          <w:rFonts w:ascii="Calibri" w:eastAsia="宋体" w:hAnsi="Calibri" w:cs="Arial"/>
          <w:b/>
          <w:bCs/>
          <w:lang w:val="en-GB"/>
        </w:rPr>
        <w:t xml:space="preserve">Proposal </w:t>
      </w:r>
      <w:r w:rsidR="00925301">
        <w:rPr>
          <w:rFonts w:ascii="Calibri" w:eastAsia="宋体" w:hAnsi="Calibri" w:cs="Arial"/>
          <w:b/>
          <w:bCs/>
          <w:lang w:val="en-GB"/>
        </w:rPr>
        <w:t>13</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00CF6DF7" w:rsidRPr="00E7366D">
        <w:rPr>
          <w:rFonts w:ascii="Calibri" w:eastAsia="宋体" w:hAnsi="Calibri" w:cs="Arial"/>
          <w:b/>
          <w:bCs/>
          <w:lang w:val="en-GB"/>
        </w:rPr>
        <w:t>meanwhile avoiding HARQ stalling</w:t>
      </w:r>
      <w:r w:rsidR="00CF6DF7">
        <w:rPr>
          <w:rFonts w:ascii="Calibri" w:eastAsia="宋体" w:hAnsi="Calibri" w:cs="Arial"/>
          <w:b/>
          <w:bCs/>
          <w:lang w:val="en-GB"/>
        </w:rPr>
        <w:t xml:space="preserve"> </w:t>
      </w:r>
      <w:r>
        <w:rPr>
          <w:rFonts w:ascii="Calibri" w:eastAsia="宋体" w:hAnsi="Calibri" w:cs="Arial"/>
          <w:b/>
          <w:bCs/>
          <w:lang w:val="en-GB"/>
        </w:rPr>
        <w:t xml:space="preserve">when HARQ feedback </w:t>
      </w:r>
      <w:r w:rsidR="00CF6DF7">
        <w:rPr>
          <w:rFonts w:ascii="Calibri" w:eastAsia="宋体" w:hAnsi="Calibri" w:cs="Arial"/>
          <w:b/>
          <w:bCs/>
          <w:lang w:val="en-GB"/>
        </w:rPr>
        <w:t>disabling is utilized</w:t>
      </w:r>
      <w:r w:rsidR="00FD6309">
        <w:rPr>
          <w:rFonts w:ascii="Calibri" w:eastAsia="宋体" w:hAnsi="Calibri" w:cs="Arial"/>
          <w:b/>
          <w:bCs/>
          <w:lang w:val="en-GB"/>
        </w:rPr>
        <w:t>, especially when only semi-static enabling/disabling is used</w:t>
      </w:r>
      <w:r>
        <w:rPr>
          <w:rFonts w:ascii="Calibri" w:eastAsia="宋体" w:hAnsi="Calibri" w:cs="Arial"/>
          <w:b/>
          <w:bCs/>
          <w:lang w:val="en-GB"/>
        </w:rPr>
        <w:t>.</w:t>
      </w:r>
    </w:p>
    <w:p w14:paraId="03F6668D" w14:textId="2B95FD47" w:rsidR="00F8345A" w:rsidRDefault="00F8345A" w:rsidP="0077437D">
      <w:pPr>
        <w:jc w:val="both"/>
        <w:rPr>
          <w:rFonts w:ascii="Calibri" w:eastAsia="宋体" w:hAnsi="Calibri" w:cs="Arial"/>
          <w:lang w:val="en-GB"/>
        </w:rPr>
      </w:pPr>
      <w:r>
        <w:rPr>
          <w:rFonts w:ascii="Calibri" w:eastAsia="宋体" w:hAnsi="Calibri" w:cs="Arial"/>
          <w:lang w:val="en-GB"/>
        </w:rPr>
        <w:t xml:space="preserve">An additional concern, when HARQ feedback is disabled is how RAN4 will define the demodulation performance test cases. </w:t>
      </w:r>
      <w:r w:rsidR="00F4333E">
        <w:rPr>
          <w:rFonts w:ascii="Calibri" w:eastAsia="宋体" w:hAnsi="Calibri" w:cs="Arial"/>
          <w:lang w:val="en-GB"/>
        </w:rPr>
        <w:t>If the UE is not providing any feedback</w:t>
      </w:r>
      <w:r w:rsidR="001326F5">
        <w:rPr>
          <w:rFonts w:ascii="Calibri" w:eastAsia="宋体" w:hAnsi="Calibri" w:cs="Arial"/>
          <w:lang w:val="en-GB"/>
        </w:rPr>
        <w:t xml:space="preserve">, because </w:t>
      </w:r>
      <w:r w:rsidR="00D37BC1">
        <w:rPr>
          <w:rFonts w:ascii="Calibri" w:eastAsia="宋体" w:hAnsi="Calibri" w:cs="Arial"/>
          <w:lang w:val="en-GB"/>
        </w:rPr>
        <w:t xml:space="preserve">it is disabled for </w:t>
      </w:r>
      <w:r w:rsidR="008746F4">
        <w:rPr>
          <w:rFonts w:ascii="Calibri" w:eastAsia="宋体" w:hAnsi="Calibri" w:cs="Arial"/>
          <w:lang w:val="en-GB"/>
        </w:rPr>
        <w:t xml:space="preserve">all </w:t>
      </w:r>
      <w:r w:rsidR="001326F5">
        <w:rPr>
          <w:rFonts w:ascii="Calibri" w:eastAsia="宋体" w:hAnsi="Calibri" w:cs="Arial"/>
          <w:lang w:val="en-GB"/>
        </w:rPr>
        <w:t xml:space="preserve">the </w:t>
      </w:r>
      <w:r w:rsidR="008746F4">
        <w:rPr>
          <w:rFonts w:ascii="Calibri" w:eastAsia="宋体" w:hAnsi="Calibri" w:cs="Arial"/>
          <w:lang w:val="en-GB"/>
        </w:rPr>
        <w:t>UE’s HARQ processes</w:t>
      </w:r>
      <w:r w:rsidR="002F2201">
        <w:rPr>
          <w:rFonts w:ascii="Calibri" w:eastAsia="宋体" w:hAnsi="Calibri" w:cs="Arial"/>
          <w:lang w:val="en-GB"/>
        </w:rPr>
        <w:t xml:space="preserve">, the </w:t>
      </w:r>
      <w:r w:rsidR="007D0706">
        <w:rPr>
          <w:rFonts w:ascii="Calibri" w:eastAsia="宋体" w:hAnsi="Calibri" w:cs="Arial"/>
          <w:lang w:val="en-GB"/>
        </w:rPr>
        <w:t xml:space="preserve">test is unable to </w:t>
      </w:r>
      <w:r w:rsidR="002C598F">
        <w:rPr>
          <w:rFonts w:ascii="Calibri" w:eastAsia="宋体" w:hAnsi="Calibri" w:cs="Arial"/>
          <w:lang w:val="en-GB"/>
        </w:rPr>
        <w:t>evaluate the demodulation capability of the UE</w:t>
      </w:r>
      <w:r w:rsidR="009A72F4">
        <w:rPr>
          <w:rFonts w:ascii="Calibri" w:eastAsia="宋体" w:hAnsi="Calibri" w:cs="Arial"/>
          <w:lang w:val="en-GB"/>
        </w:rPr>
        <w:t xml:space="preserve">. This </w:t>
      </w:r>
      <w:r w:rsidR="006E5FB4">
        <w:rPr>
          <w:rFonts w:ascii="Calibri" w:eastAsia="宋体" w:hAnsi="Calibri" w:cs="Arial"/>
          <w:lang w:val="en-GB"/>
        </w:rPr>
        <w:t xml:space="preserve">issue could benefit from clarification and therefore it is proposed to send a LS to RAN4 and ask </w:t>
      </w:r>
      <w:r w:rsidR="001B347D">
        <w:rPr>
          <w:rFonts w:ascii="Calibri" w:eastAsia="宋体" w:hAnsi="Calibri" w:cs="Arial"/>
          <w:lang w:val="en-GB"/>
        </w:rPr>
        <w:t>about the options.</w:t>
      </w:r>
    </w:p>
    <w:p w14:paraId="42A53A32" w14:textId="32F88131" w:rsidR="001B347D" w:rsidRPr="001B347D" w:rsidRDefault="001B347D" w:rsidP="0077437D">
      <w:pPr>
        <w:jc w:val="both"/>
        <w:rPr>
          <w:rFonts w:ascii="Calibri" w:eastAsia="宋体" w:hAnsi="Calibri" w:cs="Arial"/>
          <w:b/>
          <w:bCs/>
          <w:lang w:val="en-GB"/>
        </w:rPr>
      </w:pPr>
      <w:r>
        <w:rPr>
          <w:rFonts w:ascii="Calibri" w:eastAsia="宋体" w:hAnsi="Calibri" w:cs="Arial"/>
          <w:b/>
          <w:bCs/>
          <w:lang w:val="en-GB"/>
        </w:rPr>
        <w:t xml:space="preserve">Proposal </w:t>
      </w:r>
      <w:r w:rsidR="00925301">
        <w:rPr>
          <w:rFonts w:ascii="Calibri" w:eastAsia="宋体" w:hAnsi="Calibri" w:cs="Arial"/>
          <w:b/>
          <w:bCs/>
          <w:lang w:val="en-GB"/>
        </w:rPr>
        <w:t>14</w:t>
      </w:r>
      <w:r>
        <w:rPr>
          <w:rFonts w:ascii="Calibri" w:eastAsia="宋体" w:hAnsi="Calibri" w:cs="Arial"/>
          <w:b/>
          <w:bCs/>
          <w:lang w:val="en-GB"/>
        </w:rPr>
        <w:t xml:space="preserve">: </w:t>
      </w:r>
      <w:bookmarkStart w:id="6" w:name="_Hlk131712368"/>
      <w:r>
        <w:rPr>
          <w:rFonts w:ascii="Calibri" w:eastAsia="宋体" w:hAnsi="Calibri" w:cs="Arial"/>
          <w:b/>
          <w:bCs/>
          <w:lang w:val="en-GB"/>
        </w:rPr>
        <w:t xml:space="preserve">RAN1 to send an LS to RAN4 to ask about </w:t>
      </w:r>
      <w:r w:rsidR="00C4757A">
        <w:rPr>
          <w:rFonts w:ascii="Calibri" w:eastAsia="宋体" w:hAnsi="Calibri" w:cs="Arial"/>
          <w:b/>
          <w:bCs/>
          <w:lang w:val="en-GB"/>
        </w:rPr>
        <w:t xml:space="preserve">the capability for </w:t>
      </w:r>
      <w:r w:rsidR="009338FF">
        <w:rPr>
          <w:rFonts w:ascii="Calibri" w:eastAsia="宋体" w:hAnsi="Calibri" w:cs="Arial"/>
          <w:b/>
          <w:bCs/>
          <w:lang w:val="en-GB"/>
        </w:rPr>
        <w:t>demodulation performance test</w:t>
      </w:r>
      <w:r w:rsidR="009531C1">
        <w:rPr>
          <w:rFonts w:ascii="Calibri" w:eastAsia="宋体" w:hAnsi="Calibri" w:cs="Arial"/>
          <w:b/>
          <w:bCs/>
          <w:lang w:val="en-GB"/>
        </w:rPr>
        <w:t xml:space="preserve"> if the UE </w:t>
      </w:r>
      <w:r w:rsidR="00E85F3F">
        <w:rPr>
          <w:rFonts w:ascii="Calibri" w:eastAsia="宋体" w:hAnsi="Calibri" w:cs="Arial"/>
          <w:b/>
          <w:bCs/>
          <w:lang w:val="en-GB"/>
        </w:rPr>
        <w:t>does not have HARQ feedback configured</w:t>
      </w:r>
      <w:r w:rsidR="00117D31">
        <w:rPr>
          <w:rFonts w:ascii="Calibri" w:eastAsia="宋体" w:hAnsi="Calibri" w:cs="Arial"/>
          <w:b/>
          <w:bCs/>
          <w:lang w:val="en-GB"/>
        </w:rPr>
        <w:t xml:space="preserve"> in some cases</w:t>
      </w:r>
      <w:r w:rsidR="0063751F">
        <w:rPr>
          <w:rFonts w:ascii="Calibri" w:eastAsia="宋体" w:hAnsi="Calibri" w:cs="Arial"/>
          <w:b/>
          <w:bCs/>
          <w:lang w:val="en-GB"/>
        </w:rPr>
        <w:t>.</w:t>
      </w:r>
      <w:bookmarkEnd w:id="6"/>
    </w:p>
    <w:p w14:paraId="2FD9702F" w14:textId="205C72F7" w:rsidR="0077437D" w:rsidRDefault="0077437D" w:rsidP="0077437D">
      <w:pPr>
        <w:jc w:val="both"/>
        <w:rPr>
          <w:rFonts w:ascii="Calibri" w:eastAsia="宋体" w:hAnsi="Calibri" w:cs="Arial"/>
          <w:lang w:val="en-GB"/>
        </w:rPr>
      </w:pPr>
      <w:r w:rsidRPr="4232A6AE">
        <w:rPr>
          <w:rFonts w:ascii="Calibri" w:eastAsia="宋体" w:hAnsi="Calibri" w:cs="Arial"/>
          <w:lang w:val="en-GB"/>
        </w:rPr>
        <w:t xml:space="preserve">To maintain </w:t>
      </w:r>
      <w:r>
        <w:rPr>
          <w:rFonts w:ascii="Calibri" w:eastAsia="宋体" w:hAnsi="Calibri" w:cs="Arial"/>
          <w:lang w:val="en-GB"/>
        </w:rPr>
        <w:t>a satisfactory</w:t>
      </w:r>
      <w:r w:rsidRPr="4232A6AE">
        <w:rPr>
          <w:rFonts w:ascii="Calibri" w:eastAsia="宋体" w:hAnsi="Calibri" w:cs="Arial"/>
          <w:lang w:val="en-GB"/>
        </w:rPr>
        <w:t xml:space="preserve"> link performance, </w:t>
      </w:r>
      <w:r>
        <w:rPr>
          <w:rFonts w:ascii="Calibri" w:eastAsia="宋体" w:hAnsi="Calibri" w:cs="Arial"/>
          <w:lang w:val="en-GB"/>
        </w:rPr>
        <w:t xml:space="preserve">some </w:t>
      </w:r>
      <w:r w:rsidRPr="4232A6AE">
        <w:rPr>
          <w:rFonts w:ascii="Calibri" w:eastAsia="宋体" w:hAnsi="Calibri" w:cs="Arial"/>
          <w:lang w:val="en-GB"/>
        </w:rPr>
        <w:t xml:space="preserve">long-term feedback can be </w:t>
      </w:r>
      <w:r>
        <w:rPr>
          <w:rFonts w:ascii="Calibri" w:eastAsia="宋体" w:hAnsi="Calibri" w:cs="Arial"/>
          <w:lang w:val="en-GB"/>
        </w:rPr>
        <w:t>considered</w:t>
      </w:r>
      <w:r w:rsidRPr="4232A6AE">
        <w:rPr>
          <w:rFonts w:ascii="Calibri" w:eastAsia="宋体" w:hAnsi="Calibri" w:cs="Arial"/>
          <w:lang w:val="en-GB"/>
        </w:rPr>
        <w:t>. For instance,</w:t>
      </w:r>
      <w:r>
        <w:rPr>
          <w:rFonts w:ascii="Calibri" w:eastAsia="宋体" w:hAnsi="Calibri" w:cs="Arial"/>
          <w:lang w:val="en-GB"/>
        </w:rPr>
        <w:t xml:space="preserve"> </w:t>
      </w:r>
      <w:r w:rsidRPr="000C01DB">
        <w:rPr>
          <w:rFonts w:ascii="Calibri" w:eastAsia="宋体" w:hAnsi="Calibri" w:cs="Arial"/>
          <w:lang w:val="en-GB"/>
        </w:rPr>
        <w:t>bundling of HARQ ACK/NACK for a certain number of transmissions</w:t>
      </w:r>
      <w:r>
        <w:rPr>
          <w:rFonts w:ascii="Calibri" w:eastAsia="宋体" w:hAnsi="Calibri" w:cs="Arial"/>
          <w:lang w:val="en-GB"/>
        </w:rPr>
        <w:t>, or indication of BLER exceeding a desired threshold</w:t>
      </w:r>
      <w:r w:rsidRPr="4232A6AE">
        <w:rPr>
          <w:rFonts w:ascii="Calibri" w:eastAsia="宋体" w:hAnsi="Calibri" w:cs="Arial"/>
          <w:lang w:val="en-GB"/>
        </w:rPr>
        <w:t>.</w:t>
      </w:r>
      <w:r>
        <w:rPr>
          <w:rFonts w:ascii="Calibri" w:eastAsia="宋体" w:hAnsi="Calibri" w:cs="Arial"/>
          <w:lang w:val="en-GB"/>
        </w:rPr>
        <w:t xml:space="preserve"> </w:t>
      </w:r>
      <w:r w:rsidRPr="000C01DB">
        <w:rPr>
          <w:rFonts w:ascii="Calibri" w:eastAsia="宋体" w:hAnsi="Calibri" w:cs="Arial"/>
          <w:lang w:val="en-GB"/>
        </w:rPr>
        <w:t>Such approaches will limit the signaling overhead, but still provide some information for the base station to perform link adaptation.</w:t>
      </w:r>
      <w:r w:rsidR="00B445FE">
        <w:rPr>
          <w:rFonts w:ascii="Calibri" w:eastAsia="宋体" w:hAnsi="Calibri" w:cs="Arial"/>
          <w:lang w:val="en-GB"/>
        </w:rPr>
        <w:t xml:space="preserve"> </w:t>
      </w:r>
    </w:p>
    <w:p w14:paraId="43B176F1" w14:textId="298EF89C"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w:t>
      </w:r>
      <w:r w:rsidR="00925301">
        <w:rPr>
          <w:rFonts w:ascii="Calibri" w:eastAsia="宋体" w:hAnsi="Calibri" w:cs="Arial"/>
          <w:b/>
          <w:bCs/>
          <w:lang w:val="en-GB"/>
        </w:rPr>
        <w:t>15</w:t>
      </w:r>
      <w:r w:rsidRPr="000A156F">
        <w:rPr>
          <w:rFonts w:ascii="Calibri" w:eastAsia="宋体" w:hAnsi="Calibri" w:cs="Arial"/>
          <w:b/>
          <w:bCs/>
          <w:lang w:val="en-GB"/>
        </w:rPr>
        <w:t xml:space="preserve">: </w:t>
      </w:r>
      <w:bookmarkStart w:id="7" w:name="_Hlk131712390"/>
      <w:r w:rsidRPr="000A156F">
        <w:rPr>
          <w:rFonts w:ascii="Calibri" w:eastAsia="宋体" w:hAnsi="Calibri" w:cs="Arial"/>
          <w:b/>
          <w:bCs/>
          <w:lang w:val="en-GB"/>
        </w:rPr>
        <w:t>When HARQ feedback is disabled</w:t>
      </w:r>
      <w:r w:rsidR="00B1774E">
        <w:rPr>
          <w:rFonts w:ascii="Calibri" w:eastAsia="宋体" w:hAnsi="Calibri" w:cs="Arial"/>
          <w:b/>
          <w:bCs/>
          <w:lang w:val="en-GB"/>
        </w:rPr>
        <w:t xml:space="preserve"> </w:t>
      </w:r>
      <w:proofErr w:type="gramStart"/>
      <w:r w:rsidR="00B1774E">
        <w:rPr>
          <w:rFonts w:ascii="Calibri" w:eastAsia="宋体" w:hAnsi="Calibri" w:cs="Arial"/>
          <w:b/>
          <w:bCs/>
          <w:lang w:val="en-GB"/>
        </w:rPr>
        <w:t>e.g.</w:t>
      </w:r>
      <w:proofErr w:type="gramEnd"/>
      <w:r w:rsidR="00B1774E">
        <w:rPr>
          <w:rFonts w:ascii="Calibri" w:eastAsia="宋体" w:hAnsi="Calibri" w:cs="Arial"/>
          <w:b/>
          <w:bCs/>
          <w:lang w:val="en-GB"/>
        </w:rPr>
        <w:t xml:space="preserve"> only by semi-static configuration</w:t>
      </w:r>
      <w:r w:rsidRPr="000A156F">
        <w:rPr>
          <w:rFonts w:ascii="Calibri" w:eastAsia="宋体" w:hAnsi="Calibri" w:cs="Arial"/>
          <w:b/>
          <w:bCs/>
          <w:lang w:val="en-GB"/>
        </w:rPr>
        <w:t>,</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sidR="0069672C">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sidR="00074881">
        <w:rPr>
          <w:rFonts w:ascii="Calibri" w:eastAsia="宋体" w:hAnsi="Calibri" w:cs="Arial"/>
          <w:b/>
          <w:bCs/>
          <w:lang w:val="en-GB"/>
        </w:rPr>
        <w:t xml:space="preserve">should </w:t>
      </w:r>
      <w:r>
        <w:rPr>
          <w:rFonts w:ascii="Calibri" w:eastAsia="宋体" w:hAnsi="Calibri" w:cs="Arial"/>
          <w:b/>
          <w:bCs/>
          <w:lang w:val="en-GB"/>
        </w:rPr>
        <w:t>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w:t>
      </w:r>
      <w:bookmarkEnd w:id="7"/>
      <w:r w:rsidRPr="000A156F">
        <w:rPr>
          <w:rFonts w:ascii="Calibri" w:eastAsia="宋体" w:hAnsi="Calibri" w:cs="Arial"/>
          <w:b/>
          <w:bCs/>
          <w:lang w:val="en-GB"/>
        </w:rPr>
        <w:t xml:space="preserve"> </w:t>
      </w:r>
    </w:p>
    <w:p w14:paraId="10445A01" w14:textId="5C013A51" w:rsidR="00885580" w:rsidRDefault="007820D0" w:rsidP="00885580">
      <w:pPr>
        <w:pStyle w:val="Heading1"/>
      </w:pPr>
      <w:bookmarkStart w:id="8" w:name="_Hlk68691077"/>
      <w:bookmarkEnd w:id="2"/>
      <w:r>
        <w:lastRenderedPageBreak/>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NB-IoT/eMTC over NTN</w:t>
      </w:r>
      <w:r w:rsidR="00EC7650" w:rsidRPr="00FC0171">
        <w:t>, our observations and proposals are presented as following:</w:t>
      </w:r>
    </w:p>
    <w:p w14:paraId="633CE5BF" w14:textId="77777777" w:rsidR="00DC7980" w:rsidRPr="00473468" w:rsidRDefault="00DC7980" w:rsidP="00DC7980">
      <w:pPr>
        <w:jc w:val="both"/>
        <w:rPr>
          <w:b/>
          <w:bCs/>
          <w:lang w:val="en-GB" w:eastAsia="en-US"/>
        </w:rPr>
      </w:pPr>
      <w:r w:rsidRPr="00473468">
        <w:rPr>
          <w:b/>
          <w:bCs/>
          <w:lang w:val="en-GB" w:eastAsia="en-US"/>
        </w:rPr>
        <w:t xml:space="preserve">Observation </w:t>
      </w:r>
      <w:r>
        <w:rPr>
          <w:b/>
          <w:bCs/>
          <w:lang w:val="en-GB" w:eastAsia="en-US"/>
        </w:rPr>
        <w:t>1</w:t>
      </w:r>
      <w:r w:rsidRPr="00473468">
        <w:rPr>
          <w:b/>
          <w:bCs/>
          <w:lang w:val="en-GB" w:eastAsia="en-US"/>
        </w:rPr>
        <w:t>: When the UE fails to detect a DCI with a toggled NDI, the UE’s NDI state becomes out of sync with the network and results in subsequent TB decoding errors.</w:t>
      </w:r>
    </w:p>
    <w:p w14:paraId="238390AE" w14:textId="6CFFE9E3" w:rsidR="00DC7980" w:rsidRDefault="00DC7980" w:rsidP="00357DF1">
      <w:pPr>
        <w:spacing w:after="120"/>
        <w:jc w:val="both"/>
        <w:rPr>
          <w:b/>
          <w:bCs/>
        </w:rPr>
      </w:pPr>
      <w:r w:rsidRPr="0020531D">
        <w:rPr>
          <w:b/>
          <w:bCs/>
        </w:rPr>
        <w:t xml:space="preserve">Observation </w:t>
      </w:r>
      <w:r>
        <w:rPr>
          <w:b/>
          <w:bCs/>
        </w:rPr>
        <w:t>2</w:t>
      </w:r>
      <w:r w:rsidRPr="0020531D">
        <w:rPr>
          <w:b/>
          <w:bCs/>
        </w:rPr>
        <w:t xml:space="preserve">: A short SPS interval and a small number of SPS HARQ processes may </w:t>
      </w:r>
      <w:r>
        <w:rPr>
          <w:b/>
          <w:bCs/>
        </w:rPr>
        <w:t>the</w:t>
      </w:r>
      <w:r w:rsidRPr="0020531D">
        <w:rPr>
          <w:b/>
          <w:bCs/>
        </w:rPr>
        <w:t xml:space="preserve"> HARQ </w:t>
      </w:r>
      <w:r>
        <w:rPr>
          <w:b/>
          <w:bCs/>
        </w:rPr>
        <w:t xml:space="preserve">retransmissions unable to complete </w:t>
      </w:r>
      <w:r w:rsidRPr="0020531D">
        <w:rPr>
          <w:b/>
          <w:bCs/>
        </w:rPr>
        <w:t xml:space="preserve">in </w:t>
      </w:r>
      <w:r>
        <w:rPr>
          <w:b/>
          <w:bCs/>
        </w:rPr>
        <w:t>IoT</w:t>
      </w:r>
      <w:r w:rsidRPr="0020531D">
        <w:rPr>
          <w:b/>
          <w:bCs/>
        </w:rPr>
        <w:t xml:space="preserve"> NTN scenarios.</w:t>
      </w:r>
    </w:p>
    <w:p w14:paraId="4F3F161B" w14:textId="77777777" w:rsidR="00DC7980" w:rsidRDefault="00DC7980" w:rsidP="00DC7980">
      <w:pPr>
        <w:rPr>
          <w:b/>
          <w:bCs/>
        </w:rPr>
      </w:pPr>
      <w:r w:rsidRPr="44C0594F">
        <w:rPr>
          <w:b/>
          <w:bCs/>
        </w:rPr>
        <w:t xml:space="preserve">Observation </w:t>
      </w:r>
      <w:r>
        <w:rPr>
          <w:b/>
          <w:bCs/>
        </w:rPr>
        <w:t>3</w:t>
      </w:r>
      <w:r w:rsidRPr="44C0594F">
        <w:rPr>
          <w:b/>
          <w:bCs/>
        </w:rPr>
        <w:t xml:space="preserve">: </w:t>
      </w:r>
      <w:r>
        <w:rPr>
          <w:b/>
          <w:bCs/>
        </w:rPr>
        <w:t>W</w:t>
      </w:r>
      <w:r w:rsidRPr="44C0594F">
        <w:rPr>
          <w:b/>
          <w:bCs/>
        </w:rPr>
        <w:t>hen only semi-static H</w:t>
      </w:r>
      <w:r>
        <w:rPr>
          <w:b/>
          <w:bCs/>
        </w:rPr>
        <w:t>A</w:t>
      </w:r>
      <w:r w:rsidRPr="44C0594F">
        <w:rPr>
          <w:b/>
          <w:bCs/>
        </w:rPr>
        <w:t>RQ feedback enabling/disabling configured for UE with small number of HARQ process, there will be impact on NPRACH capacity and link adaptation.</w:t>
      </w:r>
    </w:p>
    <w:p w14:paraId="78397561" w14:textId="77777777" w:rsidR="00DC7980" w:rsidRDefault="00DC7980" w:rsidP="00DC7980">
      <w:pPr>
        <w:jc w:val="both"/>
        <w:rPr>
          <w:rFonts w:cstheme="minorHAnsi"/>
          <w:b/>
          <w:lang w:val="en-GB"/>
        </w:rPr>
      </w:pPr>
      <w:r w:rsidRPr="00E755B4">
        <w:rPr>
          <w:rFonts w:cstheme="minorHAnsi"/>
          <w:b/>
          <w:lang w:val="en-GB"/>
        </w:rPr>
        <w:t xml:space="preserve">Observation </w:t>
      </w:r>
      <w:r>
        <w:rPr>
          <w:rFonts w:cstheme="minorHAnsi"/>
          <w:b/>
          <w:lang w:val="en-GB"/>
        </w:rPr>
        <w:t>4</w:t>
      </w:r>
      <w:r w:rsidRPr="00E755B4">
        <w:rPr>
          <w:rFonts w:cstheme="minorHAnsi"/>
          <w:b/>
          <w:bCs/>
          <w:lang w:val="en-GB"/>
        </w:rPr>
        <w:t>:</w:t>
      </w:r>
      <w:r w:rsidRPr="00E755B4">
        <w:rPr>
          <w:rFonts w:cstheme="minorHAnsi"/>
          <w:b/>
          <w:lang w:val="en-GB"/>
        </w:rPr>
        <w:t xml:space="preserve"> When SR is only indicated by NPRACH</w:t>
      </w:r>
      <w:r>
        <w:rPr>
          <w:rFonts w:cstheme="minorHAnsi"/>
          <w:b/>
          <w:lang w:val="en-GB"/>
        </w:rPr>
        <w:t xml:space="preserve"> in some </w:t>
      </w:r>
      <w:proofErr w:type="gramStart"/>
      <w:r>
        <w:rPr>
          <w:rFonts w:cstheme="minorHAnsi"/>
          <w:b/>
          <w:lang w:val="en-GB"/>
        </w:rPr>
        <w:t>cases</w:t>
      </w:r>
      <w:r w:rsidRPr="00E755B4">
        <w:rPr>
          <w:rFonts w:cstheme="minorHAnsi"/>
          <w:b/>
          <w:lang w:val="en-GB"/>
        </w:rPr>
        <w:t xml:space="preserve"> ,</w:t>
      </w:r>
      <w:proofErr w:type="gramEnd"/>
      <w:r w:rsidRPr="00E755B4">
        <w:rPr>
          <w:rFonts w:cstheme="minorHAnsi"/>
          <w:b/>
          <w:lang w:val="en-GB"/>
        </w:rPr>
        <w:t xml:space="preserve"> the required NPRACH capacity may be very high for a NTN cell.</w:t>
      </w:r>
    </w:p>
    <w:p w14:paraId="72EB9FCF" w14:textId="77777777" w:rsidR="00DC7980" w:rsidRDefault="00DC7980" w:rsidP="00DC7980">
      <w:pPr>
        <w:spacing w:line="257" w:lineRule="auto"/>
        <w:jc w:val="both"/>
        <w:rPr>
          <w:rFonts w:eastAsia="Calibri"/>
          <w:lang w:val="en-GB"/>
        </w:rPr>
      </w:pPr>
      <w:r w:rsidRPr="005D6160">
        <w:rPr>
          <w:rFonts w:eastAsia="Calibri"/>
          <w:b/>
          <w:bCs/>
          <w:lang w:val="en-GB"/>
        </w:rPr>
        <w:t xml:space="preserve">Observation </w:t>
      </w:r>
      <w:r>
        <w:rPr>
          <w:rFonts w:eastAsia="Calibri"/>
          <w:b/>
          <w:bCs/>
          <w:lang w:val="en-GB"/>
        </w:rPr>
        <w:t>5</w:t>
      </w:r>
      <w:r w:rsidRPr="005D6160">
        <w:rPr>
          <w:rFonts w:eastAsia="Calibri"/>
          <w:b/>
          <w:bCs/>
          <w:lang w:val="en-GB"/>
        </w:rPr>
        <w:t xml:space="preserve">: If HARQ feedback disabling is indicated </w:t>
      </w:r>
      <w:r>
        <w:rPr>
          <w:rFonts w:eastAsia="Calibri"/>
          <w:b/>
          <w:bCs/>
          <w:lang w:val="en-GB"/>
        </w:rPr>
        <w:t xml:space="preserve">only </w:t>
      </w:r>
      <w:r w:rsidRPr="005D6160">
        <w:rPr>
          <w:rFonts w:eastAsia="Calibri"/>
          <w:b/>
          <w:bCs/>
          <w:lang w:val="en-GB"/>
        </w:rPr>
        <w:t>through RRC signalling, NPRACH capacity for SR transmission may be still highly impacted in NB-IoT</w:t>
      </w:r>
      <w:r>
        <w:rPr>
          <w:rFonts w:eastAsia="Calibri"/>
          <w:b/>
          <w:bCs/>
          <w:lang w:val="en-GB"/>
        </w:rPr>
        <w:t>.</w:t>
      </w:r>
    </w:p>
    <w:p w14:paraId="72BCDD84" w14:textId="77777777" w:rsidR="00DC7980" w:rsidRDefault="00DC7980" w:rsidP="00DC7980">
      <w:pPr>
        <w:jc w:val="both"/>
        <w:rPr>
          <w:rFonts w:ascii="Calibri" w:eastAsia="宋体" w:hAnsi="Calibri" w:cs="Arial"/>
          <w:b/>
          <w:bCs/>
          <w:lang w:val="en-GB"/>
        </w:rPr>
      </w:pPr>
      <w:r w:rsidRPr="000A156F">
        <w:rPr>
          <w:rFonts w:ascii="Calibri" w:eastAsia="宋体" w:hAnsi="Calibri" w:cs="Arial"/>
          <w:b/>
          <w:bCs/>
          <w:lang w:val="en-GB"/>
        </w:rPr>
        <w:t>Observation</w:t>
      </w:r>
      <w:r>
        <w:rPr>
          <w:rFonts w:ascii="Calibri" w:eastAsia="宋体" w:hAnsi="Calibri" w:cs="Arial"/>
          <w:b/>
          <w:bCs/>
          <w:lang w:val="en-GB"/>
        </w:rPr>
        <w:t xml:space="preserve"> 6</w:t>
      </w:r>
      <w:r w:rsidRPr="000A156F">
        <w:rPr>
          <w:rFonts w:ascii="Calibri" w:eastAsia="宋体" w:hAnsi="Calibri" w:cs="Arial"/>
          <w:b/>
          <w:bCs/>
          <w:lang w:val="en-GB"/>
        </w:rPr>
        <w:t xml:space="preserve">: </w:t>
      </w:r>
      <w:r>
        <w:rPr>
          <w:rFonts w:ascii="Calibri" w:eastAsia="宋体" w:hAnsi="Calibri" w:cs="Arial"/>
          <w:b/>
          <w:bCs/>
          <w:lang w:val="en-GB"/>
        </w:rPr>
        <w:t xml:space="preserve">When only with </w:t>
      </w:r>
      <w:r w:rsidRPr="44C0594F">
        <w:rPr>
          <w:b/>
          <w:bCs/>
        </w:rPr>
        <w:t>semi-static H</w:t>
      </w:r>
      <w:r>
        <w:rPr>
          <w:b/>
          <w:bCs/>
        </w:rPr>
        <w:t>A</w:t>
      </w:r>
      <w:r w:rsidRPr="44C0594F">
        <w:rPr>
          <w:b/>
          <w:bCs/>
        </w:rPr>
        <w:t>RQ feedback enabling/disabling</w:t>
      </w:r>
      <w:r>
        <w:rPr>
          <w:b/>
          <w:bCs/>
        </w:rPr>
        <w:t>,</w:t>
      </w:r>
      <w:r w:rsidRPr="44C0594F">
        <w:rPr>
          <w:b/>
          <w:bCs/>
        </w:rPr>
        <w:t xml:space="preserve"> </w:t>
      </w:r>
      <w:r>
        <w:rPr>
          <w:rFonts w:ascii="Calibri" w:eastAsia="宋体" w:hAnsi="Calibri" w:cs="Arial"/>
          <w:b/>
          <w:bCs/>
          <w:lang w:val="en-GB"/>
        </w:rPr>
        <w:t>d</w:t>
      </w:r>
      <w:r w:rsidRPr="000A156F">
        <w:rPr>
          <w:rFonts w:ascii="Calibri" w:eastAsia="宋体" w:hAnsi="Calibri" w:cs="Arial"/>
          <w:b/>
          <w:bCs/>
          <w:lang w:val="en-GB"/>
        </w:rPr>
        <w:t xml:space="preserve">isabling HARQ feedback </w:t>
      </w:r>
      <w:r>
        <w:rPr>
          <w:rFonts w:ascii="Calibri" w:eastAsia="宋体" w:hAnsi="Calibri" w:cs="Arial"/>
          <w:b/>
          <w:bCs/>
          <w:lang w:val="en-GB"/>
        </w:rPr>
        <w:t>may adversely</w:t>
      </w:r>
      <w:r w:rsidRPr="000A156F">
        <w:rPr>
          <w:rFonts w:ascii="Calibri" w:eastAsia="宋体" w:hAnsi="Calibri" w:cs="Arial"/>
          <w:b/>
          <w:bCs/>
          <w:lang w:val="en-GB"/>
        </w:rPr>
        <w:t xml:space="preserve"> impact the link adaptation </w:t>
      </w:r>
      <w:r>
        <w:rPr>
          <w:rFonts w:ascii="Calibri" w:eastAsia="宋体" w:hAnsi="Calibri" w:cs="Arial"/>
          <w:b/>
          <w:bCs/>
          <w:lang w:val="en-GB"/>
        </w:rPr>
        <w:t>operation</w:t>
      </w:r>
      <w:r w:rsidRPr="000A156F">
        <w:rPr>
          <w:rFonts w:ascii="Calibri" w:eastAsia="宋体" w:hAnsi="Calibri" w:cs="Arial"/>
          <w:b/>
          <w:bCs/>
          <w:lang w:val="en-GB"/>
        </w:rPr>
        <w:t xml:space="preserve"> for NB-IoT and </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resulting in degraded/unacceptable performance</w:t>
      </w:r>
      <w:r w:rsidRPr="000A156F">
        <w:rPr>
          <w:rFonts w:ascii="Calibri" w:eastAsia="宋体" w:hAnsi="Calibri" w:cs="Arial"/>
          <w:b/>
          <w:bCs/>
          <w:lang w:val="en-GB"/>
        </w:rPr>
        <w:t>.</w:t>
      </w:r>
    </w:p>
    <w:p w14:paraId="24689498" w14:textId="77777777" w:rsidR="00DC7980" w:rsidRDefault="00DC7980" w:rsidP="00DC7980">
      <w:pPr>
        <w:spacing w:before="120" w:line="257" w:lineRule="auto"/>
        <w:jc w:val="both"/>
        <w:rPr>
          <w:rFonts w:ascii="Calibri" w:eastAsia="Calibri" w:hAnsi="Calibri" w:cs="Calibri"/>
          <w:b/>
          <w:bCs/>
          <w:lang w:val="en-GB"/>
        </w:rPr>
      </w:pPr>
    </w:p>
    <w:p w14:paraId="66DCBA0E" w14:textId="4F59002D" w:rsidR="00DC7980" w:rsidRPr="003C5670" w:rsidRDefault="00DC7980" w:rsidP="00DC7980">
      <w:pPr>
        <w:spacing w:before="120" w:line="257" w:lineRule="auto"/>
        <w:jc w:val="both"/>
        <w:rPr>
          <w:rFonts w:ascii="Calibri" w:eastAsia="Calibri" w:hAnsi="Calibri" w:cs="Calibri"/>
          <w:b/>
          <w:bCs/>
          <w:lang w:val="en-GB"/>
        </w:rPr>
      </w:pPr>
      <w:r w:rsidRPr="003C5670">
        <w:rPr>
          <w:rFonts w:ascii="Calibri" w:eastAsia="Calibri" w:hAnsi="Calibri" w:cs="Calibri"/>
          <w:b/>
          <w:bCs/>
          <w:lang w:val="en-GB"/>
        </w:rPr>
        <w:t xml:space="preserve">Proposal </w:t>
      </w:r>
      <w:r>
        <w:rPr>
          <w:rFonts w:ascii="Calibri" w:eastAsia="Calibri" w:hAnsi="Calibri" w:cs="Calibri"/>
          <w:b/>
          <w:bCs/>
          <w:lang w:val="en-GB"/>
        </w:rPr>
        <w:t>1</w:t>
      </w:r>
      <w:r w:rsidRPr="003C5670">
        <w:rPr>
          <w:rFonts w:ascii="Calibri" w:eastAsia="Calibri" w:hAnsi="Calibri" w:cs="Calibri"/>
          <w:b/>
          <w:bCs/>
          <w:lang w:val="en-GB"/>
        </w:rPr>
        <w:t>: When configured with Option 1 and Option 3, the DCI-based overridden mechanism applies to both semi-statically HARQ feedback enabled and disabled processes.</w:t>
      </w:r>
    </w:p>
    <w:p w14:paraId="2AC1F4E0" w14:textId="77777777" w:rsidR="00DC7980" w:rsidRPr="00EF486D" w:rsidRDefault="00DC7980" w:rsidP="00DC7980">
      <w:pPr>
        <w:spacing w:before="120" w:line="257" w:lineRule="auto"/>
        <w:jc w:val="both"/>
        <w:rPr>
          <w:rFonts w:ascii="Calibri" w:eastAsia="Calibri" w:hAnsi="Calibri" w:cs="Calibri"/>
          <w:b/>
          <w:bCs/>
          <w:lang w:val="en-GB"/>
        </w:rPr>
      </w:pPr>
      <w:r w:rsidRPr="00EF486D">
        <w:rPr>
          <w:rFonts w:ascii="Calibri" w:eastAsia="Calibri" w:hAnsi="Calibri" w:cs="Calibri"/>
          <w:b/>
          <w:bCs/>
          <w:lang w:val="en-GB"/>
        </w:rPr>
        <w:t xml:space="preserve">Proposal </w:t>
      </w:r>
      <w:r>
        <w:rPr>
          <w:rFonts w:ascii="Calibri" w:eastAsia="Calibri" w:hAnsi="Calibri" w:cs="Calibri"/>
          <w:b/>
          <w:bCs/>
          <w:lang w:val="en-GB"/>
        </w:rPr>
        <w:t>2</w:t>
      </w:r>
      <w:r w:rsidRPr="00EF486D">
        <w:rPr>
          <w:rFonts w:ascii="Calibri" w:eastAsia="Calibri" w:hAnsi="Calibri" w:cs="Calibri"/>
          <w:b/>
          <w:bCs/>
          <w:lang w:val="en-GB"/>
        </w:rPr>
        <w:t>: The DCI indication in Option 3 directly indicates enabling or disabling of HARQ feedback for the scheduled TB.</w:t>
      </w:r>
    </w:p>
    <w:p w14:paraId="2E8E1F29" w14:textId="5EC0D505" w:rsidR="00DC7980" w:rsidRDefault="00DC7980" w:rsidP="00DC7980">
      <w:pPr>
        <w:rPr>
          <w:b/>
          <w:bCs/>
          <w:lang w:val="en-GB" w:eastAsia="en-US"/>
        </w:rPr>
      </w:pPr>
      <w:r w:rsidRPr="00F2259B">
        <w:rPr>
          <w:b/>
          <w:bCs/>
          <w:lang w:val="en-GB" w:eastAsia="en-US"/>
        </w:rPr>
        <w:t xml:space="preserve">Proposal </w:t>
      </w:r>
      <w:r>
        <w:rPr>
          <w:b/>
          <w:bCs/>
          <w:lang w:val="en-GB" w:eastAsia="en-US"/>
        </w:rPr>
        <w:t>3</w:t>
      </w:r>
      <w:r w:rsidRPr="00F2259B">
        <w:rPr>
          <w:b/>
          <w:bCs/>
          <w:lang w:val="en-GB" w:eastAsia="en-US"/>
        </w:rPr>
        <w:t xml:space="preserve">: Reuse existing DCI fields for Option 3 HARQ feedback enabling/disabling indication. </w:t>
      </w:r>
    </w:p>
    <w:p w14:paraId="21B9CD9A" w14:textId="77777777" w:rsidR="00DC7980" w:rsidRDefault="00DC7980" w:rsidP="00DC7980">
      <w:pPr>
        <w:jc w:val="both"/>
        <w:rPr>
          <w:lang w:val="en-GB" w:eastAsia="en-US"/>
        </w:rPr>
      </w:pPr>
      <w:r w:rsidRPr="0001310C">
        <w:rPr>
          <w:b/>
          <w:bCs/>
          <w:lang w:val="en-GB" w:eastAsia="en-US"/>
        </w:rPr>
        <w:t xml:space="preserve">Proposal </w:t>
      </w:r>
      <w:r>
        <w:rPr>
          <w:b/>
          <w:bCs/>
          <w:lang w:val="en-GB" w:eastAsia="en-US"/>
        </w:rPr>
        <w:t>4</w:t>
      </w:r>
      <w:r w:rsidRPr="0001310C">
        <w:rPr>
          <w:b/>
          <w:bCs/>
          <w:lang w:val="en-GB" w:eastAsia="en-US"/>
        </w:rPr>
        <w:t xml:space="preserve">: </w:t>
      </w:r>
      <w:proofErr w:type="gramStart"/>
      <w:r>
        <w:rPr>
          <w:b/>
          <w:bCs/>
          <w:lang w:val="en-GB" w:eastAsia="en-US"/>
        </w:rPr>
        <w:t>Down-select</w:t>
      </w:r>
      <w:proofErr w:type="gramEnd"/>
      <w:r>
        <w:rPr>
          <w:b/>
          <w:bCs/>
          <w:lang w:val="en-GB" w:eastAsia="en-US"/>
        </w:rPr>
        <w:t xml:space="preserve"> one of</w:t>
      </w:r>
      <w:r w:rsidRPr="0001310C">
        <w:rPr>
          <w:b/>
          <w:bCs/>
          <w:lang w:val="en-GB" w:eastAsia="en-US"/>
        </w:rPr>
        <w:t xml:space="preserve"> </w:t>
      </w:r>
      <w:r>
        <w:rPr>
          <w:b/>
          <w:bCs/>
          <w:lang w:val="en-GB" w:eastAsia="en-US"/>
        </w:rPr>
        <w:t>the following</w:t>
      </w:r>
      <w:r w:rsidRPr="0001310C">
        <w:rPr>
          <w:b/>
          <w:bCs/>
          <w:lang w:val="en-GB" w:eastAsia="en-US"/>
        </w:rPr>
        <w:t xml:space="preserve"> options </w:t>
      </w:r>
      <w:r>
        <w:rPr>
          <w:b/>
          <w:bCs/>
          <w:lang w:val="en-GB" w:eastAsia="en-US"/>
        </w:rPr>
        <w:t>for</w:t>
      </w:r>
      <w:r w:rsidRPr="0001310C">
        <w:rPr>
          <w:b/>
          <w:bCs/>
          <w:lang w:val="en-GB" w:eastAsia="en-US"/>
        </w:rPr>
        <w:t xml:space="preserve"> reus</w:t>
      </w:r>
      <w:r>
        <w:rPr>
          <w:b/>
          <w:bCs/>
          <w:lang w:val="en-GB" w:eastAsia="en-US"/>
        </w:rPr>
        <w:t>ing</w:t>
      </w:r>
      <w:r w:rsidRPr="0001310C">
        <w:rPr>
          <w:b/>
          <w:bCs/>
          <w:lang w:val="en-GB" w:eastAsia="en-US"/>
        </w:rPr>
        <w:t xml:space="preserve"> existing DCI fields for HARQ feedback enabling/disabling indication: 1) Use one bit from an existing field. 2) Use one value of HARQ-ACK resource field. 3) Use a condition set by existing fields.</w:t>
      </w:r>
    </w:p>
    <w:p w14:paraId="5E75A84A" w14:textId="77777777" w:rsidR="00DC7980" w:rsidRPr="005437CE" w:rsidRDefault="00DC7980" w:rsidP="00DC7980">
      <w:pPr>
        <w:jc w:val="both"/>
        <w:rPr>
          <w:b/>
          <w:bCs/>
          <w:lang w:val="en-GB" w:eastAsia="en-US"/>
        </w:rPr>
      </w:pPr>
      <w:r w:rsidRPr="005437CE">
        <w:rPr>
          <w:b/>
          <w:bCs/>
          <w:lang w:val="en-GB" w:eastAsia="en-US"/>
        </w:rPr>
        <w:t xml:space="preserve">Proposal </w:t>
      </w:r>
      <w:r>
        <w:rPr>
          <w:b/>
          <w:bCs/>
          <w:lang w:val="en-GB" w:eastAsia="en-US"/>
        </w:rPr>
        <w:t>5</w:t>
      </w:r>
      <w:r w:rsidRPr="005437CE">
        <w:rPr>
          <w:b/>
          <w:bCs/>
          <w:lang w:val="en-GB" w:eastAsia="en-US"/>
        </w:rPr>
        <w:t xml:space="preserve">: Evaluate the impact of NDI out of sync due to DCI detection failure </w:t>
      </w:r>
      <w:r>
        <w:rPr>
          <w:b/>
          <w:bCs/>
          <w:lang w:val="en-GB" w:eastAsia="en-US"/>
        </w:rPr>
        <w:t xml:space="preserve">when HARQ feedback is disabled </w:t>
      </w:r>
      <w:r w:rsidRPr="005437CE">
        <w:rPr>
          <w:b/>
          <w:bCs/>
          <w:lang w:val="en-GB" w:eastAsia="en-US"/>
        </w:rPr>
        <w:t>and study possible solutions.</w:t>
      </w:r>
    </w:p>
    <w:p w14:paraId="39576212" w14:textId="77777777" w:rsidR="00DC7980" w:rsidRPr="00097671" w:rsidRDefault="00DC7980" w:rsidP="00DC7980">
      <w:pPr>
        <w:jc w:val="both"/>
        <w:rPr>
          <w:b/>
          <w:bCs/>
        </w:rPr>
      </w:pPr>
      <w:r w:rsidRPr="00097671">
        <w:rPr>
          <w:b/>
          <w:bCs/>
        </w:rPr>
        <w:t xml:space="preserve">Proposal </w:t>
      </w:r>
      <w:r>
        <w:rPr>
          <w:b/>
          <w:bCs/>
        </w:rPr>
        <w:t>6</w:t>
      </w:r>
      <w:r w:rsidRPr="00097671">
        <w:rPr>
          <w:b/>
          <w:bCs/>
        </w:rPr>
        <w:t xml:space="preserve">: Support RRC configuration for SPS HARQ feedback per HARQ process with feedback rate 0 </w:t>
      </w:r>
      <w:r>
        <w:rPr>
          <w:b/>
          <w:bCs/>
        </w:rPr>
        <w:t xml:space="preserve">(i.e., feedback disabled) </w:t>
      </w:r>
      <w:r w:rsidRPr="00097671">
        <w:rPr>
          <w:b/>
          <w:bCs/>
        </w:rPr>
        <w:t>or 1/n (</w:t>
      </w:r>
      <w:r>
        <w:rPr>
          <w:b/>
          <w:bCs/>
        </w:rPr>
        <w:t>i.e., one</w:t>
      </w:r>
      <w:r w:rsidRPr="00097671">
        <w:rPr>
          <w:b/>
          <w:bCs/>
        </w:rPr>
        <w:t xml:space="preserve"> HARQ-ACK for every n received TBs). </w:t>
      </w:r>
    </w:p>
    <w:p w14:paraId="654E4B1B" w14:textId="77777777" w:rsidR="00DC7980" w:rsidRPr="00A742EE" w:rsidRDefault="00DC7980" w:rsidP="00DC7980">
      <w:pPr>
        <w:jc w:val="both"/>
        <w:rPr>
          <w:b/>
          <w:bCs/>
        </w:rPr>
      </w:pPr>
      <w:r w:rsidRPr="00A742EE">
        <w:rPr>
          <w:b/>
          <w:bCs/>
        </w:rPr>
        <w:t xml:space="preserve">Proposal </w:t>
      </w:r>
      <w:r>
        <w:rPr>
          <w:b/>
          <w:bCs/>
        </w:rPr>
        <w:t>7</w:t>
      </w:r>
      <w:r w:rsidRPr="00A742EE">
        <w:rPr>
          <w:b/>
          <w:bCs/>
        </w:rPr>
        <w:t xml:space="preserve">: The same DCI indication with existing fields for HARQ feedback </w:t>
      </w:r>
      <w:proofErr w:type="spellStart"/>
      <w:r w:rsidRPr="00A742EE">
        <w:rPr>
          <w:b/>
          <w:bCs/>
        </w:rPr>
        <w:t>enabliling</w:t>
      </w:r>
      <w:proofErr w:type="spellEnd"/>
      <w:r w:rsidRPr="00A742EE">
        <w:rPr>
          <w:b/>
          <w:bCs/>
        </w:rPr>
        <w:t xml:space="preserve">/disabling in Option 3 is used for single-TB scheduling and multi-TB scheduling. </w:t>
      </w:r>
    </w:p>
    <w:p w14:paraId="43CD700C" w14:textId="77777777" w:rsidR="00DC7980" w:rsidRPr="00765EAD" w:rsidRDefault="00DC7980" w:rsidP="00DC7980">
      <w:pPr>
        <w:spacing w:after="120"/>
        <w:rPr>
          <w:b/>
        </w:rPr>
      </w:pPr>
      <w:r>
        <w:rPr>
          <w:b/>
          <w:bCs/>
          <w:lang w:eastAsia="en-US"/>
        </w:rPr>
        <w:t xml:space="preserve">Proposal 8: RAN1 should support </w:t>
      </w:r>
      <w:proofErr w:type="spellStart"/>
      <w:r>
        <w:rPr>
          <w:b/>
          <w:bCs/>
          <w:lang w:eastAsia="en-US"/>
        </w:rPr>
        <w:t>enebling</w:t>
      </w:r>
      <w:proofErr w:type="spellEnd"/>
      <w:r>
        <w:rPr>
          <w:b/>
          <w:bCs/>
          <w:lang w:eastAsia="en-US"/>
        </w:rPr>
        <w:t>/disabling of HARQ feedback for a subset of TBs scheduled by one DCI in CE mode B and NB-IoT.</w:t>
      </w:r>
      <w:r w:rsidRPr="00614D1B" w:rsidDel="00614D1B">
        <w:rPr>
          <w:b/>
        </w:rPr>
        <w:t xml:space="preserve"> </w:t>
      </w:r>
    </w:p>
    <w:p w14:paraId="2BD3D518" w14:textId="77777777" w:rsidR="00DC7980" w:rsidRDefault="00DC7980" w:rsidP="00DC7980">
      <w:pPr>
        <w:spacing w:after="120"/>
        <w:jc w:val="both"/>
        <w:rPr>
          <w:b/>
          <w:bCs/>
          <w:lang w:eastAsia="en-US"/>
        </w:rPr>
      </w:pPr>
      <w:r w:rsidRPr="00AE5930">
        <w:rPr>
          <w:b/>
          <w:bCs/>
          <w:lang w:eastAsia="en-US"/>
        </w:rPr>
        <w:t xml:space="preserve">Proposal </w:t>
      </w:r>
      <w:r>
        <w:rPr>
          <w:b/>
          <w:bCs/>
          <w:lang w:eastAsia="en-US"/>
        </w:rPr>
        <w:t>9</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78A2C6AB" w14:textId="77777777" w:rsidR="00DC7980" w:rsidRDefault="00DC7980" w:rsidP="00DC7980">
      <w:pPr>
        <w:spacing w:after="120"/>
        <w:jc w:val="both"/>
      </w:pPr>
      <w:r>
        <w:rPr>
          <w:b/>
          <w:bCs/>
          <w:lang w:eastAsia="en-US"/>
        </w:rPr>
        <w:t>Proposal 10: HARQ-ACK reporting for IoT NTN in multi-TB scheduling should try to avoid unnecessary UE power and UL resource waste and allow for earlier DL data monitoring.</w:t>
      </w:r>
    </w:p>
    <w:p w14:paraId="2A3DAFC2" w14:textId="77777777" w:rsidR="00DC7980" w:rsidRPr="003B44EB" w:rsidRDefault="00DC7980" w:rsidP="00DC7980">
      <w:pPr>
        <w:jc w:val="both"/>
        <w:rPr>
          <w:b/>
          <w:bCs/>
        </w:rPr>
      </w:pPr>
      <w:r w:rsidRPr="00E032FD">
        <w:rPr>
          <w:rFonts w:cstheme="minorHAnsi"/>
          <w:b/>
          <w:lang w:val="en-GB"/>
        </w:rPr>
        <w:lastRenderedPageBreak/>
        <w:t xml:space="preserve">Proposal </w:t>
      </w:r>
      <w:r>
        <w:rPr>
          <w:rFonts w:cstheme="minorHAnsi"/>
          <w:b/>
          <w:lang w:val="en-GB"/>
        </w:rPr>
        <w:t>11: To avoid impact on NPRACH capacity and link adaptation, network should configure option 3-only or option 3 to override option 1 for HARQ feedback disabling in IoT NTN.</w:t>
      </w:r>
    </w:p>
    <w:p w14:paraId="4ECB7C2C" w14:textId="77777777" w:rsidR="00DC7980" w:rsidRPr="00E755B4" w:rsidRDefault="00DC7980" w:rsidP="00DC7980">
      <w:pPr>
        <w:spacing w:line="257" w:lineRule="auto"/>
        <w:jc w:val="both"/>
        <w:rPr>
          <w:rFonts w:eastAsia="Calibri"/>
          <w:b/>
          <w:bCs/>
          <w:lang w:val="en-GB"/>
        </w:rPr>
      </w:pPr>
      <w:r w:rsidRPr="44C0594F">
        <w:rPr>
          <w:rFonts w:eastAsia="Calibri"/>
          <w:b/>
          <w:bCs/>
          <w:lang w:val="en-GB"/>
        </w:rPr>
        <w:t>Proposal 1</w:t>
      </w:r>
      <w:r>
        <w:rPr>
          <w:rFonts w:eastAsia="Calibri"/>
          <w:b/>
          <w:bCs/>
          <w:lang w:val="en-GB"/>
        </w:rPr>
        <w:t>2</w:t>
      </w:r>
      <w:r w:rsidRPr="44C0594F">
        <w:rPr>
          <w:rFonts w:eastAsia="Calibri"/>
          <w:b/>
          <w:bCs/>
          <w:lang w:val="en-GB"/>
        </w:rPr>
        <w:t xml:space="preserve">: When HARQ feedback is disabled only through RRC signalling, RAN1 should study the solution to alleviate NPRACH capacity requirement for SR transmission. </w:t>
      </w:r>
    </w:p>
    <w:p w14:paraId="3B82C443" w14:textId="77777777" w:rsidR="00DC7980" w:rsidRDefault="00DC7980" w:rsidP="00DC7980">
      <w:pPr>
        <w:jc w:val="both"/>
        <w:rPr>
          <w:rFonts w:ascii="Calibri" w:eastAsia="宋体" w:hAnsi="Calibri" w:cs="Arial"/>
          <w:b/>
          <w:bCs/>
          <w:lang w:val="en-GB"/>
        </w:rPr>
      </w:pPr>
      <w:r>
        <w:rPr>
          <w:rFonts w:ascii="Calibri" w:eastAsia="宋体" w:hAnsi="Calibri" w:cs="Arial"/>
          <w:b/>
          <w:bCs/>
          <w:lang w:val="en-GB"/>
        </w:rPr>
        <w:t>Proposal 13</w:t>
      </w:r>
      <w:r>
        <w:rPr>
          <w:rFonts w:ascii="Calibri" w:eastAsia="宋体" w:hAnsi="Calibri" w:cs="Arial" w:hint="eastAsia"/>
          <w:b/>
          <w:bCs/>
        </w:rPr>
        <w:t>:</w:t>
      </w:r>
      <w:r>
        <w:rPr>
          <w:rFonts w:ascii="Calibri" w:eastAsia="宋体" w:hAnsi="Calibri" w:cs="Arial"/>
          <w:b/>
          <w:bCs/>
        </w:rPr>
        <w:t xml:space="preserve"> </w:t>
      </w:r>
      <w:r>
        <w:rPr>
          <w:rFonts w:ascii="Calibri" w:eastAsia="宋体" w:hAnsi="Calibri" w:cs="Arial"/>
          <w:b/>
          <w:bCs/>
          <w:lang w:val="en-GB"/>
        </w:rPr>
        <w:t xml:space="preserve">RAN1 should discuss </w:t>
      </w:r>
      <w:r w:rsidRPr="002712A1">
        <w:rPr>
          <w:rFonts w:ascii="Calibri" w:eastAsia="宋体" w:hAnsi="Calibri" w:cs="Arial"/>
          <w:b/>
          <w:bCs/>
          <w:lang w:val="en-GB"/>
        </w:rPr>
        <w:t>how to guarantee a workable link adaptation</w:t>
      </w:r>
      <w:r>
        <w:rPr>
          <w:rFonts w:ascii="Calibri" w:eastAsia="宋体" w:hAnsi="Calibri" w:cs="Arial"/>
          <w:b/>
          <w:bCs/>
          <w:lang w:val="en-GB"/>
        </w:rPr>
        <w:t xml:space="preserve"> </w:t>
      </w:r>
      <w:r w:rsidRPr="00E7366D">
        <w:rPr>
          <w:rFonts w:ascii="Calibri" w:eastAsia="宋体" w:hAnsi="Calibri" w:cs="Arial"/>
          <w:b/>
          <w:bCs/>
          <w:lang w:val="en-GB"/>
        </w:rPr>
        <w:t>meanwhile avoiding HARQ stalling</w:t>
      </w:r>
      <w:r>
        <w:rPr>
          <w:rFonts w:ascii="Calibri" w:eastAsia="宋体" w:hAnsi="Calibri" w:cs="Arial"/>
          <w:b/>
          <w:bCs/>
          <w:lang w:val="en-GB"/>
        </w:rPr>
        <w:t xml:space="preserve"> when HARQ feedback disabling is utilized, especially when only semi-static enabling/disabling is used.</w:t>
      </w:r>
    </w:p>
    <w:p w14:paraId="58715052" w14:textId="77777777" w:rsidR="00DC7980" w:rsidRPr="001B347D" w:rsidRDefault="00DC7980" w:rsidP="00DC7980">
      <w:pPr>
        <w:jc w:val="both"/>
        <w:rPr>
          <w:rFonts w:ascii="Calibri" w:eastAsia="宋体" w:hAnsi="Calibri" w:cs="Arial"/>
          <w:b/>
          <w:bCs/>
          <w:lang w:val="en-GB"/>
        </w:rPr>
      </w:pPr>
      <w:r>
        <w:rPr>
          <w:rFonts w:ascii="Calibri" w:eastAsia="宋体" w:hAnsi="Calibri" w:cs="Arial"/>
          <w:b/>
          <w:bCs/>
          <w:lang w:val="en-GB"/>
        </w:rPr>
        <w:t>Proposal 14: RAN1 to send an LS to RAN4 to ask about the capability for demodulation performance test if the UE does not have HARQ feedback configured in some cases.</w:t>
      </w:r>
    </w:p>
    <w:p w14:paraId="7AF2F174" w14:textId="77777777" w:rsidR="00DC7980" w:rsidRPr="000708C4" w:rsidRDefault="00DC7980" w:rsidP="00DC7980">
      <w:pPr>
        <w:jc w:val="both"/>
        <w:rPr>
          <w:rFonts w:ascii="Calibri" w:eastAsia="宋体" w:hAnsi="Calibri" w:cs="Arial"/>
          <w:b/>
          <w:bCs/>
          <w:lang w:val="en-GB"/>
        </w:rPr>
      </w:pPr>
      <w:r w:rsidRPr="000A156F">
        <w:rPr>
          <w:rFonts w:ascii="Calibri" w:eastAsia="宋体" w:hAnsi="Calibri" w:cs="Arial"/>
          <w:b/>
          <w:bCs/>
          <w:lang w:val="en-GB"/>
        </w:rPr>
        <w:t>Proposal</w:t>
      </w:r>
      <w:r>
        <w:rPr>
          <w:rFonts w:ascii="Calibri" w:eastAsia="宋体" w:hAnsi="Calibri" w:cs="Arial"/>
          <w:b/>
          <w:bCs/>
          <w:lang w:val="en-GB"/>
        </w:rPr>
        <w:t xml:space="preserve"> 15</w:t>
      </w:r>
      <w:r w:rsidRPr="000A156F">
        <w:rPr>
          <w:rFonts w:ascii="Calibri" w:eastAsia="宋体" w:hAnsi="Calibri" w:cs="Arial"/>
          <w:b/>
          <w:bCs/>
          <w:lang w:val="en-GB"/>
        </w:rPr>
        <w:t>: When HARQ feedback is disabled</w:t>
      </w:r>
      <w:r>
        <w:rPr>
          <w:rFonts w:ascii="Calibri" w:eastAsia="宋体" w:hAnsi="Calibri" w:cs="Arial"/>
          <w:b/>
          <w:bCs/>
          <w:lang w:val="en-GB"/>
        </w:rPr>
        <w:t xml:space="preserve"> </w:t>
      </w:r>
      <w:proofErr w:type="gramStart"/>
      <w:r>
        <w:rPr>
          <w:rFonts w:ascii="Calibri" w:eastAsia="宋体" w:hAnsi="Calibri" w:cs="Arial"/>
          <w:b/>
          <w:bCs/>
          <w:lang w:val="en-GB"/>
        </w:rPr>
        <w:t>e.g.</w:t>
      </w:r>
      <w:proofErr w:type="gramEnd"/>
      <w:r>
        <w:rPr>
          <w:rFonts w:ascii="Calibri" w:eastAsia="宋体" w:hAnsi="Calibri" w:cs="Arial"/>
          <w:b/>
          <w:bCs/>
          <w:lang w:val="en-GB"/>
        </w:rPr>
        <w:t xml:space="preserve"> only by semi-static configuration</w:t>
      </w:r>
      <w:r w:rsidRPr="000A156F">
        <w:rPr>
          <w:rFonts w:ascii="Calibri" w:eastAsia="宋体" w:hAnsi="Calibri" w:cs="Arial"/>
          <w:b/>
          <w:bCs/>
          <w:lang w:val="en-GB"/>
        </w:rPr>
        <w:t>,</w:t>
      </w:r>
      <w:r>
        <w:rPr>
          <w:rFonts w:ascii="Calibri" w:eastAsia="宋体" w:hAnsi="Calibri" w:cs="Arial"/>
          <w:b/>
          <w:bCs/>
          <w:lang w:val="en-GB"/>
        </w:rPr>
        <w:t xml:space="preserve"> alternative</w:t>
      </w:r>
      <w:r w:rsidRPr="000A156F">
        <w:rPr>
          <w:rFonts w:ascii="Calibri" w:eastAsia="宋体" w:hAnsi="Calibri" w:cs="Arial"/>
          <w:b/>
          <w:bCs/>
          <w:lang w:val="en-GB"/>
        </w:rPr>
        <w:t xml:space="preserve"> long-term feedback</w:t>
      </w:r>
      <w:r>
        <w:rPr>
          <w:rFonts w:ascii="Calibri" w:eastAsia="宋体" w:hAnsi="Calibri" w:cs="Arial"/>
          <w:b/>
          <w:bCs/>
          <w:lang w:val="en-GB"/>
        </w:rPr>
        <w:t xml:space="preserve"> or other feedback scheme not causing HARQ stalling</w:t>
      </w:r>
      <w:r w:rsidRPr="000A156F">
        <w:rPr>
          <w:rFonts w:ascii="Calibri" w:eastAsia="宋体" w:hAnsi="Calibri" w:cs="Arial"/>
          <w:b/>
          <w:bCs/>
          <w:lang w:val="en-GB"/>
        </w:rPr>
        <w:t xml:space="preserve"> </w:t>
      </w:r>
      <w:r>
        <w:rPr>
          <w:rFonts w:ascii="Calibri" w:eastAsia="宋体" w:hAnsi="Calibri" w:cs="Arial"/>
          <w:b/>
          <w:bCs/>
          <w:lang w:val="en-GB"/>
        </w:rPr>
        <w:t>should be considered</w:t>
      </w:r>
      <w:r w:rsidRPr="000A156F">
        <w:rPr>
          <w:rFonts w:ascii="Calibri" w:eastAsia="宋体" w:hAnsi="Calibri" w:cs="Arial"/>
          <w:b/>
          <w:bCs/>
          <w:lang w:val="en-GB"/>
        </w:rPr>
        <w:t xml:space="preserve"> to </w:t>
      </w:r>
      <w:r>
        <w:rPr>
          <w:rFonts w:ascii="Calibri" w:eastAsia="宋体" w:hAnsi="Calibri" w:cs="Arial"/>
          <w:b/>
          <w:bCs/>
          <w:lang w:val="en-GB"/>
        </w:rPr>
        <w:t>facilitate</w:t>
      </w:r>
      <w:r w:rsidRPr="000A156F">
        <w:rPr>
          <w:rFonts w:ascii="Calibri" w:eastAsia="宋体" w:hAnsi="Calibri" w:cs="Arial"/>
          <w:b/>
          <w:bCs/>
          <w:lang w:val="en-GB"/>
        </w:rPr>
        <w:t xml:space="preserve"> link </w:t>
      </w:r>
      <w:proofErr w:type="spellStart"/>
      <w:r w:rsidRPr="000A156F">
        <w:rPr>
          <w:rFonts w:ascii="Calibri" w:eastAsia="宋体" w:hAnsi="Calibri" w:cs="Arial"/>
          <w:b/>
          <w:bCs/>
          <w:lang w:val="en-GB"/>
        </w:rPr>
        <w:t>adapation</w:t>
      </w:r>
      <w:proofErr w:type="spellEnd"/>
      <w:r w:rsidRPr="000A156F">
        <w:rPr>
          <w:rFonts w:ascii="Calibri" w:eastAsia="宋体" w:hAnsi="Calibri" w:cs="Arial"/>
          <w:b/>
          <w:bCs/>
          <w:lang w:val="en-GB"/>
        </w:rPr>
        <w:t xml:space="preserve"> </w:t>
      </w:r>
      <w:r>
        <w:rPr>
          <w:rFonts w:ascii="Calibri" w:eastAsia="宋体" w:hAnsi="Calibri" w:cs="Arial"/>
          <w:b/>
          <w:bCs/>
          <w:lang w:val="en-GB"/>
        </w:rPr>
        <w:t>for</w:t>
      </w:r>
      <w:r w:rsidRPr="000A156F">
        <w:rPr>
          <w:rFonts w:ascii="Calibri" w:eastAsia="宋体" w:hAnsi="Calibri" w:cs="Arial"/>
          <w:b/>
          <w:bCs/>
          <w:lang w:val="en-GB"/>
        </w:rPr>
        <w:t xml:space="preserve"> NB-IoT/</w:t>
      </w:r>
      <w:proofErr w:type="spellStart"/>
      <w:r w:rsidRPr="000A156F">
        <w:rPr>
          <w:rFonts w:ascii="Calibri" w:eastAsia="宋体" w:hAnsi="Calibri" w:cs="Arial"/>
          <w:b/>
          <w:bCs/>
          <w:lang w:val="en-GB"/>
        </w:rPr>
        <w:t>eMTC</w:t>
      </w:r>
      <w:proofErr w:type="spellEnd"/>
      <w:r>
        <w:rPr>
          <w:rFonts w:ascii="Calibri" w:eastAsia="宋体" w:hAnsi="Calibri" w:cs="Arial"/>
          <w:b/>
          <w:bCs/>
          <w:lang w:val="en-GB"/>
        </w:rPr>
        <w:t xml:space="preserve"> in NTN</w:t>
      </w:r>
      <w:r w:rsidRPr="000A156F">
        <w:rPr>
          <w:rFonts w:ascii="Calibri" w:eastAsia="宋体" w:hAnsi="Calibri" w:cs="Arial"/>
          <w:b/>
          <w:bCs/>
          <w:lang w:val="en-GB"/>
        </w:rPr>
        <w:t xml:space="preserve">. </w:t>
      </w:r>
    </w:p>
    <w:p w14:paraId="16C2D867" w14:textId="77777777" w:rsidR="00357DF1" w:rsidRPr="00357DF1" w:rsidRDefault="00357DF1" w:rsidP="0080763E">
      <w:pPr>
        <w:rPr>
          <w:lang w:val="en-GB"/>
        </w:rPr>
      </w:pPr>
    </w:p>
    <w:p w14:paraId="53CD9119" w14:textId="5206E1F5" w:rsidR="00885580" w:rsidRDefault="00885580" w:rsidP="00885580">
      <w:pPr>
        <w:pStyle w:val="Heading1"/>
        <w:numPr>
          <w:ilvl w:val="0"/>
          <w:numId w:val="0"/>
        </w:numPr>
      </w:pPr>
      <w:r>
        <w:t>References</w:t>
      </w:r>
    </w:p>
    <w:p w14:paraId="199A6166" w14:textId="0A5FBD6E" w:rsidR="0080410A" w:rsidRDefault="005217AD" w:rsidP="0048015B">
      <w:pPr>
        <w:pStyle w:val="ListParagraph"/>
        <w:numPr>
          <w:ilvl w:val="0"/>
          <w:numId w:val="16"/>
        </w:numPr>
        <w:rPr>
          <w:rFonts w:cstheme="minorHAnsi"/>
          <w:sz w:val="22"/>
          <w:szCs w:val="22"/>
          <w:lang w:val="en-US"/>
        </w:rPr>
      </w:pPr>
      <w:bookmarkStart w:id="9" w:name="_Ref110864604"/>
      <w:bookmarkStart w:id="10" w:name="_Ref101780668"/>
      <w:bookmarkEnd w:id="8"/>
      <w:r w:rsidRPr="005217AD">
        <w:rPr>
          <w:rFonts w:cstheme="minorHAnsi"/>
          <w:sz w:val="22"/>
          <w:szCs w:val="22"/>
          <w:lang w:val="en-US"/>
        </w:rPr>
        <w:t>RP-223519</w:t>
      </w:r>
      <w:r w:rsidR="0080410A" w:rsidRPr="006E7BE0">
        <w:rPr>
          <w:rFonts w:cstheme="minorHAnsi"/>
          <w:sz w:val="22"/>
          <w:szCs w:val="22"/>
          <w:lang w:val="en-US"/>
        </w:rPr>
        <w:t>, Revised WID on IoT NTN enhancements, 3GPP TSG RAN Meeting #9</w:t>
      </w:r>
      <w:r>
        <w:rPr>
          <w:rFonts w:cstheme="minorHAnsi"/>
          <w:sz w:val="22"/>
          <w:szCs w:val="22"/>
          <w:lang w:val="en-US"/>
        </w:rPr>
        <w:t>8e</w:t>
      </w:r>
      <w:r w:rsidR="0080410A" w:rsidRPr="006E7BE0">
        <w:rPr>
          <w:rFonts w:cstheme="minorHAnsi"/>
          <w:sz w:val="22"/>
          <w:szCs w:val="22"/>
          <w:lang w:val="en-US"/>
        </w:rPr>
        <w:t xml:space="preserve">, </w:t>
      </w:r>
      <w:r>
        <w:rPr>
          <w:rFonts w:cstheme="minorHAnsi"/>
          <w:sz w:val="22"/>
          <w:szCs w:val="22"/>
          <w:lang w:val="en-US"/>
        </w:rPr>
        <w:t>December</w:t>
      </w:r>
      <w:r w:rsidR="0080410A" w:rsidRPr="0080410A">
        <w:rPr>
          <w:rFonts w:cstheme="minorHAnsi"/>
          <w:sz w:val="22"/>
          <w:szCs w:val="22"/>
          <w:lang w:val="en-US"/>
        </w:rPr>
        <w:t xml:space="preserve"> </w:t>
      </w:r>
      <w:r>
        <w:rPr>
          <w:rFonts w:cstheme="minorHAnsi"/>
          <w:sz w:val="22"/>
          <w:szCs w:val="22"/>
          <w:lang w:val="en-US"/>
        </w:rPr>
        <w:t>12-16</w:t>
      </w:r>
      <w:r w:rsidR="0080410A" w:rsidRPr="0080410A">
        <w:rPr>
          <w:rFonts w:cstheme="minorHAnsi"/>
          <w:sz w:val="22"/>
          <w:szCs w:val="22"/>
          <w:lang w:val="en-US"/>
        </w:rPr>
        <w:t>, 2022</w:t>
      </w:r>
      <w:r w:rsidR="0080410A" w:rsidRPr="006E7BE0">
        <w:rPr>
          <w:rFonts w:cstheme="minorHAnsi"/>
          <w:sz w:val="22"/>
          <w:szCs w:val="22"/>
          <w:lang w:val="en-US"/>
        </w:rPr>
        <w:t>.</w:t>
      </w:r>
      <w:bookmarkEnd w:id="9"/>
    </w:p>
    <w:p w14:paraId="35D85A76" w14:textId="5781825F" w:rsidR="00081E02" w:rsidRDefault="00081E02" w:rsidP="0048015B">
      <w:pPr>
        <w:pStyle w:val="ListParagraph"/>
        <w:numPr>
          <w:ilvl w:val="0"/>
          <w:numId w:val="16"/>
        </w:numPr>
        <w:rPr>
          <w:rFonts w:cstheme="minorHAnsi"/>
          <w:sz w:val="22"/>
          <w:szCs w:val="22"/>
          <w:lang w:val="en-US"/>
        </w:rPr>
      </w:pPr>
      <w:bookmarkStart w:id="11" w:name="_Ref130930496"/>
      <w:bookmarkStart w:id="12" w:name="_Ref117621126"/>
      <w:bookmarkStart w:id="13" w:name="_Ref110865186"/>
      <w:r w:rsidRPr="00C87A88">
        <w:rPr>
          <w:rFonts w:cstheme="minorHAnsi"/>
          <w:sz w:val="22"/>
          <w:szCs w:val="22"/>
          <w:lang w:val="en-US"/>
        </w:rPr>
        <w:t>RAN1 Chairman’s notes, 3GPP TSG RAN WG1 Meeting #11</w:t>
      </w:r>
      <w:r>
        <w:rPr>
          <w:rFonts w:cstheme="minorHAnsi"/>
          <w:sz w:val="22"/>
          <w:szCs w:val="22"/>
          <w:lang w:val="en-US"/>
        </w:rPr>
        <w:t>2</w:t>
      </w:r>
      <w:r w:rsidRPr="00C87A88">
        <w:rPr>
          <w:rFonts w:cstheme="minorHAnsi"/>
          <w:sz w:val="22"/>
          <w:szCs w:val="22"/>
          <w:lang w:val="en-US"/>
        </w:rPr>
        <w:t>,</w:t>
      </w:r>
      <w:r>
        <w:rPr>
          <w:rFonts w:cstheme="minorHAnsi"/>
          <w:sz w:val="22"/>
          <w:szCs w:val="22"/>
          <w:lang w:val="en-US"/>
        </w:rPr>
        <w:t xml:space="preserve"> </w:t>
      </w:r>
      <w:r w:rsidRPr="00081E02">
        <w:rPr>
          <w:rFonts w:cstheme="minorHAnsi"/>
          <w:sz w:val="22"/>
          <w:szCs w:val="22"/>
          <w:lang w:val="en-US"/>
        </w:rPr>
        <w:t>Athens, Greece, February 27th – March 3rd, 2023</w:t>
      </w:r>
      <w:r>
        <w:rPr>
          <w:rFonts w:cstheme="minorHAnsi"/>
          <w:sz w:val="22"/>
          <w:szCs w:val="22"/>
          <w:lang w:val="en-US"/>
        </w:rPr>
        <w:t>.</w:t>
      </w:r>
      <w:bookmarkEnd w:id="11"/>
    </w:p>
    <w:p w14:paraId="34E245A2" w14:textId="55082DF8" w:rsidR="00C87A88" w:rsidRPr="00C87A88" w:rsidRDefault="00C87A88" w:rsidP="0048015B">
      <w:pPr>
        <w:pStyle w:val="ListParagraph"/>
        <w:numPr>
          <w:ilvl w:val="0"/>
          <w:numId w:val="16"/>
        </w:numPr>
        <w:rPr>
          <w:rFonts w:cstheme="minorHAnsi"/>
          <w:sz w:val="22"/>
          <w:szCs w:val="22"/>
          <w:lang w:val="en-US"/>
        </w:rPr>
      </w:pPr>
      <w:r w:rsidRPr="00C87A88">
        <w:rPr>
          <w:rFonts w:cstheme="minorHAnsi"/>
          <w:sz w:val="22"/>
          <w:szCs w:val="22"/>
          <w:lang w:val="en-US"/>
        </w:rPr>
        <w:t>RAN1 Chairman’s notes, 3GPP TSG RAN WG1 Meeting #11</w:t>
      </w:r>
      <w:r w:rsidR="00925DD2">
        <w:rPr>
          <w:rFonts w:cstheme="minorHAnsi"/>
          <w:sz w:val="22"/>
          <w:szCs w:val="22"/>
          <w:lang w:val="en-US"/>
        </w:rPr>
        <w:t>1</w:t>
      </w:r>
      <w:r w:rsidRPr="00C87A88">
        <w:rPr>
          <w:rFonts w:cstheme="minorHAnsi"/>
          <w:sz w:val="22"/>
          <w:szCs w:val="22"/>
          <w:lang w:val="en-US"/>
        </w:rPr>
        <w:t xml:space="preserve">, </w:t>
      </w:r>
      <w:r w:rsidR="00925DD2" w:rsidRPr="00925DD2">
        <w:rPr>
          <w:rFonts w:cstheme="minorHAnsi"/>
          <w:sz w:val="22"/>
          <w:szCs w:val="22"/>
          <w:lang w:val="en-US"/>
        </w:rPr>
        <w:t>Toulouse, France, November 14th – 18th, 2022</w:t>
      </w:r>
      <w:r w:rsidRPr="00C87A88">
        <w:rPr>
          <w:rFonts w:cstheme="minorHAnsi"/>
          <w:sz w:val="22"/>
          <w:szCs w:val="22"/>
          <w:lang w:val="en-US"/>
        </w:rPr>
        <w:t>.</w:t>
      </w:r>
      <w:bookmarkEnd w:id="12"/>
    </w:p>
    <w:p w14:paraId="6442A897" w14:textId="76444A46" w:rsidR="00880929" w:rsidRPr="000426DF" w:rsidRDefault="00880929" w:rsidP="0048015B">
      <w:pPr>
        <w:pStyle w:val="ListParagraph"/>
        <w:numPr>
          <w:ilvl w:val="0"/>
          <w:numId w:val="16"/>
        </w:numPr>
        <w:rPr>
          <w:rFonts w:cstheme="minorHAnsi"/>
          <w:sz w:val="22"/>
          <w:szCs w:val="22"/>
          <w:lang w:val="en-US"/>
        </w:rPr>
      </w:pPr>
      <w:bookmarkStart w:id="14" w:name="_Ref117621170"/>
      <w:r w:rsidRPr="006E7BE0">
        <w:rPr>
          <w:rFonts w:cstheme="minorHAnsi"/>
          <w:sz w:val="22"/>
          <w:szCs w:val="22"/>
        </w:rPr>
        <w:t xml:space="preserve">RAN1 </w:t>
      </w:r>
      <w:proofErr w:type="spellStart"/>
      <w:r w:rsidRPr="006E7BE0">
        <w:rPr>
          <w:rFonts w:cstheme="minorHAnsi"/>
          <w:sz w:val="22"/>
          <w:szCs w:val="22"/>
        </w:rPr>
        <w:t>Chairman’s</w:t>
      </w:r>
      <w:proofErr w:type="spellEnd"/>
      <w:r w:rsidRPr="006E7BE0">
        <w:rPr>
          <w:rFonts w:cstheme="minorHAnsi"/>
          <w:sz w:val="22"/>
          <w:szCs w:val="22"/>
        </w:rPr>
        <w:t xml:space="preserve"> </w:t>
      </w:r>
      <w:proofErr w:type="spellStart"/>
      <w:r w:rsidRPr="006E7BE0">
        <w:rPr>
          <w:rFonts w:cstheme="minorHAnsi"/>
          <w:sz w:val="22"/>
          <w:szCs w:val="22"/>
        </w:rPr>
        <w:t>notes</w:t>
      </w:r>
      <w:proofErr w:type="spellEnd"/>
      <w:r w:rsidRPr="006E7BE0">
        <w:rPr>
          <w:rFonts w:cstheme="minorHAnsi"/>
          <w:sz w:val="22"/>
          <w:szCs w:val="22"/>
        </w:rPr>
        <w:t xml:space="preserve">, </w:t>
      </w:r>
      <w:bookmarkStart w:id="15" w:name="_Hlk115169716"/>
      <w:r w:rsidRPr="006E7BE0">
        <w:rPr>
          <w:rFonts w:cstheme="minorHAnsi"/>
          <w:sz w:val="22"/>
          <w:szCs w:val="22"/>
        </w:rPr>
        <w:t>3GPP TSG RAN WG1 Meeting #1</w:t>
      </w:r>
      <w:r>
        <w:rPr>
          <w:rFonts w:cstheme="minorHAnsi"/>
          <w:sz w:val="22"/>
          <w:szCs w:val="22"/>
        </w:rPr>
        <w:t>10</w:t>
      </w:r>
      <w:r w:rsidRPr="006E7BE0">
        <w:rPr>
          <w:rFonts w:cstheme="minorHAnsi"/>
          <w:sz w:val="22"/>
          <w:szCs w:val="22"/>
        </w:rPr>
        <w:t xml:space="preserve">, </w:t>
      </w:r>
      <w:r w:rsidR="00816CA4" w:rsidRPr="00816CA4">
        <w:rPr>
          <w:rFonts w:cstheme="minorHAnsi"/>
          <w:sz w:val="22"/>
          <w:szCs w:val="22"/>
        </w:rPr>
        <w:t>Toulouse, France, August 22nd – 26th, 2022</w:t>
      </w:r>
      <w:bookmarkEnd w:id="15"/>
      <w:r w:rsidRPr="006E7BE0">
        <w:rPr>
          <w:rFonts w:cstheme="minorHAnsi"/>
          <w:sz w:val="22"/>
          <w:szCs w:val="22"/>
        </w:rPr>
        <w:t>.</w:t>
      </w:r>
      <w:bookmarkEnd w:id="14"/>
    </w:p>
    <w:p w14:paraId="4714CFD6" w14:textId="606D22F3" w:rsidR="00275B59" w:rsidRDefault="008C5410" w:rsidP="0048015B">
      <w:pPr>
        <w:pStyle w:val="ListParagraph"/>
        <w:numPr>
          <w:ilvl w:val="0"/>
          <w:numId w:val="16"/>
        </w:numPr>
        <w:rPr>
          <w:rFonts w:cstheme="minorHAnsi"/>
          <w:sz w:val="22"/>
          <w:szCs w:val="22"/>
          <w:lang w:val="en-US"/>
        </w:rPr>
      </w:pPr>
      <w:bookmarkStart w:id="16" w:name="_Ref115169744"/>
      <w:bookmarkEnd w:id="13"/>
      <w:r w:rsidRPr="008C5410">
        <w:rPr>
          <w:rFonts w:cstheme="minorHAnsi"/>
          <w:sz w:val="22"/>
          <w:szCs w:val="22"/>
          <w:lang w:val="en-US"/>
        </w:rPr>
        <w:t>R1-2207949</w:t>
      </w:r>
      <w:r>
        <w:rPr>
          <w:rFonts w:cstheme="minorHAnsi"/>
          <w:sz w:val="22"/>
          <w:szCs w:val="22"/>
          <w:lang w:val="en-US"/>
        </w:rPr>
        <w:t>, “</w:t>
      </w:r>
      <w:r w:rsidR="00423444" w:rsidRPr="00423444">
        <w:rPr>
          <w:rFonts w:cstheme="minorHAnsi"/>
          <w:sz w:val="22"/>
          <w:szCs w:val="22"/>
          <w:lang w:val="en-US"/>
        </w:rPr>
        <w:t>FLS#2 on disabling of HARQ feedback for IoT NTN</w:t>
      </w:r>
      <w:r w:rsidR="00423444">
        <w:rPr>
          <w:rFonts w:cstheme="minorHAnsi"/>
          <w:sz w:val="22"/>
          <w:szCs w:val="22"/>
          <w:lang w:val="en-US"/>
        </w:rPr>
        <w:t xml:space="preserve">”, </w:t>
      </w:r>
      <w:r w:rsidR="00DA76DB" w:rsidRPr="00DA76DB">
        <w:rPr>
          <w:rFonts w:cstheme="minorHAnsi"/>
          <w:sz w:val="22"/>
          <w:szCs w:val="22"/>
          <w:lang w:val="en-US"/>
        </w:rPr>
        <w:t>3GPP TSG RAN WG1 Meeting #110, Toulouse, France, August 22nd – 26th, 2022</w:t>
      </w:r>
      <w:r w:rsidR="00BA1CF0">
        <w:rPr>
          <w:rFonts w:cstheme="minorHAnsi"/>
          <w:sz w:val="22"/>
          <w:szCs w:val="22"/>
          <w:lang w:val="en-US"/>
        </w:rPr>
        <w:t>.</w:t>
      </w:r>
      <w:bookmarkEnd w:id="16"/>
    </w:p>
    <w:p w14:paraId="21DA9764" w14:textId="010B4178" w:rsidR="00F14602" w:rsidRPr="00D955AA" w:rsidRDefault="105735DD" w:rsidP="0048015B">
      <w:pPr>
        <w:pStyle w:val="ListParagraph"/>
        <w:numPr>
          <w:ilvl w:val="0"/>
          <w:numId w:val="16"/>
        </w:numPr>
        <w:rPr>
          <w:rFonts w:cstheme="minorHAnsi"/>
          <w:sz w:val="22"/>
          <w:szCs w:val="22"/>
          <w:lang w:val="en-US"/>
        </w:rPr>
      </w:pPr>
      <w:bookmarkStart w:id="17" w:name="_Ref115170084"/>
      <w:r w:rsidRPr="48B6A30D">
        <w:rPr>
          <w:sz w:val="22"/>
          <w:szCs w:val="22"/>
          <w:lang w:val="en-US"/>
        </w:rPr>
        <w:t>R1-2207291, “</w:t>
      </w:r>
      <w:r w:rsidR="5F0F3F07" w:rsidRPr="48B6A30D">
        <w:rPr>
          <w:sz w:val="22"/>
          <w:szCs w:val="22"/>
          <w:lang w:val="en-US"/>
        </w:rPr>
        <w:t>Disabling of HARQ feedback for NB-IoT/eMTC over NTN”, 3GPP TSG RAN WG1 Meeting #110, Toulouse, France, August 22nd – 26th, 2022.</w:t>
      </w:r>
      <w:bookmarkEnd w:id="17"/>
    </w:p>
    <w:p w14:paraId="6F6B686D" w14:textId="2CA81D78" w:rsidR="00173BD8" w:rsidRDefault="00FA15AB" w:rsidP="0048015B">
      <w:pPr>
        <w:pStyle w:val="ListParagraph"/>
        <w:numPr>
          <w:ilvl w:val="0"/>
          <w:numId w:val="16"/>
        </w:numPr>
        <w:rPr>
          <w:rFonts w:cstheme="minorHAnsi"/>
          <w:sz w:val="22"/>
          <w:szCs w:val="22"/>
          <w:lang w:val="en-US"/>
        </w:rPr>
      </w:pPr>
      <w:bookmarkStart w:id="18" w:name="_Ref118447702"/>
      <w:r w:rsidRPr="00FA15AB">
        <w:rPr>
          <w:rFonts w:cstheme="minorHAnsi"/>
          <w:sz w:val="22"/>
          <w:szCs w:val="22"/>
          <w:lang w:val="en-US"/>
        </w:rPr>
        <w:t>R1-2210330</w:t>
      </w:r>
      <w:r w:rsidR="00580AD8">
        <w:rPr>
          <w:rFonts w:cstheme="minorHAnsi"/>
          <w:sz w:val="22"/>
          <w:szCs w:val="22"/>
          <w:lang w:val="en-US"/>
        </w:rPr>
        <w:t>, “</w:t>
      </w:r>
      <w:r w:rsidR="005F34A4" w:rsidRPr="005F34A4">
        <w:rPr>
          <w:rFonts w:cstheme="minorHAnsi"/>
          <w:sz w:val="22"/>
          <w:szCs w:val="22"/>
          <w:lang w:val="en-US"/>
        </w:rPr>
        <w:t>FLS#2 on disabling of HARQ feedback for IoT NTN</w:t>
      </w:r>
      <w:r w:rsidR="005F34A4">
        <w:rPr>
          <w:rFonts w:cstheme="minorHAnsi"/>
          <w:sz w:val="22"/>
          <w:szCs w:val="22"/>
          <w:lang w:val="en-US"/>
        </w:rPr>
        <w:t xml:space="preserve">”, </w:t>
      </w:r>
      <w:r w:rsidR="00BE1FD0" w:rsidRPr="00BE1FD0">
        <w:rPr>
          <w:rFonts w:cstheme="minorHAnsi"/>
          <w:sz w:val="22"/>
          <w:szCs w:val="22"/>
          <w:lang w:val="en-US"/>
        </w:rPr>
        <w:t>3GPP TSG RAN WG1 Meeting #110b-e</w:t>
      </w:r>
      <w:r w:rsidR="00AC01E7">
        <w:rPr>
          <w:rFonts w:cstheme="minorHAnsi"/>
          <w:sz w:val="22"/>
          <w:szCs w:val="22"/>
          <w:lang w:val="en-US"/>
        </w:rPr>
        <w:t xml:space="preserve">, </w:t>
      </w:r>
      <w:r w:rsidR="00FE0272" w:rsidRPr="00FE0272">
        <w:rPr>
          <w:rFonts w:cstheme="minorHAnsi"/>
          <w:sz w:val="22"/>
          <w:szCs w:val="22"/>
          <w:lang w:val="en-US"/>
        </w:rPr>
        <w:t>e-Meeting, Oct 10th – 19th, 2022</w:t>
      </w:r>
      <w:r w:rsidR="00FE0272">
        <w:rPr>
          <w:rFonts w:cstheme="minorHAnsi"/>
          <w:sz w:val="22"/>
          <w:szCs w:val="22"/>
          <w:lang w:val="en-US"/>
        </w:rPr>
        <w:t>.</w:t>
      </w:r>
      <w:bookmarkEnd w:id="18"/>
    </w:p>
    <w:p w14:paraId="33192B55" w14:textId="00C047BD" w:rsidR="52FC1035" w:rsidRPr="005D6160" w:rsidRDefault="52FC1035">
      <w:pPr>
        <w:pStyle w:val="ListParagraph"/>
        <w:numPr>
          <w:ilvl w:val="0"/>
          <w:numId w:val="16"/>
        </w:numPr>
        <w:rPr>
          <w:sz w:val="22"/>
          <w:szCs w:val="22"/>
          <w:lang w:val="en-US"/>
        </w:rPr>
      </w:pPr>
      <w:bookmarkStart w:id="19" w:name="_Ref118448031"/>
      <w:bookmarkEnd w:id="10"/>
      <w:r w:rsidRPr="005D6160">
        <w:rPr>
          <w:sz w:val="22"/>
          <w:szCs w:val="22"/>
          <w:lang w:val="en-US"/>
        </w:rPr>
        <w:t xml:space="preserve">R1-2209245, </w:t>
      </w:r>
      <w:r w:rsidR="000037C4">
        <w:rPr>
          <w:sz w:val="22"/>
          <w:szCs w:val="22"/>
          <w:lang w:val="en-US"/>
        </w:rPr>
        <w:t>“</w:t>
      </w:r>
      <w:r w:rsidRPr="005D6160">
        <w:rPr>
          <w:sz w:val="22"/>
          <w:szCs w:val="22"/>
          <w:lang w:val="en-US"/>
        </w:rPr>
        <w:t>Disabling of HARQ feedback for NB-IoT/eMTC over NTN</w:t>
      </w:r>
      <w:r w:rsidR="000037C4">
        <w:rPr>
          <w:sz w:val="22"/>
          <w:szCs w:val="22"/>
          <w:lang w:val="en-US"/>
        </w:rPr>
        <w:t>”</w:t>
      </w:r>
      <w:r w:rsidRPr="005D6160">
        <w:rPr>
          <w:sz w:val="22"/>
          <w:szCs w:val="22"/>
          <w:lang w:val="en-US"/>
        </w:rPr>
        <w:t xml:space="preserve">, </w:t>
      </w:r>
      <w:r w:rsidR="000037C4" w:rsidRPr="00BE1FD0">
        <w:rPr>
          <w:rFonts w:cstheme="minorHAnsi"/>
          <w:sz w:val="22"/>
          <w:szCs w:val="22"/>
          <w:lang w:val="en-US"/>
        </w:rPr>
        <w:t>3GPP TSG RAN WG1 Meeting #110b-e</w:t>
      </w:r>
      <w:r w:rsidR="000037C4">
        <w:rPr>
          <w:rFonts w:cstheme="minorHAnsi"/>
          <w:sz w:val="22"/>
          <w:szCs w:val="22"/>
          <w:lang w:val="en-US"/>
        </w:rPr>
        <w:t xml:space="preserve">, </w:t>
      </w:r>
      <w:r w:rsidR="000037C4" w:rsidRPr="00FE0272">
        <w:rPr>
          <w:rFonts w:cstheme="minorHAnsi"/>
          <w:sz w:val="22"/>
          <w:szCs w:val="22"/>
          <w:lang w:val="en-US"/>
        </w:rPr>
        <w:t>e-Meeting, Oct 10th – 19th, 2022</w:t>
      </w:r>
      <w:r w:rsidR="000037C4">
        <w:rPr>
          <w:rFonts w:cstheme="minorHAnsi"/>
          <w:sz w:val="22"/>
          <w:szCs w:val="22"/>
          <w:lang w:val="en-US"/>
        </w:rPr>
        <w:t>.</w:t>
      </w:r>
      <w:bookmarkEnd w:id="19"/>
    </w:p>
    <w:p w14:paraId="5CA6DFA2" w14:textId="3AB48341" w:rsidR="0066254A" w:rsidRPr="00FC0171" w:rsidRDefault="0066254A" w:rsidP="00126139">
      <w:pPr>
        <w:rPr>
          <w:rFonts w:ascii="Times New Roman" w:hAnsi="Times New Roman" w:cs="Times New Roman"/>
          <w:sz w:val="20"/>
        </w:rPr>
      </w:pPr>
    </w:p>
    <w:bookmarkEnd w:id="0"/>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3B95" w14:textId="77777777" w:rsidR="00BE78A6" w:rsidRDefault="00BE78A6">
      <w:r>
        <w:separator/>
      </w:r>
    </w:p>
  </w:endnote>
  <w:endnote w:type="continuationSeparator" w:id="0">
    <w:p w14:paraId="35F672E3" w14:textId="77777777" w:rsidR="00BE78A6" w:rsidRDefault="00BE78A6">
      <w:r>
        <w:continuationSeparator/>
      </w:r>
    </w:p>
  </w:endnote>
  <w:endnote w:type="continuationNotice" w:id="1">
    <w:p w14:paraId="500A1B01" w14:textId="77777777" w:rsidR="00BE78A6" w:rsidRDefault="00BE78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CEAB" w14:textId="77777777" w:rsidR="00BE78A6" w:rsidRDefault="00BE78A6">
      <w:r>
        <w:separator/>
      </w:r>
    </w:p>
  </w:footnote>
  <w:footnote w:type="continuationSeparator" w:id="0">
    <w:p w14:paraId="1C24FD75" w14:textId="77777777" w:rsidR="00BE78A6" w:rsidRDefault="00BE78A6">
      <w:r>
        <w:continuationSeparator/>
      </w:r>
    </w:p>
  </w:footnote>
  <w:footnote w:type="continuationNotice" w:id="1">
    <w:p w14:paraId="2124906C" w14:textId="77777777" w:rsidR="00BE78A6" w:rsidRDefault="00BE78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810044"/>
    <w:multiLevelType w:val="hybridMultilevel"/>
    <w:tmpl w:val="A33CDCA4"/>
    <w:lvl w:ilvl="0" w:tplc="04090001">
      <w:start w:val="1"/>
      <w:numFmt w:val="bullet"/>
      <w:lvlText w:val=""/>
      <w:lvlJc w:val="left"/>
      <w:pPr>
        <w:ind w:left="1402" w:hanging="360"/>
      </w:pPr>
      <w:rPr>
        <w:rFonts w:ascii="Symbol" w:hAnsi="Symbol"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3"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F9597A"/>
    <w:multiLevelType w:val="hybridMultilevel"/>
    <w:tmpl w:val="EF32D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4"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26"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27"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28"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36"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23"/>
  </w:num>
  <w:num w:numId="4">
    <w:abstractNumId w:val="16"/>
  </w:num>
  <w:num w:numId="5">
    <w:abstractNumId w:val="35"/>
  </w:num>
  <w:num w:numId="6">
    <w:abstractNumId w:val="26"/>
  </w:num>
  <w:num w:numId="7">
    <w:abstractNumId w:val="2"/>
  </w:num>
  <w:num w:numId="8">
    <w:abstractNumId w:val="25"/>
  </w:num>
  <w:num w:numId="9">
    <w:abstractNumId w:val="21"/>
  </w:num>
  <w:num w:numId="10">
    <w:abstractNumId w:val="12"/>
  </w:num>
  <w:num w:numId="11">
    <w:abstractNumId w:val="13"/>
  </w:num>
  <w:num w:numId="12">
    <w:abstractNumId w:val="36"/>
  </w:num>
  <w:num w:numId="13">
    <w:abstractNumId w:val="15"/>
  </w:num>
  <w:num w:numId="14">
    <w:abstractNumId w:val="17"/>
  </w:num>
  <w:num w:numId="15">
    <w:abstractNumId w:val="0"/>
  </w:num>
  <w:num w:numId="16">
    <w:abstractNumId w:val="10"/>
  </w:num>
  <w:num w:numId="17">
    <w:abstractNumId w:val="29"/>
  </w:num>
  <w:num w:numId="18">
    <w:abstractNumId w:val="3"/>
  </w:num>
  <w:num w:numId="19">
    <w:abstractNumId w:val="19"/>
  </w:num>
  <w:num w:numId="20">
    <w:abstractNumId w:val="11"/>
  </w:num>
  <w:num w:numId="21">
    <w:abstractNumId w:val="4"/>
  </w:num>
  <w:num w:numId="22">
    <w:abstractNumId w:val="7"/>
  </w:num>
  <w:num w:numId="23">
    <w:abstractNumId w:val="6"/>
  </w:num>
  <w:num w:numId="24">
    <w:abstractNumId w:val="8"/>
  </w:num>
  <w:num w:numId="25">
    <w:abstractNumId w:val="1"/>
  </w:num>
  <w:num w:numId="26">
    <w:abstractNumId w:val="24"/>
  </w:num>
  <w:num w:numId="27">
    <w:abstractNumId w:val="31"/>
  </w:num>
  <w:num w:numId="28">
    <w:abstractNumId w:val="28"/>
  </w:num>
  <w:num w:numId="29">
    <w:abstractNumId w:val="14"/>
  </w:num>
  <w:num w:numId="30">
    <w:abstractNumId w:val="30"/>
  </w:num>
  <w:num w:numId="31">
    <w:abstractNumId w:val="32"/>
  </w:num>
  <w:num w:numId="32">
    <w:abstractNumId w:val="20"/>
  </w:num>
  <w:num w:numId="33">
    <w:abstractNumId w:val="22"/>
  </w:num>
  <w:num w:numId="34">
    <w:abstractNumId w:val="5"/>
  </w:num>
  <w:num w:numId="35">
    <w:abstractNumId w:val="34"/>
  </w:num>
  <w:num w:numId="36">
    <w:abstractNumId w:val="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CAF"/>
    <w:rsid w:val="0000147E"/>
    <w:rsid w:val="000014AF"/>
    <w:rsid w:val="0000159F"/>
    <w:rsid w:val="000015C3"/>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9A6"/>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25B"/>
    <w:rsid w:val="00015A21"/>
    <w:rsid w:val="00015C51"/>
    <w:rsid w:val="00015EAF"/>
    <w:rsid w:val="00015F98"/>
    <w:rsid w:val="0001647D"/>
    <w:rsid w:val="000165EE"/>
    <w:rsid w:val="000166AC"/>
    <w:rsid w:val="00016C33"/>
    <w:rsid w:val="00017845"/>
    <w:rsid w:val="00017B7F"/>
    <w:rsid w:val="00017EDA"/>
    <w:rsid w:val="00020008"/>
    <w:rsid w:val="00020568"/>
    <w:rsid w:val="000212A5"/>
    <w:rsid w:val="00021927"/>
    <w:rsid w:val="00021B89"/>
    <w:rsid w:val="00021E78"/>
    <w:rsid w:val="00022535"/>
    <w:rsid w:val="00022667"/>
    <w:rsid w:val="00022730"/>
    <w:rsid w:val="000229C3"/>
    <w:rsid w:val="00022B8C"/>
    <w:rsid w:val="00022C0E"/>
    <w:rsid w:val="00023005"/>
    <w:rsid w:val="000231C8"/>
    <w:rsid w:val="000233B4"/>
    <w:rsid w:val="00023742"/>
    <w:rsid w:val="00023EA5"/>
    <w:rsid w:val="00024594"/>
    <w:rsid w:val="00024AEF"/>
    <w:rsid w:val="00024D86"/>
    <w:rsid w:val="00025329"/>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248"/>
    <w:rsid w:val="000342AF"/>
    <w:rsid w:val="000342E7"/>
    <w:rsid w:val="0003441A"/>
    <w:rsid w:val="0003479E"/>
    <w:rsid w:val="00034BD3"/>
    <w:rsid w:val="00034C20"/>
    <w:rsid w:val="000350E7"/>
    <w:rsid w:val="00035432"/>
    <w:rsid w:val="00035691"/>
    <w:rsid w:val="00035EAB"/>
    <w:rsid w:val="00035F29"/>
    <w:rsid w:val="00035F57"/>
    <w:rsid w:val="0003642B"/>
    <w:rsid w:val="000366D8"/>
    <w:rsid w:val="00036861"/>
    <w:rsid w:val="00036E5A"/>
    <w:rsid w:val="000370FA"/>
    <w:rsid w:val="000372BE"/>
    <w:rsid w:val="0003742B"/>
    <w:rsid w:val="00037628"/>
    <w:rsid w:val="0003767C"/>
    <w:rsid w:val="00037841"/>
    <w:rsid w:val="00037A5A"/>
    <w:rsid w:val="00037FBE"/>
    <w:rsid w:val="000402B5"/>
    <w:rsid w:val="0004040F"/>
    <w:rsid w:val="000407D4"/>
    <w:rsid w:val="0004088D"/>
    <w:rsid w:val="0004091D"/>
    <w:rsid w:val="00040CE2"/>
    <w:rsid w:val="00040F4F"/>
    <w:rsid w:val="00041052"/>
    <w:rsid w:val="00041326"/>
    <w:rsid w:val="0004132D"/>
    <w:rsid w:val="00041907"/>
    <w:rsid w:val="00041C9D"/>
    <w:rsid w:val="00042268"/>
    <w:rsid w:val="000426DF"/>
    <w:rsid w:val="00042FCB"/>
    <w:rsid w:val="00043475"/>
    <w:rsid w:val="000437B7"/>
    <w:rsid w:val="000440AD"/>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E36"/>
    <w:rsid w:val="000511F9"/>
    <w:rsid w:val="00051B32"/>
    <w:rsid w:val="00051D3B"/>
    <w:rsid w:val="00051E0B"/>
    <w:rsid w:val="00051E1E"/>
    <w:rsid w:val="000522FF"/>
    <w:rsid w:val="0005230E"/>
    <w:rsid w:val="000524CF"/>
    <w:rsid w:val="00052850"/>
    <w:rsid w:val="000528A2"/>
    <w:rsid w:val="00052BBA"/>
    <w:rsid w:val="00052E75"/>
    <w:rsid w:val="00052F76"/>
    <w:rsid w:val="00053331"/>
    <w:rsid w:val="00053588"/>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60373"/>
    <w:rsid w:val="00060470"/>
    <w:rsid w:val="000604A2"/>
    <w:rsid w:val="00060696"/>
    <w:rsid w:val="00060A01"/>
    <w:rsid w:val="00060D8E"/>
    <w:rsid w:val="00060D96"/>
    <w:rsid w:val="00061093"/>
    <w:rsid w:val="00061EB5"/>
    <w:rsid w:val="00062159"/>
    <w:rsid w:val="00062578"/>
    <w:rsid w:val="00062E4C"/>
    <w:rsid w:val="00063708"/>
    <w:rsid w:val="00063D9E"/>
    <w:rsid w:val="00063F33"/>
    <w:rsid w:val="000646FE"/>
    <w:rsid w:val="00064AD3"/>
    <w:rsid w:val="00064ADD"/>
    <w:rsid w:val="00065088"/>
    <w:rsid w:val="000652D3"/>
    <w:rsid w:val="000654A0"/>
    <w:rsid w:val="000654B8"/>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7012D"/>
    <w:rsid w:val="00070195"/>
    <w:rsid w:val="000701AD"/>
    <w:rsid w:val="0007024F"/>
    <w:rsid w:val="0007050D"/>
    <w:rsid w:val="000706C3"/>
    <w:rsid w:val="000707B5"/>
    <w:rsid w:val="000707CA"/>
    <w:rsid w:val="000708C4"/>
    <w:rsid w:val="00070BC5"/>
    <w:rsid w:val="00070D21"/>
    <w:rsid w:val="00070F56"/>
    <w:rsid w:val="000711BC"/>
    <w:rsid w:val="000711ED"/>
    <w:rsid w:val="0007148D"/>
    <w:rsid w:val="000717FB"/>
    <w:rsid w:val="000718F2"/>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C20"/>
    <w:rsid w:val="0007428C"/>
    <w:rsid w:val="00074881"/>
    <w:rsid w:val="00074A3A"/>
    <w:rsid w:val="000753E0"/>
    <w:rsid w:val="00075965"/>
    <w:rsid w:val="000759A3"/>
    <w:rsid w:val="000759F6"/>
    <w:rsid w:val="00075BE8"/>
    <w:rsid w:val="00075FDA"/>
    <w:rsid w:val="0007602B"/>
    <w:rsid w:val="00076353"/>
    <w:rsid w:val="00076386"/>
    <w:rsid w:val="00076566"/>
    <w:rsid w:val="000767B6"/>
    <w:rsid w:val="00076869"/>
    <w:rsid w:val="00076D82"/>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D11"/>
    <w:rsid w:val="000841EC"/>
    <w:rsid w:val="0008494B"/>
    <w:rsid w:val="00084A65"/>
    <w:rsid w:val="00084E8B"/>
    <w:rsid w:val="0008559A"/>
    <w:rsid w:val="00085B16"/>
    <w:rsid w:val="00085E78"/>
    <w:rsid w:val="0008600D"/>
    <w:rsid w:val="00086334"/>
    <w:rsid w:val="00086C5A"/>
    <w:rsid w:val="00087320"/>
    <w:rsid w:val="000877E1"/>
    <w:rsid w:val="00087888"/>
    <w:rsid w:val="00087D0A"/>
    <w:rsid w:val="000902C2"/>
    <w:rsid w:val="00090309"/>
    <w:rsid w:val="00090479"/>
    <w:rsid w:val="00090D04"/>
    <w:rsid w:val="0009123A"/>
    <w:rsid w:val="000915B0"/>
    <w:rsid w:val="000917D2"/>
    <w:rsid w:val="00091A92"/>
    <w:rsid w:val="00091AEB"/>
    <w:rsid w:val="00091BB5"/>
    <w:rsid w:val="000929B1"/>
    <w:rsid w:val="00092A0E"/>
    <w:rsid w:val="0009322C"/>
    <w:rsid w:val="00093244"/>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287"/>
    <w:rsid w:val="000A3A6B"/>
    <w:rsid w:val="000A3C1E"/>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6A"/>
    <w:rsid w:val="000B2C6F"/>
    <w:rsid w:val="000B3157"/>
    <w:rsid w:val="000B3169"/>
    <w:rsid w:val="000B3388"/>
    <w:rsid w:val="000B3456"/>
    <w:rsid w:val="000B3A5E"/>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719B"/>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D1D"/>
    <w:rsid w:val="000E3E06"/>
    <w:rsid w:val="000E4069"/>
    <w:rsid w:val="000E4350"/>
    <w:rsid w:val="000E4376"/>
    <w:rsid w:val="000E4408"/>
    <w:rsid w:val="000E4665"/>
    <w:rsid w:val="000E4C54"/>
    <w:rsid w:val="000E53AB"/>
    <w:rsid w:val="000E55FE"/>
    <w:rsid w:val="000E5716"/>
    <w:rsid w:val="000E5CD4"/>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B2"/>
    <w:rsid w:val="000F1902"/>
    <w:rsid w:val="000F19DE"/>
    <w:rsid w:val="000F1BCC"/>
    <w:rsid w:val="000F1DA7"/>
    <w:rsid w:val="000F1FD2"/>
    <w:rsid w:val="000F22DE"/>
    <w:rsid w:val="000F293D"/>
    <w:rsid w:val="000F2A85"/>
    <w:rsid w:val="000F2E1F"/>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6E"/>
    <w:rsid w:val="0010090E"/>
    <w:rsid w:val="001011C1"/>
    <w:rsid w:val="00101405"/>
    <w:rsid w:val="0010170B"/>
    <w:rsid w:val="00101744"/>
    <w:rsid w:val="00101786"/>
    <w:rsid w:val="00101C4F"/>
    <w:rsid w:val="001021E5"/>
    <w:rsid w:val="001029EE"/>
    <w:rsid w:val="00102C9F"/>
    <w:rsid w:val="00102E24"/>
    <w:rsid w:val="00102E73"/>
    <w:rsid w:val="00102F96"/>
    <w:rsid w:val="00103131"/>
    <w:rsid w:val="00103283"/>
    <w:rsid w:val="00103557"/>
    <w:rsid w:val="00103586"/>
    <w:rsid w:val="001036D3"/>
    <w:rsid w:val="0010372A"/>
    <w:rsid w:val="00103B75"/>
    <w:rsid w:val="00103FC9"/>
    <w:rsid w:val="0010425E"/>
    <w:rsid w:val="00104BCE"/>
    <w:rsid w:val="0010504B"/>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C8"/>
    <w:rsid w:val="0011401E"/>
    <w:rsid w:val="00114024"/>
    <w:rsid w:val="00114AC2"/>
    <w:rsid w:val="00114E96"/>
    <w:rsid w:val="00114FA0"/>
    <w:rsid w:val="001152C7"/>
    <w:rsid w:val="00115A2D"/>
    <w:rsid w:val="00115AAF"/>
    <w:rsid w:val="00115C88"/>
    <w:rsid w:val="0011644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3E7"/>
    <w:rsid w:val="001277A9"/>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F9B"/>
    <w:rsid w:val="001341E8"/>
    <w:rsid w:val="0013427A"/>
    <w:rsid w:val="0013432C"/>
    <w:rsid w:val="001348FE"/>
    <w:rsid w:val="00134957"/>
    <w:rsid w:val="00134B0D"/>
    <w:rsid w:val="00134B36"/>
    <w:rsid w:val="00134C8E"/>
    <w:rsid w:val="00134D55"/>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C8C"/>
    <w:rsid w:val="00141E40"/>
    <w:rsid w:val="00141F08"/>
    <w:rsid w:val="00141FF2"/>
    <w:rsid w:val="0014220C"/>
    <w:rsid w:val="0014265B"/>
    <w:rsid w:val="00142673"/>
    <w:rsid w:val="0014287A"/>
    <w:rsid w:val="00142C60"/>
    <w:rsid w:val="00142DE2"/>
    <w:rsid w:val="00143065"/>
    <w:rsid w:val="001430BE"/>
    <w:rsid w:val="001432E3"/>
    <w:rsid w:val="001436FA"/>
    <w:rsid w:val="00143A30"/>
    <w:rsid w:val="001443C1"/>
    <w:rsid w:val="0014472C"/>
    <w:rsid w:val="00144C87"/>
    <w:rsid w:val="00144CC0"/>
    <w:rsid w:val="00145264"/>
    <w:rsid w:val="00145879"/>
    <w:rsid w:val="00145EED"/>
    <w:rsid w:val="0014619A"/>
    <w:rsid w:val="001467B1"/>
    <w:rsid w:val="00146D28"/>
    <w:rsid w:val="001470BF"/>
    <w:rsid w:val="001472DB"/>
    <w:rsid w:val="001476BC"/>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E1D"/>
    <w:rsid w:val="00152976"/>
    <w:rsid w:val="00152B05"/>
    <w:rsid w:val="00152C7A"/>
    <w:rsid w:val="00152F8F"/>
    <w:rsid w:val="001530D9"/>
    <w:rsid w:val="001532BA"/>
    <w:rsid w:val="00153313"/>
    <w:rsid w:val="00153799"/>
    <w:rsid w:val="001537E9"/>
    <w:rsid w:val="00153F9A"/>
    <w:rsid w:val="00153FED"/>
    <w:rsid w:val="001545A8"/>
    <w:rsid w:val="0015465F"/>
    <w:rsid w:val="00154988"/>
    <w:rsid w:val="00154C99"/>
    <w:rsid w:val="0015583F"/>
    <w:rsid w:val="00155BFD"/>
    <w:rsid w:val="00156075"/>
    <w:rsid w:val="001560D8"/>
    <w:rsid w:val="001564E9"/>
    <w:rsid w:val="00156ABA"/>
    <w:rsid w:val="00156E65"/>
    <w:rsid w:val="0015720A"/>
    <w:rsid w:val="00157390"/>
    <w:rsid w:val="00157594"/>
    <w:rsid w:val="001577B3"/>
    <w:rsid w:val="00157BFB"/>
    <w:rsid w:val="00157C1C"/>
    <w:rsid w:val="00160232"/>
    <w:rsid w:val="0016072E"/>
    <w:rsid w:val="00160998"/>
    <w:rsid w:val="00160CD6"/>
    <w:rsid w:val="00160F5F"/>
    <w:rsid w:val="001615FB"/>
    <w:rsid w:val="0016175D"/>
    <w:rsid w:val="00162308"/>
    <w:rsid w:val="00162426"/>
    <w:rsid w:val="0016268F"/>
    <w:rsid w:val="001628B5"/>
    <w:rsid w:val="0016316A"/>
    <w:rsid w:val="00163363"/>
    <w:rsid w:val="00163539"/>
    <w:rsid w:val="0016370D"/>
    <w:rsid w:val="0016381F"/>
    <w:rsid w:val="00163C7F"/>
    <w:rsid w:val="00163D1D"/>
    <w:rsid w:val="00163E9B"/>
    <w:rsid w:val="00163FEF"/>
    <w:rsid w:val="00164171"/>
    <w:rsid w:val="00164BB5"/>
    <w:rsid w:val="00164E58"/>
    <w:rsid w:val="00165033"/>
    <w:rsid w:val="00165078"/>
    <w:rsid w:val="0016522C"/>
    <w:rsid w:val="00165926"/>
    <w:rsid w:val="00165B02"/>
    <w:rsid w:val="00165CDF"/>
    <w:rsid w:val="00166124"/>
    <w:rsid w:val="001665EB"/>
    <w:rsid w:val="0016692E"/>
    <w:rsid w:val="00166A35"/>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A93"/>
    <w:rsid w:val="00171C9D"/>
    <w:rsid w:val="001724DA"/>
    <w:rsid w:val="00172F5D"/>
    <w:rsid w:val="0017345C"/>
    <w:rsid w:val="00173BD8"/>
    <w:rsid w:val="00173DA8"/>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AB9"/>
    <w:rsid w:val="00177DD3"/>
    <w:rsid w:val="00177F05"/>
    <w:rsid w:val="00180278"/>
    <w:rsid w:val="00180561"/>
    <w:rsid w:val="001807F2"/>
    <w:rsid w:val="00180A3C"/>
    <w:rsid w:val="00180CCB"/>
    <w:rsid w:val="00181689"/>
    <w:rsid w:val="0018182D"/>
    <w:rsid w:val="001818A7"/>
    <w:rsid w:val="0018199F"/>
    <w:rsid w:val="00181BA0"/>
    <w:rsid w:val="00181EFB"/>
    <w:rsid w:val="00182589"/>
    <w:rsid w:val="00182725"/>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748E"/>
    <w:rsid w:val="0018748F"/>
    <w:rsid w:val="0018773A"/>
    <w:rsid w:val="00187AB3"/>
    <w:rsid w:val="00187C67"/>
    <w:rsid w:val="001905BD"/>
    <w:rsid w:val="001905E2"/>
    <w:rsid w:val="00190629"/>
    <w:rsid w:val="0019073E"/>
    <w:rsid w:val="00190B1C"/>
    <w:rsid w:val="00191131"/>
    <w:rsid w:val="001917BC"/>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5A5"/>
    <w:rsid w:val="001B065B"/>
    <w:rsid w:val="001B0832"/>
    <w:rsid w:val="001B0875"/>
    <w:rsid w:val="001B0C98"/>
    <w:rsid w:val="001B0CB0"/>
    <w:rsid w:val="001B1321"/>
    <w:rsid w:val="001B164A"/>
    <w:rsid w:val="001B16C1"/>
    <w:rsid w:val="001B187E"/>
    <w:rsid w:val="001B18A7"/>
    <w:rsid w:val="001B1DB4"/>
    <w:rsid w:val="001B1FB4"/>
    <w:rsid w:val="001B2182"/>
    <w:rsid w:val="001B2762"/>
    <w:rsid w:val="001B2CB8"/>
    <w:rsid w:val="001B335A"/>
    <w:rsid w:val="001B3416"/>
    <w:rsid w:val="001B347D"/>
    <w:rsid w:val="001B36DA"/>
    <w:rsid w:val="001B36FC"/>
    <w:rsid w:val="001B3AC6"/>
    <w:rsid w:val="001B3CB5"/>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53A"/>
    <w:rsid w:val="001C05DB"/>
    <w:rsid w:val="001C0674"/>
    <w:rsid w:val="001C08A2"/>
    <w:rsid w:val="001C0A5C"/>
    <w:rsid w:val="001C0A7F"/>
    <w:rsid w:val="001C1405"/>
    <w:rsid w:val="001C1775"/>
    <w:rsid w:val="001C1B93"/>
    <w:rsid w:val="001C1ED7"/>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0D3"/>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5B"/>
    <w:rsid w:val="001D46A0"/>
    <w:rsid w:val="001D4E26"/>
    <w:rsid w:val="001D50C2"/>
    <w:rsid w:val="001D5677"/>
    <w:rsid w:val="001D5B99"/>
    <w:rsid w:val="001D5D37"/>
    <w:rsid w:val="001D5D6F"/>
    <w:rsid w:val="001D5F02"/>
    <w:rsid w:val="001D6043"/>
    <w:rsid w:val="001D6062"/>
    <w:rsid w:val="001D6312"/>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D47"/>
    <w:rsid w:val="001E4D4F"/>
    <w:rsid w:val="001E4DA4"/>
    <w:rsid w:val="001E54F9"/>
    <w:rsid w:val="001E57CF"/>
    <w:rsid w:val="001E5981"/>
    <w:rsid w:val="001E5EA7"/>
    <w:rsid w:val="001E632D"/>
    <w:rsid w:val="001E6435"/>
    <w:rsid w:val="001E64B7"/>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8C6"/>
    <w:rsid w:val="001F2DBD"/>
    <w:rsid w:val="001F2F2E"/>
    <w:rsid w:val="001F34DA"/>
    <w:rsid w:val="001F39A1"/>
    <w:rsid w:val="001F39A5"/>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20006A"/>
    <w:rsid w:val="0020096C"/>
    <w:rsid w:val="00200A47"/>
    <w:rsid w:val="0020160A"/>
    <w:rsid w:val="00201669"/>
    <w:rsid w:val="00201D0B"/>
    <w:rsid w:val="00201D3C"/>
    <w:rsid w:val="00201F41"/>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8A1"/>
    <w:rsid w:val="002158D1"/>
    <w:rsid w:val="00215AAA"/>
    <w:rsid w:val="00216319"/>
    <w:rsid w:val="00216810"/>
    <w:rsid w:val="0021683C"/>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700"/>
    <w:rsid w:val="00224A2C"/>
    <w:rsid w:val="00224E5B"/>
    <w:rsid w:val="00224E66"/>
    <w:rsid w:val="00225139"/>
    <w:rsid w:val="00225217"/>
    <w:rsid w:val="002256D9"/>
    <w:rsid w:val="00225B8E"/>
    <w:rsid w:val="00225E91"/>
    <w:rsid w:val="002260E8"/>
    <w:rsid w:val="00226577"/>
    <w:rsid w:val="0022687C"/>
    <w:rsid w:val="00226AED"/>
    <w:rsid w:val="00226C4B"/>
    <w:rsid w:val="002270DD"/>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9E2"/>
    <w:rsid w:val="00241DC0"/>
    <w:rsid w:val="00242204"/>
    <w:rsid w:val="002423CF"/>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503"/>
    <w:rsid w:val="00246894"/>
    <w:rsid w:val="00246BC3"/>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600AF"/>
    <w:rsid w:val="00260226"/>
    <w:rsid w:val="00260467"/>
    <w:rsid w:val="00260AEE"/>
    <w:rsid w:val="00260ED8"/>
    <w:rsid w:val="00260FDF"/>
    <w:rsid w:val="002611CF"/>
    <w:rsid w:val="0026196A"/>
    <w:rsid w:val="00261AB8"/>
    <w:rsid w:val="00261BE6"/>
    <w:rsid w:val="00261F78"/>
    <w:rsid w:val="002621A6"/>
    <w:rsid w:val="00262345"/>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7006E"/>
    <w:rsid w:val="00270304"/>
    <w:rsid w:val="00270460"/>
    <w:rsid w:val="002706B8"/>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4C2"/>
    <w:rsid w:val="00282A27"/>
    <w:rsid w:val="00282A72"/>
    <w:rsid w:val="00282D3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955"/>
    <w:rsid w:val="00291D49"/>
    <w:rsid w:val="00291F36"/>
    <w:rsid w:val="00292399"/>
    <w:rsid w:val="00292483"/>
    <w:rsid w:val="002929D9"/>
    <w:rsid w:val="00292A22"/>
    <w:rsid w:val="00293419"/>
    <w:rsid w:val="00293A41"/>
    <w:rsid w:val="00293B50"/>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3E"/>
    <w:rsid w:val="002A3BA0"/>
    <w:rsid w:val="002A4116"/>
    <w:rsid w:val="002A4546"/>
    <w:rsid w:val="002A48A7"/>
    <w:rsid w:val="002A4971"/>
    <w:rsid w:val="002A4D8C"/>
    <w:rsid w:val="002A5DA6"/>
    <w:rsid w:val="002A5E11"/>
    <w:rsid w:val="002A607D"/>
    <w:rsid w:val="002A6511"/>
    <w:rsid w:val="002A6582"/>
    <w:rsid w:val="002A669F"/>
    <w:rsid w:val="002A6C8D"/>
    <w:rsid w:val="002A6D07"/>
    <w:rsid w:val="002A7401"/>
    <w:rsid w:val="002A74D9"/>
    <w:rsid w:val="002A7FF8"/>
    <w:rsid w:val="002B0A10"/>
    <w:rsid w:val="002B108F"/>
    <w:rsid w:val="002B10F0"/>
    <w:rsid w:val="002B11E6"/>
    <w:rsid w:val="002B132E"/>
    <w:rsid w:val="002B1499"/>
    <w:rsid w:val="002B153E"/>
    <w:rsid w:val="002B16C6"/>
    <w:rsid w:val="002B1846"/>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200F"/>
    <w:rsid w:val="002C20F7"/>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98F"/>
    <w:rsid w:val="002C5ADA"/>
    <w:rsid w:val="002C603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40"/>
    <w:rsid w:val="002E0692"/>
    <w:rsid w:val="002E076F"/>
    <w:rsid w:val="002E131F"/>
    <w:rsid w:val="002E143B"/>
    <w:rsid w:val="002E152D"/>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C37"/>
    <w:rsid w:val="002E5E1D"/>
    <w:rsid w:val="002E60FF"/>
    <w:rsid w:val="002E62D2"/>
    <w:rsid w:val="002E68F0"/>
    <w:rsid w:val="002E6AD9"/>
    <w:rsid w:val="002E6BC5"/>
    <w:rsid w:val="002E6F41"/>
    <w:rsid w:val="002E734F"/>
    <w:rsid w:val="002E73B3"/>
    <w:rsid w:val="002E74AF"/>
    <w:rsid w:val="002E758C"/>
    <w:rsid w:val="002E75FF"/>
    <w:rsid w:val="002E7B04"/>
    <w:rsid w:val="002E7DE9"/>
    <w:rsid w:val="002F020A"/>
    <w:rsid w:val="002F1038"/>
    <w:rsid w:val="002F1344"/>
    <w:rsid w:val="002F1713"/>
    <w:rsid w:val="002F19AC"/>
    <w:rsid w:val="002F1ABA"/>
    <w:rsid w:val="002F1B11"/>
    <w:rsid w:val="002F1BEC"/>
    <w:rsid w:val="002F1DE5"/>
    <w:rsid w:val="002F1F6D"/>
    <w:rsid w:val="002F205E"/>
    <w:rsid w:val="002F2201"/>
    <w:rsid w:val="002F2245"/>
    <w:rsid w:val="002F22FF"/>
    <w:rsid w:val="002F2587"/>
    <w:rsid w:val="002F2624"/>
    <w:rsid w:val="002F2D8F"/>
    <w:rsid w:val="002F2E80"/>
    <w:rsid w:val="002F3746"/>
    <w:rsid w:val="002F3B20"/>
    <w:rsid w:val="002F3D28"/>
    <w:rsid w:val="002F4011"/>
    <w:rsid w:val="002F4919"/>
    <w:rsid w:val="002F4FC3"/>
    <w:rsid w:val="002F53D3"/>
    <w:rsid w:val="002F5554"/>
    <w:rsid w:val="002F5635"/>
    <w:rsid w:val="002F599E"/>
    <w:rsid w:val="002F5BE4"/>
    <w:rsid w:val="002F5FA3"/>
    <w:rsid w:val="002F6314"/>
    <w:rsid w:val="002F6510"/>
    <w:rsid w:val="002F695B"/>
    <w:rsid w:val="002F6BB6"/>
    <w:rsid w:val="002F6CA8"/>
    <w:rsid w:val="002F6F5F"/>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C3"/>
    <w:rsid w:val="00301DF2"/>
    <w:rsid w:val="00302523"/>
    <w:rsid w:val="00302A6B"/>
    <w:rsid w:val="00302AE8"/>
    <w:rsid w:val="00302BB1"/>
    <w:rsid w:val="00302C4F"/>
    <w:rsid w:val="003030F0"/>
    <w:rsid w:val="00303373"/>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6526"/>
    <w:rsid w:val="0031708C"/>
    <w:rsid w:val="003175E1"/>
    <w:rsid w:val="0031789C"/>
    <w:rsid w:val="00317A63"/>
    <w:rsid w:val="00320299"/>
    <w:rsid w:val="00320A5F"/>
    <w:rsid w:val="00320A9D"/>
    <w:rsid w:val="00320E19"/>
    <w:rsid w:val="00321154"/>
    <w:rsid w:val="003211B0"/>
    <w:rsid w:val="00321225"/>
    <w:rsid w:val="003212BE"/>
    <w:rsid w:val="00321605"/>
    <w:rsid w:val="00321B1F"/>
    <w:rsid w:val="00321C12"/>
    <w:rsid w:val="00321C66"/>
    <w:rsid w:val="00321EDA"/>
    <w:rsid w:val="003221AA"/>
    <w:rsid w:val="003224AA"/>
    <w:rsid w:val="003224E7"/>
    <w:rsid w:val="0032308B"/>
    <w:rsid w:val="003233CA"/>
    <w:rsid w:val="003235BC"/>
    <w:rsid w:val="0032390D"/>
    <w:rsid w:val="0032399C"/>
    <w:rsid w:val="0032410A"/>
    <w:rsid w:val="0032458D"/>
    <w:rsid w:val="00324CE7"/>
    <w:rsid w:val="00324DAB"/>
    <w:rsid w:val="00324F7E"/>
    <w:rsid w:val="0032521A"/>
    <w:rsid w:val="003253A4"/>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300BD"/>
    <w:rsid w:val="00330187"/>
    <w:rsid w:val="00330339"/>
    <w:rsid w:val="003303B4"/>
    <w:rsid w:val="003306BB"/>
    <w:rsid w:val="0033115A"/>
    <w:rsid w:val="00331619"/>
    <w:rsid w:val="00331787"/>
    <w:rsid w:val="00331C77"/>
    <w:rsid w:val="00331DB6"/>
    <w:rsid w:val="00331EDE"/>
    <w:rsid w:val="00331F96"/>
    <w:rsid w:val="003322E4"/>
    <w:rsid w:val="00332360"/>
    <w:rsid w:val="00332447"/>
    <w:rsid w:val="003327B6"/>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FC"/>
    <w:rsid w:val="003374BB"/>
    <w:rsid w:val="00337810"/>
    <w:rsid w:val="00337F26"/>
    <w:rsid w:val="00340361"/>
    <w:rsid w:val="00340731"/>
    <w:rsid w:val="00340795"/>
    <w:rsid w:val="003407CF"/>
    <w:rsid w:val="00340A3A"/>
    <w:rsid w:val="0034111C"/>
    <w:rsid w:val="003411A6"/>
    <w:rsid w:val="003418FE"/>
    <w:rsid w:val="00341947"/>
    <w:rsid w:val="00341C00"/>
    <w:rsid w:val="00341E60"/>
    <w:rsid w:val="00341F96"/>
    <w:rsid w:val="0034217F"/>
    <w:rsid w:val="0034276C"/>
    <w:rsid w:val="00342AD2"/>
    <w:rsid w:val="00342D8B"/>
    <w:rsid w:val="00342F49"/>
    <w:rsid w:val="00342FD9"/>
    <w:rsid w:val="00343004"/>
    <w:rsid w:val="00343143"/>
    <w:rsid w:val="00343954"/>
    <w:rsid w:val="00343ADB"/>
    <w:rsid w:val="0034421E"/>
    <w:rsid w:val="00344956"/>
    <w:rsid w:val="00344AC2"/>
    <w:rsid w:val="003451C8"/>
    <w:rsid w:val="00345386"/>
    <w:rsid w:val="00345405"/>
    <w:rsid w:val="00345499"/>
    <w:rsid w:val="0034565E"/>
    <w:rsid w:val="00345CC0"/>
    <w:rsid w:val="00345D17"/>
    <w:rsid w:val="00345DDD"/>
    <w:rsid w:val="00345FBB"/>
    <w:rsid w:val="00346A79"/>
    <w:rsid w:val="00346FED"/>
    <w:rsid w:val="00347000"/>
    <w:rsid w:val="003474D2"/>
    <w:rsid w:val="003479B2"/>
    <w:rsid w:val="00347E22"/>
    <w:rsid w:val="00350576"/>
    <w:rsid w:val="0035135E"/>
    <w:rsid w:val="00351CEC"/>
    <w:rsid w:val="00351E01"/>
    <w:rsid w:val="003521B7"/>
    <w:rsid w:val="0035232E"/>
    <w:rsid w:val="00352570"/>
    <w:rsid w:val="00352968"/>
    <w:rsid w:val="0035298B"/>
    <w:rsid w:val="00352A23"/>
    <w:rsid w:val="00352D21"/>
    <w:rsid w:val="0035301E"/>
    <w:rsid w:val="003534E7"/>
    <w:rsid w:val="00353534"/>
    <w:rsid w:val="003538B7"/>
    <w:rsid w:val="0035408F"/>
    <w:rsid w:val="0035437B"/>
    <w:rsid w:val="0035443D"/>
    <w:rsid w:val="0035456F"/>
    <w:rsid w:val="00354AA2"/>
    <w:rsid w:val="00354FEE"/>
    <w:rsid w:val="00356275"/>
    <w:rsid w:val="003564B1"/>
    <w:rsid w:val="00356791"/>
    <w:rsid w:val="0035680B"/>
    <w:rsid w:val="003569C7"/>
    <w:rsid w:val="00356C0B"/>
    <w:rsid w:val="00356F1C"/>
    <w:rsid w:val="00357088"/>
    <w:rsid w:val="0035741B"/>
    <w:rsid w:val="00357536"/>
    <w:rsid w:val="00357723"/>
    <w:rsid w:val="00357ADE"/>
    <w:rsid w:val="00357B9C"/>
    <w:rsid w:val="00357DF1"/>
    <w:rsid w:val="00360BE2"/>
    <w:rsid w:val="003613E3"/>
    <w:rsid w:val="00361412"/>
    <w:rsid w:val="003614C6"/>
    <w:rsid w:val="00361582"/>
    <w:rsid w:val="003615CA"/>
    <w:rsid w:val="00361942"/>
    <w:rsid w:val="00361B51"/>
    <w:rsid w:val="00361D5B"/>
    <w:rsid w:val="00362132"/>
    <w:rsid w:val="003624E9"/>
    <w:rsid w:val="00362634"/>
    <w:rsid w:val="00362907"/>
    <w:rsid w:val="003629FF"/>
    <w:rsid w:val="00362A2C"/>
    <w:rsid w:val="00362AC2"/>
    <w:rsid w:val="003637BF"/>
    <w:rsid w:val="0036391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96A"/>
    <w:rsid w:val="00385C1A"/>
    <w:rsid w:val="00385F3C"/>
    <w:rsid w:val="00386053"/>
    <w:rsid w:val="0038634B"/>
    <w:rsid w:val="003864A8"/>
    <w:rsid w:val="00386523"/>
    <w:rsid w:val="00386EA8"/>
    <w:rsid w:val="00387459"/>
    <w:rsid w:val="0038771D"/>
    <w:rsid w:val="00387C65"/>
    <w:rsid w:val="00390154"/>
    <w:rsid w:val="00390935"/>
    <w:rsid w:val="00390E6C"/>
    <w:rsid w:val="00391D5E"/>
    <w:rsid w:val="00391EAA"/>
    <w:rsid w:val="00392202"/>
    <w:rsid w:val="00392304"/>
    <w:rsid w:val="003923D8"/>
    <w:rsid w:val="0039241F"/>
    <w:rsid w:val="00392434"/>
    <w:rsid w:val="00392491"/>
    <w:rsid w:val="00392493"/>
    <w:rsid w:val="003927C5"/>
    <w:rsid w:val="00392AA2"/>
    <w:rsid w:val="00392FD3"/>
    <w:rsid w:val="003931D2"/>
    <w:rsid w:val="003935B0"/>
    <w:rsid w:val="00393E0B"/>
    <w:rsid w:val="00393E2A"/>
    <w:rsid w:val="00393E44"/>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A024C"/>
    <w:rsid w:val="003A02CF"/>
    <w:rsid w:val="003A10C3"/>
    <w:rsid w:val="003A11C1"/>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F4B"/>
    <w:rsid w:val="003B15AC"/>
    <w:rsid w:val="003B1844"/>
    <w:rsid w:val="003B184A"/>
    <w:rsid w:val="003B1863"/>
    <w:rsid w:val="003B1950"/>
    <w:rsid w:val="003B1F93"/>
    <w:rsid w:val="003B27FA"/>
    <w:rsid w:val="003B2C6C"/>
    <w:rsid w:val="003B2E95"/>
    <w:rsid w:val="003B2E9B"/>
    <w:rsid w:val="003B2EBD"/>
    <w:rsid w:val="003B2F8D"/>
    <w:rsid w:val="003B31D0"/>
    <w:rsid w:val="003B32D4"/>
    <w:rsid w:val="003B3461"/>
    <w:rsid w:val="003B3C64"/>
    <w:rsid w:val="003B44EB"/>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5B9"/>
    <w:rsid w:val="003B7903"/>
    <w:rsid w:val="003B7961"/>
    <w:rsid w:val="003B7C29"/>
    <w:rsid w:val="003C0145"/>
    <w:rsid w:val="003C01A8"/>
    <w:rsid w:val="003C0467"/>
    <w:rsid w:val="003C061D"/>
    <w:rsid w:val="003C0730"/>
    <w:rsid w:val="003C087B"/>
    <w:rsid w:val="003C0DA2"/>
    <w:rsid w:val="003C1095"/>
    <w:rsid w:val="003C12F8"/>
    <w:rsid w:val="003C17EC"/>
    <w:rsid w:val="003C1A18"/>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669D"/>
    <w:rsid w:val="003C6877"/>
    <w:rsid w:val="003C695A"/>
    <w:rsid w:val="003C7062"/>
    <w:rsid w:val="003C7461"/>
    <w:rsid w:val="003C761F"/>
    <w:rsid w:val="003C7741"/>
    <w:rsid w:val="003C7A56"/>
    <w:rsid w:val="003D051D"/>
    <w:rsid w:val="003D05DA"/>
    <w:rsid w:val="003D0788"/>
    <w:rsid w:val="003D0DB4"/>
    <w:rsid w:val="003D0E44"/>
    <w:rsid w:val="003D0F00"/>
    <w:rsid w:val="003D132A"/>
    <w:rsid w:val="003D1517"/>
    <w:rsid w:val="003D1D50"/>
    <w:rsid w:val="003D2213"/>
    <w:rsid w:val="003D232D"/>
    <w:rsid w:val="003D24DD"/>
    <w:rsid w:val="003D25D8"/>
    <w:rsid w:val="003D25E2"/>
    <w:rsid w:val="003D286B"/>
    <w:rsid w:val="003D2938"/>
    <w:rsid w:val="003D2DE5"/>
    <w:rsid w:val="003D3345"/>
    <w:rsid w:val="003D33F9"/>
    <w:rsid w:val="003D397A"/>
    <w:rsid w:val="003D3EC2"/>
    <w:rsid w:val="003D3FBA"/>
    <w:rsid w:val="003D3FD8"/>
    <w:rsid w:val="003D402B"/>
    <w:rsid w:val="003D40E2"/>
    <w:rsid w:val="003D42CB"/>
    <w:rsid w:val="003D46F4"/>
    <w:rsid w:val="003D54B0"/>
    <w:rsid w:val="003D5500"/>
    <w:rsid w:val="003D5566"/>
    <w:rsid w:val="003D5611"/>
    <w:rsid w:val="003D56DF"/>
    <w:rsid w:val="003D57C7"/>
    <w:rsid w:val="003D5C6D"/>
    <w:rsid w:val="003D5DE7"/>
    <w:rsid w:val="003D64B1"/>
    <w:rsid w:val="003D64B9"/>
    <w:rsid w:val="003D688F"/>
    <w:rsid w:val="003D6E68"/>
    <w:rsid w:val="003D739F"/>
    <w:rsid w:val="003D764F"/>
    <w:rsid w:val="003D76EF"/>
    <w:rsid w:val="003D77AE"/>
    <w:rsid w:val="003D7BC8"/>
    <w:rsid w:val="003D7F11"/>
    <w:rsid w:val="003E0042"/>
    <w:rsid w:val="003E0667"/>
    <w:rsid w:val="003E0BCE"/>
    <w:rsid w:val="003E0DF3"/>
    <w:rsid w:val="003E1017"/>
    <w:rsid w:val="003E1086"/>
    <w:rsid w:val="003E13E0"/>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123"/>
    <w:rsid w:val="003E46D1"/>
    <w:rsid w:val="003E46DB"/>
    <w:rsid w:val="003E47D4"/>
    <w:rsid w:val="003E4904"/>
    <w:rsid w:val="003E4E72"/>
    <w:rsid w:val="003E50B9"/>
    <w:rsid w:val="003E5587"/>
    <w:rsid w:val="003E5AFA"/>
    <w:rsid w:val="003E5B73"/>
    <w:rsid w:val="003E5D39"/>
    <w:rsid w:val="003E61EB"/>
    <w:rsid w:val="003E64A9"/>
    <w:rsid w:val="003E64F6"/>
    <w:rsid w:val="003E6A02"/>
    <w:rsid w:val="003E6EE1"/>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257"/>
    <w:rsid w:val="003F4360"/>
    <w:rsid w:val="003F456B"/>
    <w:rsid w:val="003F489A"/>
    <w:rsid w:val="003F49B5"/>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3BA"/>
    <w:rsid w:val="00402C83"/>
    <w:rsid w:val="00402FC2"/>
    <w:rsid w:val="00403171"/>
    <w:rsid w:val="004031DC"/>
    <w:rsid w:val="0040341C"/>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668"/>
    <w:rsid w:val="0041069A"/>
    <w:rsid w:val="00410BB6"/>
    <w:rsid w:val="00410EFF"/>
    <w:rsid w:val="0041123E"/>
    <w:rsid w:val="0041145C"/>
    <w:rsid w:val="00411525"/>
    <w:rsid w:val="00411537"/>
    <w:rsid w:val="004117C0"/>
    <w:rsid w:val="0041188C"/>
    <w:rsid w:val="00411E16"/>
    <w:rsid w:val="00411EC4"/>
    <w:rsid w:val="0041256F"/>
    <w:rsid w:val="00412B61"/>
    <w:rsid w:val="00412FC1"/>
    <w:rsid w:val="004133DC"/>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D44"/>
    <w:rsid w:val="00417289"/>
    <w:rsid w:val="00417507"/>
    <w:rsid w:val="004175C0"/>
    <w:rsid w:val="004176FF"/>
    <w:rsid w:val="00417A1E"/>
    <w:rsid w:val="00420182"/>
    <w:rsid w:val="00420192"/>
    <w:rsid w:val="0042037E"/>
    <w:rsid w:val="00420516"/>
    <w:rsid w:val="00420EC1"/>
    <w:rsid w:val="0042124F"/>
    <w:rsid w:val="00421475"/>
    <w:rsid w:val="0042156C"/>
    <w:rsid w:val="0042170B"/>
    <w:rsid w:val="00421A27"/>
    <w:rsid w:val="00421C06"/>
    <w:rsid w:val="00421D0A"/>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6B"/>
    <w:rsid w:val="004311BE"/>
    <w:rsid w:val="004313D1"/>
    <w:rsid w:val="004313FC"/>
    <w:rsid w:val="00431502"/>
    <w:rsid w:val="0043197C"/>
    <w:rsid w:val="00431DF2"/>
    <w:rsid w:val="00432110"/>
    <w:rsid w:val="00432143"/>
    <w:rsid w:val="004323EC"/>
    <w:rsid w:val="004325F3"/>
    <w:rsid w:val="004328EE"/>
    <w:rsid w:val="004329E1"/>
    <w:rsid w:val="0043360F"/>
    <w:rsid w:val="004336DE"/>
    <w:rsid w:val="00433D1D"/>
    <w:rsid w:val="00433EBE"/>
    <w:rsid w:val="00434406"/>
    <w:rsid w:val="00434473"/>
    <w:rsid w:val="004344AE"/>
    <w:rsid w:val="00434513"/>
    <w:rsid w:val="00434B5C"/>
    <w:rsid w:val="00434DE8"/>
    <w:rsid w:val="00434DF4"/>
    <w:rsid w:val="004350FD"/>
    <w:rsid w:val="004351F6"/>
    <w:rsid w:val="00435DBA"/>
    <w:rsid w:val="004364FF"/>
    <w:rsid w:val="0043657A"/>
    <w:rsid w:val="0043701D"/>
    <w:rsid w:val="0043742F"/>
    <w:rsid w:val="00437CA4"/>
    <w:rsid w:val="00437EC0"/>
    <w:rsid w:val="004404DF"/>
    <w:rsid w:val="00440509"/>
    <w:rsid w:val="00440A50"/>
    <w:rsid w:val="00440FE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9A4"/>
    <w:rsid w:val="00442C07"/>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E0A"/>
    <w:rsid w:val="00461210"/>
    <w:rsid w:val="004613C9"/>
    <w:rsid w:val="00461700"/>
    <w:rsid w:val="00461848"/>
    <w:rsid w:val="00461A4B"/>
    <w:rsid w:val="00461AAC"/>
    <w:rsid w:val="00461EB7"/>
    <w:rsid w:val="004621FD"/>
    <w:rsid w:val="00462221"/>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840"/>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0B"/>
    <w:rsid w:val="00470CB4"/>
    <w:rsid w:val="0047115F"/>
    <w:rsid w:val="004715CB"/>
    <w:rsid w:val="00471863"/>
    <w:rsid w:val="004723D2"/>
    <w:rsid w:val="00472727"/>
    <w:rsid w:val="00472790"/>
    <w:rsid w:val="0047286A"/>
    <w:rsid w:val="00472F37"/>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27E"/>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419"/>
    <w:rsid w:val="004A475B"/>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B0AB3"/>
    <w:rsid w:val="004B14C4"/>
    <w:rsid w:val="004B165F"/>
    <w:rsid w:val="004B181E"/>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A98"/>
    <w:rsid w:val="004B5B9C"/>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AC7"/>
    <w:rsid w:val="004E4B7C"/>
    <w:rsid w:val="004E4E26"/>
    <w:rsid w:val="004E4EA1"/>
    <w:rsid w:val="004E4F12"/>
    <w:rsid w:val="004E5A4D"/>
    <w:rsid w:val="004E5D10"/>
    <w:rsid w:val="004E5DE1"/>
    <w:rsid w:val="004E632D"/>
    <w:rsid w:val="004E6546"/>
    <w:rsid w:val="004E7679"/>
    <w:rsid w:val="004E77F0"/>
    <w:rsid w:val="004E784B"/>
    <w:rsid w:val="004E78C6"/>
    <w:rsid w:val="004E796A"/>
    <w:rsid w:val="004F0224"/>
    <w:rsid w:val="004F062E"/>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F72"/>
    <w:rsid w:val="004F2FD7"/>
    <w:rsid w:val="004F3172"/>
    <w:rsid w:val="004F3575"/>
    <w:rsid w:val="004F3808"/>
    <w:rsid w:val="004F386E"/>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500357"/>
    <w:rsid w:val="00500572"/>
    <w:rsid w:val="00500701"/>
    <w:rsid w:val="00500E28"/>
    <w:rsid w:val="00501187"/>
    <w:rsid w:val="00501304"/>
    <w:rsid w:val="00501425"/>
    <w:rsid w:val="005014E0"/>
    <w:rsid w:val="00501602"/>
    <w:rsid w:val="00501ADB"/>
    <w:rsid w:val="005022F8"/>
    <w:rsid w:val="00502346"/>
    <w:rsid w:val="005028D6"/>
    <w:rsid w:val="005030C2"/>
    <w:rsid w:val="0050318B"/>
    <w:rsid w:val="00503496"/>
    <w:rsid w:val="005036B1"/>
    <w:rsid w:val="00503746"/>
    <w:rsid w:val="00503A63"/>
    <w:rsid w:val="00503CF2"/>
    <w:rsid w:val="00503DC5"/>
    <w:rsid w:val="0050423B"/>
    <w:rsid w:val="0050430E"/>
    <w:rsid w:val="00504311"/>
    <w:rsid w:val="0050485C"/>
    <w:rsid w:val="005048CD"/>
    <w:rsid w:val="00504A64"/>
    <w:rsid w:val="00504AC6"/>
    <w:rsid w:val="00504D75"/>
    <w:rsid w:val="00504FC7"/>
    <w:rsid w:val="0050510F"/>
    <w:rsid w:val="00505160"/>
    <w:rsid w:val="0050527A"/>
    <w:rsid w:val="00505C10"/>
    <w:rsid w:val="00505CC5"/>
    <w:rsid w:val="00505D51"/>
    <w:rsid w:val="00506198"/>
    <w:rsid w:val="0050667B"/>
    <w:rsid w:val="00506D8C"/>
    <w:rsid w:val="00506DB6"/>
    <w:rsid w:val="0050774A"/>
    <w:rsid w:val="00507DD3"/>
    <w:rsid w:val="00507F12"/>
    <w:rsid w:val="00510ABC"/>
    <w:rsid w:val="00510E52"/>
    <w:rsid w:val="00510FC6"/>
    <w:rsid w:val="00511079"/>
    <w:rsid w:val="00511411"/>
    <w:rsid w:val="00511A5F"/>
    <w:rsid w:val="00511CDF"/>
    <w:rsid w:val="00511FED"/>
    <w:rsid w:val="00512829"/>
    <w:rsid w:val="00512854"/>
    <w:rsid w:val="005128B3"/>
    <w:rsid w:val="00512A4C"/>
    <w:rsid w:val="00512ABF"/>
    <w:rsid w:val="00513839"/>
    <w:rsid w:val="005138FF"/>
    <w:rsid w:val="00513935"/>
    <w:rsid w:val="00513DEF"/>
    <w:rsid w:val="0051423C"/>
    <w:rsid w:val="00514518"/>
    <w:rsid w:val="0051457B"/>
    <w:rsid w:val="0051475B"/>
    <w:rsid w:val="005148D4"/>
    <w:rsid w:val="00514C7E"/>
    <w:rsid w:val="00514C91"/>
    <w:rsid w:val="00514F67"/>
    <w:rsid w:val="005153CE"/>
    <w:rsid w:val="0051547D"/>
    <w:rsid w:val="005155CD"/>
    <w:rsid w:val="005155FE"/>
    <w:rsid w:val="00515A72"/>
    <w:rsid w:val="0051619B"/>
    <w:rsid w:val="00516241"/>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417"/>
    <w:rsid w:val="0052369A"/>
    <w:rsid w:val="00523A25"/>
    <w:rsid w:val="00523D4A"/>
    <w:rsid w:val="00523E75"/>
    <w:rsid w:val="00523ECC"/>
    <w:rsid w:val="00523F07"/>
    <w:rsid w:val="00524385"/>
    <w:rsid w:val="005243E0"/>
    <w:rsid w:val="00524611"/>
    <w:rsid w:val="00524EC3"/>
    <w:rsid w:val="005256F3"/>
    <w:rsid w:val="00525D28"/>
    <w:rsid w:val="00525DBE"/>
    <w:rsid w:val="00525F20"/>
    <w:rsid w:val="00526381"/>
    <w:rsid w:val="00526432"/>
    <w:rsid w:val="005265A3"/>
    <w:rsid w:val="00526783"/>
    <w:rsid w:val="0052724D"/>
    <w:rsid w:val="005272BF"/>
    <w:rsid w:val="0052773A"/>
    <w:rsid w:val="0052778D"/>
    <w:rsid w:val="00527B0C"/>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331"/>
    <w:rsid w:val="00533A42"/>
    <w:rsid w:val="00533B93"/>
    <w:rsid w:val="00533D17"/>
    <w:rsid w:val="00533E7C"/>
    <w:rsid w:val="005340C9"/>
    <w:rsid w:val="00534197"/>
    <w:rsid w:val="00534999"/>
    <w:rsid w:val="00534BF4"/>
    <w:rsid w:val="00534EDC"/>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851"/>
    <w:rsid w:val="00554C49"/>
    <w:rsid w:val="00554C9C"/>
    <w:rsid w:val="00554E06"/>
    <w:rsid w:val="00554E4B"/>
    <w:rsid w:val="00554EFA"/>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15C"/>
    <w:rsid w:val="005645C8"/>
    <w:rsid w:val="005647E6"/>
    <w:rsid w:val="005648D3"/>
    <w:rsid w:val="005649BF"/>
    <w:rsid w:val="00564C16"/>
    <w:rsid w:val="005650ED"/>
    <w:rsid w:val="005651B3"/>
    <w:rsid w:val="00565289"/>
    <w:rsid w:val="005656E5"/>
    <w:rsid w:val="005657C6"/>
    <w:rsid w:val="00565863"/>
    <w:rsid w:val="00565869"/>
    <w:rsid w:val="005658B1"/>
    <w:rsid w:val="0056657C"/>
    <w:rsid w:val="00566AEF"/>
    <w:rsid w:val="00566B8B"/>
    <w:rsid w:val="00566F58"/>
    <w:rsid w:val="00567415"/>
    <w:rsid w:val="00567610"/>
    <w:rsid w:val="00567658"/>
    <w:rsid w:val="005676DE"/>
    <w:rsid w:val="0056784B"/>
    <w:rsid w:val="00567D81"/>
    <w:rsid w:val="005701D1"/>
    <w:rsid w:val="005703E8"/>
    <w:rsid w:val="0057074A"/>
    <w:rsid w:val="005708AC"/>
    <w:rsid w:val="00570A57"/>
    <w:rsid w:val="00570B48"/>
    <w:rsid w:val="00570D9F"/>
    <w:rsid w:val="0057100F"/>
    <w:rsid w:val="00571248"/>
    <w:rsid w:val="0057185C"/>
    <w:rsid w:val="005719F3"/>
    <w:rsid w:val="00571C47"/>
    <w:rsid w:val="00571CA8"/>
    <w:rsid w:val="00571D92"/>
    <w:rsid w:val="00571F49"/>
    <w:rsid w:val="00571F72"/>
    <w:rsid w:val="00571FB1"/>
    <w:rsid w:val="00572320"/>
    <w:rsid w:val="00572947"/>
    <w:rsid w:val="00572948"/>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D9F"/>
    <w:rsid w:val="00577656"/>
    <w:rsid w:val="00577835"/>
    <w:rsid w:val="0057783C"/>
    <w:rsid w:val="00577D97"/>
    <w:rsid w:val="00577DFC"/>
    <w:rsid w:val="00580519"/>
    <w:rsid w:val="0058059F"/>
    <w:rsid w:val="00580793"/>
    <w:rsid w:val="005808B6"/>
    <w:rsid w:val="00580A1C"/>
    <w:rsid w:val="00580AD8"/>
    <w:rsid w:val="00580CAB"/>
    <w:rsid w:val="00580CF4"/>
    <w:rsid w:val="00581470"/>
    <w:rsid w:val="00581628"/>
    <w:rsid w:val="005819EB"/>
    <w:rsid w:val="00581B62"/>
    <w:rsid w:val="00581B94"/>
    <w:rsid w:val="00581BAD"/>
    <w:rsid w:val="00581D62"/>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B0D"/>
    <w:rsid w:val="00586462"/>
    <w:rsid w:val="0058668C"/>
    <w:rsid w:val="00586A28"/>
    <w:rsid w:val="00586DE6"/>
    <w:rsid w:val="00587229"/>
    <w:rsid w:val="00587503"/>
    <w:rsid w:val="00587E1B"/>
    <w:rsid w:val="00587F7F"/>
    <w:rsid w:val="0059023F"/>
    <w:rsid w:val="005902FD"/>
    <w:rsid w:val="005903B3"/>
    <w:rsid w:val="00590DF9"/>
    <w:rsid w:val="00590E41"/>
    <w:rsid w:val="00590E5C"/>
    <w:rsid w:val="00590E8D"/>
    <w:rsid w:val="005914DA"/>
    <w:rsid w:val="00591511"/>
    <w:rsid w:val="00591AF6"/>
    <w:rsid w:val="00591D5D"/>
    <w:rsid w:val="00591E50"/>
    <w:rsid w:val="00592026"/>
    <w:rsid w:val="00592331"/>
    <w:rsid w:val="005924EC"/>
    <w:rsid w:val="005925B8"/>
    <w:rsid w:val="00592906"/>
    <w:rsid w:val="005929DA"/>
    <w:rsid w:val="00592CDA"/>
    <w:rsid w:val="0059331A"/>
    <w:rsid w:val="00593A72"/>
    <w:rsid w:val="00593DAF"/>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796"/>
    <w:rsid w:val="005B28E9"/>
    <w:rsid w:val="005B3105"/>
    <w:rsid w:val="005B3359"/>
    <w:rsid w:val="005B388F"/>
    <w:rsid w:val="005B3C6D"/>
    <w:rsid w:val="005B3CEB"/>
    <w:rsid w:val="005B4045"/>
    <w:rsid w:val="005B4175"/>
    <w:rsid w:val="005B4977"/>
    <w:rsid w:val="005B4D46"/>
    <w:rsid w:val="005B4F0F"/>
    <w:rsid w:val="005B5168"/>
    <w:rsid w:val="005B535E"/>
    <w:rsid w:val="005B59E2"/>
    <w:rsid w:val="005B5CBB"/>
    <w:rsid w:val="005B609E"/>
    <w:rsid w:val="005B60D3"/>
    <w:rsid w:val="005B620A"/>
    <w:rsid w:val="005B6658"/>
    <w:rsid w:val="005B6BB5"/>
    <w:rsid w:val="005B6CA6"/>
    <w:rsid w:val="005B6DF6"/>
    <w:rsid w:val="005B6E4B"/>
    <w:rsid w:val="005B7665"/>
    <w:rsid w:val="005B7B7D"/>
    <w:rsid w:val="005C107E"/>
    <w:rsid w:val="005C1116"/>
    <w:rsid w:val="005C133C"/>
    <w:rsid w:val="005C15BE"/>
    <w:rsid w:val="005C1948"/>
    <w:rsid w:val="005C194F"/>
    <w:rsid w:val="005C1A94"/>
    <w:rsid w:val="005C228E"/>
    <w:rsid w:val="005C22F9"/>
    <w:rsid w:val="005C263C"/>
    <w:rsid w:val="005C2679"/>
    <w:rsid w:val="005C298C"/>
    <w:rsid w:val="005C3263"/>
    <w:rsid w:val="005C34D6"/>
    <w:rsid w:val="005C47FB"/>
    <w:rsid w:val="005C4873"/>
    <w:rsid w:val="005C4B5E"/>
    <w:rsid w:val="005C4BFB"/>
    <w:rsid w:val="005C5046"/>
    <w:rsid w:val="005C545F"/>
    <w:rsid w:val="005C57B4"/>
    <w:rsid w:val="005C5870"/>
    <w:rsid w:val="005C589C"/>
    <w:rsid w:val="005C5903"/>
    <w:rsid w:val="005C5AB0"/>
    <w:rsid w:val="005C6500"/>
    <w:rsid w:val="005C6A03"/>
    <w:rsid w:val="005C6F44"/>
    <w:rsid w:val="005C725C"/>
    <w:rsid w:val="005C7BFE"/>
    <w:rsid w:val="005C7C23"/>
    <w:rsid w:val="005C7F3D"/>
    <w:rsid w:val="005D0347"/>
    <w:rsid w:val="005D03AA"/>
    <w:rsid w:val="005D059A"/>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BEF"/>
    <w:rsid w:val="005D4302"/>
    <w:rsid w:val="005D4C88"/>
    <w:rsid w:val="005D5086"/>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E1B"/>
    <w:rsid w:val="005F0108"/>
    <w:rsid w:val="005F0291"/>
    <w:rsid w:val="005F0C4F"/>
    <w:rsid w:val="005F0DA0"/>
    <w:rsid w:val="005F0ECC"/>
    <w:rsid w:val="005F1705"/>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8E5"/>
    <w:rsid w:val="0062152A"/>
    <w:rsid w:val="00621566"/>
    <w:rsid w:val="00621753"/>
    <w:rsid w:val="00622322"/>
    <w:rsid w:val="006223BF"/>
    <w:rsid w:val="006225AD"/>
    <w:rsid w:val="006226E8"/>
    <w:rsid w:val="00622DCF"/>
    <w:rsid w:val="00623125"/>
    <w:rsid w:val="0062343A"/>
    <w:rsid w:val="006234D7"/>
    <w:rsid w:val="00623583"/>
    <w:rsid w:val="00623A5F"/>
    <w:rsid w:val="00623BB1"/>
    <w:rsid w:val="00624343"/>
    <w:rsid w:val="006244C0"/>
    <w:rsid w:val="0062462F"/>
    <w:rsid w:val="00624718"/>
    <w:rsid w:val="0062473A"/>
    <w:rsid w:val="0062489F"/>
    <w:rsid w:val="00624BA1"/>
    <w:rsid w:val="00625433"/>
    <w:rsid w:val="0062558C"/>
    <w:rsid w:val="00625768"/>
    <w:rsid w:val="0062598C"/>
    <w:rsid w:val="00625DDB"/>
    <w:rsid w:val="00626082"/>
    <w:rsid w:val="0062636D"/>
    <w:rsid w:val="00626587"/>
    <w:rsid w:val="0062661B"/>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62F9"/>
    <w:rsid w:val="006363DF"/>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1F3"/>
    <w:rsid w:val="0064544A"/>
    <w:rsid w:val="0064545F"/>
    <w:rsid w:val="006457ED"/>
    <w:rsid w:val="00645815"/>
    <w:rsid w:val="00645A21"/>
    <w:rsid w:val="00645C9F"/>
    <w:rsid w:val="00646305"/>
    <w:rsid w:val="0064633D"/>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3EEA"/>
    <w:rsid w:val="00654181"/>
    <w:rsid w:val="00654A07"/>
    <w:rsid w:val="00654E75"/>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2012"/>
    <w:rsid w:val="00662134"/>
    <w:rsid w:val="006624B2"/>
    <w:rsid w:val="00662543"/>
    <w:rsid w:val="0066254A"/>
    <w:rsid w:val="006626D0"/>
    <w:rsid w:val="006627BB"/>
    <w:rsid w:val="006628E9"/>
    <w:rsid w:val="00662CE3"/>
    <w:rsid w:val="00662D88"/>
    <w:rsid w:val="006636F3"/>
    <w:rsid w:val="006641F4"/>
    <w:rsid w:val="00664DF3"/>
    <w:rsid w:val="00664E8C"/>
    <w:rsid w:val="00664F35"/>
    <w:rsid w:val="006651C4"/>
    <w:rsid w:val="00665259"/>
    <w:rsid w:val="006652E4"/>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F41"/>
    <w:rsid w:val="00680F46"/>
    <w:rsid w:val="006814F9"/>
    <w:rsid w:val="0068158A"/>
    <w:rsid w:val="006818D3"/>
    <w:rsid w:val="00681A41"/>
    <w:rsid w:val="00681AD3"/>
    <w:rsid w:val="00681B86"/>
    <w:rsid w:val="00681CAC"/>
    <w:rsid w:val="00681D22"/>
    <w:rsid w:val="00681FDC"/>
    <w:rsid w:val="006823A0"/>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F66"/>
    <w:rsid w:val="006850B8"/>
    <w:rsid w:val="006859DB"/>
    <w:rsid w:val="00685A4B"/>
    <w:rsid w:val="00685F2F"/>
    <w:rsid w:val="00685FCE"/>
    <w:rsid w:val="0068678D"/>
    <w:rsid w:val="00686A58"/>
    <w:rsid w:val="00686F80"/>
    <w:rsid w:val="006873C9"/>
    <w:rsid w:val="00687488"/>
    <w:rsid w:val="00687F7B"/>
    <w:rsid w:val="00687FC4"/>
    <w:rsid w:val="0069023F"/>
    <w:rsid w:val="0069041C"/>
    <w:rsid w:val="006904ED"/>
    <w:rsid w:val="006907FE"/>
    <w:rsid w:val="00690992"/>
    <w:rsid w:val="00690ACC"/>
    <w:rsid w:val="00690B36"/>
    <w:rsid w:val="00690D70"/>
    <w:rsid w:val="00690E2E"/>
    <w:rsid w:val="0069102D"/>
    <w:rsid w:val="006915D7"/>
    <w:rsid w:val="00691890"/>
    <w:rsid w:val="00691E09"/>
    <w:rsid w:val="00691FC6"/>
    <w:rsid w:val="006920BC"/>
    <w:rsid w:val="00692282"/>
    <w:rsid w:val="006923D3"/>
    <w:rsid w:val="006924A6"/>
    <w:rsid w:val="006927B9"/>
    <w:rsid w:val="00692814"/>
    <w:rsid w:val="00692A6D"/>
    <w:rsid w:val="00692A73"/>
    <w:rsid w:val="00692B45"/>
    <w:rsid w:val="00692C43"/>
    <w:rsid w:val="00692CC9"/>
    <w:rsid w:val="006931E5"/>
    <w:rsid w:val="006932E7"/>
    <w:rsid w:val="00693347"/>
    <w:rsid w:val="0069334C"/>
    <w:rsid w:val="006933F8"/>
    <w:rsid w:val="00693817"/>
    <w:rsid w:val="00693A23"/>
    <w:rsid w:val="00693CBE"/>
    <w:rsid w:val="00693F09"/>
    <w:rsid w:val="00694113"/>
    <w:rsid w:val="00694238"/>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474"/>
    <w:rsid w:val="006A564B"/>
    <w:rsid w:val="006A66CE"/>
    <w:rsid w:val="006A6AA5"/>
    <w:rsid w:val="006A6C09"/>
    <w:rsid w:val="006A7BEA"/>
    <w:rsid w:val="006B040F"/>
    <w:rsid w:val="006B05B5"/>
    <w:rsid w:val="006B0936"/>
    <w:rsid w:val="006B0998"/>
    <w:rsid w:val="006B0ED9"/>
    <w:rsid w:val="006B12BA"/>
    <w:rsid w:val="006B1545"/>
    <w:rsid w:val="006B1CDB"/>
    <w:rsid w:val="006B1E21"/>
    <w:rsid w:val="006B232E"/>
    <w:rsid w:val="006B239F"/>
    <w:rsid w:val="006B23B9"/>
    <w:rsid w:val="006B23F1"/>
    <w:rsid w:val="006B29CC"/>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2197"/>
    <w:rsid w:val="006C25DD"/>
    <w:rsid w:val="006C2753"/>
    <w:rsid w:val="006C276E"/>
    <w:rsid w:val="006C2AA1"/>
    <w:rsid w:val="006C2C78"/>
    <w:rsid w:val="006C2E85"/>
    <w:rsid w:val="006C2F0E"/>
    <w:rsid w:val="006C33F5"/>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39D"/>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7CC"/>
    <w:rsid w:val="006E083F"/>
    <w:rsid w:val="006E093E"/>
    <w:rsid w:val="006E094A"/>
    <w:rsid w:val="006E12B1"/>
    <w:rsid w:val="006E12B4"/>
    <w:rsid w:val="006E13D1"/>
    <w:rsid w:val="006E1CCF"/>
    <w:rsid w:val="006E1ED3"/>
    <w:rsid w:val="006E20BC"/>
    <w:rsid w:val="006E21B8"/>
    <w:rsid w:val="006E27D4"/>
    <w:rsid w:val="006E3803"/>
    <w:rsid w:val="006E3931"/>
    <w:rsid w:val="006E40CF"/>
    <w:rsid w:val="006E428C"/>
    <w:rsid w:val="006E4399"/>
    <w:rsid w:val="006E45CC"/>
    <w:rsid w:val="006E47BC"/>
    <w:rsid w:val="006E48DD"/>
    <w:rsid w:val="006E49AF"/>
    <w:rsid w:val="006E4D0C"/>
    <w:rsid w:val="006E4D1B"/>
    <w:rsid w:val="006E5AD2"/>
    <w:rsid w:val="006E5B78"/>
    <w:rsid w:val="006E5D29"/>
    <w:rsid w:val="006E5EC9"/>
    <w:rsid w:val="006E5FB4"/>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2E1"/>
    <w:rsid w:val="007042E9"/>
    <w:rsid w:val="00704495"/>
    <w:rsid w:val="00704A80"/>
    <w:rsid w:val="00705245"/>
    <w:rsid w:val="00705481"/>
    <w:rsid w:val="00705B0D"/>
    <w:rsid w:val="0070624B"/>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D1E"/>
    <w:rsid w:val="00712EDA"/>
    <w:rsid w:val="00713288"/>
    <w:rsid w:val="00713430"/>
    <w:rsid w:val="00713557"/>
    <w:rsid w:val="007136D0"/>
    <w:rsid w:val="00713700"/>
    <w:rsid w:val="00713703"/>
    <w:rsid w:val="00713F2D"/>
    <w:rsid w:val="007143F5"/>
    <w:rsid w:val="00714783"/>
    <w:rsid w:val="00714B3D"/>
    <w:rsid w:val="00714B47"/>
    <w:rsid w:val="00715142"/>
    <w:rsid w:val="00715564"/>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432C"/>
    <w:rsid w:val="007245AF"/>
    <w:rsid w:val="0072490A"/>
    <w:rsid w:val="00724B64"/>
    <w:rsid w:val="00724E57"/>
    <w:rsid w:val="007250C5"/>
    <w:rsid w:val="0072517D"/>
    <w:rsid w:val="007251E2"/>
    <w:rsid w:val="00725329"/>
    <w:rsid w:val="0072539C"/>
    <w:rsid w:val="00725D26"/>
    <w:rsid w:val="00726437"/>
    <w:rsid w:val="007265F2"/>
    <w:rsid w:val="00726878"/>
    <w:rsid w:val="00726890"/>
    <w:rsid w:val="0072724B"/>
    <w:rsid w:val="007275B9"/>
    <w:rsid w:val="00727763"/>
    <w:rsid w:val="007304F6"/>
    <w:rsid w:val="00730687"/>
    <w:rsid w:val="00730828"/>
    <w:rsid w:val="00730955"/>
    <w:rsid w:val="00730991"/>
    <w:rsid w:val="00730A8B"/>
    <w:rsid w:val="00730CFD"/>
    <w:rsid w:val="00730D43"/>
    <w:rsid w:val="0073124A"/>
    <w:rsid w:val="007314BC"/>
    <w:rsid w:val="007319C5"/>
    <w:rsid w:val="007319DB"/>
    <w:rsid w:val="00731B29"/>
    <w:rsid w:val="00731B79"/>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941"/>
    <w:rsid w:val="007510E2"/>
    <w:rsid w:val="00751A0B"/>
    <w:rsid w:val="0075204B"/>
    <w:rsid w:val="0075208F"/>
    <w:rsid w:val="0075251B"/>
    <w:rsid w:val="00752B03"/>
    <w:rsid w:val="00752FF3"/>
    <w:rsid w:val="00753176"/>
    <w:rsid w:val="00753338"/>
    <w:rsid w:val="00753454"/>
    <w:rsid w:val="00753678"/>
    <w:rsid w:val="00753834"/>
    <w:rsid w:val="00753BB5"/>
    <w:rsid w:val="007544F1"/>
    <w:rsid w:val="00754C29"/>
    <w:rsid w:val="00754FBF"/>
    <w:rsid w:val="007552FD"/>
    <w:rsid w:val="00755438"/>
    <w:rsid w:val="007554D3"/>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197"/>
    <w:rsid w:val="0076034C"/>
    <w:rsid w:val="0076116A"/>
    <w:rsid w:val="0076159D"/>
    <w:rsid w:val="007626D0"/>
    <w:rsid w:val="0076297D"/>
    <w:rsid w:val="00762CF0"/>
    <w:rsid w:val="00763491"/>
    <w:rsid w:val="00763B92"/>
    <w:rsid w:val="00764457"/>
    <w:rsid w:val="00764C0A"/>
    <w:rsid w:val="00764D83"/>
    <w:rsid w:val="00764DED"/>
    <w:rsid w:val="007651CA"/>
    <w:rsid w:val="00765846"/>
    <w:rsid w:val="007658C2"/>
    <w:rsid w:val="007658F2"/>
    <w:rsid w:val="00765AD9"/>
    <w:rsid w:val="00765EAD"/>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F17"/>
    <w:rsid w:val="0077211B"/>
    <w:rsid w:val="00772569"/>
    <w:rsid w:val="007725F1"/>
    <w:rsid w:val="00772DA8"/>
    <w:rsid w:val="00772E8C"/>
    <w:rsid w:val="00772FDB"/>
    <w:rsid w:val="0077316B"/>
    <w:rsid w:val="0077339A"/>
    <w:rsid w:val="0077344E"/>
    <w:rsid w:val="0077350E"/>
    <w:rsid w:val="007736D3"/>
    <w:rsid w:val="00773763"/>
    <w:rsid w:val="00773C3E"/>
    <w:rsid w:val="00773C78"/>
    <w:rsid w:val="00773DF9"/>
    <w:rsid w:val="00774358"/>
    <w:rsid w:val="0077437D"/>
    <w:rsid w:val="00774634"/>
    <w:rsid w:val="007748CC"/>
    <w:rsid w:val="00774979"/>
    <w:rsid w:val="00774BF2"/>
    <w:rsid w:val="0077500F"/>
    <w:rsid w:val="00775053"/>
    <w:rsid w:val="0077548E"/>
    <w:rsid w:val="00775AD4"/>
    <w:rsid w:val="0077631F"/>
    <w:rsid w:val="00776947"/>
    <w:rsid w:val="00776BEB"/>
    <w:rsid w:val="00776E7B"/>
    <w:rsid w:val="00777315"/>
    <w:rsid w:val="007773D2"/>
    <w:rsid w:val="0077791E"/>
    <w:rsid w:val="00777E71"/>
    <w:rsid w:val="00780079"/>
    <w:rsid w:val="007802E4"/>
    <w:rsid w:val="007803B0"/>
    <w:rsid w:val="007803D0"/>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602"/>
    <w:rsid w:val="00787798"/>
    <w:rsid w:val="0079018D"/>
    <w:rsid w:val="007901DC"/>
    <w:rsid w:val="00791A00"/>
    <w:rsid w:val="00791C96"/>
    <w:rsid w:val="00791D1E"/>
    <w:rsid w:val="00791DDB"/>
    <w:rsid w:val="00791E85"/>
    <w:rsid w:val="007921E1"/>
    <w:rsid w:val="0079220A"/>
    <w:rsid w:val="00792A47"/>
    <w:rsid w:val="00792B7C"/>
    <w:rsid w:val="00792CEE"/>
    <w:rsid w:val="00792D75"/>
    <w:rsid w:val="0079300D"/>
    <w:rsid w:val="0079343D"/>
    <w:rsid w:val="007936A8"/>
    <w:rsid w:val="00793D9F"/>
    <w:rsid w:val="00794012"/>
    <w:rsid w:val="0079424F"/>
    <w:rsid w:val="0079458B"/>
    <w:rsid w:val="00794B66"/>
    <w:rsid w:val="00794FB2"/>
    <w:rsid w:val="007953DB"/>
    <w:rsid w:val="00795429"/>
    <w:rsid w:val="00795803"/>
    <w:rsid w:val="00795D18"/>
    <w:rsid w:val="007962B4"/>
    <w:rsid w:val="00796424"/>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51F3"/>
    <w:rsid w:val="007A52B3"/>
    <w:rsid w:val="007A5581"/>
    <w:rsid w:val="007A6263"/>
    <w:rsid w:val="007A6CFD"/>
    <w:rsid w:val="007A6D02"/>
    <w:rsid w:val="007A72EE"/>
    <w:rsid w:val="007A7508"/>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B7E"/>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DD2"/>
    <w:rsid w:val="007C12BE"/>
    <w:rsid w:val="007C13C0"/>
    <w:rsid w:val="007C16AD"/>
    <w:rsid w:val="007C1E77"/>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43"/>
    <w:rsid w:val="007C5830"/>
    <w:rsid w:val="007C5933"/>
    <w:rsid w:val="007C593D"/>
    <w:rsid w:val="007C599E"/>
    <w:rsid w:val="007C5DB8"/>
    <w:rsid w:val="007C5DCE"/>
    <w:rsid w:val="007C5EDB"/>
    <w:rsid w:val="007C6CA2"/>
    <w:rsid w:val="007C6EF9"/>
    <w:rsid w:val="007C72DC"/>
    <w:rsid w:val="007C72ED"/>
    <w:rsid w:val="007C7BFE"/>
    <w:rsid w:val="007D0148"/>
    <w:rsid w:val="007D051C"/>
    <w:rsid w:val="007D05B2"/>
    <w:rsid w:val="007D05FA"/>
    <w:rsid w:val="007D0706"/>
    <w:rsid w:val="007D087F"/>
    <w:rsid w:val="007D0968"/>
    <w:rsid w:val="007D0C44"/>
    <w:rsid w:val="007D1413"/>
    <w:rsid w:val="007D1600"/>
    <w:rsid w:val="007D1972"/>
    <w:rsid w:val="007D1F33"/>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7B"/>
    <w:rsid w:val="007D4D3B"/>
    <w:rsid w:val="007D4F42"/>
    <w:rsid w:val="007D516D"/>
    <w:rsid w:val="007D522D"/>
    <w:rsid w:val="007D54F8"/>
    <w:rsid w:val="007D5A25"/>
    <w:rsid w:val="007D5E27"/>
    <w:rsid w:val="007D611B"/>
    <w:rsid w:val="007D6D1B"/>
    <w:rsid w:val="007D6E09"/>
    <w:rsid w:val="007D6F64"/>
    <w:rsid w:val="007D713D"/>
    <w:rsid w:val="007D71AD"/>
    <w:rsid w:val="007D72A6"/>
    <w:rsid w:val="007D77A9"/>
    <w:rsid w:val="007D79DC"/>
    <w:rsid w:val="007E082A"/>
    <w:rsid w:val="007E0C69"/>
    <w:rsid w:val="007E10A7"/>
    <w:rsid w:val="007E1179"/>
    <w:rsid w:val="007E158C"/>
    <w:rsid w:val="007E1782"/>
    <w:rsid w:val="007E1899"/>
    <w:rsid w:val="007E1DBF"/>
    <w:rsid w:val="007E1EE4"/>
    <w:rsid w:val="007E201E"/>
    <w:rsid w:val="007E20B8"/>
    <w:rsid w:val="007E23F2"/>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20F"/>
    <w:rsid w:val="007E5AC2"/>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759"/>
    <w:rsid w:val="007F0798"/>
    <w:rsid w:val="007F170B"/>
    <w:rsid w:val="007F1DED"/>
    <w:rsid w:val="007F25F1"/>
    <w:rsid w:val="007F2845"/>
    <w:rsid w:val="007F2A69"/>
    <w:rsid w:val="007F2ED7"/>
    <w:rsid w:val="007F3045"/>
    <w:rsid w:val="007F38A2"/>
    <w:rsid w:val="007F3CC5"/>
    <w:rsid w:val="007F406B"/>
    <w:rsid w:val="007F422B"/>
    <w:rsid w:val="007F42FE"/>
    <w:rsid w:val="007F43BC"/>
    <w:rsid w:val="007F4740"/>
    <w:rsid w:val="007F4D52"/>
    <w:rsid w:val="007F4D62"/>
    <w:rsid w:val="007F5177"/>
    <w:rsid w:val="007F5521"/>
    <w:rsid w:val="007F5680"/>
    <w:rsid w:val="007F5752"/>
    <w:rsid w:val="007F5765"/>
    <w:rsid w:val="007F609F"/>
    <w:rsid w:val="007F6571"/>
    <w:rsid w:val="007F6576"/>
    <w:rsid w:val="007F6719"/>
    <w:rsid w:val="007F67C4"/>
    <w:rsid w:val="007F68DF"/>
    <w:rsid w:val="007F6C14"/>
    <w:rsid w:val="007F72A5"/>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1B3C"/>
    <w:rsid w:val="00802035"/>
    <w:rsid w:val="0080263A"/>
    <w:rsid w:val="0080268D"/>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793"/>
    <w:rsid w:val="008109F7"/>
    <w:rsid w:val="00810C05"/>
    <w:rsid w:val="00810DA2"/>
    <w:rsid w:val="0081151E"/>
    <w:rsid w:val="0081153A"/>
    <w:rsid w:val="00811680"/>
    <w:rsid w:val="00811A5F"/>
    <w:rsid w:val="008121A9"/>
    <w:rsid w:val="00812498"/>
    <w:rsid w:val="008127E6"/>
    <w:rsid w:val="008129B3"/>
    <w:rsid w:val="00812C35"/>
    <w:rsid w:val="00812E90"/>
    <w:rsid w:val="00813309"/>
    <w:rsid w:val="0081336E"/>
    <w:rsid w:val="00813928"/>
    <w:rsid w:val="00814F6F"/>
    <w:rsid w:val="00815058"/>
    <w:rsid w:val="008153D6"/>
    <w:rsid w:val="008154EC"/>
    <w:rsid w:val="00815EB3"/>
    <w:rsid w:val="008162AF"/>
    <w:rsid w:val="0081695A"/>
    <w:rsid w:val="00816CA4"/>
    <w:rsid w:val="00816D0D"/>
    <w:rsid w:val="00816F60"/>
    <w:rsid w:val="00817217"/>
    <w:rsid w:val="00817752"/>
    <w:rsid w:val="0081777F"/>
    <w:rsid w:val="00820009"/>
    <w:rsid w:val="00820349"/>
    <w:rsid w:val="008208DB"/>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10AA"/>
    <w:rsid w:val="008314A9"/>
    <w:rsid w:val="00831515"/>
    <w:rsid w:val="008318E9"/>
    <w:rsid w:val="00832394"/>
    <w:rsid w:val="0083241F"/>
    <w:rsid w:val="008324BF"/>
    <w:rsid w:val="00832ADA"/>
    <w:rsid w:val="0083326F"/>
    <w:rsid w:val="0083350F"/>
    <w:rsid w:val="008335FF"/>
    <w:rsid w:val="00833F0A"/>
    <w:rsid w:val="00834328"/>
    <w:rsid w:val="00834358"/>
    <w:rsid w:val="008346BD"/>
    <w:rsid w:val="00834923"/>
    <w:rsid w:val="00834A61"/>
    <w:rsid w:val="00834D42"/>
    <w:rsid w:val="00834F11"/>
    <w:rsid w:val="008359EB"/>
    <w:rsid w:val="00835CBC"/>
    <w:rsid w:val="00835CE1"/>
    <w:rsid w:val="00835D45"/>
    <w:rsid w:val="00835DBB"/>
    <w:rsid w:val="00836148"/>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481"/>
    <w:rsid w:val="00845569"/>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97F"/>
    <w:rsid w:val="00866CB4"/>
    <w:rsid w:val="0086709D"/>
    <w:rsid w:val="008672CC"/>
    <w:rsid w:val="008673FB"/>
    <w:rsid w:val="00867651"/>
    <w:rsid w:val="0086766D"/>
    <w:rsid w:val="00867B5A"/>
    <w:rsid w:val="00870001"/>
    <w:rsid w:val="0087013D"/>
    <w:rsid w:val="00870E6A"/>
    <w:rsid w:val="00870FC8"/>
    <w:rsid w:val="008715C8"/>
    <w:rsid w:val="00871940"/>
    <w:rsid w:val="00871BD4"/>
    <w:rsid w:val="00871F9D"/>
    <w:rsid w:val="00872259"/>
    <w:rsid w:val="0087235E"/>
    <w:rsid w:val="00872E21"/>
    <w:rsid w:val="008738D0"/>
    <w:rsid w:val="008739B8"/>
    <w:rsid w:val="00873DDC"/>
    <w:rsid w:val="00873E43"/>
    <w:rsid w:val="00874009"/>
    <w:rsid w:val="00874158"/>
    <w:rsid w:val="008741A2"/>
    <w:rsid w:val="008741E3"/>
    <w:rsid w:val="008743BB"/>
    <w:rsid w:val="008743D7"/>
    <w:rsid w:val="008743F3"/>
    <w:rsid w:val="0087444A"/>
    <w:rsid w:val="008746F4"/>
    <w:rsid w:val="008747CF"/>
    <w:rsid w:val="00875139"/>
    <w:rsid w:val="00875410"/>
    <w:rsid w:val="00875C89"/>
    <w:rsid w:val="008761DC"/>
    <w:rsid w:val="0087625A"/>
    <w:rsid w:val="008766A8"/>
    <w:rsid w:val="008767A3"/>
    <w:rsid w:val="00876B07"/>
    <w:rsid w:val="00876E24"/>
    <w:rsid w:val="00877166"/>
    <w:rsid w:val="008774B0"/>
    <w:rsid w:val="008776D5"/>
    <w:rsid w:val="0087792C"/>
    <w:rsid w:val="00877D5E"/>
    <w:rsid w:val="00877EBD"/>
    <w:rsid w:val="008803EE"/>
    <w:rsid w:val="0088082B"/>
    <w:rsid w:val="00880929"/>
    <w:rsid w:val="0088096F"/>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71"/>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040"/>
    <w:rsid w:val="00891216"/>
    <w:rsid w:val="00891534"/>
    <w:rsid w:val="008916BB"/>
    <w:rsid w:val="0089199A"/>
    <w:rsid w:val="00891A70"/>
    <w:rsid w:val="00891EA2"/>
    <w:rsid w:val="00892507"/>
    <w:rsid w:val="00892799"/>
    <w:rsid w:val="00893473"/>
    <w:rsid w:val="00893590"/>
    <w:rsid w:val="00894169"/>
    <w:rsid w:val="00894690"/>
    <w:rsid w:val="00894B58"/>
    <w:rsid w:val="00894FDC"/>
    <w:rsid w:val="008952BA"/>
    <w:rsid w:val="008957D3"/>
    <w:rsid w:val="00895C2D"/>
    <w:rsid w:val="00895C7C"/>
    <w:rsid w:val="00895CCC"/>
    <w:rsid w:val="00895D6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496E"/>
    <w:rsid w:val="008A4B16"/>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C7D"/>
    <w:rsid w:val="008B0C88"/>
    <w:rsid w:val="008B1019"/>
    <w:rsid w:val="008B13E9"/>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2A"/>
    <w:rsid w:val="008B4378"/>
    <w:rsid w:val="008B437C"/>
    <w:rsid w:val="008B477A"/>
    <w:rsid w:val="008B4972"/>
    <w:rsid w:val="008B4982"/>
    <w:rsid w:val="008B49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506"/>
    <w:rsid w:val="008C774B"/>
    <w:rsid w:val="008C7D26"/>
    <w:rsid w:val="008C7D87"/>
    <w:rsid w:val="008CDBB2"/>
    <w:rsid w:val="008D08B7"/>
    <w:rsid w:val="008D09AA"/>
    <w:rsid w:val="008D11AD"/>
    <w:rsid w:val="008D1202"/>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A41"/>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435"/>
    <w:rsid w:val="008D6541"/>
    <w:rsid w:val="008D6910"/>
    <w:rsid w:val="008D6A7E"/>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B98"/>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908"/>
    <w:rsid w:val="008F2A14"/>
    <w:rsid w:val="008F2B57"/>
    <w:rsid w:val="008F2BB6"/>
    <w:rsid w:val="008F351E"/>
    <w:rsid w:val="008F364D"/>
    <w:rsid w:val="008F4214"/>
    <w:rsid w:val="008F4642"/>
    <w:rsid w:val="008F47C6"/>
    <w:rsid w:val="008F49EC"/>
    <w:rsid w:val="008F4A82"/>
    <w:rsid w:val="008F535A"/>
    <w:rsid w:val="008F548D"/>
    <w:rsid w:val="008F593F"/>
    <w:rsid w:val="008F6009"/>
    <w:rsid w:val="008F64A7"/>
    <w:rsid w:val="008F65E8"/>
    <w:rsid w:val="008F6647"/>
    <w:rsid w:val="008F6E4B"/>
    <w:rsid w:val="008F700E"/>
    <w:rsid w:val="008F704C"/>
    <w:rsid w:val="008F7144"/>
    <w:rsid w:val="008F73B9"/>
    <w:rsid w:val="008F789C"/>
    <w:rsid w:val="008F7A1A"/>
    <w:rsid w:val="008F7A34"/>
    <w:rsid w:val="008F7E95"/>
    <w:rsid w:val="00900240"/>
    <w:rsid w:val="00900343"/>
    <w:rsid w:val="009006A2"/>
    <w:rsid w:val="0090102B"/>
    <w:rsid w:val="0090126E"/>
    <w:rsid w:val="00901448"/>
    <w:rsid w:val="00901EF0"/>
    <w:rsid w:val="00901FFC"/>
    <w:rsid w:val="0090245F"/>
    <w:rsid w:val="00902558"/>
    <w:rsid w:val="00902C29"/>
    <w:rsid w:val="0090322F"/>
    <w:rsid w:val="0090337C"/>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726"/>
    <w:rsid w:val="00920AE0"/>
    <w:rsid w:val="00921255"/>
    <w:rsid w:val="00921286"/>
    <w:rsid w:val="009212CD"/>
    <w:rsid w:val="00921387"/>
    <w:rsid w:val="009213BD"/>
    <w:rsid w:val="00921D20"/>
    <w:rsid w:val="009222F3"/>
    <w:rsid w:val="009224B2"/>
    <w:rsid w:val="00922BF9"/>
    <w:rsid w:val="00922D72"/>
    <w:rsid w:val="009230A6"/>
    <w:rsid w:val="0092389F"/>
    <w:rsid w:val="00923FBC"/>
    <w:rsid w:val="009240FE"/>
    <w:rsid w:val="009241CF"/>
    <w:rsid w:val="00924627"/>
    <w:rsid w:val="0092477B"/>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B6F"/>
    <w:rsid w:val="009325C4"/>
    <w:rsid w:val="00932665"/>
    <w:rsid w:val="00932798"/>
    <w:rsid w:val="00932B62"/>
    <w:rsid w:val="00932C23"/>
    <w:rsid w:val="00932E76"/>
    <w:rsid w:val="00932EFF"/>
    <w:rsid w:val="00933040"/>
    <w:rsid w:val="009330E9"/>
    <w:rsid w:val="00933330"/>
    <w:rsid w:val="009338FF"/>
    <w:rsid w:val="00933A0A"/>
    <w:rsid w:val="00933FDC"/>
    <w:rsid w:val="0093423F"/>
    <w:rsid w:val="009342C2"/>
    <w:rsid w:val="0093477D"/>
    <w:rsid w:val="00934A3A"/>
    <w:rsid w:val="00934BB1"/>
    <w:rsid w:val="00934D97"/>
    <w:rsid w:val="00935080"/>
    <w:rsid w:val="00935D15"/>
    <w:rsid w:val="0093633E"/>
    <w:rsid w:val="009365FB"/>
    <w:rsid w:val="00937089"/>
    <w:rsid w:val="00937719"/>
    <w:rsid w:val="00937AB2"/>
    <w:rsid w:val="00937EA1"/>
    <w:rsid w:val="00940024"/>
    <w:rsid w:val="00940202"/>
    <w:rsid w:val="00940A74"/>
    <w:rsid w:val="00940B10"/>
    <w:rsid w:val="00941011"/>
    <w:rsid w:val="009411FB"/>
    <w:rsid w:val="0094138B"/>
    <w:rsid w:val="009414A9"/>
    <w:rsid w:val="0094150A"/>
    <w:rsid w:val="00941967"/>
    <w:rsid w:val="00941B06"/>
    <w:rsid w:val="00941B71"/>
    <w:rsid w:val="00941DF9"/>
    <w:rsid w:val="0094209D"/>
    <w:rsid w:val="009421AD"/>
    <w:rsid w:val="009421E1"/>
    <w:rsid w:val="009421ED"/>
    <w:rsid w:val="0094221C"/>
    <w:rsid w:val="00942967"/>
    <w:rsid w:val="00942ACE"/>
    <w:rsid w:val="00942D9A"/>
    <w:rsid w:val="00943178"/>
    <w:rsid w:val="0094339F"/>
    <w:rsid w:val="009434DE"/>
    <w:rsid w:val="00943539"/>
    <w:rsid w:val="00943762"/>
    <w:rsid w:val="00943FDD"/>
    <w:rsid w:val="0094405A"/>
    <w:rsid w:val="0094409C"/>
    <w:rsid w:val="00944159"/>
    <w:rsid w:val="009449B2"/>
    <w:rsid w:val="00944A82"/>
    <w:rsid w:val="00944BA5"/>
    <w:rsid w:val="00944DDC"/>
    <w:rsid w:val="0094510C"/>
    <w:rsid w:val="009457AE"/>
    <w:rsid w:val="00945D4D"/>
    <w:rsid w:val="00945F22"/>
    <w:rsid w:val="00946583"/>
    <w:rsid w:val="00946C4D"/>
    <w:rsid w:val="00946F63"/>
    <w:rsid w:val="00947170"/>
    <w:rsid w:val="00947462"/>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B59"/>
    <w:rsid w:val="00954FFE"/>
    <w:rsid w:val="00955096"/>
    <w:rsid w:val="0095526F"/>
    <w:rsid w:val="00955363"/>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C97"/>
    <w:rsid w:val="00960446"/>
    <w:rsid w:val="009607CE"/>
    <w:rsid w:val="00960BCB"/>
    <w:rsid w:val="009610ED"/>
    <w:rsid w:val="00961EE9"/>
    <w:rsid w:val="00961FCC"/>
    <w:rsid w:val="00962144"/>
    <w:rsid w:val="009623F7"/>
    <w:rsid w:val="009624AE"/>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5A9"/>
    <w:rsid w:val="00967EC7"/>
    <w:rsid w:val="00967F14"/>
    <w:rsid w:val="00967F47"/>
    <w:rsid w:val="0097037B"/>
    <w:rsid w:val="00970514"/>
    <w:rsid w:val="0097062F"/>
    <w:rsid w:val="0097064D"/>
    <w:rsid w:val="00970E80"/>
    <w:rsid w:val="00971592"/>
    <w:rsid w:val="00971617"/>
    <w:rsid w:val="00971771"/>
    <w:rsid w:val="009717F8"/>
    <w:rsid w:val="00971DDF"/>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E0F"/>
    <w:rsid w:val="00983081"/>
    <w:rsid w:val="009835E0"/>
    <w:rsid w:val="009839E0"/>
    <w:rsid w:val="00983AAF"/>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AFD"/>
    <w:rsid w:val="00985D80"/>
    <w:rsid w:val="00985EF3"/>
    <w:rsid w:val="00985EF7"/>
    <w:rsid w:val="00986093"/>
    <w:rsid w:val="00986146"/>
    <w:rsid w:val="00986343"/>
    <w:rsid w:val="00986768"/>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A9A"/>
    <w:rsid w:val="00994D9D"/>
    <w:rsid w:val="0099513D"/>
    <w:rsid w:val="0099550E"/>
    <w:rsid w:val="00995AD1"/>
    <w:rsid w:val="00995F71"/>
    <w:rsid w:val="0099624F"/>
    <w:rsid w:val="00996258"/>
    <w:rsid w:val="00996306"/>
    <w:rsid w:val="00996395"/>
    <w:rsid w:val="00996443"/>
    <w:rsid w:val="00996744"/>
    <w:rsid w:val="0099697E"/>
    <w:rsid w:val="00996FD4"/>
    <w:rsid w:val="0099704E"/>
    <w:rsid w:val="00997CF4"/>
    <w:rsid w:val="00997EC7"/>
    <w:rsid w:val="009A0757"/>
    <w:rsid w:val="009A0768"/>
    <w:rsid w:val="009A07F0"/>
    <w:rsid w:val="009A09D8"/>
    <w:rsid w:val="009A0AAA"/>
    <w:rsid w:val="009A0B70"/>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B9C"/>
    <w:rsid w:val="009A7BC2"/>
    <w:rsid w:val="009A7E0A"/>
    <w:rsid w:val="009B01F3"/>
    <w:rsid w:val="009B0408"/>
    <w:rsid w:val="009B0590"/>
    <w:rsid w:val="009B0843"/>
    <w:rsid w:val="009B0ABC"/>
    <w:rsid w:val="009B0BF6"/>
    <w:rsid w:val="009B0BFF"/>
    <w:rsid w:val="009B0DEE"/>
    <w:rsid w:val="009B10AA"/>
    <w:rsid w:val="009B1335"/>
    <w:rsid w:val="009B1747"/>
    <w:rsid w:val="009B176D"/>
    <w:rsid w:val="009B1CD7"/>
    <w:rsid w:val="009B1D42"/>
    <w:rsid w:val="009B1E47"/>
    <w:rsid w:val="009B200E"/>
    <w:rsid w:val="009B2332"/>
    <w:rsid w:val="009B2CED"/>
    <w:rsid w:val="009B3054"/>
    <w:rsid w:val="009B32B0"/>
    <w:rsid w:val="009B335D"/>
    <w:rsid w:val="009B37F6"/>
    <w:rsid w:val="009B3C90"/>
    <w:rsid w:val="009B4448"/>
    <w:rsid w:val="009B45B1"/>
    <w:rsid w:val="009B4DA4"/>
    <w:rsid w:val="009B55CF"/>
    <w:rsid w:val="009B55E2"/>
    <w:rsid w:val="009B567E"/>
    <w:rsid w:val="009B5A3E"/>
    <w:rsid w:val="009B5A99"/>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43E0"/>
    <w:rsid w:val="009D4564"/>
    <w:rsid w:val="009D46A2"/>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D50"/>
    <w:rsid w:val="009E0D8E"/>
    <w:rsid w:val="009E0DE8"/>
    <w:rsid w:val="009E126D"/>
    <w:rsid w:val="009E1978"/>
    <w:rsid w:val="009E284F"/>
    <w:rsid w:val="009E2DFC"/>
    <w:rsid w:val="009E2F7A"/>
    <w:rsid w:val="009E3061"/>
    <w:rsid w:val="009E33D7"/>
    <w:rsid w:val="009E342E"/>
    <w:rsid w:val="009E3BA2"/>
    <w:rsid w:val="009E3CD1"/>
    <w:rsid w:val="009E3F75"/>
    <w:rsid w:val="009E436B"/>
    <w:rsid w:val="009E46ED"/>
    <w:rsid w:val="009E500D"/>
    <w:rsid w:val="009E52CC"/>
    <w:rsid w:val="009E54B8"/>
    <w:rsid w:val="009E5520"/>
    <w:rsid w:val="009E5AF5"/>
    <w:rsid w:val="009E5DF0"/>
    <w:rsid w:val="009E5EB5"/>
    <w:rsid w:val="009E65F4"/>
    <w:rsid w:val="009E6605"/>
    <w:rsid w:val="009E6C4F"/>
    <w:rsid w:val="009E7117"/>
    <w:rsid w:val="009E738D"/>
    <w:rsid w:val="009E74F0"/>
    <w:rsid w:val="009E76A2"/>
    <w:rsid w:val="009E77F0"/>
    <w:rsid w:val="009E7AED"/>
    <w:rsid w:val="009E7DFE"/>
    <w:rsid w:val="009E7E05"/>
    <w:rsid w:val="009E7F23"/>
    <w:rsid w:val="009F004D"/>
    <w:rsid w:val="009F019F"/>
    <w:rsid w:val="009F0768"/>
    <w:rsid w:val="009F089B"/>
    <w:rsid w:val="009F09DA"/>
    <w:rsid w:val="009F0A8C"/>
    <w:rsid w:val="009F0D0B"/>
    <w:rsid w:val="009F102A"/>
    <w:rsid w:val="009F143D"/>
    <w:rsid w:val="009F151C"/>
    <w:rsid w:val="009F16D8"/>
    <w:rsid w:val="009F179A"/>
    <w:rsid w:val="009F1E5F"/>
    <w:rsid w:val="009F230E"/>
    <w:rsid w:val="009F2950"/>
    <w:rsid w:val="009F2A19"/>
    <w:rsid w:val="009F30BD"/>
    <w:rsid w:val="009F343B"/>
    <w:rsid w:val="009F4165"/>
    <w:rsid w:val="009F41D3"/>
    <w:rsid w:val="009F473F"/>
    <w:rsid w:val="009F4768"/>
    <w:rsid w:val="009F514E"/>
    <w:rsid w:val="009F55E8"/>
    <w:rsid w:val="009F582C"/>
    <w:rsid w:val="009F5DE3"/>
    <w:rsid w:val="009F6094"/>
    <w:rsid w:val="009F69B9"/>
    <w:rsid w:val="009F6B0A"/>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26B0"/>
    <w:rsid w:val="00A027F3"/>
    <w:rsid w:val="00A029FF"/>
    <w:rsid w:val="00A035EF"/>
    <w:rsid w:val="00A03978"/>
    <w:rsid w:val="00A03A17"/>
    <w:rsid w:val="00A03A88"/>
    <w:rsid w:val="00A03AB1"/>
    <w:rsid w:val="00A03BC5"/>
    <w:rsid w:val="00A04994"/>
    <w:rsid w:val="00A04D3D"/>
    <w:rsid w:val="00A04D7E"/>
    <w:rsid w:val="00A04F16"/>
    <w:rsid w:val="00A05032"/>
    <w:rsid w:val="00A05149"/>
    <w:rsid w:val="00A051D9"/>
    <w:rsid w:val="00A055E7"/>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D79"/>
    <w:rsid w:val="00A10E53"/>
    <w:rsid w:val="00A1133E"/>
    <w:rsid w:val="00A11535"/>
    <w:rsid w:val="00A116D0"/>
    <w:rsid w:val="00A11C81"/>
    <w:rsid w:val="00A11CBF"/>
    <w:rsid w:val="00A11E56"/>
    <w:rsid w:val="00A11FD4"/>
    <w:rsid w:val="00A11FFC"/>
    <w:rsid w:val="00A120E1"/>
    <w:rsid w:val="00A12105"/>
    <w:rsid w:val="00A126AB"/>
    <w:rsid w:val="00A12798"/>
    <w:rsid w:val="00A12DAD"/>
    <w:rsid w:val="00A12FAF"/>
    <w:rsid w:val="00A13597"/>
    <w:rsid w:val="00A1366A"/>
    <w:rsid w:val="00A13A09"/>
    <w:rsid w:val="00A13C7F"/>
    <w:rsid w:val="00A1456B"/>
    <w:rsid w:val="00A147CA"/>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B32"/>
    <w:rsid w:val="00A22EBF"/>
    <w:rsid w:val="00A22F1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23F"/>
    <w:rsid w:val="00A324BA"/>
    <w:rsid w:val="00A324CF"/>
    <w:rsid w:val="00A328C1"/>
    <w:rsid w:val="00A32D0C"/>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B61"/>
    <w:rsid w:val="00A40C7A"/>
    <w:rsid w:val="00A410AC"/>
    <w:rsid w:val="00A415A4"/>
    <w:rsid w:val="00A4183F"/>
    <w:rsid w:val="00A41AB3"/>
    <w:rsid w:val="00A424F3"/>
    <w:rsid w:val="00A427F1"/>
    <w:rsid w:val="00A42A85"/>
    <w:rsid w:val="00A42CF3"/>
    <w:rsid w:val="00A42D07"/>
    <w:rsid w:val="00A42E9D"/>
    <w:rsid w:val="00A434CF"/>
    <w:rsid w:val="00A436B1"/>
    <w:rsid w:val="00A4383E"/>
    <w:rsid w:val="00A4434C"/>
    <w:rsid w:val="00A443C4"/>
    <w:rsid w:val="00A44413"/>
    <w:rsid w:val="00A446F3"/>
    <w:rsid w:val="00A448DA"/>
    <w:rsid w:val="00A44B43"/>
    <w:rsid w:val="00A4503E"/>
    <w:rsid w:val="00A450C0"/>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13B0"/>
    <w:rsid w:val="00A61556"/>
    <w:rsid w:val="00A61942"/>
    <w:rsid w:val="00A61C8E"/>
    <w:rsid w:val="00A61DCA"/>
    <w:rsid w:val="00A6223B"/>
    <w:rsid w:val="00A62289"/>
    <w:rsid w:val="00A62F57"/>
    <w:rsid w:val="00A6351F"/>
    <w:rsid w:val="00A63758"/>
    <w:rsid w:val="00A63809"/>
    <w:rsid w:val="00A63B54"/>
    <w:rsid w:val="00A63ECB"/>
    <w:rsid w:val="00A63F0C"/>
    <w:rsid w:val="00A64278"/>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31E"/>
    <w:rsid w:val="00A70806"/>
    <w:rsid w:val="00A71140"/>
    <w:rsid w:val="00A71439"/>
    <w:rsid w:val="00A71921"/>
    <w:rsid w:val="00A7205E"/>
    <w:rsid w:val="00A7207B"/>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FE"/>
    <w:rsid w:val="00A82325"/>
    <w:rsid w:val="00A83EE7"/>
    <w:rsid w:val="00A84042"/>
    <w:rsid w:val="00A84080"/>
    <w:rsid w:val="00A84367"/>
    <w:rsid w:val="00A845D4"/>
    <w:rsid w:val="00A8498D"/>
    <w:rsid w:val="00A84F22"/>
    <w:rsid w:val="00A84F8B"/>
    <w:rsid w:val="00A852DD"/>
    <w:rsid w:val="00A8554F"/>
    <w:rsid w:val="00A85798"/>
    <w:rsid w:val="00A8609D"/>
    <w:rsid w:val="00A86115"/>
    <w:rsid w:val="00A8619A"/>
    <w:rsid w:val="00A86A18"/>
    <w:rsid w:val="00A86A75"/>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774"/>
    <w:rsid w:val="00A91C7F"/>
    <w:rsid w:val="00A91E3C"/>
    <w:rsid w:val="00A91F7B"/>
    <w:rsid w:val="00A92066"/>
    <w:rsid w:val="00A92776"/>
    <w:rsid w:val="00A929A8"/>
    <w:rsid w:val="00A92BA2"/>
    <w:rsid w:val="00A92C47"/>
    <w:rsid w:val="00A92ED5"/>
    <w:rsid w:val="00A92F84"/>
    <w:rsid w:val="00A93089"/>
    <w:rsid w:val="00A93181"/>
    <w:rsid w:val="00A93637"/>
    <w:rsid w:val="00A938E6"/>
    <w:rsid w:val="00A93A52"/>
    <w:rsid w:val="00A93CCF"/>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91E"/>
    <w:rsid w:val="00AA5AC2"/>
    <w:rsid w:val="00AA5DF4"/>
    <w:rsid w:val="00AA5E41"/>
    <w:rsid w:val="00AA618B"/>
    <w:rsid w:val="00AA61DE"/>
    <w:rsid w:val="00AA6205"/>
    <w:rsid w:val="00AA65C9"/>
    <w:rsid w:val="00AA66CB"/>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29F"/>
    <w:rsid w:val="00AC43B8"/>
    <w:rsid w:val="00AC4403"/>
    <w:rsid w:val="00AC45CE"/>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D98"/>
    <w:rsid w:val="00AD00C5"/>
    <w:rsid w:val="00AD01B6"/>
    <w:rsid w:val="00AD02CE"/>
    <w:rsid w:val="00AD1289"/>
    <w:rsid w:val="00AD165F"/>
    <w:rsid w:val="00AD206C"/>
    <w:rsid w:val="00AD2144"/>
    <w:rsid w:val="00AD22BD"/>
    <w:rsid w:val="00AD2772"/>
    <w:rsid w:val="00AD278E"/>
    <w:rsid w:val="00AD2794"/>
    <w:rsid w:val="00AD2DC5"/>
    <w:rsid w:val="00AD3071"/>
    <w:rsid w:val="00AD32CA"/>
    <w:rsid w:val="00AD3302"/>
    <w:rsid w:val="00AD3455"/>
    <w:rsid w:val="00AD3CAD"/>
    <w:rsid w:val="00AD3D7E"/>
    <w:rsid w:val="00AD4021"/>
    <w:rsid w:val="00AD46CD"/>
    <w:rsid w:val="00AD4E5C"/>
    <w:rsid w:val="00AD510D"/>
    <w:rsid w:val="00AD554B"/>
    <w:rsid w:val="00AD5651"/>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4E"/>
    <w:rsid w:val="00AE265B"/>
    <w:rsid w:val="00AE2756"/>
    <w:rsid w:val="00AE2BED"/>
    <w:rsid w:val="00AE2C56"/>
    <w:rsid w:val="00AE34C2"/>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F036B"/>
    <w:rsid w:val="00AF039D"/>
    <w:rsid w:val="00AF0583"/>
    <w:rsid w:val="00AF0827"/>
    <w:rsid w:val="00AF093E"/>
    <w:rsid w:val="00AF094F"/>
    <w:rsid w:val="00AF0ABC"/>
    <w:rsid w:val="00AF1146"/>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B6A"/>
    <w:rsid w:val="00AF5EC6"/>
    <w:rsid w:val="00AF64B2"/>
    <w:rsid w:val="00AF6C38"/>
    <w:rsid w:val="00AF6D55"/>
    <w:rsid w:val="00AF6DBE"/>
    <w:rsid w:val="00AF6E8A"/>
    <w:rsid w:val="00AF7213"/>
    <w:rsid w:val="00AF723D"/>
    <w:rsid w:val="00AF7771"/>
    <w:rsid w:val="00AF7D92"/>
    <w:rsid w:val="00B0025C"/>
    <w:rsid w:val="00B00374"/>
    <w:rsid w:val="00B009C0"/>
    <w:rsid w:val="00B00A92"/>
    <w:rsid w:val="00B00FF1"/>
    <w:rsid w:val="00B011CC"/>
    <w:rsid w:val="00B015A6"/>
    <w:rsid w:val="00B01C3D"/>
    <w:rsid w:val="00B01D84"/>
    <w:rsid w:val="00B02799"/>
    <w:rsid w:val="00B0296E"/>
    <w:rsid w:val="00B02B2B"/>
    <w:rsid w:val="00B02C4C"/>
    <w:rsid w:val="00B0314D"/>
    <w:rsid w:val="00B032CA"/>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339"/>
    <w:rsid w:val="00B06636"/>
    <w:rsid w:val="00B0674D"/>
    <w:rsid w:val="00B06BF7"/>
    <w:rsid w:val="00B06DD9"/>
    <w:rsid w:val="00B07510"/>
    <w:rsid w:val="00B07BCE"/>
    <w:rsid w:val="00B07CD6"/>
    <w:rsid w:val="00B07E33"/>
    <w:rsid w:val="00B07E52"/>
    <w:rsid w:val="00B10010"/>
    <w:rsid w:val="00B10095"/>
    <w:rsid w:val="00B10149"/>
    <w:rsid w:val="00B102FB"/>
    <w:rsid w:val="00B1043B"/>
    <w:rsid w:val="00B105F5"/>
    <w:rsid w:val="00B1070B"/>
    <w:rsid w:val="00B1083A"/>
    <w:rsid w:val="00B10A65"/>
    <w:rsid w:val="00B10E99"/>
    <w:rsid w:val="00B110BF"/>
    <w:rsid w:val="00B11533"/>
    <w:rsid w:val="00B11775"/>
    <w:rsid w:val="00B11A23"/>
    <w:rsid w:val="00B12D56"/>
    <w:rsid w:val="00B12E67"/>
    <w:rsid w:val="00B12F75"/>
    <w:rsid w:val="00B1302D"/>
    <w:rsid w:val="00B1304B"/>
    <w:rsid w:val="00B131BE"/>
    <w:rsid w:val="00B13519"/>
    <w:rsid w:val="00B14422"/>
    <w:rsid w:val="00B14975"/>
    <w:rsid w:val="00B14F1C"/>
    <w:rsid w:val="00B14FDD"/>
    <w:rsid w:val="00B1513F"/>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D32"/>
    <w:rsid w:val="00B25ED0"/>
    <w:rsid w:val="00B25FC2"/>
    <w:rsid w:val="00B2628E"/>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F11"/>
    <w:rsid w:val="00B33FA4"/>
    <w:rsid w:val="00B3426D"/>
    <w:rsid w:val="00B34358"/>
    <w:rsid w:val="00B34E63"/>
    <w:rsid w:val="00B35114"/>
    <w:rsid w:val="00B35328"/>
    <w:rsid w:val="00B35BEC"/>
    <w:rsid w:val="00B35DA4"/>
    <w:rsid w:val="00B362DC"/>
    <w:rsid w:val="00B36360"/>
    <w:rsid w:val="00B36376"/>
    <w:rsid w:val="00B363F5"/>
    <w:rsid w:val="00B3680D"/>
    <w:rsid w:val="00B36EB7"/>
    <w:rsid w:val="00B40691"/>
    <w:rsid w:val="00B4081C"/>
    <w:rsid w:val="00B40A96"/>
    <w:rsid w:val="00B40B52"/>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5E2"/>
    <w:rsid w:val="00B47705"/>
    <w:rsid w:val="00B47989"/>
    <w:rsid w:val="00B47C02"/>
    <w:rsid w:val="00B47C4C"/>
    <w:rsid w:val="00B47E8C"/>
    <w:rsid w:val="00B500CD"/>
    <w:rsid w:val="00B50614"/>
    <w:rsid w:val="00B50B05"/>
    <w:rsid w:val="00B50CE5"/>
    <w:rsid w:val="00B5103C"/>
    <w:rsid w:val="00B5109D"/>
    <w:rsid w:val="00B51237"/>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E"/>
    <w:rsid w:val="00B639D7"/>
    <w:rsid w:val="00B63D49"/>
    <w:rsid w:val="00B63DFC"/>
    <w:rsid w:val="00B63FD8"/>
    <w:rsid w:val="00B6450B"/>
    <w:rsid w:val="00B64989"/>
    <w:rsid w:val="00B64AA7"/>
    <w:rsid w:val="00B64CA3"/>
    <w:rsid w:val="00B64D0E"/>
    <w:rsid w:val="00B6525D"/>
    <w:rsid w:val="00B65452"/>
    <w:rsid w:val="00B655FB"/>
    <w:rsid w:val="00B65649"/>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742"/>
    <w:rsid w:val="00B73DCD"/>
    <w:rsid w:val="00B73FEC"/>
    <w:rsid w:val="00B74397"/>
    <w:rsid w:val="00B74617"/>
    <w:rsid w:val="00B7502B"/>
    <w:rsid w:val="00B75454"/>
    <w:rsid w:val="00B757D6"/>
    <w:rsid w:val="00B760EE"/>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B"/>
    <w:rsid w:val="00B80D90"/>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8D"/>
    <w:rsid w:val="00B91BA0"/>
    <w:rsid w:val="00B91F3B"/>
    <w:rsid w:val="00B92AEF"/>
    <w:rsid w:val="00B92D25"/>
    <w:rsid w:val="00B93008"/>
    <w:rsid w:val="00B931D1"/>
    <w:rsid w:val="00B93542"/>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416"/>
    <w:rsid w:val="00BA4641"/>
    <w:rsid w:val="00BA49F6"/>
    <w:rsid w:val="00BA4A54"/>
    <w:rsid w:val="00BA4CF3"/>
    <w:rsid w:val="00BA509A"/>
    <w:rsid w:val="00BA525B"/>
    <w:rsid w:val="00BA5543"/>
    <w:rsid w:val="00BA5A78"/>
    <w:rsid w:val="00BA5ACB"/>
    <w:rsid w:val="00BA6543"/>
    <w:rsid w:val="00BA6702"/>
    <w:rsid w:val="00BA6853"/>
    <w:rsid w:val="00BA70BE"/>
    <w:rsid w:val="00BA7205"/>
    <w:rsid w:val="00BA76A9"/>
    <w:rsid w:val="00BA76FC"/>
    <w:rsid w:val="00BA7794"/>
    <w:rsid w:val="00BA7AE7"/>
    <w:rsid w:val="00BA7DB1"/>
    <w:rsid w:val="00BA7DF1"/>
    <w:rsid w:val="00BB0112"/>
    <w:rsid w:val="00BB037E"/>
    <w:rsid w:val="00BB0595"/>
    <w:rsid w:val="00BB0841"/>
    <w:rsid w:val="00BB162B"/>
    <w:rsid w:val="00BB1AD4"/>
    <w:rsid w:val="00BB1E3E"/>
    <w:rsid w:val="00BB2722"/>
    <w:rsid w:val="00BB2D25"/>
    <w:rsid w:val="00BB2F36"/>
    <w:rsid w:val="00BB2F37"/>
    <w:rsid w:val="00BB308E"/>
    <w:rsid w:val="00BB35C0"/>
    <w:rsid w:val="00BB369B"/>
    <w:rsid w:val="00BB369F"/>
    <w:rsid w:val="00BB3E2B"/>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21A"/>
    <w:rsid w:val="00BC221B"/>
    <w:rsid w:val="00BC252C"/>
    <w:rsid w:val="00BC275E"/>
    <w:rsid w:val="00BC297D"/>
    <w:rsid w:val="00BC2B02"/>
    <w:rsid w:val="00BC2BE4"/>
    <w:rsid w:val="00BC2E9A"/>
    <w:rsid w:val="00BC3166"/>
    <w:rsid w:val="00BC3257"/>
    <w:rsid w:val="00BC32E7"/>
    <w:rsid w:val="00BC3843"/>
    <w:rsid w:val="00BC402C"/>
    <w:rsid w:val="00BC421F"/>
    <w:rsid w:val="00BC422A"/>
    <w:rsid w:val="00BC496E"/>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4173"/>
    <w:rsid w:val="00BD4AED"/>
    <w:rsid w:val="00BD4E05"/>
    <w:rsid w:val="00BD4EC5"/>
    <w:rsid w:val="00BD50C3"/>
    <w:rsid w:val="00BD5435"/>
    <w:rsid w:val="00BD56A7"/>
    <w:rsid w:val="00BD598A"/>
    <w:rsid w:val="00BD5A97"/>
    <w:rsid w:val="00BD5C7A"/>
    <w:rsid w:val="00BD5CE6"/>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620"/>
    <w:rsid w:val="00C0668F"/>
    <w:rsid w:val="00C06A41"/>
    <w:rsid w:val="00C06B4E"/>
    <w:rsid w:val="00C071B1"/>
    <w:rsid w:val="00C072FE"/>
    <w:rsid w:val="00C0787D"/>
    <w:rsid w:val="00C10548"/>
    <w:rsid w:val="00C10E0B"/>
    <w:rsid w:val="00C10FD4"/>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8A7"/>
    <w:rsid w:val="00C23A50"/>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301A9"/>
    <w:rsid w:val="00C30522"/>
    <w:rsid w:val="00C30ABC"/>
    <w:rsid w:val="00C30B60"/>
    <w:rsid w:val="00C30FA9"/>
    <w:rsid w:val="00C319E1"/>
    <w:rsid w:val="00C31C5A"/>
    <w:rsid w:val="00C31D2F"/>
    <w:rsid w:val="00C31FAA"/>
    <w:rsid w:val="00C33359"/>
    <w:rsid w:val="00C33610"/>
    <w:rsid w:val="00C33637"/>
    <w:rsid w:val="00C33913"/>
    <w:rsid w:val="00C33A96"/>
    <w:rsid w:val="00C33DDF"/>
    <w:rsid w:val="00C33F6A"/>
    <w:rsid w:val="00C34003"/>
    <w:rsid w:val="00C344A1"/>
    <w:rsid w:val="00C34541"/>
    <w:rsid w:val="00C3488B"/>
    <w:rsid w:val="00C348D6"/>
    <w:rsid w:val="00C34BD6"/>
    <w:rsid w:val="00C34E8E"/>
    <w:rsid w:val="00C34F35"/>
    <w:rsid w:val="00C3504C"/>
    <w:rsid w:val="00C351AB"/>
    <w:rsid w:val="00C356D9"/>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50026"/>
    <w:rsid w:val="00C5009C"/>
    <w:rsid w:val="00C5030B"/>
    <w:rsid w:val="00C50352"/>
    <w:rsid w:val="00C503E2"/>
    <w:rsid w:val="00C508CC"/>
    <w:rsid w:val="00C5099B"/>
    <w:rsid w:val="00C50A4E"/>
    <w:rsid w:val="00C50ADF"/>
    <w:rsid w:val="00C50D05"/>
    <w:rsid w:val="00C5144C"/>
    <w:rsid w:val="00C518E4"/>
    <w:rsid w:val="00C518ED"/>
    <w:rsid w:val="00C51A3A"/>
    <w:rsid w:val="00C51C37"/>
    <w:rsid w:val="00C51FB5"/>
    <w:rsid w:val="00C520B1"/>
    <w:rsid w:val="00C5222F"/>
    <w:rsid w:val="00C522D6"/>
    <w:rsid w:val="00C523AF"/>
    <w:rsid w:val="00C52561"/>
    <w:rsid w:val="00C525D1"/>
    <w:rsid w:val="00C525DC"/>
    <w:rsid w:val="00C526AF"/>
    <w:rsid w:val="00C5296B"/>
    <w:rsid w:val="00C52C52"/>
    <w:rsid w:val="00C532EE"/>
    <w:rsid w:val="00C53688"/>
    <w:rsid w:val="00C537B7"/>
    <w:rsid w:val="00C53E61"/>
    <w:rsid w:val="00C54020"/>
    <w:rsid w:val="00C5406F"/>
    <w:rsid w:val="00C542E6"/>
    <w:rsid w:val="00C545C5"/>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B8A"/>
    <w:rsid w:val="00C6528C"/>
    <w:rsid w:val="00C65A5A"/>
    <w:rsid w:val="00C65CCF"/>
    <w:rsid w:val="00C66062"/>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F2F"/>
    <w:rsid w:val="00C75FEE"/>
    <w:rsid w:val="00C767A2"/>
    <w:rsid w:val="00C76B63"/>
    <w:rsid w:val="00C76E11"/>
    <w:rsid w:val="00C76F1D"/>
    <w:rsid w:val="00C77225"/>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4BD1"/>
    <w:rsid w:val="00C84CF7"/>
    <w:rsid w:val="00C84D39"/>
    <w:rsid w:val="00C85242"/>
    <w:rsid w:val="00C85277"/>
    <w:rsid w:val="00C853D9"/>
    <w:rsid w:val="00C85806"/>
    <w:rsid w:val="00C858D2"/>
    <w:rsid w:val="00C85980"/>
    <w:rsid w:val="00C859C2"/>
    <w:rsid w:val="00C859D2"/>
    <w:rsid w:val="00C85D76"/>
    <w:rsid w:val="00C85F79"/>
    <w:rsid w:val="00C8653D"/>
    <w:rsid w:val="00C8663D"/>
    <w:rsid w:val="00C8685D"/>
    <w:rsid w:val="00C871C1"/>
    <w:rsid w:val="00C873AC"/>
    <w:rsid w:val="00C87408"/>
    <w:rsid w:val="00C874DF"/>
    <w:rsid w:val="00C87A88"/>
    <w:rsid w:val="00C87DA6"/>
    <w:rsid w:val="00C87F8F"/>
    <w:rsid w:val="00C900A4"/>
    <w:rsid w:val="00C900CA"/>
    <w:rsid w:val="00C902D9"/>
    <w:rsid w:val="00C905F1"/>
    <w:rsid w:val="00C90664"/>
    <w:rsid w:val="00C90718"/>
    <w:rsid w:val="00C90A5B"/>
    <w:rsid w:val="00C90B59"/>
    <w:rsid w:val="00C90DB5"/>
    <w:rsid w:val="00C915E6"/>
    <w:rsid w:val="00C91857"/>
    <w:rsid w:val="00C91876"/>
    <w:rsid w:val="00C9188C"/>
    <w:rsid w:val="00C918DF"/>
    <w:rsid w:val="00C91CA3"/>
    <w:rsid w:val="00C91DF8"/>
    <w:rsid w:val="00C92075"/>
    <w:rsid w:val="00C9213B"/>
    <w:rsid w:val="00C922A3"/>
    <w:rsid w:val="00C922BA"/>
    <w:rsid w:val="00C923DF"/>
    <w:rsid w:val="00C92FBB"/>
    <w:rsid w:val="00C93172"/>
    <w:rsid w:val="00C93462"/>
    <w:rsid w:val="00C94287"/>
    <w:rsid w:val="00C94384"/>
    <w:rsid w:val="00C9486F"/>
    <w:rsid w:val="00C9490E"/>
    <w:rsid w:val="00C949CF"/>
    <w:rsid w:val="00C94A34"/>
    <w:rsid w:val="00C94C2B"/>
    <w:rsid w:val="00C94F73"/>
    <w:rsid w:val="00C94FC3"/>
    <w:rsid w:val="00C9545C"/>
    <w:rsid w:val="00C95609"/>
    <w:rsid w:val="00C95FE6"/>
    <w:rsid w:val="00C96591"/>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CD1"/>
    <w:rsid w:val="00CA3703"/>
    <w:rsid w:val="00CA391D"/>
    <w:rsid w:val="00CA3969"/>
    <w:rsid w:val="00CA3ACD"/>
    <w:rsid w:val="00CA3BEE"/>
    <w:rsid w:val="00CA44B6"/>
    <w:rsid w:val="00CA4540"/>
    <w:rsid w:val="00CA4806"/>
    <w:rsid w:val="00CA489D"/>
    <w:rsid w:val="00CA4F8B"/>
    <w:rsid w:val="00CA5445"/>
    <w:rsid w:val="00CA5A8B"/>
    <w:rsid w:val="00CA5DE1"/>
    <w:rsid w:val="00CA6824"/>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60F2"/>
    <w:rsid w:val="00CB678F"/>
    <w:rsid w:val="00CB6795"/>
    <w:rsid w:val="00CB6A5B"/>
    <w:rsid w:val="00CB71F8"/>
    <w:rsid w:val="00CB730B"/>
    <w:rsid w:val="00CB7325"/>
    <w:rsid w:val="00CB7666"/>
    <w:rsid w:val="00CB769E"/>
    <w:rsid w:val="00CB7DFB"/>
    <w:rsid w:val="00CB7EB2"/>
    <w:rsid w:val="00CC051B"/>
    <w:rsid w:val="00CC0DD0"/>
    <w:rsid w:val="00CC147C"/>
    <w:rsid w:val="00CC1721"/>
    <w:rsid w:val="00CC180A"/>
    <w:rsid w:val="00CC1B30"/>
    <w:rsid w:val="00CC1D33"/>
    <w:rsid w:val="00CC1F2A"/>
    <w:rsid w:val="00CC214C"/>
    <w:rsid w:val="00CC269C"/>
    <w:rsid w:val="00CC26DB"/>
    <w:rsid w:val="00CC2B14"/>
    <w:rsid w:val="00CC300C"/>
    <w:rsid w:val="00CC34A6"/>
    <w:rsid w:val="00CC3501"/>
    <w:rsid w:val="00CC35AE"/>
    <w:rsid w:val="00CC3784"/>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834"/>
    <w:rsid w:val="00CE2942"/>
    <w:rsid w:val="00CE2F2C"/>
    <w:rsid w:val="00CE366A"/>
    <w:rsid w:val="00CE3AEE"/>
    <w:rsid w:val="00CE4093"/>
    <w:rsid w:val="00CE42BC"/>
    <w:rsid w:val="00CE42CD"/>
    <w:rsid w:val="00CE4567"/>
    <w:rsid w:val="00CE464A"/>
    <w:rsid w:val="00CE499A"/>
    <w:rsid w:val="00CE4F7C"/>
    <w:rsid w:val="00CE51EF"/>
    <w:rsid w:val="00CE5682"/>
    <w:rsid w:val="00CE59F3"/>
    <w:rsid w:val="00CE5C4C"/>
    <w:rsid w:val="00CE6DF9"/>
    <w:rsid w:val="00CE6F0F"/>
    <w:rsid w:val="00CE7725"/>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3981"/>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6C6"/>
    <w:rsid w:val="00D01D13"/>
    <w:rsid w:val="00D01EAD"/>
    <w:rsid w:val="00D02400"/>
    <w:rsid w:val="00D0266D"/>
    <w:rsid w:val="00D0276B"/>
    <w:rsid w:val="00D0340B"/>
    <w:rsid w:val="00D0343D"/>
    <w:rsid w:val="00D035B9"/>
    <w:rsid w:val="00D03715"/>
    <w:rsid w:val="00D0384F"/>
    <w:rsid w:val="00D040B7"/>
    <w:rsid w:val="00D055A7"/>
    <w:rsid w:val="00D0569B"/>
    <w:rsid w:val="00D059D7"/>
    <w:rsid w:val="00D05A30"/>
    <w:rsid w:val="00D060FF"/>
    <w:rsid w:val="00D064E8"/>
    <w:rsid w:val="00D06546"/>
    <w:rsid w:val="00D06572"/>
    <w:rsid w:val="00D065CD"/>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089"/>
    <w:rsid w:val="00D14487"/>
    <w:rsid w:val="00D147A9"/>
    <w:rsid w:val="00D1486A"/>
    <w:rsid w:val="00D14CF8"/>
    <w:rsid w:val="00D14D63"/>
    <w:rsid w:val="00D157B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1170"/>
    <w:rsid w:val="00D313D4"/>
    <w:rsid w:val="00D31531"/>
    <w:rsid w:val="00D31643"/>
    <w:rsid w:val="00D31681"/>
    <w:rsid w:val="00D3191C"/>
    <w:rsid w:val="00D31B6E"/>
    <w:rsid w:val="00D3201F"/>
    <w:rsid w:val="00D321CB"/>
    <w:rsid w:val="00D3232B"/>
    <w:rsid w:val="00D32342"/>
    <w:rsid w:val="00D3239F"/>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F97"/>
    <w:rsid w:val="00D3646B"/>
    <w:rsid w:val="00D3670A"/>
    <w:rsid w:val="00D36964"/>
    <w:rsid w:val="00D36B78"/>
    <w:rsid w:val="00D37469"/>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815"/>
    <w:rsid w:val="00D61938"/>
    <w:rsid w:val="00D61F2F"/>
    <w:rsid w:val="00D61F45"/>
    <w:rsid w:val="00D62596"/>
    <w:rsid w:val="00D62719"/>
    <w:rsid w:val="00D627E3"/>
    <w:rsid w:val="00D62BE4"/>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8F4"/>
    <w:rsid w:val="00D65BE7"/>
    <w:rsid w:val="00D65D17"/>
    <w:rsid w:val="00D65D78"/>
    <w:rsid w:val="00D65E1A"/>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FC"/>
    <w:rsid w:val="00D742FF"/>
    <w:rsid w:val="00D74661"/>
    <w:rsid w:val="00D7470D"/>
    <w:rsid w:val="00D74D9D"/>
    <w:rsid w:val="00D74DA0"/>
    <w:rsid w:val="00D75018"/>
    <w:rsid w:val="00D753A1"/>
    <w:rsid w:val="00D75529"/>
    <w:rsid w:val="00D75798"/>
    <w:rsid w:val="00D758B3"/>
    <w:rsid w:val="00D75BE3"/>
    <w:rsid w:val="00D75D19"/>
    <w:rsid w:val="00D76162"/>
    <w:rsid w:val="00D7630C"/>
    <w:rsid w:val="00D76525"/>
    <w:rsid w:val="00D76ADC"/>
    <w:rsid w:val="00D76F7B"/>
    <w:rsid w:val="00D77413"/>
    <w:rsid w:val="00D77634"/>
    <w:rsid w:val="00D776D0"/>
    <w:rsid w:val="00D777BE"/>
    <w:rsid w:val="00D777CD"/>
    <w:rsid w:val="00D777EE"/>
    <w:rsid w:val="00D77D71"/>
    <w:rsid w:val="00D77E97"/>
    <w:rsid w:val="00D80B04"/>
    <w:rsid w:val="00D8130B"/>
    <w:rsid w:val="00D814F4"/>
    <w:rsid w:val="00D81A8A"/>
    <w:rsid w:val="00D81BD1"/>
    <w:rsid w:val="00D81F10"/>
    <w:rsid w:val="00D8214C"/>
    <w:rsid w:val="00D82686"/>
    <w:rsid w:val="00D826D6"/>
    <w:rsid w:val="00D82798"/>
    <w:rsid w:val="00D82907"/>
    <w:rsid w:val="00D82BF2"/>
    <w:rsid w:val="00D82D4A"/>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B4D"/>
    <w:rsid w:val="00D86080"/>
    <w:rsid w:val="00D8658C"/>
    <w:rsid w:val="00D866C3"/>
    <w:rsid w:val="00D868A8"/>
    <w:rsid w:val="00D869B3"/>
    <w:rsid w:val="00D86A51"/>
    <w:rsid w:val="00D86A8C"/>
    <w:rsid w:val="00D86F00"/>
    <w:rsid w:val="00D87189"/>
    <w:rsid w:val="00D8728C"/>
    <w:rsid w:val="00D87307"/>
    <w:rsid w:val="00D874DF"/>
    <w:rsid w:val="00D876AE"/>
    <w:rsid w:val="00D87A12"/>
    <w:rsid w:val="00D87CC7"/>
    <w:rsid w:val="00D907E3"/>
    <w:rsid w:val="00D90922"/>
    <w:rsid w:val="00D90B6E"/>
    <w:rsid w:val="00D90E23"/>
    <w:rsid w:val="00D91F7C"/>
    <w:rsid w:val="00D922C1"/>
    <w:rsid w:val="00D922F0"/>
    <w:rsid w:val="00D92770"/>
    <w:rsid w:val="00D930E1"/>
    <w:rsid w:val="00D9346D"/>
    <w:rsid w:val="00D9354D"/>
    <w:rsid w:val="00D937D1"/>
    <w:rsid w:val="00D93A1B"/>
    <w:rsid w:val="00D93C04"/>
    <w:rsid w:val="00D93FAD"/>
    <w:rsid w:val="00D9415C"/>
    <w:rsid w:val="00D942CC"/>
    <w:rsid w:val="00D944E4"/>
    <w:rsid w:val="00D947DE"/>
    <w:rsid w:val="00D94D87"/>
    <w:rsid w:val="00D95011"/>
    <w:rsid w:val="00D955AA"/>
    <w:rsid w:val="00D95858"/>
    <w:rsid w:val="00D95B31"/>
    <w:rsid w:val="00D95D27"/>
    <w:rsid w:val="00D95DCC"/>
    <w:rsid w:val="00D95F89"/>
    <w:rsid w:val="00D96098"/>
    <w:rsid w:val="00D962BE"/>
    <w:rsid w:val="00D962DC"/>
    <w:rsid w:val="00D966B0"/>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B01AD"/>
    <w:rsid w:val="00DB027E"/>
    <w:rsid w:val="00DB031E"/>
    <w:rsid w:val="00DB03C3"/>
    <w:rsid w:val="00DB03FC"/>
    <w:rsid w:val="00DB040B"/>
    <w:rsid w:val="00DB0677"/>
    <w:rsid w:val="00DB0AB8"/>
    <w:rsid w:val="00DB0D2A"/>
    <w:rsid w:val="00DB11CD"/>
    <w:rsid w:val="00DB14E0"/>
    <w:rsid w:val="00DB17C6"/>
    <w:rsid w:val="00DB1ADC"/>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A80"/>
    <w:rsid w:val="00DB6C06"/>
    <w:rsid w:val="00DB712A"/>
    <w:rsid w:val="00DB71FA"/>
    <w:rsid w:val="00DB7568"/>
    <w:rsid w:val="00DB77DA"/>
    <w:rsid w:val="00DB77E7"/>
    <w:rsid w:val="00DB7B06"/>
    <w:rsid w:val="00DC0331"/>
    <w:rsid w:val="00DC043D"/>
    <w:rsid w:val="00DC0A95"/>
    <w:rsid w:val="00DC0BB8"/>
    <w:rsid w:val="00DC0FA4"/>
    <w:rsid w:val="00DC148A"/>
    <w:rsid w:val="00DC1890"/>
    <w:rsid w:val="00DC1938"/>
    <w:rsid w:val="00DC1A3D"/>
    <w:rsid w:val="00DC1AD7"/>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75E"/>
    <w:rsid w:val="00DC7859"/>
    <w:rsid w:val="00DC7951"/>
    <w:rsid w:val="00DC7980"/>
    <w:rsid w:val="00DD03AC"/>
    <w:rsid w:val="00DD10EB"/>
    <w:rsid w:val="00DD120F"/>
    <w:rsid w:val="00DD148E"/>
    <w:rsid w:val="00DD195E"/>
    <w:rsid w:val="00DD1C4B"/>
    <w:rsid w:val="00DD1E1B"/>
    <w:rsid w:val="00DD1F7B"/>
    <w:rsid w:val="00DD229E"/>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E0D60"/>
    <w:rsid w:val="00DE0D61"/>
    <w:rsid w:val="00DE17EC"/>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B9"/>
    <w:rsid w:val="00DE737B"/>
    <w:rsid w:val="00DE7F63"/>
    <w:rsid w:val="00DEB1BA"/>
    <w:rsid w:val="00DF027C"/>
    <w:rsid w:val="00DF0387"/>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32E"/>
    <w:rsid w:val="00DF5331"/>
    <w:rsid w:val="00DF5755"/>
    <w:rsid w:val="00DF59F4"/>
    <w:rsid w:val="00DF5A74"/>
    <w:rsid w:val="00DF61B8"/>
    <w:rsid w:val="00DF64A1"/>
    <w:rsid w:val="00DF6924"/>
    <w:rsid w:val="00DF6E46"/>
    <w:rsid w:val="00DF73C1"/>
    <w:rsid w:val="00DF7511"/>
    <w:rsid w:val="00DF772E"/>
    <w:rsid w:val="00DF775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31BB"/>
    <w:rsid w:val="00E032FD"/>
    <w:rsid w:val="00E03440"/>
    <w:rsid w:val="00E0371C"/>
    <w:rsid w:val="00E037DD"/>
    <w:rsid w:val="00E03E62"/>
    <w:rsid w:val="00E0417B"/>
    <w:rsid w:val="00E0472E"/>
    <w:rsid w:val="00E047A4"/>
    <w:rsid w:val="00E04FA4"/>
    <w:rsid w:val="00E052B6"/>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665"/>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9D7"/>
    <w:rsid w:val="00E21E95"/>
    <w:rsid w:val="00E21F1F"/>
    <w:rsid w:val="00E2213E"/>
    <w:rsid w:val="00E22224"/>
    <w:rsid w:val="00E222DE"/>
    <w:rsid w:val="00E22A43"/>
    <w:rsid w:val="00E22AC7"/>
    <w:rsid w:val="00E22C3E"/>
    <w:rsid w:val="00E22D87"/>
    <w:rsid w:val="00E2314D"/>
    <w:rsid w:val="00E23306"/>
    <w:rsid w:val="00E239D1"/>
    <w:rsid w:val="00E2455D"/>
    <w:rsid w:val="00E246B9"/>
    <w:rsid w:val="00E24817"/>
    <w:rsid w:val="00E24E03"/>
    <w:rsid w:val="00E250C5"/>
    <w:rsid w:val="00E2565B"/>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70C2"/>
    <w:rsid w:val="00E37BE5"/>
    <w:rsid w:val="00E37F5C"/>
    <w:rsid w:val="00E40444"/>
    <w:rsid w:val="00E40B57"/>
    <w:rsid w:val="00E40C85"/>
    <w:rsid w:val="00E40C94"/>
    <w:rsid w:val="00E4139F"/>
    <w:rsid w:val="00E417C6"/>
    <w:rsid w:val="00E41A27"/>
    <w:rsid w:val="00E41AB4"/>
    <w:rsid w:val="00E42497"/>
    <w:rsid w:val="00E42598"/>
    <w:rsid w:val="00E42737"/>
    <w:rsid w:val="00E42AED"/>
    <w:rsid w:val="00E4321F"/>
    <w:rsid w:val="00E4346F"/>
    <w:rsid w:val="00E436F4"/>
    <w:rsid w:val="00E439AF"/>
    <w:rsid w:val="00E44128"/>
    <w:rsid w:val="00E4412D"/>
    <w:rsid w:val="00E4471D"/>
    <w:rsid w:val="00E44906"/>
    <w:rsid w:val="00E44961"/>
    <w:rsid w:val="00E449AA"/>
    <w:rsid w:val="00E449FC"/>
    <w:rsid w:val="00E44CBE"/>
    <w:rsid w:val="00E453A3"/>
    <w:rsid w:val="00E4583D"/>
    <w:rsid w:val="00E45C77"/>
    <w:rsid w:val="00E45FF8"/>
    <w:rsid w:val="00E4608B"/>
    <w:rsid w:val="00E46245"/>
    <w:rsid w:val="00E462FD"/>
    <w:rsid w:val="00E46BE7"/>
    <w:rsid w:val="00E46D7F"/>
    <w:rsid w:val="00E46DED"/>
    <w:rsid w:val="00E46E16"/>
    <w:rsid w:val="00E47CB1"/>
    <w:rsid w:val="00E501D3"/>
    <w:rsid w:val="00E5067A"/>
    <w:rsid w:val="00E50795"/>
    <w:rsid w:val="00E50879"/>
    <w:rsid w:val="00E50EB8"/>
    <w:rsid w:val="00E510EA"/>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D8"/>
    <w:rsid w:val="00E637F1"/>
    <w:rsid w:val="00E63884"/>
    <w:rsid w:val="00E63ADA"/>
    <w:rsid w:val="00E63F5A"/>
    <w:rsid w:val="00E64754"/>
    <w:rsid w:val="00E647C1"/>
    <w:rsid w:val="00E6499C"/>
    <w:rsid w:val="00E64B0E"/>
    <w:rsid w:val="00E64E34"/>
    <w:rsid w:val="00E65427"/>
    <w:rsid w:val="00E6591A"/>
    <w:rsid w:val="00E65A33"/>
    <w:rsid w:val="00E65BD1"/>
    <w:rsid w:val="00E65D15"/>
    <w:rsid w:val="00E65FAB"/>
    <w:rsid w:val="00E66179"/>
    <w:rsid w:val="00E669EF"/>
    <w:rsid w:val="00E66CD8"/>
    <w:rsid w:val="00E66E5D"/>
    <w:rsid w:val="00E6727C"/>
    <w:rsid w:val="00E6727F"/>
    <w:rsid w:val="00E67802"/>
    <w:rsid w:val="00E67B75"/>
    <w:rsid w:val="00E67EE5"/>
    <w:rsid w:val="00E67F4A"/>
    <w:rsid w:val="00E7013A"/>
    <w:rsid w:val="00E70D24"/>
    <w:rsid w:val="00E70FAE"/>
    <w:rsid w:val="00E71176"/>
    <w:rsid w:val="00E711A5"/>
    <w:rsid w:val="00E713CD"/>
    <w:rsid w:val="00E71B37"/>
    <w:rsid w:val="00E72622"/>
    <w:rsid w:val="00E728CD"/>
    <w:rsid w:val="00E72C6B"/>
    <w:rsid w:val="00E72ED4"/>
    <w:rsid w:val="00E72F36"/>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7AD"/>
    <w:rsid w:val="00E77079"/>
    <w:rsid w:val="00E7709B"/>
    <w:rsid w:val="00E77585"/>
    <w:rsid w:val="00E77BED"/>
    <w:rsid w:val="00E77C79"/>
    <w:rsid w:val="00E77FAA"/>
    <w:rsid w:val="00E801A4"/>
    <w:rsid w:val="00E803AE"/>
    <w:rsid w:val="00E80440"/>
    <w:rsid w:val="00E80590"/>
    <w:rsid w:val="00E806D0"/>
    <w:rsid w:val="00E80CC5"/>
    <w:rsid w:val="00E810D3"/>
    <w:rsid w:val="00E81394"/>
    <w:rsid w:val="00E817E0"/>
    <w:rsid w:val="00E81A78"/>
    <w:rsid w:val="00E82AB9"/>
    <w:rsid w:val="00E82B6D"/>
    <w:rsid w:val="00E82CB2"/>
    <w:rsid w:val="00E82CD5"/>
    <w:rsid w:val="00E82D44"/>
    <w:rsid w:val="00E82EE4"/>
    <w:rsid w:val="00E82F2F"/>
    <w:rsid w:val="00E8317B"/>
    <w:rsid w:val="00E831E7"/>
    <w:rsid w:val="00E8349D"/>
    <w:rsid w:val="00E8385E"/>
    <w:rsid w:val="00E83E2F"/>
    <w:rsid w:val="00E8427C"/>
    <w:rsid w:val="00E843B5"/>
    <w:rsid w:val="00E8459C"/>
    <w:rsid w:val="00E84748"/>
    <w:rsid w:val="00E84A3B"/>
    <w:rsid w:val="00E84B55"/>
    <w:rsid w:val="00E84C9E"/>
    <w:rsid w:val="00E850E9"/>
    <w:rsid w:val="00E85307"/>
    <w:rsid w:val="00E8541A"/>
    <w:rsid w:val="00E8584E"/>
    <w:rsid w:val="00E85B02"/>
    <w:rsid w:val="00E85B0A"/>
    <w:rsid w:val="00E85F3F"/>
    <w:rsid w:val="00E860B7"/>
    <w:rsid w:val="00E8649A"/>
    <w:rsid w:val="00E86611"/>
    <w:rsid w:val="00E8689F"/>
    <w:rsid w:val="00E86A22"/>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76E"/>
    <w:rsid w:val="00E939CD"/>
    <w:rsid w:val="00E93B27"/>
    <w:rsid w:val="00E93BB0"/>
    <w:rsid w:val="00E93CB3"/>
    <w:rsid w:val="00E944FB"/>
    <w:rsid w:val="00E946A6"/>
    <w:rsid w:val="00E947E4"/>
    <w:rsid w:val="00E947E8"/>
    <w:rsid w:val="00E9480A"/>
    <w:rsid w:val="00E948F7"/>
    <w:rsid w:val="00E9495E"/>
    <w:rsid w:val="00E94D3A"/>
    <w:rsid w:val="00E953C2"/>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A8"/>
    <w:rsid w:val="00EC141D"/>
    <w:rsid w:val="00EC1453"/>
    <w:rsid w:val="00EC14B0"/>
    <w:rsid w:val="00EC1647"/>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5BD"/>
    <w:rsid w:val="00ED25CE"/>
    <w:rsid w:val="00ED27C3"/>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6063"/>
    <w:rsid w:val="00ED61DF"/>
    <w:rsid w:val="00ED6B3F"/>
    <w:rsid w:val="00ED6D4A"/>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663"/>
    <w:rsid w:val="00EE3A94"/>
    <w:rsid w:val="00EE3B66"/>
    <w:rsid w:val="00EE3E0A"/>
    <w:rsid w:val="00EE3E89"/>
    <w:rsid w:val="00EE4180"/>
    <w:rsid w:val="00EE41C4"/>
    <w:rsid w:val="00EE4240"/>
    <w:rsid w:val="00EE437F"/>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3C19"/>
    <w:rsid w:val="00EF3C27"/>
    <w:rsid w:val="00EF40AA"/>
    <w:rsid w:val="00EF4A31"/>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720"/>
    <w:rsid w:val="00F05759"/>
    <w:rsid w:val="00F057D7"/>
    <w:rsid w:val="00F05D73"/>
    <w:rsid w:val="00F0600F"/>
    <w:rsid w:val="00F064EC"/>
    <w:rsid w:val="00F0676F"/>
    <w:rsid w:val="00F06B44"/>
    <w:rsid w:val="00F06CAB"/>
    <w:rsid w:val="00F06D2A"/>
    <w:rsid w:val="00F0718E"/>
    <w:rsid w:val="00F079C8"/>
    <w:rsid w:val="00F07F39"/>
    <w:rsid w:val="00F1093A"/>
    <w:rsid w:val="00F10BAA"/>
    <w:rsid w:val="00F10CB9"/>
    <w:rsid w:val="00F10E41"/>
    <w:rsid w:val="00F10F1C"/>
    <w:rsid w:val="00F110CD"/>
    <w:rsid w:val="00F110D5"/>
    <w:rsid w:val="00F11C80"/>
    <w:rsid w:val="00F12351"/>
    <w:rsid w:val="00F12525"/>
    <w:rsid w:val="00F1287F"/>
    <w:rsid w:val="00F12932"/>
    <w:rsid w:val="00F12A5D"/>
    <w:rsid w:val="00F12B3B"/>
    <w:rsid w:val="00F131E2"/>
    <w:rsid w:val="00F13489"/>
    <w:rsid w:val="00F14602"/>
    <w:rsid w:val="00F14F41"/>
    <w:rsid w:val="00F15188"/>
    <w:rsid w:val="00F15193"/>
    <w:rsid w:val="00F15226"/>
    <w:rsid w:val="00F15648"/>
    <w:rsid w:val="00F1564E"/>
    <w:rsid w:val="00F15954"/>
    <w:rsid w:val="00F15E4B"/>
    <w:rsid w:val="00F16306"/>
    <w:rsid w:val="00F16532"/>
    <w:rsid w:val="00F16739"/>
    <w:rsid w:val="00F169F5"/>
    <w:rsid w:val="00F16DE2"/>
    <w:rsid w:val="00F1734E"/>
    <w:rsid w:val="00F17719"/>
    <w:rsid w:val="00F1785A"/>
    <w:rsid w:val="00F178CF"/>
    <w:rsid w:val="00F17C12"/>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63FE"/>
    <w:rsid w:val="00F264CB"/>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2F6F"/>
    <w:rsid w:val="00F333E8"/>
    <w:rsid w:val="00F3371A"/>
    <w:rsid w:val="00F33A66"/>
    <w:rsid w:val="00F33DC8"/>
    <w:rsid w:val="00F34049"/>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33E"/>
    <w:rsid w:val="00F433AB"/>
    <w:rsid w:val="00F434B2"/>
    <w:rsid w:val="00F4390A"/>
    <w:rsid w:val="00F43B3F"/>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714"/>
    <w:rsid w:val="00F54ADC"/>
    <w:rsid w:val="00F54BFA"/>
    <w:rsid w:val="00F54C58"/>
    <w:rsid w:val="00F54E36"/>
    <w:rsid w:val="00F5546B"/>
    <w:rsid w:val="00F55520"/>
    <w:rsid w:val="00F556CD"/>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430"/>
    <w:rsid w:val="00F60B3E"/>
    <w:rsid w:val="00F60C3D"/>
    <w:rsid w:val="00F60CD6"/>
    <w:rsid w:val="00F610FC"/>
    <w:rsid w:val="00F6111C"/>
    <w:rsid w:val="00F614C0"/>
    <w:rsid w:val="00F615EE"/>
    <w:rsid w:val="00F61647"/>
    <w:rsid w:val="00F617A8"/>
    <w:rsid w:val="00F61D01"/>
    <w:rsid w:val="00F623A6"/>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65CB"/>
    <w:rsid w:val="00F6681B"/>
    <w:rsid w:val="00F6698B"/>
    <w:rsid w:val="00F66A00"/>
    <w:rsid w:val="00F66CFB"/>
    <w:rsid w:val="00F66F56"/>
    <w:rsid w:val="00F679EF"/>
    <w:rsid w:val="00F67A05"/>
    <w:rsid w:val="00F67CCE"/>
    <w:rsid w:val="00F67DCA"/>
    <w:rsid w:val="00F68238"/>
    <w:rsid w:val="00F700F8"/>
    <w:rsid w:val="00F70614"/>
    <w:rsid w:val="00F7091A"/>
    <w:rsid w:val="00F70C73"/>
    <w:rsid w:val="00F713A3"/>
    <w:rsid w:val="00F713F6"/>
    <w:rsid w:val="00F717DE"/>
    <w:rsid w:val="00F718BA"/>
    <w:rsid w:val="00F71A40"/>
    <w:rsid w:val="00F71A8F"/>
    <w:rsid w:val="00F71ED7"/>
    <w:rsid w:val="00F71FFD"/>
    <w:rsid w:val="00F720F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E3"/>
    <w:rsid w:val="00F82362"/>
    <w:rsid w:val="00F82699"/>
    <w:rsid w:val="00F82866"/>
    <w:rsid w:val="00F82D3E"/>
    <w:rsid w:val="00F82D6D"/>
    <w:rsid w:val="00F8345A"/>
    <w:rsid w:val="00F8362D"/>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FC7"/>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E10"/>
    <w:rsid w:val="00FA27C2"/>
    <w:rsid w:val="00FA2AD3"/>
    <w:rsid w:val="00FA2C35"/>
    <w:rsid w:val="00FA3056"/>
    <w:rsid w:val="00FA31E7"/>
    <w:rsid w:val="00FA3386"/>
    <w:rsid w:val="00FA3448"/>
    <w:rsid w:val="00FA3CF5"/>
    <w:rsid w:val="00FA3FD1"/>
    <w:rsid w:val="00FA40AC"/>
    <w:rsid w:val="00FA413A"/>
    <w:rsid w:val="00FA4144"/>
    <w:rsid w:val="00FA422F"/>
    <w:rsid w:val="00FA44D1"/>
    <w:rsid w:val="00FA4759"/>
    <w:rsid w:val="00FA4971"/>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22C"/>
    <w:rsid w:val="00FB0442"/>
    <w:rsid w:val="00FB052D"/>
    <w:rsid w:val="00FB056B"/>
    <w:rsid w:val="00FB0E31"/>
    <w:rsid w:val="00FB14B1"/>
    <w:rsid w:val="00FB1A57"/>
    <w:rsid w:val="00FB1C2B"/>
    <w:rsid w:val="00FB1DF8"/>
    <w:rsid w:val="00FB22D7"/>
    <w:rsid w:val="00FB2379"/>
    <w:rsid w:val="00FB2949"/>
    <w:rsid w:val="00FB2B40"/>
    <w:rsid w:val="00FB2E3D"/>
    <w:rsid w:val="00FB2E3F"/>
    <w:rsid w:val="00FB30AC"/>
    <w:rsid w:val="00FB336B"/>
    <w:rsid w:val="00FB33CF"/>
    <w:rsid w:val="00FB3668"/>
    <w:rsid w:val="00FB3672"/>
    <w:rsid w:val="00FB36B1"/>
    <w:rsid w:val="00FB3CB7"/>
    <w:rsid w:val="00FB4B8A"/>
    <w:rsid w:val="00FB4D0D"/>
    <w:rsid w:val="00FB4D1E"/>
    <w:rsid w:val="00FB4EF8"/>
    <w:rsid w:val="00FB4F1B"/>
    <w:rsid w:val="00FB50FA"/>
    <w:rsid w:val="00FB5152"/>
    <w:rsid w:val="00FB5D29"/>
    <w:rsid w:val="00FB5D7B"/>
    <w:rsid w:val="00FB5F8F"/>
    <w:rsid w:val="00FB680E"/>
    <w:rsid w:val="00FB687B"/>
    <w:rsid w:val="00FB6B73"/>
    <w:rsid w:val="00FB6B81"/>
    <w:rsid w:val="00FB6C55"/>
    <w:rsid w:val="00FB799E"/>
    <w:rsid w:val="00FB7A0B"/>
    <w:rsid w:val="00FC0065"/>
    <w:rsid w:val="00FC0171"/>
    <w:rsid w:val="00FC0312"/>
    <w:rsid w:val="00FC062F"/>
    <w:rsid w:val="00FC0664"/>
    <w:rsid w:val="00FC0754"/>
    <w:rsid w:val="00FC119F"/>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E8"/>
    <w:rsid w:val="00FD4B33"/>
    <w:rsid w:val="00FD4BA4"/>
    <w:rsid w:val="00FD534E"/>
    <w:rsid w:val="00FD55AB"/>
    <w:rsid w:val="00FD56C7"/>
    <w:rsid w:val="00FD58CC"/>
    <w:rsid w:val="00FD5993"/>
    <w:rsid w:val="00FD5CBB"/>
    <w:rsid w:val="00FD60CC"/>
    <w:rsid w:val="00FD6309"/>
    <w:rsid w:val="00FD6564"/>
    <w:rsid w:val="00FD6635"/>
    <w:rsid w:val="00FD68ED"/>
    <w:rsid w:val="00FD6AF6"/>
    <w:rsid w:val="00FD6B74"/>
    <w:rsid w:val="00FD70AE"/>
    <w:rsid w:val="00FD7617"/>
    <w:rsid w:val="00FE002E"/>
    <w:rsid w:val="00FE025C"/>
    <w:rsid w:val="00FE0272"/>
    <w:rsid w:val="00FE1293"/>
    <w:rsid w:val="00FE168F"/>
    <w:rsid w:val="00FE20D8"/>
    <w:rsid w:val="00FE2195"/>
    <w:rsid w:val="00FE2398"/>
    <w:rsid w:val="00FE314D"/>
    <w:rsid w:val="00FE32AB"/>
    <w:rsid w:val="00FE331F"/>
    <w:rsid w:val="00FE37D7"/>
    <w:rsid w:val="00FE3924"/>
    <w:rsid w:val="00FE4060"/>
    <w:rsid w:val="00FE42B2"/>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D7A"/>
    <w:rsid w:val="00FE5FBF"/>
    <w:rsid w:val="00FE60FB"/>
    <w:rsid w:val="00FE6440"/>
    <w:rsid w:val="00FE655B"/>
    <w:rsid w:val="00FE6796"/>
    <w:rsid w:val="00FE6C25"/>
    <w:rsid w:val="00FE6E8F"/>
    <w:rsid w:val="00FE6FF5"/>
    <w:rsid w:val="00FE73FE"/>
    <w:rsid w:val="00FE75A0"/>
    <w:rsid w:val="00FE76F9"/>
    <w:rsid w:val="00FE77D3"/>
    <w:rsid w:val="00FE7A0C"/>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B42"/>
    <w:rsid w:val="00FF2D5B"/>
    <w:rsid w:val="00FF3A4D"/>
    <w:rsid w:val="00FF3B7F"/>
    <w:rsid w:val="00FF449A"/>
    <w:rsid w:val="00FF49EE"/>
    <w:rsid w:val="00FF4F92"/>
    <w:rsid w:val="00FF54EB"/>
    <w:rsid w:val="00FF5713"/>
    <w:rsid w:val="00FF5C27"/>
    <w:rsid w:val="00FF5FDD"/>
    <w:rsid w:val="00FF62D6"/>
    <w:rsid w:val="00FF65B2"/>
    <w:rsid w:val="00FF66DB"/>
    <w:rsid w:val="00FF6822"/>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729"/>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2E57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729"/>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2023-04-07T18:48:00Z</dcterms:created>
  <dcterms:modified xsi:type="dcterms:W3CDTF">2023-04-07T19:45:00Z</dcterms:modified>
</cp:coreProperties>
</file>