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9D7DC4"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3A362B"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3A362B"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3A362B"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lastRenderedPageBreak/>
              <w:t>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 xml:space="preserve">Our preference is 2ms for 15 kHz and 1ms for 30 kHz, as the processing time should be large enough to cover all the cases and avoid negative impacts to the </w:t>
            </w:r>
            <w:r>
              <w:rPr>
                <w:lang w:eastAsia="ja-JP"/>
              </w:rPr>
              <w:lastRenderedPageBreak/>
              <w:t>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lastRenderedPageBreak/>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EA0AD8">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EA0AD8">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F615EC">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F615EC">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1E06FC">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1E0080">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1E0080">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1E0080">
        <w:tc>
          <w:tcPr>
            <w:tcW w:w="1479" w:type="dxa"/>
          </w:tcPr>
          <w:p w14:paraId="1AC2583C" w14:textId="52A49CDA" w:rsidR="00197609" w:rsidRDefault="00197609" w:rsidP="00197609">
            <w:pPr>
              <w:jc w:val="left"/>
              <w:rPr>
                <w:rFonts w:eastAsiaTheme="minorEastAsia"/>
                <w:lang w:val="en-US" w:eastAsia="zh-CN"/>
              </w:rPr>
            </w:pPr>
          </w:p>
        </w:tc>
        <w:tc>
          <w:tcPr>
            <w:tcW w:w="1493" w:type="dxa"/>
            <w:gridSpan w:val="2"/>
          </w:tcPr>
          <w:p w14:paraId="2CBFBEA1" w14:textId="5F5B7501" w:rsidR="00197609" w:rsidRDefault="00197609" w:rsidP="00197609">
            <w:pPr>
              <w:tabs>
                <w:tab w:val="left" w:pos="551"/>
              </w:tabs>
              <w:jc w:val="left"/>
              <w:rPr>
                <w:rFonts w:eastAsiaTheme="minorEastAsia"/>
                <w:lang w:val="en-US" w:eastAsia="zh-CN"/>
              </w:rPr>
            </w:pPr>
          </w:p>
        </w:tc>
        <w:tc>
          <w:tcPr>
            <w:tcW w:w="6659" w:type="dxa"/>
          </w:tcPr>
          <w:p w14:paraId="5300EF3E" w14:textId="77777777" w:rsidR="00197609" w:rsidRDefault="00197609" w:rsidP="00197609">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 xml:space="preserve">No additional separate initial DL/UL BWP is from UE perspective or “cell” </w:t>
            </w:r>
            <w:r>
              <w:rPr>
                <w:rFonts w:eastAsiaTheme="minorEastAsia"/>
                <w:lang w:val="en-US" w:eastAsia="zh-CN"/>
              </w:rPr>
              <w:lastRenderedPageBreak/>
              <w:t>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w:t>
            </w:r>
            <w:r>
              <w:rPr>
                <w:rFonts w:eastAsia="Yu Mincho"/>
                <w:lang w:val="en-US" w:eastAsia="ja-JP"/>
              </w:rPr>
              <w:lastRenderedPageBreak/>
              <w:t>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 xml:space="preserve">Same view with Qualcomm. We don’t really see the need to support additional BWP for Rel-18 RedCap. At least from RAN1 perspective we do see impact to </w:t>
            </w:r>
            <w:r>
              <w:rPr>
                <w:rFonts w:eastAsiaTheme="minorEastAsia"/>
                <w:lang w:val="en-US" w:eastAsia="zh-CN"/>
              </w:rPr>
              <w:lastRenderedPageBreak/>
              <w:t>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10714A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UEs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77777777"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UEs. If an additional separate initial BWP is configured for Rel-18 RedCap UEs, all the RAN1 procedures and some parameters related to separate initial BWP need to be considered.</w:t>
            </w:r>
          </w:p>
          <w:p w14:paraId="6DB3B37A" w14:textId="30BBA432"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UEs. And we don't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68ABA3D3"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UEs is configured by the SIB1 in the cell.</w:t>
            </w:r>
          </w:p>
          <w:p w14:paraId="7C9711EE" w14:textId="724B1C09"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6026ECDF"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UEs,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77777777"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UEs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lastRenderedPageBreak/>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lastRenderedPageBreak/>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lastRenderedPageBreak/>
              <w:t>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w:t>
            </w:r>
            <w:r>
              <w:rPr>
                <w:rFonts w:eastAsiaTheme="minorEastAsia"/>
                <w:lang w:val="en-US" w:eastAsia="zh-CN"/>
              </w:rPr>
              <w:lastRenderedPageBreak/>
              <w:t xml:space="preserve">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 xml:space="preserve">Prefer to reuse the existing FR2 specification, meaning that the UE should not be </w:t>
            </w:r>
            <w:r>
              <w:rPr>
                <w:rFonts w:eastAsia="Microsoft YaHei UI"/>
                <w:lang w:val="en-US" w:eastAsia="zh-CN"/>
              </w:rPr>
              <w:lastRenderedPageBreak/>
              <w:t>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lastRenderedPageBreak/>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20204CE8"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77777777"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C83852">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F615EC">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F615EC">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1E0080">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1E0080">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1E0080">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1E0080">
        <w:tc>
          <w:tcPr>
            <w:tcW w:w="1479" w:type="dxa"/>
          </w:tcPr>
          <w:p w14:paraId="758C51E1" w14:textId="383BE562" w:rsidR="00C05B24" w:rsidRDefault="00C05B24" w:rsidP="00C05B24">
            <w:pPr>
              <w:jc w:val="left"/>
              <w:rPr>
                <w:rFonts w:eastAsiaTheme="minorEastAsia"/>
                <w:lang w:val="en-US" w:eastAsia="zh-CN"/>
              </w:rPr>
            </w:pPr>
          </w:p>
        </w:tc>
        <w:tc>
          <w:tcPr>
            <w:tcW w:w="1372" w:type="dxa"/>
          </w:tcPr>
          <w:p w14:paraId="232E1F8C" w14:textId="74F36378" w:rsidR="00C05B24" w:rsidRDefault="00C05B24" w:rsidP="00C05B24">
            <w:pPr>
              <w:tabs>
                <w:tab w:val="left" w:pos="551"/>
              </w:tabs>
              <w:jc w:val="left"/>
              <w:rPr>
                <w:rFonts w:eastAsiaTheme="minorEastAsia"/>
                <w:lang w:val="en-US" w:eastAsia="zh-CN"/>
              </w:rPr>
            </w:pPr>
          </w:p>
        </w:tc>
        <w:tc>
          <w:tcPr>
            <w:tcW w:w="6780" w:type="dxa"/>
            <w:gridSpan w:val="2"/>
          </w:tcPr>
          <w:p w14:paraId="3B7D0C9C" w14:textId="6A4BB1DD" w:rsidR="00C05B24" w:rsidRDefault="00C05B24" w:rsidP="00C05B24">
            <w:pPr>
              <w:jc w:val="left"/>
              <w:rPr>
                <w:rFonts w:eastAsiaTheme="minorEastAsia"/>
                <w:lang w:val="en-US" w:eastAsia="zh-CN"/>
              </w:rPr>
            </w:pPr>
          </w:p>
        </w:tc>
      </w:tr>
    </w:tbl>
    <w:p w14:paraId="0C0CFF09" w14:textId="77777777" w:rsidR="000C52EF"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lastRenderedPageBreak/>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lastRenderedPageBreak/>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3C3F8B">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lastRenderedPageBreak/>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3C3F8B">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3C3F8B">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3C3F8B">
        <w:tc>
          <w:tcPr>
            <w:tcW w:w="1479" w:type="dxa"/>
          </w:tcPr>
          <w:p w14:paraId="1130D89F" w14:textId="37C40D4C" w:rsidR="00D97570" w:rsidRDefault="00D97570" w:rsidP="001E0080">
            <w:pPr>
              <w:jc w:val="left"/>
              <w:rPr>
                <w:rFonts w:eastAsiaTheme="minorEastAsia"/>
                <w:lang w:val="en-US" w:eastAsia="zh-CN"/>
              </w:rPr>
            </w:pPr>
          </w:p>
        </w:tc>
        <w:tc>
          <w:tcPr>
            <w:tcW w:w="1464" w:type="dxa"/>
          </w:tcPr>
          <w:p w14:paraId="19F30DC7" w14:textId="690D2151" w:rsidR="00D97570" w:rsidRDefault="00D97570" w:rsidP="001E0080">
            <w:pPr>
              <w:tabs>
                <w:tab w:val="left" w:pos="551"/>
              </w:tabs>
              <w:jc w:val="left"/>
              <w:rPr>
                <w:rFonts w:eastAsiaTheme="minorEastAsia"/>
                <w:lang w:val="en-US" w:eastAsia="zh-CN"/>
              </w:rPr>
            </w:pPr>
          </w:p>
        </w:tc>
        <w:tc>
          <w:tcPr>
            <w:tcW w:w="6663" w:type="dxa"/>
          </w:tcPr>
          <w:p w14:paraId="1C643FBF" w14:textId="77777777" w:rsidR="00D97570" w:rsidRDefault="00D97570" w:rsidP="001E0080">
            <w:pPr>
              <w:jc w:val="left"/>
              <w:rPr>
                <w:rFonts w:eastAsiaTheme="minorEastAsia"/>
                <w:lang w:val="en-US" w:eastAsia="zh-CN"/>
              </w:rPr>
            </w:pP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3C3F8B">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3C3F8B">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3C3F8B">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3C3F8B">
        <w:tc>
          <w:tcPr>
            <w:tcW w:w="1479" w:type="dxa"/>
          </w:tcPr>
          <w:p w14:paraId="59AB4C19" w14:textId="77777777" w:rsidR="00357592" w:rsidRDefault="00357592" w:rsidP="001E0080">
            <w:pPr>
              <w:jc w:val="left"/>
              <w:rPr>
                <w:rFonts w:eastAsiaTheme="minorEastAsia"/>
                <w:lang w:val="en-US" w:eastAsia="zh-CN"/>
              </w:rPr>
            </w:pPr>
          </w:p>
        </w:tc>
        <w:tc>
          <w:tcPr>
            <w:tcW w:w="1464" w:type="dxa"/>
          </w:tcPr>
          <w:p w14:paraId="1B934A81" w14:textId="77777777" w:rsidR="00357592" w:rsidRDefault="00357592" w:rsidP="001E0080">
            <w:pPr>
              <w:tabs>
                <w:tab w:val="left" w:pos="551"/>
              </w:tabs>
              <w:jc w:val="left"/>
              <w:rPr>
                <w:rFonts w:eastAsiaTheme="minorEastAsia"/>
                <w:lang w:val="en-US" w:eastAsia="zh-CN"/>
              </w:rPr>
            </w:pPr>
          </w:p>
        </w:tc>
        <w:tc>
          <w:tcPr>
            <w:tcW w:w="6688" w:type="dxa"/>
          </w:tcPr>
          <w:p w14:paraId="7C9DEE28" w14:textId="77777777" w:rsidR="00357592" w:rsidRDefault="00357592" w:rsidP="001E0080">
            <w:pPr>
              <w:jc w:val="left"/>
              <w:rPr>
                <w:rFonts w:eastAsiaTheme="minorEastAsia"/>
                <w:lang w:val="en-US" w:eastAsia="zh-CN"/>
              </w:rPr>
            </w:pPr>
          </w:p>
        </w:tc>
      </w:tr>
    </w:tbl>
    <w:p w14:paraId="5608B268" w14:textId="77777777" w:rsidR="00D97570" w:rsidRPr="008D253C"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lastRenderedPageBreak/>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lastRenderedPageBreak/>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82E4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lastRenderedPageBreak/>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22525E">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22525E">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F615EC">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F615EC">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1E0080">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1E0080">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1E0080">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1E0080">
        <w:tc>
          <w:tcPr>
            <w:tcW w:w="1479" w:type="dxa"/>
          </w:tcPr>
          <w:p w14:paraId="62525335" w14:textId="09DE2FD3" w:rsidR="004C35A2" w:rsidRPr="005E6DAF" w:rsidRDefault="004C35A2" w:rsidP="001E0080">
            <w:pPr>
              <w:jc w:val="left"/>
              <w:rPr>
                <w:rFonts w:eastAsia="Yu Mincho"/>
                <w:lang w:val="en-US" w:eastAsia="ja-JP"/>
              </w:rPr>
            </w:pPr>
          </w:p>
        </w:tc>
        <w:tc>
          <w:tcPr>
            <w:tcW w:w="1493" w:type="dxa"/>
            <w:gridSpan w:val="2"/>
          </w:tcPr>
          <w:p w14:paraId="0B4F105E" w14:textId="77777777" w:rsidR="004C35A2" w:rsidRPr="00C73301" w:rsidRDefault="004C35A2" w:rsidP="001E0080">
            <w:pPr>
              <w:tabs>
                <w:tab w:val="left" w:pos="551"/>
              </w:tabs>
              <w:jc w:val="left"/>
              <w:rPr>
                <w:rFonts w:eastAsiaTheme="minorEastAsia"/>
                <w:lang w:val="en-US" w:eastAsia="zh-CN"/>
              </w:rPr>
            </w:pPr>
          </w:p>
        </w:tc>
        <w:tc>
          <w:tcPr>
            <w:tcW w:w="6662" w:type="dxa"/>
            <w:gridSpan w:val="2"/>
          </w:tcPr>
          <w:p w14:paraId="7333A024" w14:textId="6ACB0726" w:rsidR="004C35A2" w:rsidRPr="005E6DAF" w:rsidRDefault="004C35A2" w:rsidP="001E0080">
            <w:pPr>
              <w:jc w:val="left"/>
              <w:rPr>
                <w:rFonts w:eastAsia="Yu Mincho"/>
                <w:lang w:val="en-US" w:eastAsia="ja-JP"/>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lastRenderedPageBreak/>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82E40">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82E40">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82E40">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82E40">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82E40">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82E40">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82E40">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82E40">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82E40">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82E40">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82E40">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82E40">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82E40">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82E40">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82E40">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82E40">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82E40">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82E40">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82E40">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82E40">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82E40">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82E40">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82E40">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82E40">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82E40">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14:paraId="1E74B341" w14:textId="77777777" w:rsidR="00785212" w:rsidRDefault="00675A7F">
            <w:pPr>
              <w:jc w:val="left"/>
              <w:rPr>
                <w:lang w:val="en-US"/>
              </w:rPr>
            </w:pPr>
            <w:r>
              <w:lastRenderedPageBreak/>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82E40">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82E40">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82E40">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82E40">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82E40">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82E40">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82E40">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82E40">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82E40">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82E40">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82E40">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82E40">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82E40"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E9BF" w14:textId="77777777" w:rsidR="001F4ADC" w:rsidRDefault="001F4ADC">
      <w:pPr>
        <w:spacing w:line="240" w:lineRule="auto"/>
      </w:pPr>
      <w:r>
        <w:separator/>
      </w:r>
    </w:p>
  </w:endnote>
  <w:endnote w:type="continuationSeparator" w:id="0">
    <w:p w14:paraId="238D7105" w14:textId="77777777" w:rsidR="001F4ADC" w:rsidRDefault="001F4ADC">
      <w:pPr>
        <w:spacing w:line="240" w:lineRule="auto"/>
      </w:pPr>
      <w:r>
        <w:continuationSeparator/>
      </w:r>
    </w:p>
  </w:endnote>
  <w:endnote w:type="continuationNotice" w:id="1">
    <w:p w14:paraId="187E15C2" w14:textId="77777777" w:rsidR="001F4ADC" w:rsidRDefault="001F4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FD6B" w14:textId="77777777" w:rsidR="001F4ADC" w:rsidRDefault="001F4ADC">
      <w:pPr>
        <w:spacing w:after="0"/>
      </w:pPr>
      <w:r>
        <w:separator/>
      </w:r>
    </w:p>
  </w:footnote>
  <w:footnote w:type="continuationSeparator" w:id="0">
    <w:p w14:paraId="176EC1FD" w14:textId="77777777" w:rsidR="001F4ADC" w:rsidRDefault="001F4ADC">
      <w:pPr>
        <w:spacing w:after="0"/>
      </w:pPr>
      <w:r>
        <w:continuationSeparator/>
      </w:r>
    </w:p>
  </w:footnote>
  <w:footnote w:type="continuationNotice" w:id="1">
    <w:p w14:paraId="287BC26F" w14:textId="77777777" w:rsidR="001F4ADC" w:rsidRDefault="001F4A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63616-4D1C-445E-B53D-02BD113D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2f282d3b-eb4a-4b09-b61f-b9593442e286"/>
    <ds:schemaRef ds:uri="http://schemas.microsoft.com/office/infopath/2007/PartnerControls"/>
    <ds:schemaRef ds:uri="http://purl.org/dc/elements/1.1/"/>
    <ds:schemaRef ds:uri="9b239327-9e80-40e4-b1b7-4394fed77a33"/>
    <ds:schemaRef ds:uri="http://schemas.openxmlformats.org/package/2006/metadata/core-properties"/>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46</Pages>
  <Words>16849</Words>
  <Characters>96040</Characters>
  <Application>Microsoft Office Word</Application>
  <DocSecurity>0</DocSecurity>
  <Lines>800</Lines>
  <Paragraphs>225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112664</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Rapeepat Ratasuk (Nokia)</cp:lastModifiedBy>
  <cp:revision>223</cp:revision>
  <dcterms:created xsi:type="dcterms:W3CDTF">2023-03-01T06:11:00Z</dcterms:created>
  <dcterms:modified xsi:type="dcterms:W3CDTF">2023-03-01T18:59:00Z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