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This document summarizes contributions [9]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Yingyang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hu.youjun1@zte.com.cn</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 w:val="clear" w:pos="144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pPr>
        <w:rPr>
          <w:lang w:val="en-US"/>
        </w:rPr>
      </w:pPr>
      <w:r>
        <w:rPr>
          <w:lang w:val="en-US"/>
        </w:rPr>
        <w:t>Contribution [28] proposes to express the scheduling restriction for unicast in RB symbol units instead of PRBs.</w:t>
      </w:r>
    </w:p>
    <w:p>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pPr>
        <w:rPr>
          <w:b/>
          <w:bCs/>
          <w:szCs w:val="22"/>
          <w:lang w:val="en-US"/>
        </w:rPr>
      </w:pPr>
      <w:r>
        <w:rPr>
          <w:b/>
          <w:bCs/>
          <w:szCs w:val="22"/>
          <w:lang w:val="en-US"/>
        </w:rPr>
        <w:t>As usual, other comments are also welcome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Value between 3.0 and 4.0</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93" w:type="dxa"/>
          </w:tcPr>
          <w:p>
            <w:pPr>
              <w:tabs>
                <w:tab w:val="left" w:pos="551"/>
              </w:tabs>
              <w:jc w:val="left"/>
              <w:rPr>
                <w:rFonts w:eastAsiaTheme="minorEastAsia"/>
                <w:lang w:val="en-US" w:eastAsia="zh-CN"/>
              </w:rPr>
            </w:pPr>
            <w:r>
              <w:rPr>
                <w:rFonts w:eastAsiaTheme="minorEastAsia"/>
                <w:lang w:val="en-US" w:eastAsia="zh-CN"/>
              </w:rPr>
              <w:t>3.9</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3.1</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r>
                    <m:rPr/>
                    <w:rPr>
                      <w:rFonts w:ascii="Cambria Math"/>
                    </w:rPr>
                    <m:t>(j)</m:t>
                  </m:r>
                  <m:ctrlPr>
                    <w:rPr>
                      <w:rFonts w:ascii="Cambria Math" w:hAnsi="Cambria Math"/>
                      <w:i/>
                    </w:rPr>
                  </m:ctrlPr>
                </m:sup>
              </m:sSubSup>
            </m:oMath>
            <w:r>
              <w:t xml:space="preserve"> can only takes</w:t>
            </w:r>
          </w:p>
          <w:p>
            <w:pPr>
              <w:pStyle w:val="49"/>
              <w:numPr>
                <w:ilvl w:val="0"/>
                <w:numId w:val="18"/>
              </w:numPr>
              <w:jc w:val="left"/>
              <w:rPr>
                <w:rFonts w:eastAsiaTheme="minorEastAsia"/>
                <w:lang w:val="en-US" w:eastAsia="zh-CN"/>
              </w:rPr>
            </w:pPr>
            <w:r>
              <w:rPr>
                <w:rFonts w:eastAsiaTheme="minorEastAsia"/>
                <w:lang w:val="en-US" w:eastAsia="zh-CN"/>
              </w:rPr>
              <w:t>3, which is 1 layer, Qm=4 and scaling factor 0.75</w:t>
            </w:r>
          </w:p>
          <w:p>
            <w:pPr>
              <w:pStyle w:val="49"/>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pPr>
              <w:jc w:val="left"/>
              <w:rPr>
                <w:rFonts w:eastAsiaTheme="minorEastAsia"/>
                <w:lang w:val="en-US" w:eastAsia="zh-CN"/>
              </w:rPr>
            </w:pPr>
            <w:r>
              <w:rPr>
                <w:rFonts w:eastAsiaTheme="minorEastAsia"/>
                <w:lang w:val="en-US" w:eastAsia="zh-CN"/>
              </w:rPr>
              <w:t>Do we need to consider a value other than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tcPr>
          <w:p>
            <w:pPr>
              <w:tabs>
                <w:tab w:val="left" w:pos="551"/>
              </w:tabs>
              <w:jc w:val="left"/>
              <w:rPr>
                <w:rFonts w:eastAsiaTheme="minorEastAsia"/>
                <w:lang w:val="en-US" w:eastAsia="zh-CN"/>
              </w:rPr>
            </w:pPr>
            <w:r>
              <w:rPr>
                <w:rFonts w:eastAsiaTheme="minorEastAsia"/>
                <w:lang w:val="en-US" w:eastAsia="zh-CN"/>
              </w:rPr>
              <w:t>4</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493" w:type="dxa"/>
          </w:tcPr>
          <w:p>
            <w:pPr>
              <w:tabs>
                <w:tab w:val="left" w:pos="551"/>
              </w:tabs>
              <w:jc w:val="left"/>
              <w:rPr>
                <w:rFonts w:eastAsiaTheme="minorEastAsia"/>
                <w:lang w:val="en-US" w:eastAsia="zh-CN"/>
              </w:rPr>
            </w:pPr>
            <w:r>
              <w:t>3.1</w:t>
            </w:r>
          </w:p>
        </w:tc>
        <w:tc>
          <w:tcPr>
            <w:tcW w:w="6659" w:type="dxa"/>
          </w:tcPr>
          <w:p>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93"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3.0</w:t>
            </w:r>
          </w:p>
        </w:tc>
        <w:tc>
          <w:tcPr>
            <w:tcW w:w="6659" w:type="dxa"/>
          </w:tcPr>
          <w:p>
            <w:pPr>
              <w:jc w:val="left"/>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 w:val="clear" w:pos="144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agreement, the value(s) for X is FFS. The contributions discuss the following main approaches: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pPr>
        <w:rPr>
          <w:rFonts w:eastAsia="宋体"/>
          <w:lang w:eastAsia="zh-CN"/>
        </w:rPr>
      </w:pPr>
      <w:r>
        <w:rPr>
          <w:rFonts w:eastAsia="宋体"/>
          <w:lang w:eastAsia="zh-CN"/>
        </w:rPr>
        <w:t>The following five questions invite companies to express preferences and comments on the five approaches listed above.</w:t>
      </w:r>
    </w:p>
    <w:p>
      <w:pPr>
        <w:rPr>
          <w:b/>
          <w:lang w:val="en-US"/>
        </w:rPr>
      </w:pPr>
      <w:r>
        <w:rPr>
          <w:b/>
          <w:highlight w:val="yellow"/>
          <w:lang w:val="en-US"/>
        </w:rPr>
        <w:t>FL1 High Priority Question 2.2-1a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the processing time does not grow linearly with the RAR PDSCH bandwidth. Hence it is difficult to set up a clear relationship between RAR BW and X. A single value of X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indicated support for approach 1 but are open to support tighter values of X (approach 2) based on the observations there is reduced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r>
              <w:rPr>
                <w:rFonts w:hint="eastAsia" w:eastAsiaTheme="minorEastAsia"/>
                <w:color w:val="auto"/>
                <w:lang w:val="en-US" w:eastAsia="zh-CN"/>
              </w:rPr>
              <w:t xml:space="preserve">For a </w:t>
            </w:r>
            <w:r>
              <w:rPr>
                <w:rFonts w:eastAsiaTheme="minorEastAsia"/>
                <w:color w:val="auto"/>
                <w:lang w:val="en-US" w:eastAsia="zh-CN"/>
              </w:rPr>
              <w:t>Rel-18 RedCap UE</w:t>
            </w:r>
            <w:r>
              <w:rPr>
                <w:rFonts w:hint="eastAsia" w:eastAsiaTheme="minorEastAsia"/>
                <w:color w:val="auto"/>
                <w:lang w:val="en-US" w:eastAsia="zh-CN"/>
              </w:rPr>
              <w:t xml:space="preserve">, different RAR PDSCH bandwidth </w:t>
            </w:r>
            <w:r>
              <w:rPr>
                <w:rFonts w:eastAsiaTheme="minorEastAsia"/>
                <w:color w:val="auto"/>
                <w:lang w:val="en-US" w:eastAsia="zh-CN"/>
              </w:rPr>
              <w:t>range</w:t>
            </w:r>
            <w:r>
              <w:rPr>
                <w:rFonts w:hint="eastAsia" w:eastAsiaTheme="minorEastAsia"/>
                <w:color w:val="auto"/>
                <w:lang w:val="en-US" w:eastAsia="zh-CN"/>
              </w:rPr>
              <w:t>s</w:t>
            </w:r>
            <w:r>
              <w:rPr>
                <w:rFonts w:eastAsiaTheme="minorEastAsia"/>
                <w:color w:val="auto"/>
                <w:lang w:val="en-US" w:eastAsia="zh-CN"/>
              </w:rPr>
              <w:t xml:space="preserve"> </w:t>
            </w:r>
            <w:r>
              <w:rPr>
                <w:rFonts w:hint="eastAsia" w:eastAsiaTheme="minorEastAsia"/>
                <w:color w:val="auto"/>
                <w:lang w:val="en-US" w:eastAsia="zh-CN"/>
              </w:rPr>
              <w:t>(</w:t>
            </w:r>
            <w:r>
              <w:rPr>
                <w:rFonts w:eastAsiaTheme="minorEastAsia"/>
                <w:color w:val="auto"/>
                <w:lang w:val="en-US" w:eastAsia="zh-CN"/>
              </w:rPr>
              <w:t>5-10 MHz, 10-15 MHz, or 15-20 MHz</w:t>
            </w:r>
            <w:r>
              <w:rPr>
                <w:rFonts w:hint="eastAsia" w:eastAsiaTheme="minorEastAsia"/>
                <w:color w:val="auto"/>
                <w:lang w:val="en-US" w:eastAsia="zh-CN"/>
              </w:rPr>
              <w:t xml:space="preserve">) require different processing time, so X should be </w:t>
            </w:r>
            <w:r>
              <w:rPr>
                <w:rFonts w:eastAsiaTheme="minorEastAsia"/>
                <w:color w:val="auto"/>
                <w:lang w:val="en-US" w:eastAsia="zh-CN"/>
              </w:rPr>
              <w:t>dependent on the RAR PDSCH bandwidth</w:t>
            </w:r>
            <w:r>
              <w:rPr>
                <w:rFonts w:hint="eastAsia" w:eastAsiaTheme="minorEastAsia"/>
                <w:color w:val="auto"/>
                <w:lang w:val="en-US" w:eastAsia="zh-CN"/>
              </w:rPr>
              <w:t xml:space="preserve"> and the m</w:t>
            </w:r>
            <w:r>
              <w:rPr>
                <w:rFonts w:eastAsiaTheme="minorEastAsia"/>
                <w:color w:val="auto"/>
                <w:lang w:val="en-US" w:eastAsia="zh-CN"/>
              </w:rPr>
              <w:t xml:space="preserve">aximum value </w:t>
            </w:r>
            <w:r>
              <w:rPr>
                <w:rFonts w:hint="eastAsia" w:eastAsiaTheme="minorEastAsia"/>
                <w:color w:val="auto"/>
                <w:lang w:val="en-US" w:eastAsia="zh-CN"/>
              </w:rPr>
              <w:t>is smaller than</w:t>
            </w:r>
            <w:r>
              <w:rPr>
                <w:rFonts w:eastAsiaTheme="minorEastAsia"/>
                <w:color w:val="auto"/>
                <w:lang w:val="en-US" w:eastAsia="zh-CN"/>
              </w:rPr>
              <w:t xml:space="preserve"> 3N</w:t>
            </w:r>
            <w:r>
              <w:rPr>
                <w:rFonts w:eastAsiaTheme="minorEastAsia"/>
                <w:color w:val="auto"/>
                <w:vertAlign w:val="subscript"/>
                <w:lang w:val="en-US" w:eastAsia="zh-CN"/>
              </w:rPr>
              <w:t>T</w:t>
            </w:r>
            <w:r>
              <w:rPr>
                <w:rFonts w:hint="eastAsia" w:eastAsiaTheme="minorEastAsia"/>
                <w:color w:val="auto"/>
                <w:vertAlign w:val="subscript"/>
                <w:lang w:val="en-US" w:eastAsia="zh-CN"/>
              </w:rPr>
              <w:t>,</w:t>
            </w:r>
            <w:r>
              <w:rPr>
                <w:rFonts w:eastAsiaTheme="minorEastAsia"/>
                <w:color w:val="auto"/>
                <w:vertAlign w:val="subscript"/>
                <w:lang w:val="en-US" w:eastAsia="zh-CN"/>
              </w:rPr>
              <w:t>1</w:t>
            </w:r>
            <w:r>
              <w:rPr>
                <w:rFonts w:hint="eastAsia" w:eastAsiaTheme="minorEastAsia"/>
                <w:color w:val="auto"/>
                <w:lang w:val="en-US" w:eastAsia="zh-CN"/>
              </w:rPr>
              <w:t>.</w:t>
            </w:r>
          </w:p>
        </w:tc>
      </w:tr>
    </w:tbl>
    <w:p>
      <w:pPr>
        <w:rPr>
          <w:rFonts w:eastAsia="宋体"/>
          <w:lang w:eastAsia="zh-CN"/>
        </w:rPr>
      </w:pPr>
    </w:p>
    <w:p>
      <w:pPr>
        <w:rPr>
          <w:b/>
          <w:lang w:val="en-US"/>
        </w:rPr>
      </w:pPr>
      <w:r>
        <w:rPr>
          <w:b/>
          <w:highlight w:val="yellow"/>
          <w:lang w:val="en-US"/>
        </w:rPr>
        <w:t>FL1 High Priority Question 2.2-2a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2nd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 single value of X is simpler and considerable. We also support X=1(ms).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fixed X, in addition to X=0, if RAR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 a single (tight)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zh-CN" w:bidi="ar-SA"/>
              </w:rPr>
            </w:pPr>
            <w:r>
              <w:rPr>
                <w:rFonts w:eastAsiaTheme="minorEastAsia"/>
                <w:lang w:val="en-US" w:eastAsia="zh-CN"/>
              </w:rPr>
              <w:t xml:space="preserve">If a fixed value is defined, </w:t>
            </w:r>
            <w:r>
              <w:rPr>
                <w:rFonts w:hint="eastAsia" w:eastAsiaTheme="minorEastAsia"/>
                <w:lang w:val="en-US" w:eastAsia="zh-CN"/>
              </w:rPr>
              <w:t xml:space="preserve">the </w:t>
            </w:r>
            <w:r>
              <w:rPr>
                <w:rFonts w:eastAsiaTheme="minorEastAsia"/>
                <w:lang w:val="en-US" w:eastAsia="zh-CN"/>
              </w:rPr>
              <w:t xml:space="preserve">maximum value for X </w:t>
            </w:r>
            <w:r>
              <w:rPr>
                <w:rFonts w:hint="eastAsia" w:eastAsiaTheme="minor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bl>
    <w:p>
      <w:pPr>
        <w:rPr>
          <w:rFonts w:eastAsia="宋体"/>
          <w:lang w:val="en-US" w:eastAsia="zh-CN"/>
        </w:rPr>
      </w:pPr>
    </w:p>
    <w:p>
      <w:pPr>
        <w:rPr>
          <w:b/>
          <w:lang w:val="en-US"/>
        </w:rPr>
      </w:pPr>
      <w:r>
        <w:rPr>
          <w:b/>
          <w:highlight w:val="yellow"/>
          <w:lang w:val="en-US"/>
        </w:rPr>
        <w:t>FL1 High Priority Question 2.2-3a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hint="eastAsia" w:eastAsiaTheme="minor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agree that the current timeline is a loose one. We are supportive if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but as we contributed, subject to TBS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need to consider the lowest coding rate (MCS=0, spectral efficiency of 0.2344) and the possibility of TB scaling before considering 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eastAsiaTheme="minorEastAsia"/>
                <w:lang w:val="en-US" w:eastAsia="zh-CN"/>
              </w:rPr>
            </w:pPr>
            <w:r>
              <w:rPr>
                <w:rFonts w:eastAsiaTheme="minorEastAsia"/>
                <w:lang w:val="en-US" w:eastAsia="zh-CN"/>
              </w:rPr>
              <w:t>If X depends on bandwidth, then X can be 0</w:t>
            </w:r>
            <w:r>
              <w:rPr>
                <w:rFonts w:hint="eastAsia" w:eastAsiaTheme="minorEastAsia"/>
                <w:lang w:val="en-US" w:eastAsia="zh-CN"/>
              </w:rPr>
              <w:t xml:space="preserve"> for smaller RAR bandwidth</w:t>
            </w:r>
            <w:r>
              <w:rPr>
                <w:rFonts w:eastAsiaTheme="minorEastAsia"/>
                <w:lang w:val="en-US" w:eastAsia="zh-CN"/>
              </w:rPr>
              <w:t>.</w:t>
            </w:r>
          </w:p>
          <w:p>
            <w:pPr>
              <w:jc w:val="left"/>
              <w:rPr>
                <w:rFonts w:ascii="Times New Roman" w:hAnsi="Times New Roman" w:cs="Times New Roman" w:eastAsiaTheme="minorEastAsia"/>
                <w:lang w:val="en-US" w:eastAsia="zh-CN" w:bidi="ar-SA"/>
              </w:rPr>
            </w:pPr>
            <w:r>
              <w:rPr>
                <w:rFonts w:eastAsiaTheme="minorEastAsia"/>
                <w:lang w:val="en-US" w:eastAsia="zh-CN"/>
              </w:rPr>
              <w:t>If X is a fixed value, X should not be 0.</w:t>
            </w:r>
          </w:p>
        </w:tc>
      </w:tr>
    </w:tbl>
    <w:p>
      <w:pPr>
        <w:rPr>
          <w:rFonts w:eastAsia="宋体"/>
          <w:lang w:val="en-US" w:eastAsia="zh-CN"/>
        </w:rPr>
      </w:pPr>
    </w:p>
    <w:p>
      <w:pPr>
        <w:rPr>
          <w:b/>
          <w:lang w:val="en-US"/>
        </w:rPr>
      </w:pPr>
      <w:r>
        <w:rPr>
          <w:b/>
          <w:highlight w:val="yellow"/>
          <w:lang w:val="en-US"/>
        </w:rPr>
        <w:t>FL1 High Priority Question 2.2-4a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think X is more related to UE processing capability but not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hint="eastAsia" w:eastAsiaTheme="minorEastAsia"/>
                <w:lang w:val="en-US" w:eastAsia="zh-CN"/>
              </w:rPr>
              <w:t xml:space="preserve">As </w:t>
            </w:r>
            <w:r>
              <w:rPr>
                <w:rFonts w:eastAsiaTheme="minorEastAsia"/>
                <w:lang w:val="en-US" w:eastAsia="zh-CN"/>
              </w:rPr>
              <w:t xml:space="preserve">a result, even </w:t>
            </w:r>
            <w:r>
              <w:rPr>
                <w:rFonts w:hint="eastAsia" w:eastAsiaTheme="minor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hint="eastAsia" w:eastAsiaTheme="minorEastAsia"/>
                <w:lang w:val="en-US" w:eastAsia="zh-CN"/>
              </w:rPr>
              <w:t>RAR</w:t>
            </w:r>
            <w:r>
              <w:rPr>
                <w:rFonts w:eastAsiaTheme="minorEastAsia"/>
                <w:lang w:val="en-US" w:eastAsia="zh-CN"/>
              </w:rPr>
              <w:t xml:space="preserve"> PDSCH reception when a smaller X is configured. Therefore, X should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can defer the discussion until agreements about the value(s) of X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zh-CN" w:bidi="ar-SA"/>
              </w:rPr>
            </w:pPr>
            <w:r>
              <w:rPr>
                <w:rFonts w:eastAsiaTheme="minorEastAsia"/>
                <w:lang w:val="en-US" w:eastAsia="zh-CN"/>
              </w:rPr>
              <w:t>B</w:t>
            </w:r>
            <w:r>
              <w:rPr>
                <w:rFonts w:hint="eastAsia" w:eastAsiaTheme="minorEastAsia"/>
                <w:lang w:val="en-US" w:eastAsia="zh-CN"/>
              </w:rPr>
              <w:t xml:space="preserve">efore </w:t>
            </w:r>
            <w:r>
              <w:rPr>
                <w:rFonts w:eastAsiaTheme="minorEastAsia"/>
                <w:lang w:val="en-US" w:eastAsia="zh-CN"/>
              </w:rPr>
              <w:t>gNB acquiring the UE capability, it is impossible to configure it for the UE.</w:t>
            </w:r>
          </w:p>
        </w:tc>
      </w:tr>
    </w:tbl>
    <w:p>
      <w:pPr>
        <w:rPr>
          <w:rFonts w:eastAsia="宋体"/>
          <w:lang w:eastAsia="zh-CN"/>
        </w:rPr>
      </w:pPr>
    </w:p>
    <w:p>
      <w:pPr>
        <w:rPr>
          <w:b/>
          <w:lang w:val="en-US"/>
        </w:rPr>
      </w:pPr>
      <w:r>
        <w:rPr>
          <w:b/>
          <w:highlight w:val="yellow"/>
          <w:lang w:val="en-US"/>
        </w:rPr>
        <w:t>FL1 High Priority Question 2.2-5a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Approach 5 is the same as X=0 (i.e. no additional X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The network has no expectations when the UE can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Does it mean we need to revert the agreement</w:t>
            </w:r>
            <w:r>
              <w:rPr>
                <w:rFonts w:eastAsiaTheme="minorEastAsia"/>
                <w:lang w:val="en-US" w:eastAsia="zh-CN"/>
              </w:rPr>
              <w:t xml:space="preserve"> in last meeting?</w:t>
            </w:r>
          </w:p>
        </w:tc>
      </w:tr>
    </w:tbl>
    <w:p>
      <w:pPr>
        <w:rPr>
          <w:rFonts w:eastAsia="宋体"/>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objective, it is still open whether to support additional separate early indication(s) in Msg1 only, or in Msg3 only, or in both Msg1 and Msg3, when it comes to 4-step RACH. The contributions express the following preferences: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lang w:val="en-US"/>
        </w:rPr>
      </w:pPr>
      <w:r>
        <w:rPr>
          <w:b/>
          <w:highlight w:val="yellow"/>
          <w:lang w:val="en-US"/>
        </w:rPr>
        <w:t>FL1 High Priority Proposal 2.3-1a</w:t>
      </w:r>
      <w:r>
        <w:rPr>
          <w:b/>
          <w:lang w:val="en-US"/>
        </w:rPr>
        <w:t>: From RAN1 perspective, support additional separate early indications in:</w:t>
      </w:r>
    </w:p>
    <w:p>
      <w:pPr>
        <w:pStyle w:val="49"/>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should first discuss the necessity for MSG1 as additional separate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4-step </w:t>
            </w:r>
            <w:r>
              <w:rPr>
                <w:rFonts w:hint="eastAsia" w:eastAsiaTheme="minorEastAsia"/>
                <w:lang w:val="en-US" w:eastAsia="zh-CN"/>
              </w:rPr>
              <w:t>RA</w:t>
            </w:r>
            <w:r>
              <w:rPr>
                <w:rFonts w:eastAsiaTheme="minorEastAsia"/>
                <w:lang w:val="en-US" w:eastAsia="zh-CN"/>
              </w:rPr>
              <w:t xml:space="preserve">, it is OK. For 2-step </w:t>
            </w:r>
            <w:r>
              <w:rPr>
                <w:rFonts w:hint="eastAsia" w:eastAsiaTheme="minorEastAsia"/>
                <w:lang w:val="en-US" w:eastAsia="zh-CN"/>
              </w:rPr>
              <w:t>RA</w:t>
            </w:r>
            <w:r>
              <w:rPr>
                <w:rFonts w:eastAsiaTheme="minorEastAsia"/>
                <w:lang w:val="en-US" w:eastAsia="zh-CN"/>
              </w:rPr>
              <w:t>, it can wait for the discussion of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zh-CN" w:bidi="ar-SA"/>
              </w:rPr>
            </w:pPr>
            <w:r>
              <w:rPr>
                <w:rFonts w:eastAsiaTheme="minorEastAsia"/>
                <w:lang w:val="en-US" w:eastAsia="zh-CN"/>
              </w:rPr>
              <w:t>We are OK with Msg3/MsgA identification. For Msg1 identification, we can further discuss.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lang w:val="en-US"/>
              </w:rPr>
            </w:pPr>
            <w:r>
              <w:rPr>
                <w:bCs/>
                <w:lang w:val="en-US"/>
              </w:rPr>
              <w:t>RAN1#111 Medium Priority Proposal 2.4-3b:</w:t>
            </w:r>
          </w:p>
          <w:p>
            <w:pPr>
              <w:numPr>
                <w:ilvl w:val="0"/>
                <w:numId w:val="14"/>
              </w:numPr>
              <w:spacing w:after="0" w:line="240" w:lineRule="auto"/>
              <w:jc w:val="left"/>
              <w:rPr>
                <w:bCs/>
                <w:lang w:val="en-US"/>
              </w:rPr>
            </w:pPr>
            <w:r>
              <w:rPr>
                <w:bCs/>
                <w:lang w:val="en-US"/>
              </w:rPr>
              <w:t>For a cell supporting Rel-17 and/or Rel-18 RedCap UEs,</w:t>
            </w:r>
          </w:p>
          <w:p>
            <w:pPr>
              <w:pStyle w:val="49"/>
              <w:numPr>
                <w:ilvl w:val="1"/>
                <w:numId w:val="21"/>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pPr>
              <w:pStyle w:val="49"/>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pPr>
              <w:pStyle w:val="49"/>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pPr>
              <w:pStyle w:val="49"/>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pPr>
              <w:pStyle w:val="49"/>
              <w:numPr>
                <w:ilvl w:val="1"/>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bCs/>
          <w:lang w:val="en-US"/>
        </w:rPr>
      </w:pPr>
      <w:r>
        <w:rPr>
          <w:b/>
          <w:highlight w:val="yellow"/>
          <w:lang w:val="en-US"/>
        </w:rPr>
        <w:t>FL1 High Priority Proposal 2.4-1a</w:t>
      </w:r>
      <w:r>
        <w:rPr>
          <w:b/>
          <w:bCs/>
          <w:lang w:val="en-US"/>
        </w:rPr>
        <w:t>:</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comments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1) This should be cell perspective. Fine with vivo</w:t>
            </w:r>
            <w:r>
              <w:rPr>
                <w:rFonts w:eastAsiaTheme="minorEastAsia"/>
                <w:lang w:val="en-US" w:eastAsia="zh-CN"/>
              </w:rPr>
              <w:t>’</w:t>
            </w:r>
            <w:r>
              <w:rPr>
                <w:rFonts w:hint="eastAsia" w:eastAsiaTheme="minorEastAsia"/>
                <w:lang w:val="en-US" w:eastAsia="zh-CN"/>
              </w:rPr>
              <w:t>s update if it helps clarifying.</w:t>
            </w:r>
          </w:p>
          <w:p>
            <w:pPr>
              <w:jc w:val="left"/>
              <w:rPr>
                <w:rFonts w:eastAsiaTheme="minorEastAsia"/>
                <w:lang w:val="en-US" w:eastAsia="zh-CN"/>
              </w:rPr>
            </w:pPr>
            <w:r>
              <w:rPr>
                <w:rFonts w:hint="eastAsia" w:eastAsiaTheme="minorEastAsia"/>
                <w:lang w:val="en-US" w:eastAsia="zh-CN"/>
              </w:rPr>
              <w:t xml:space="preserve">2) The sub-bullet seems wired. We do not see the benefit to make such division.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Fine to leave the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 xml:space="preserve">The main bullet is conflicting with the subbullet. </w:t>
            </w:r>
            <w:r>
              <w:rPr>
                <w:rFonts w:eastAsiaTheme="minorEastAsia"/>
                <w:lang w:val="en-US" w:eastAsia="zh-CN"/>
              </w:rPr>
              <w:t>We suggest to remove the subbullet and keep it open.</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UEs can handle broadcast PDSCH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requirement </w:t>
            </w:r>
            <w:r>
              <w:rPr>
                <w:rFonts w:hint="eastAsia" w:eastAsiaTheme="minorEastAsia"/>
                <w:lang w:val="en-US" w:eastAsia="zh-CN"/>
              </w:rPr>
              <w:t>of</w:t>
            </w:r>
            <w:r>
              <w:rPr>
                <w:rFonts w:eastAsiaTheme="minorEastAsia"/>
                <w:lang w:val="en-US" w:eastAsia="zh-CN"/>
              </w:rPr>
              <w:t xml:space="preserve">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For broadcast channels that do not require feedback, we think no need to relax.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discussing whether there is an issue especially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ascii="Times New Roman" w:hAnsi="Times New Roman" w:cs="Times New Roman" w:eastAsiaTheme="minorEastAsia"/>
                <w:lang w:val="en-US" w:eastAsia="zh-CN" w:bidi="ar-SA"/>
              </w:rPr>
            </w:pPr>
            <w:r>
              <w:rPr>
                <w:rFonts w:eastAsiaTheme="minorEastAsia"/>
                <w:lang w:val="en-US" w:eastAsia="zh-CN"/>
              </w:rPr>
              <w:t>Which two broadcast PDSCHs also needs clarification.</w:t>
            </w:r>
          </w:p>
        </w:tc>
      </w:tr>
    </w:tbl>
    <w:p>
      <w:pPr>
        <w:rPr>
          <w:rFonts w:eastAsia="Microsoft YaHei UI"/>
          <w:lang w:val="en-US" w:eastAsia="zh-CN"/>
        </w:rPr>
      </w:pPr>
    </w:p>
    <w:p>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that the decoding of broadcast PDSCH may be delayed, but since the broadcast PDSCH does not require feedback, is there any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the network can avoid scheduling unicast PDSCH and broadcast PDSCH in the same slot, this may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ascii="Times New Roman" w:hAnsi="Times New Roman" w:cs="Times New Roman" w:eastAsiaTheme="minorEastAsia"/>
                <w:lang w:val="en-US" w:eastAsia="zh-CN" w:bidi="ar-SA"/>
              </w:rPr>
            </w:pPr>
            <w:r>
              <w:rPr>
                <w:rFonts w:eastAsiaTheme="minorEastAsia"/>
                <w:lang w:val="en-US" w:eastAsia="zh-CN"/>
              </w:rPr>
              <w:t>We think there is a need to discuss this case and which channels are involved should be clarified.</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Paging PDSCH bandwidth</w:t>
      </w:r>
    </w:p>
    <w:p>
      <w:pPr>
        <w:rPr>
          <w:lang w:val="en-US"/>
        </w:rPr>
      </w:pPr>
      <w:r>
        <w:rPr>
          <w:lang w:val="en-US"/>
        </w:rPr>
        <w:t>RAN1 has made the following agreement regarding the PDSCH bandwidth for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[19] proposes to clarify that this means that the number of scheduled PRBs in the PDSCH resource allocation for paging can be larger than the maximum number of PRBs supported for unicast PDSCH.</w:t>
      </w:r>
    </w:p>
    <w:p>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24"/>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Intel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unicast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[29] proposes to restrict the PDSCH bandwidth for Msg4 in a similar way as in the above agreement.</w:t>
      </w:r>
    </w:p>
    <w:p>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Seems natural since Msg4 is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In our understanding, msg4 is already covered by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It can depend on network configuration. if a separate </w:t>
            </w:r>
            <w:r>
              <w:rPr>
                <w:rFonts w:hint="eastAsia" w:eastAsiaTheme="minor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unified design for all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2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25"/>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2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25"/>
              </w:numPr>
              <w:spacing w:after="0" w:line="240" w:lineRule="auto"/>
              <w:jc w:val="left"/>
              <w:rPr>
                <w:rFonts w:ascii="Times" w:hAnsi="Times"/>
                <w:szCs w:val="24"/>
                <w:lang w:val="en-US"/>
              </w:rPr>
            </w:pPr>
            <w:r>
              <w:rPr>
                <w:rFonts w:ascii="Times" w:hAnsi="Times"/>
                <w:szCs w:val="24"/>
                <w:lang w:val="en-US"/>
              </w:rPr>
              <w:t>FFS: the value of Y</w:t>
            </w:r>
          </w:p>
          <w:p>
            <w:pPr>
              <w:numPr>
                <w:ilvl w:val="1"/>
                <w:numId w:val="2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r>
              <w:t>Issue 4: Minimum target (downlink) peak data rate:</w:t>
            </w:r>
          </w:p>
          <w:p>
            <w:r>
              <w:t>Proposal: Keep the minimum target peak rate as 10Mbps</w:t>
            </w:r>
          </w:p>
          <w:p>
            <w:r>
              <w:t>[…]</w:t>
            </w:r>
          </w:p>
          <w:p>
            <w:r>
              <w:t>Conclusion: proposals for issue 3 and issue 4 are agreed</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Based on the above decision, the following proposal can be considered.</w:t>
      </w:r>
    </w:p>
    <w:p>
      <w:pPr>
        <w:rPr>
          <w:b/>
          <w:bCs/>
          <w:lang w:val="en-US"/>
        </w:rPr>
      </w:pPr>
      <w:r>
        <w:rPr>
          <w:b/>
          <w:highlight w:val="yellow"/>
          <w:lang w:val="en-US"/>
        </w:rPr>
        <w:t>FL1 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5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X assuming Option 3</w:t>
            </w:r>
          </w:p>
        </w:tc>
        <w:tc>
          <w:tcPr>
            <w:tcW w:w="1255" w:type="dxa"/>
            <w:shd w:val="clear" w:color="auto" w:fill="D8D8D8" w:themeFill="background1" w:themeFillShade="D9"/>
          </w:tcPr>
          <w:p>
            <w:pPr>
              <w:jc w:val="left"/>
              <w:rPr>
                <w:b/>
                <w:bCs/>
                <w:lang w:val="en-US"/>
              </w:rPr>
            </w:pPr>
            <w:r>
              <w:rPr>
                <w:b/>
                <w:bCs/>
                <w:lang w:val="en-US"/>
              </w:rPr>
              <w:t>Value of X assuming Option 4</w:t>
            </w:r>
          </w:p>
        </w:tc>
        <w:tc>
          <w:tcPr>
            <w:tcW w:w="552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 </w:t>
            </w:r>
          </w:p>
        </w:tc>
        <w:tc>
          <w:tcPr>
            <w:tcW w:w="1255" w:type="dxa"/>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 or 3.2</w:t>
            </w:r>
          </w:p>
        </w:tc>
        <w:tc>
          <w:tcPr>
            <w:tcW w:w="1255" w:type="dxa"/>
          </w:tcPr>
          <w:p>
            <w:pPr>
              <w:jc w:val="left"/>
              <w:rPr>
                <w:rFonts w:eastAsiaTheme="minorEastAsia"/>
                <w:lang w:val="en-US" w:eastAsia="zh-CN"/>
              </w:rPr>
            </w:pPr>
            <w:r>
              <w:rPr>
                <w:rFonts w:hint="eastAsia" w:eastAsiaTheme="minorEastAsia"/>
                <w:lang w:val="en-US" w:eastAsia="zh-CN"/>
              </w:rPr>
              <w:t>3 or 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35"/>
              <w:tblW w:w="42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06"/>
              <w:gridCol w:w="621"/>
              <w:gridCol w:w="807"/>
              <w:gridCol w:w="6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restart"/>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pPr>
                    <w:pStyle w:val="359"/>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ctrlPr>
                            <w:rPr>
                              <w:rFonts w:ascii="Cambria Math" w:hAnsi="Cambria Math"/>
                              <w:b/>
                              <w:bCs/>
                              <w:i/>
                              <w:sz w:val="16"/>
                              <w:szCs w:val="16"/>
                            </w:rPr>
                          </m:ctrlPr>
                        </m:e>
                        <m:sub>
                          <m:r>
                            <m:rPr>
                              <m:sty m:val="bi"/>
                            </m:rPr>
                            <w:rPr>
                              <w:rFonts w:ascii="Cambria Math"/>
                              <w:sz w:val="16"/>
                              <w:szCs w:val="16"/>
                            </w:rPr>
                            <m:t>PRB</m:t>
                          </m:r>
                          <m:ctrlPr>
                            <w:rPr>
                              <w:rFonts w:ascii="Cambria Math" w:hAnsi="Cambria Math"/>
                              <w:b/>
                              <w:bCs/>
                              <w:i/>
                              <w:sz w:val="16"/>
                              <w:szCs w:val="16"/>
                            </w:rPr>
                          </m:ctrlP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ctrlPr>
                                <w:rPr>
                                  <w:rFonts w:ascii="Cambria Math" w:hAnsi="Cambria Math"/>
                                  <w:b/>
                                  <w:bCs/>
                                  <w:i/>
                                  <w:sz w:val="16"/>
                                  <w:szCs w:val="16"/>
                                </w:rPr>
                              </m:ctrlPr>
                            </m:e>
                          </m:d>
                          <m:r>
                            <m:rPr>
                              <m:sty m:val="bi"/>
                            </m:rPr>
                            <w:rPr>
                              <w:rFonts w:ascii="Cambria Math"/>
                              <w:sz w:val="16"/>
                              <w:szCs w:val="16"/>
                            </w:rPr>
                            <m:t>,μ</m:t>
                          </m:r>
                          <m:ctrlPr>
                            <w:rPr>
                              <w:rFonts w:ascii="Cambria Math" w:hAnsi="Cambria Math"/>
                              <w:b/>
                              <w:bCs/>
                              <w:i/>
                              <w:sz w:val="16"/>
                              <w:szCs w:val="16"/>
                            </w:rPr>
                          </m:ctrlPr>
                        </m:sup>
                      </m:sSubSup>
                    </m:oMath>
                  </m:oMathPara>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continue"/>
                </w:tcPr>
                <w:p>
                  <w:pPr>
                    <w:pStyle w:val="359"/>
                    <w:ind w:left="0"/>
                    <w:jc w:val="center"/>
                    <w:rPr>
                      <w:rFonts w:ascii="Times New Roman" w:hAnsi="Times New Roman" w:cs="Times New Roman"/>
                      <w:b/>
                      <w:bCs/>
                      <w:sz w:val="16"/>
                      <w:szCs w:val="16"/>
                    </w:rPr>
                  </w:pPr>
                </w:p>
              </w:tc>
              <w:tc>
                <w:tcPr>
                  <w:tcW w:w="606" w:type="dxa"/>
                  <w:vMerge w:val="continue"/>
                  <w:vAlign w:val="center"/>
                </w:tcPr>
                <w:p>
                  <w:pPr>
                    <w:pStyle w:val="359"/>
                    <w:ind w:left="0"/>
                    <w:jc w:val="center"/>
                    <w:rPr>
                      <w:rFonts w:ascii="Times New Roman" w:hAnsi="Times New Roman" w:eastAsia="宋体" w:cs="Times New Roman"/>
                      <w:b/>
                      <w:bCs/>
                      <w:sz w:val="16"/>
                      <w:szCs w:val="16"/>
                    </w:rPr>
                  </w:pPr>
                </w:p>
              </w:tc>
              <w:tc>
                <w:tcPr>
                  <w:tcW w:w="621"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3, 3.1</w:t>
            </w:r>
          </w:p>
        </w:tc>
        <w:tc>
          <w:tcPr>
            <w:tcW w:w="1255" w:type="dxa"/>
          </w:tcPr>
          <w:p>
            <w:pPr>
              <w:jc w:val="left"/>
              <w:rPr>
                <w:rFonts w:eastAsiaTheme="minorEastAsia"/>
                <w:lang w:val="en-US" w:eastAsia="zh-CN"/>
              </w:rPr>
            </w:pPr>
            <w:r>
              <w:t>3.2</w:t>
            </w:r>
          </w:p>
        </w:tc>
        <w:tc>
          <w:tcPr>
            <w:tcW w:w="5528" w:type="dxa"/>
          </w:tcPr>
          <w:p>
            <w:pPr>
              <w:jc w:val="left"/>
              <w:rPr>
                <w:rFonts w:eastAsiaTheme="minorEastAsia"/>
                <w:lang w:val="en-US" w:eastAsia="zh-CN"/>
              </w:rPr>
            </w:pPr>
            <w:r>
              <w:t xml:space="preserve">In our view, the 10 Mbps value is not exact target value. A small variability in the value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eastAsiaTheme="minorEastAsia"/>
                <w:lang w:val="en-US" w:eastAsia="zh-CN"/>
              </w:rPr>
              <w:t>ZTE</w:t>
            </w:r>
            <w:r>
              <w:rPr>
                <w:rFonts w:hint="eastAsia" w:eastAsiaTheme="minorEastAsia"/>
                <w:lang w:val="en-US" w:eastAsia="zh-CN"/>
              </w:rPr>
              <w:t>,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r>
              <w:rPr>
                <w:rFonts w:hint="eastAsia" w:eastAsiaTheme="minorEastAsia"/>
                <w:lang w:val="en-US" w:eastAsia="zh-CN"/>
              </w:rPr>
              <w:t xml:space="preserve">3 </w:t>
            </w:r>
            <w:r>
              <w:rPr>
                <w:rFonts w:eastAsiaTheme="minorEastAsia"/>
                <w:lang w:val="en-US" w:eastAsia="zh-CN"/>
              </w:rPr>
              <w:t>or 3.2</w:t>
            </w:r>
          </w:p>
        </w:tc>
        <w:tc>
          <w:tcPr>
            <w:tcW w:w="1255" w:type="dxa"/>
            <w:vAlign w:val="top"/>
          </w:tcPr>
          <w:p>
            <w:pPr>
              <w:jc w:val="left"/>
              <w:rPr>
                <w:rFonts w:ascii="Times New Roman" w:hAnsi="Times New Roman" w:cs="Times New Roman" w:eastAsiaTheme="minorEastAsia"/>
                <w:lang w:val="en-US" w:eastAsia="zh-CN" w:bidi="ar-SA"/>
              </w:rPr>
            </w:pPr>
            <w:r>
              <w:rPr>
                <w:rFonts w:hint="eastAsia" w:eastAsiaTheme="minorEastAsia"/>
                <w:lang w:val="en-US" w:eastAsia="zh-CN"/>
              </w:rPr>
              <w:t>3</w:t>
            </w:r>
            <w:bookmarkStart w:id="5" w:name="_GoBack"/>
            <w:bookmarkEnd w:id="5"/>
          </w:p>
        </w:tc>
        <w:tc>
          <w:tcPr>
            <w:tcW w:w="5528" w:type="dxa"/>
          </w:tcPr>
          <w:p>
            <w:pPr>
              <w:jc w:val="left"/>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wait for guideline from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6"/>
        </w:numPr>
        <w:rPr>
          <w:sz w:val="20"/>
          <w:szCs w:val="22"/>
          <w:lang w:val="en-US"/>
        </w:rPr>
      </w:pPr>
      <w:r>
        <w:rPr>
          <w:sz w:val="20"/>
          <w:szCs w:val="22"/>
          <w:lang w:val="en-US"/>
        </w:rPr>
        <w:t>Introduce a new cell barring indication and an IFRI field in SIB1 [16].</w:t>
      </w:r>
    </w:p>
    <w:p>
      <w:pPr>
        <w:pStyle w:val="49"/>
        <w:numPr>
          <w:ilvl w:val="0"/>
          <w:numId w:val="26"/>
        </w:numPr>
        <w:rPr>
          <w:sz w:val="20"/>
          <w:szCs w:val="22"/>
          <w:lang w:val="en-US"/>
        </w:rPr>
      </w:pPr>
      <w:r>
        <w:rPr>
          <w:sz w:val="20"/>
          <w:szCs w:val="22"/>
          <w:lang w:val="en-US"/>
        </w:rPr>
        <w:t>The final decision on whether to introduce additional cell access/barring indication is up to RAN2 [17].</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26"/>
        </w:numPr>
        <w:rPr>
          <w:sz w:val="20"/>
          <w:szCs w:val="22"/>
          <w:lang w:val="en-US"/>
        </w:rPr>
      </w:pPr>
      <w:r>
        <w:rPr>
          <w:sz w:val="20"/>
          <w:szCs w:val="22"/>
          <w:lang w:val="en-US"/>
        </w:rPr>
        <w:t>Define new and/or reuse existing RedCap-related UE feature groups [11].</w:t>
      </w:r>
    </w:p>
    <w:p>
      <w:pPr>
        <w:pStyle w:val="49"/>
        <w:numPr>
          <w:ilvl w:val="0"/>
          <w:numId w:val="26"/>
        </w:numPr>
        <w:rPr>
          <w:sz w:val="20"/>
          <w:szCs w:val="22"/>
          <w:lang w:val="en-US"/>
        </w:rPr>
      </w:pPr>
      <w:r>
        <w:rPr>
          <w:sz w:val="20"/>
          <w:szCs w:val="22"/>
          <w:lang w:val="en-US"/>
        </w:rPr>
        <w:t>The new UE type is defined by its support of UE BB bandwidth reduction [16].</w:t>
      </w:r>
    </w:p>
    <w:p>
      <w:pPr>
        <w:pStyle w:val="49"/>
        <w:numPr>
          <w:ilvl w:val="0"/>
          <w:numId w:val="26"/>
        </w:numPr>
        <w:rPr>
          <w:sz w:val="20"/>
          <w:szCs w:val="22"/>
          <w:lang w:val="en-US"/>
        </w:rPr>
      </w:pPr>
      <w:r>
        <w:rPr>
          <w:sz w:val="20"/>
          <w:szCs w:val="22"/>
          <w:lang w:val="en-US"/>
        </w:rPr>
        <w:t>The new UE type is defined by its support of the two UE complexity reduction features [26].</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26"/>
        </w:numPr>
        <w:rPr>
          <w:sz w:val="20"/>
          <w:szCs w:val="22"/>
          <w:lang w:val="en-US"/>
        </w:rPr>
      </w:pPr>
      <w:r>
        <w:rPr>
          <w:sz w:val="20"/>
          <w:szCs w:val="22"/>
          <w:lang w:val="en-US"/>
        </w:rPr>
        <w:t>There is no need to consider potential optimization of FDRA indications [17, 18, 28, 35].</w:t>
      </w:r>
    </w:p>
    <w:p>
      <w:pPr>
        <w:pStyle w:val="49"/>
        <w:numPr>
          <w:ilvl w:val="0"/>
          <w:numId w:val="26"/>
        </w:numPr>
        <w:rPr>
          <w:sz w:val="20"/>
          <w:szCs w:val="22"/>
          <w:lang w:val="en-US"/>
        </w:rPr>
      </w:pPr>
      <w:r>
        <w:rPr>
          <w:sz w:val="20"/>
          <w:szCs w:val="22"/>
          <w:lang w:val="en-US"/>
        </w:rPr>
        <w:t>Consider potential optimizations of FDRA indication for PUSCH but not for PDSCH [13].</w:t>
      </w:r>
    </w:p>
    <w:p>
      <w:pPr>
        <w:pStyle w:val="49"/>
        <w:numPr>
          <w:ilvl w:val="0"/>
          <w:numId w:val="26"/>
        </w:numPr>
        <w:rPr>
          <w:sz w:val="20"/>
          <w:szCs w:val="22"/>
          <w:lang w:val="en-US"/>
        </w:rPr>
      </w:pPr>
      <w:r>
        <w:rPr>
          <w:sz w:val="20"/>
          <w:szCs w:val="22"/>
          <w:lang w:val="en-US"/>
        </w:rPr>
        <w:t>Consider potential optimizations of FDRA indications in case of large RBG size [25].</w:t>
      </w:r>
    </w:p>
    <w:p>
      <w:pPr>
        <w:pStyle w:val="49"/>
        <w:numPr>
          <w:ilvl w:val="0"/>
          <w:numId w:val="26"/>
        </w:numPr>
        <w:rPr>
          <w:sz w:val="20"/>
          <w:szCs w:val="22"/>
          <w:lang w:val="en-US"/>
        </w:rPr>
      </w:pPr>
      <w:r>
        <w:rPr>
          <w:sz w:val="20"/>
          <w:szCs w:val="22"/>
          <w:lang w:val="en-US"/>
        </w:rPr>
        <w:t>Discuss whether/how to use potential spare bits in FDRA field in RAR UL grant [25].</w:t>
      </w:r>
    </w:p>
    <w:p>
      <w:pPr>
        <w:pStyle w:val="49"/>
        <w:numPr>
          <w:ilvl w:val="0"/>
          <w:numId w:val="26"/>
        </w:numPr>
        <w:rPr>
          <w:sz w:val="20"/>
          <w:szCs w:val="22"/>
          <w:lang w:val="en-US"/>
        </w:rPr>
      </w:pPr>
      <w:r>
        <w:rPr>
          <w:sz w:val="20"/>
          <w:szCs w:val="22"/>
          <w:lang w:val="en-US"/>
        </w:rPr>
        <w:t>For unicast, the FDRA indications and RBG sizes can be based on 5-MHz sub-bands [29].</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26"/>
        </w:numPr>
        <w:rPr>
          <w:sz w:val="20"/>
          <w:szCs w:val="22"/>
          <w:lang w:val="en-US"/>
        </w:rPr>
      </w:pPr>
      <w:r>
        <w:rPr>
          <w:sz w:val="20"/>
          <w:szCs w:val="22"/>
          <w:lang w:val="en-US"/>
        </w:rPr>
        <w:t>Consider enhancements of user multiplexing capacity for common PUCCH [25, 33].</w:t>
      </w:r>
    </w:p>
    <w:p>
      <w:pPr>
        <w:pStyle w:val="49"/>
        <w:numPr>
          <w:ilvl w:val="0"/>
          <w:numId w:val="26"/>
        </w:numPr>
        <w:rPr>
          <w:sz w:val="20"/>
          <w:szCs w:val="22"/>
          <w:lang w:val="en-US"/>
        </w:rPr>
      </w:pPr>
      <w:r>
        <w:rPr>
          <w:sz w:val="20"/>
          <w:szCs w:val="22"/>
          <w:lang w:val="en-US"/>
        </w:rPr>
        <w:t>Restrict the SRS bandwidth to 5 MHz, like the other UL bandwidths [28].</w:t>
      </w:r>
    </w:p>
    <w:p>
      <w:pPr>
        <w:pStyle w:val="49"/>
        <w:numPr>
          <w:ilvl w:val="0"/>
          <w:numId w:val="26"/>
        </w:numPr>
        <w:rPr>
          <w:sz w:val="20"/>
          <w:szCs w:val="22"/>
          <w:lang w:val="en-US"/>
        </w:rPr>
      </w:pPr>
      <w:r>
        <w:rPr>
          <w:sz w:val="20"/>
          <w:szCs w:val="22"/>
          <w:lang w:val="en-US"/>
        </w:rPr>
        <w:t>Support PRS- and SRS-based positioning methods [11].</w:t>
      </w:r>
    </w:p>
    <w:p>
      <w:pPr>
        <w:pStyle w:val="49"/>
        <w:numPr>
          <w:ilvl w:val="0"/>
          <w:numId w:val="26"/>
        </w:numPr>
        <w:rPr>
          <w:sz w:val="20"/>
          <w:szCs w:val="22"/>
          <w:lang w:val="en-US"/>
        </w:rPr>
      </w:pPr>
      <w:r>
        <w:rPr>
          <w:sz w:val="20"/>
          <w:szCs w:val="22"/>
          <w:lang w:val="en-US"/>
        </w:rPr>
        <w:t>Support operation in dedicated spectrum &lt;5 MHz at least optionally [11].</w:t>
      </w:r>
    </w:p>
    <w:p>
      <w:pPr>
        <w:pStyle w:val="49"/>
        <w:numPr>
          <w:ilvl w:val="0"/>
          <w:numId w:val="26"/>
        </w:numPr>
        <w:rPr>
          <w:sz w:val="20"/>
          <w:szCs w:val="22"/>
          <w:lang w:val="en-US"/>
        </w:rPr>
      </w:pPr>
      <w:r>
        <w:rPr>
          <w:sz w:val="20"/>
          <w:szCs w:val="22"/>
          <w:lang w:val="en-US"/>
        </w:rPr>
        <w:t>Confirm whether and how to support MBS, SUL, V2X, and NR-U [11].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are open to comeback once most essential issues are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bookmarkStart w:id="4" w:name="_Hlk41391803"/>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"https://www.3gpp.org/ftp/tsg_ran/WG1_RL1/TSGR1_111/Docs/R1-2212533.zip" </w:instrText>
            </w:r>
            <w:r>
              <w:fldChar w:fldCharType="separate"/>
            </w:r>
            <w:r>
              <w:rPr>
                <w:rStyle w:val="39"/>
                <w:color w:val="0000FF"/>
              </w:rPr>
              <w:t>R1-2212533</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"https://www.3gpp.org/ftp/tsg_ran/WG1_RL1/TSGR1_111/Docs/R1-2212534.zip" </w:instrText>
            </w:r>
            <w:r>
              <w:fldChar w:fldCharType="separate"/>
            </w:r>
            <w:r>
              <w:rPr>
                <w:rStyle w:val="39"/>
                <w:color w:val="0000FF"/>
              </w:rPr>
              <w:t>R1-2212534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"https://www.3gpp.org/ftp/tsg_ran/WG1_RL1/TSGR1_111/Docs/R1-2212535.zip" </w:instrText>
            </w:r>
            <w:r>
              <w:fldChar w:fldCharType="separate"/>
            </w:r>
            <w:r>
              <w:rPr>
                <w:rStyle w:val="39"/>
                <w:color w:val="0000FF"/>
              </w:rPr>
              <w:t>R1-2212535</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"https://www.3gpp.org/ftp/tsg_ran/WG1_RL1/TSGR1_111/Docs/R1-2212536.zip" </w:instrText>
            </w:r>
            <w:r>
              <w:fldChar w:fldCharType="separate"/>
            </w:r>
            <w:r>
              <w:rPr>
                <w:rStyle w:val="39"/>
                <w:color w:val="0000FF"/>
              </w:rPr>
              <w:t>R1-2212536</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"https://www.3gpp.org/ftp/tsg_ran/WG1_RL1/TSGR1_111/Docs/R1-2212982.zip" </w:instrText>
            </w:r>
            <w:r>
              <w:fldChar w:fldCharType="separate"/>
            </w:r>
            <w:r>
              <w:rPr>
                <w:rStyle w:val="39"/>
                <w:color w:val="0000FF"/>
                <w:lang w:val="en-US"/>
              </w:rPr>
              <w:t>R1-2212982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"https://www.3gpp.org/ftp/TSG_RAN/WG1_RL1/TSGR1_112/Docs/R1-2300058.zip" </w:instrText>
            </w:r>
            <w:r>
              <w:fldChar w:fldCharType="separate"/>
            </w:r>
            <w:r>
              <w:rPr>
                <w:rStyle w:val="39"/>
                <w:color w:val="0000FF"/>
              </w:rPr>
              <w:t>R1-2300058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"https://www.3gpp.org/ftp/TSG_RAN/WG1_RL1/TSGR1_112/Docs/R1-2300114.zip" </w:instrText>
            </w:r>
            <w:r>
              <w:fldChar w:fldCharType="separate"/>
            </w:r>
            <w:r>
              <w:rPr>
                <w:rStyle w:val="39"/>
                <w:color w:val="0000FF"/>
              </w:rPr>
              <w:t>R1-2300114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"https://www.3gpp.org/ftp/TSG_RAN/WG1_RL1/TSGR1_112/Docs/R1-2300229.zip" </w:instrText>
            </w:r>
            <w:r>
              <w:fldChar w:fldCharType="separate"/>
            </w:r>
            <w:r>
              <w:rPr>
                <w:rStyle w:val="39"/>
                <w:color w:val="0000FF"/>
              </w:rPr>
              <w:t>R1-2300229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 New H3C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"https://www.3gpp.org/ftp/TSG_RAN/WG1_RL1/TSGR1_112/Docs/R1-2300272.zip" </w:instrText>
            </w:r>
            <w:r>
              <w:fldChar w:fldCharType="separate"/>
            </w:r>
            <w:r>
              <w:rPr>
                <w:rStyle w:val="39"/>
                <w:color w:val="0000FF"/>
              </w:rPr>
              <w:t>R1-2300272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"https://www.3gpp.org/ftp/TSG_RAN/WG1_RL1/TSGR1_112/Docs/R1-2300371.zip" </w:instrText>
            </w:r>
            <w:r>
              <w:fldChar w:fldCharType="separate"/>
            </w:r>
            <w:r>
              <w:rPr>
                <w:rStyle w:val="39"/>
                <w:color w:val="0000FF"/>
              </w:rPr>
              <w:t>R1-2300371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"https://www.3gpp.org/ftp/TSG_RAN/WG1_RL1/TSGR1_112/Docs/R1-2300464.zip" </w:instrText>
            </w:r>
            <w:r>
              <w:fldChar w:fldCharType="separate"/>
            </w:r>
            <w:r>
              <w:rPr>
                <w:rStyle w:val="39"/>
                <w:color w:val="0000FF"/>
              </w:rPr>
              <w:t>R1-2300464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"https://www.3gpp.org/ftp/TSG_RAN/WG1_RL1/TSGR1_112/Docs/R1-2300500.zip" </w:instrText>
            </w:r>
            <w:r>
              <w:fldChar w:fldCharType="separate"/>
            </w:r>
            <w:r>
              <w:rPr>
                <w:rStyle w:val="39"/>
                <w:color w:val="0000FF"/>
              </w:rPr>
              <w:t>R1-2300500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"https://www.3gpp.org/ftp/TSG_RAN/WG1_RL1/TSGR1_112/Docs/R1-2300586.zip" </w:instrText>
            </w:r>
            <w:r>
              <w:fldChar w:fldCharType="separate"/>
            </w:r>
            <w:r>
              <w:rPr>
                <w:rStyle w:val="39"/>
                <w:color w:val="0000FF"/>
              </w:rPr>
              <w:t>R1-2300586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"https://www.3gpp.org/ftp/TSG_RAN/WG1_RL1/TSGR1_112/Docs/R1-2300691.zip" </w:instrText>
            </w:r>
            <w:r>
              <w:fldChar w:fldCharType="separate"/>
            </w:r>
            <w:r>
              <w:rPr>
                <w:rStyle w:val="39"/>
                <w:color w:val="0000FF"/>
              </w:rPr>
              <w:t>R1-2300691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"https://www.3gpp.org/ftp/TSG_RAN/WG1_RL1/TSGR1_112/Docs/R1-2300794.zip" </w:instrText>
            </w:r>
            <w:r>
              <w:fldChar w:fldCharType="separate"/>
            </w:r>
            <w:r>
              <w:rPr>
                <w:rStyle w:val="39"/>
                <w:color w:val="0000FF"/>
              </w:rPr>
              <w:t>R1-2300794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"https://www.3gpp.org/ftp/TSG_RAN/WG1_RL1/TSGR1_112/Docs/R1-2300852.zip" </w:instrText>
            </w:r>
            <w:r>
              <w:fldChar w:fldCharType="separate"/>
            </w:r>
            <w:r>
              <w:rPr>
                <w:rStyle w:val="39"/>
                <w:color w:val="0000FF"/>
              </w:rPr>
              <w:t>R1-2300852</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"https://www.3gpp.org/ftp/TSG_RAN/WG1_RL1/TSGR1_112/Docs/R1-2300855.zip" </w:instrText>
            </w:r>
            <w:r>
              <w:fldChar w:fldCharType="separate"/>
            </w:r>
            <w:r>
              <w:rPr>
                <w:rStyle w:val="39"/>
                <w:color w:val="0000FF"/>
              </w:rPr>
              <w:t>R1-2300855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"https://www.3gpp.org/ftp/TSG_RAN/WG1_RL1/TSGR1_112/Docs/R1-2300858.zip" </w:instrText>
            </w:r>
            <w:r>
              <w:fldChar w:fldCharType="separate"/>
            </w:r>
            <w:r>
              <w:rPr>
                <w:rStyle w:val="39"/>
                <w:color w:val="0000FF"/>
              </w:rPr>
              <w:t>R1-2300858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"https://www.3gpp.org/ftp/TSG_RAN/WG1_RL1/TSGR1_112/Docs/R1-2300884.zip" </w:instrText>
            </w:r>
            <w:r>
              <w:fldChar w:fldCharType="separate"/>
            </w:r>
            <w:r>
              <w:rPr>
                <w:rStyle w:val="39"/>
                <w:color w:val="0000FF"/>
              </w:rPr>
              <w:t>R1-2300884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"https://www.3gpp.org/ftp/TSG_RAN/WG1_RL1/TSGR1_112/Docs/R1-2300959.zip" </w:instrText>
            </w:r>
            <w:r>
              <w:fldChar w:fldCharType="separate"/>
            </w:r>
            <w:r>
              <w:rPr>
                <w:rStyle w:val="39"/>
                <w:color w:val="0000FF"/>
              </w:rPr>
              <w:t>R1-2300959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"https://www.3gpp.org/ftp/TSG_RAN/WG1_RL1/TSGR1_112/Docs/R1-2301078.zip" </w:instrText>
            </w:r>
            <w:r>
              <w:fldChar w:fldCharType="separate"/>
            </w:r>
            <w:r>
              <w:rPr>
                <w:rStyle w:val="39"/>
                <w:color w:val="0000FF"/>
              </w:rPr>
              <w:t>R1-2301078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"https://www.3gpp.org/ftp/TSG_RAN/WG1_RL1/TSGR1_112/Docs/R1-2301106.zip" </w:instrText>
            </w:r>
            <w:r>
              <w:fldChar w:fldCharType="separate"/>
            </w:r>
            <w:r>
              <w:rPr>
                <w:rStyle w:val="39"/>
                <w:color w:val="0000FF"/>
              </w:rPr>
              <w:t>R1-2301106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"https://www.3gpp.org/ftp/TSG_RAN/WG1_RL1/TSGR1_112/Docs/R1-2301149.zip" </w:instrText>
            </w:r>
            <w:r>
              <w:fldChar w:fldCharType="separate"/>
            </w:r>
            <w:r>
              <w:rPr>
                <w:rStyle w:val="39"/>
                <w:color w:val="0000FF"/>
              </w:rPr>
              <w:t>R1-2301149</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"https://www.3gpp.org/ftp/TSG_RAN/WG1_RL1/TSGR1_112/Docs/R1-2301188.zip" </w:instrText>
            </w:r>
            <w:r>
              <w:fldChar w:fldCharType="separate"/>
            </w:r>
            <w:r>
              <w:rPr>
                <w:rStyle w:val="39"/>
                <w:color w:val="0000FF"/>
              </w:rPr>
              <w:t>R1-2301188</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"https://www.3gpp.org/ftp/TSG_RAN/WG1_RL1/TSGR1_112/Docs/R1-2301874.zip" </w:instrText>
            </w:r>
            <w:r>
              <w:fldChar w:fldCharType="separate"/>
            </w:r>
            <w:r>
              <w:rPr>
                <w:rStyle w:val="39"/>
                <w:color w:val="0000FF"/>
              </w:rPr>
              <w:t>R1-2301874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On further complexity reduction of NR UE</w:t>
            </w:r>
            <w:r>
              <w:br w:type="textWrapping"/>
            </w:r>
            <w:r>
              <w:t xml:space="preserve">(revision of </w:t>
            </w:r>
            <w:r>
              <w:fldChar w:fldCharType="begin"/>
            </w:r>
            <w:r>
              <w:instrText xml:space="preserve"> HYPERLINK "https://www.3gpp.org/ftp/TSG_RAN/WG1_RL1/TSGR1_112/Docs/R1-2301193.zip" </w:instrText>
            </w:r>
            <w:r>
              <w:fldChar w:fldCharType="separate"/>
            </w:r>
            <w:r>
              <w:rPr>
                <w:rStyle w:val="39"/>
                <w:color w:val="0000FF"/>
              </w:rPr>
              <w:t>R1-2301193</w:t>
            </w:r>
            <w:r>
              <w:rPr>
                <w:rStyle w:val="39"/>
                <w:color w:val="0000FF"/>
              </w:rPr>
              <w:fldChar w:fldCharType="end"/>
            </w:r>
            <w:r>
              <w:t>)</w:t>
            </w:r>
          </w:p>
        </w:tc>
        <w:tc>
          <w:tcPr>
            <w:tcW w:w="2551" w:type="dxa"/>
            <w:tcMar>
              <w:top w:w="0" w:type="dxa"/>
              <w:left w:w="70" w:type="dxa"/>
              <w:bottom w:w="0" w:type="dxa"/>
              <w:right w:w="70" w:type="dxa"/>
            </w:tcMar>
          </w:tcPr>
          <w:p>
            <w:pPr>
              <w:jc w:val="left"/>
              <w:rPr>
                <w:lang w:val="en-US" w:eastAsia="sv-SE"/>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"https://www.3gpp.org/ftp/TSG_RAN/WG1_RL1/TSGR1_112/Docs/R1-2301275.zip" </w:instrText>
            </w:r>
            <w:r>
              <w:fldChar w:fldCharType="separate"/>
            </w:r>
            <w:r>
              <w:rPr>
                <w:rStyle w:val="39"/>
                <w:color w:val="0000FF"/>
              </w:rPr>
              <w:t>R1-2301275</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"https://www.3gpp.org/ftp/TSG_RAN/WG1_RL1/TSGR1_112/Docs/R1-2301309.zip" </w:instrText>
            </w:r>
            <w:r>
              <w:fldChar w:fldCharType="separate"/>
            </w:r>
            <w:r>
              <w:rPr>
                <w:rStyle w:val="39"/>
                <w:color w:val="0000FF"/>
              </w:rPr>
              <w:t>R1-2301309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"https://www.3gpp.org/ftp/TSG_RAN/WG1_RL1/TSGR1_112/Docs/R1-2301357.zip" </w:instrText>
            </w:r>
            <w:r>
              <w:fldChar w:fldCharType="separate"/>
            </w:r>
            <w:r>
              <w:rPr>
                <w:rStyle w:val="39"/>
                <w:color w:val="0000FF"/>
              </w:rPr>
              <w:t>R1-2301357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"https://www.3gpp.org/ftp/TSG_RAN/WG1_RL1/TSGR1_112/Docs/R1-2301424.zip" </w:instrText>
            </w:r>
            <w:r>
              <w:fldChar w:fldCharType="separate"/>
            </w:r>
            <w:r>
              <w:rPr>
                <w:rStyle w:val="39"/>
                <w:color w:val="0000FF"/>
              </w:rPr>
              <w:t>R1-2301424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"https://www.3gpp.org/ftp/TSG_RAN/WG1_RL1/TSGR1_112/Docs/R1-2301504.zip" </w:instrText>
            </w:r>
            <w:r>
              <w:fldChar w:fldCharType="separate"/>
            </w:r>
            <w:r>
              <w:rPr>
                <w:rStyle w:val="39"/>
                <w:color w:val="0000FF"/>
              </w:rPr>
              <w:t>R1-2301504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"https://www.3gpp.org/ftp/TSG_RAN/WG1_RL1/TSGR1_112/Docs/R1-2301772.zip" </w:instrText>
            </w:r>
            <w:r>
              <w:fldChar w:fldCharType="separate"/>
            </w:r>
            <w:r>
              <w:rPr>
                <w:rStyle w:val="39"/>
                <w:color w:val="0000FF"/>
              </w:rPr>
              <w:t>R1-2301772</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reduced UE complexity</w:t>
            </w:r>
            <w:r>
              <w:br w:type="textWrapping"/>
            </w:r>
            <w:r>
              <w:t xml:space="preserve">(revision of </w:t>
            </w:r>
            <w:r>
              <w:fldChar w:fldCharType="begin"/>
            </w:r>
            <w:r>
              <w:instrText xml:space="preserve"> HYPERLINK "https://www.3gpp.org/ftp/TSG_RAN/WG1_RL1/TSGR1_112/Docs/R1-2301013.zip" </w:instrText>
            </w:r>
            <w:r>
              <w:fldChar w:fldCharType="separate"/>
            </w:r>
            <w:r>
              <w:rPr>
                <w:rStyle w:val="39"/>
                <w:color w:val="0000FF"/>
              </w:rPr>
              <w:t>R1-2301013</w:t>
            </w:r>
            <w:r>
              <w:rPr>
                <w:rStyle w:val="39"/>
                <w:color w:val="0000FF"/>
              </w:rPr>
              <w:fldChar w:fldCharType="end"/>
            </w:r>
            <w:r>
              <w:t>)</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"https://www.3gpp.org/ftp/TSG_RAN/WG1_RL1/TSGR1_112/Docs/R1-2301783.zip" </w:instrText>
            </w:r>
            <w:r>
              <w:fldChar w:fldCharType="separate"/>
            </w:r>
            <w:r>
              <w:rPr>
                <w:rStyle w:val="39"/>
                <w:color w:val="0000FF"/>
              </w:rPr>
              <w:t>R1-2301783</w:t>
            </w:r>
            <w:r>
              <w:rPr>
                <w:rStyle w:val="39"/>
                <w:color w:val="0000FF"/>
              </w:rPr>
              <w:fldChar w:fldCharType="end"/>
            </w:r>
          </w:p>
        </w:tc>
        <w:tc>
          <w:tcPr>
            <w:tcW w:w="4921" w:type="dxa"/>
            <w:tcMar>
              <w:top w:w="0" w:type="dxa"/>
              <w:left w:w="70" w:type="dxa"/>
              <w:bottom w:w="0" w:type="dxa"/>
              <w:right w:w="70" w:type="dxa"/>
            </w:tcMar>
          </w:tcPr>
          <w:p>
            <w:pPr>
              <w:jc w:val="left"/>
            </w:pPr>
            <w:r>
              <w:t>On eRedCap UE complexity reduction</w:t>
            </w:r>
            <w:r>
              <w:br w:type="textWrapping"/>
            </w:r>
            <w:r>
              <w:t xml:space="preserve">(revision of </w:t>
            </w:r>
            <w:r>
              <w:fldChar w:fldCharType="begin"/>
            </w:r>
            <w:r>
              <w:instrText xml:space="preserve"> HYPERLINK "https://www.3gpp.org/ftp/TSG_RAN/WG1_RL1/TSGR1_112/Docs/R1-2301608.zip" </w:instrText>
            </w:r>
            <w:r>
              <w:fldChar w:fldCharType="separate"/>
            </w:r>
            <w:r>
              <w:rPr>
                <w:rStyle w:val="39"/>
                <w:color w:val="0000FF"/>
              </w:rPr>
              <w:t>R1-2301608</w:t>
            </w:r>
            <w:r>
              <w:rPr>
                <w:rStyle w:val="39"/>
                <w:color w:val="0000FF"/>
              </w:rPr>
              <w:fldChar w:fldCharType="end"/>
            </w:r>
            <w: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"https://www.3gpp.org/ftp/tsg_ran/TSG_RAN/TSGR_99/Docs/RP-230052.zip" </w:instrText>
            </w:r>
            <w:r>
              <w:fldChar w:fldCharType="separate"/>
            </w:r>
            <w:r>
              <w:rPr>
                <w:rStyle w:val="39"/>
                <w:color w:val="0000FF"/>
              </w:rPr>
              <w:t>RP-230052</w:t>
            </w:r>
            <w:r>
              <w:rPr>
                <w:rStyle w:val="39"/>
                <w:color w:val="0000FF"/>
              </w:rPr>
              <w:fldChar w:fldCharType="end"/>
            </w:r>
          </w:p>
        </w:tc>
        <w:tc>
          <w:tcPr>
            <w:tcW w:w="4921" w:type="dxa"/>
            <w:tcMar>
              <w:top w:w="0" w:type="dxa"/>
              <w:left w:w="70" w:type="dxa"/>
              <w:bottom w:w="0" w:type="dxa"/>
              <w:right w:w="70" w:type="dxa"/>
            </w:tcMar>
          </w:tcPr>
          <w:p>
            <w:pPr>
              <w:jc w:val="left"/>
            </w:pPr>
            <w:r>
              <w:t>Revised draft report of electronic meeting RAN #98e</w:t>
            </w:r>
          </w:p>
        </w:tc>
        <w:tc>
          <w:tcPr>
            <w:tcW w:w="2551" w:type="dxa"/>
            <w:tcMar>
              <w:top w:w="0" w:type="dxa"/>
              <w:left w:w="70" w:type="dxa"/>
              <w:bottom w:w="0" w:type="dxa"/>
              <w:right w:w="70" w:type="dxa"/>
            </w:tcMar>
          </w:tcPr>
          <w:p>
            <w:pPr>
              <w:jc w:val="left"/>
            </w:pPr>
            <w:r>
              <w:t>ETSI MCC</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8DE5C81"/>
    <w:multiLevelType w:val="multilevel"/>
    <w:tmpl w:val="08DE5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666636"/>
    <w:multiLevelType w:val="multilevel"/>
    <w:tmpl w:val="22666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9D5E1B"/>
    <w:multiLevelType w:val="multilevel"/>
    <w:tmpl w:val="279D5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5508A4"/>
    <w:multiLevelType w:val="multilevel"/>
    <w:tmpl w:val="335508A4"/>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80530AE"/>
    <w:multiLevelType w:val="multilevel"/>
    <w:tmpl w:val="480530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2B948BB"/>
    <w:multiLevelType w:val="multilevel"/>
    <w:tmpl w:val="52B94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2E543C"/>
    <w:multiLevelType w:val="multilevel"/>
    <w:tmpl w:val="622E5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EDA45BD"/>
    <w:multiLevelType w:val="multilevel"/>
    <w:tmpl w:val="7EDA4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7"/>
  </w:num>
  <w:num w:numId="3">
    <w:abstractNumId w:val="1"/>
  </w:num>
  <w:num w:numId="4">
    <w:abstractNumId w:val="0"/>
  </w:num>
  <w:num w:numId="5">
    <w:abstractNumId w:val="12"/>
  </w:num>
  <w:num w:numId="6">
    <w:abstractNumId w:val="15"/>
    <w:lvlOverride w:ilvl="0">
      <w:startOverride w:val="1"/>
    </w:lvlOverride>
  </w:num>
  <w:num w:numId="7">
    <w:abstractNumId w:val="16"/>
  </w:num>
  <w:num w:numId="8">
    <w:abstractNumId w:val="19"/>
  </w:num>
  <w:num w:numId="9">
    <w:abstractNumId w:val="23"/>
  </w:num>
  <w:num w:numId="10">
    <w:abstractNumId w:val="20"/>
  </w:num>
  <w:num w:numId="11">
    <w:abstractNumId w:val="13"/>
  </w:num>
  <w:num w:numId="12">
    <w:abstractNumId w:val="9"/>
  </w:num>
  <w:num w:numId="13">
    <w:abstractNumId w:val="21"/>
  </w:num>
  <w:num w:numId="14">
    <w:abstractNumId w:val="2"/>
  </w:num>
  <w:num w:numId="15">
    <w:abstractNumId w:val="10"/>
  </w:num>
  <w:num w:numId="16">
    <w:abstractNumId w:val="5"/>
  </w:num>
  <w:num w:numId="17">
    <w:abstractNumId w:val="24"/>
  </w:num>
  <w:num w:numId="18">
    <w:abstractNumId w:val="14"/>
  </w:num>
  <w:num w:numId="19">
    <w:abstractNumId w:val="18"/>
  </w:num>
  <w:num w:numId="20">
    <w:abstractNumId w:val="17"/>
  </w:num>
  <w:num w:numId="21">
    <w:abstractNumId w:val="11"/>
  </w:num>
  <w:num w:numId="22">
    <w:abstractNumId w:val="22"/>
  </w:num>
  <w:num w:numId="23">
    <w:abstractNumId w:val="4"/>
  </w:num>
  <w:num w:numId="24">
    <w:abstractNumId w:val="8"/>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FFA"/>
    <w:rsid w:val="00A450D3"/>
    <w:rsid w:val="00A45494"/>
    <w:rsid w:val="00A4558C"/>
    <w:rsid w:val="00A4576B"/>
    <w:rsid w:val="00A458DB"/>
    <w:rsid w:val="00A45BE0"/>
    <w:rsid w:val="00A45D6F"/>
    <w:rsid w:val="00A45F54"/>
    <w:rsid w:val="00A46006"/>
    <w:rsid w:val="00A461D3"/>
    <w:rsid w:val="00A4638C"/>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F1780E-6055-4DBA-A749-D67AD48F739E}">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D303EC39-213B-4498-A7DF-F415C8DF984B}">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18</Pages>
  <Words>7234</Words>
  <Characters>34909</Characters>
  <Lines>325</Lines>
  <Paragraphs>91</Paragraphs>
  <TotalTime>0</TotalTime>
  <ScaleCrop>false</ScaleCrop>
  <LinksUpToDate>false</LinksUpToDate>
  <CharactersWithSpaces>41385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2023-02-27T07:52:00Z</dcterms:created>
  <dc:creator>Johan Bergman</dc:creator>
  <cp:lastModifiedBy>Hu Youjun</cp:lastModifiedBy>
  <dcterms:modified xsi:type="dcterms:W3CDTF">2023-02-27T08:15:10Z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