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pPr>
        <w:pStyle w:val="28"/>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"https://www.3gpp.org/ftp/tsg_ran/WG1_RL1/TSGR1_111/Docs/R1-2212530.zip"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"https://www.3gpp.org/ftp/tsg_ran/WG1_RL1/TSGR1_111/Docs/R1-2212531.zip"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"https://www.3gpp.org/ftp/tsg_ran/WG1_RL1/TSGR1_111/Docs/R1-2212532.zip" </w:instrText>
      </w:r>
      <w:r>
        <w:fldChar w:fldCharType="separate"/>
      </w:r>
      <w:r>
        <w:rPr>
          <w:rStyle w:val="40"/>
          <w:lang w:val="en-US"/>
        </w:rPr>
        <w:t>5</w:t>
      </w:r>
      <w:r>
        <w:rPr>
          <w:rStyle w:val="40"/>
          <w:lang w:val="en-US"/>
        </w:rPr>
        <w:fldChar w:fldCharType="end"/>
      </w:r>
      <w:r>
        <w:rPr>
          <w:lang w:val="en-US"/>
        </w:rPr>
        <w:t xml:space="preserve">, </w:t>
      </w:r>
      <w:r>
        <w:fldChar w:fldCharType="begin"/>
      </w:r>
      <w:r>
        <w:instrText xml:space="preserve"> HYPERLINK "https://www.3gpp.org/ftp/tsg_ran/WG1_RL1/TSGR1_111/Docs/R1-2212980.zip" </w:instrText>
      </w:r>
      <w:r>
        <w:fldChar w:fldCharType="separate"/>
      </w:r>
      <w:r>
        <w:rPr>
          <w:rStyle w:val="40"/>
          <w:lang w:val="en-US"/>
        </w:rPr>
        <w:t>6</w:t>
      </w:r>
      <w:r>
        <w:rPr>
          <w:rStyle w:val="40"/>
          <w:lang w:val="en-US"/>
        </w:rPr>
        <w:fldChar w:fldCharType="end"/>
      </w:r>
      <w:r>
        <w:rPr>
          <w:lang w:val="en-US"/>
        </w:rPr>
        <w:t>], and a RAN1 agreement summary is available in [</w:t>
      </w:r>
      <w:r>
        <w:fldChar w:fldCharType="begin"/>
      </w:r>
      <w:r>
        <w:instrText xml:space="preserve"> HYPERLINK "https://www.3gpp.org/ftp/tsg_ran/WG1_RL1/TSGR1_111/Docs/R1-2212981.zip" </w:instrText>
      </w:r>
      <w:r>
        <w:fldChar w:fldCharType="separate"/>
      </w:r>
      <w:r>
        <w:rPr>
          <w:rStyle w:val="40"/>
          <w:lang w:val="en-US"/>
        </w:rPr>
        <w:t>7</w:t>
      </w:r>
      <w:r>
        <w:rPr>
          <w:rStyle w:val="40"/>
          <w:lang w:val="en-US"/>
        </w:rPr>
        <w:fldChar w:fldCharType="end"/>
      </w:r>
      <w:r>
        <w:rPr>
          <w:lang w:val="en-US"/>
        </w:rPr>
        <w:t>].</w:t>
      </w:r>
    </w:p>
    <w:p>
      <w:pPr>
        <w:rPr>
          <w:lang w:val="en-US"/>
        </w:rPr>
      </w:pPr>
      <w:r>
        <w:rPr>
          <w:lang w:val="en-US"/>
        </w:rPr>
        <w:t>This document summarizes contributions [8] – [25] submitted to agenda item 8.6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pPr>
              <w:spacing w:after="0" w:line="240" w:lineRule="auto"/>
              <w:jc w:val="left"/>
              <w:rPr>
                <w:rFonts w:ascii="Times" w:hAnsi="Times"/>
                <w:szCs w:val="24"/>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Pr>
          <w:color w:val="FF0000"/>
          <w:lang w:val="en-US"/>
        </w:rPr>
        <w:t>FL1</w:t>
      </w:r>
      <w:r>
        <w:rPr>
          <w:lang w:val="en-US"/>
        </w:rPr>
        <w:t>.</w:t>
      </w:r>
    </w:p>
    <w:p>
      <w:pPr>
        <w:rPr>
          <w:lang w:val="en-US"/>
        </w:rPr>
      </w:pPr>
      <w:r>
        <w:rPr>
          <w:lang w:val="en-US"/>
        </w:rPr>
        <w:t>Follow the naming convention in this example:</w:t>
      </w:r>
    </w:p>
    <w:p>
      <w:pPr>
        <w:pStyle w:val="50"/>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RedCapFLS1-v000.docx</w:t>
      </w:r>
    </w:p>
    <w:p>
      <w:pPr>
        <w:pStyle w:val="50"/>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RedCapFLS1-v001-CompanyA.docx</w:t>
      </w:r>
    </w:p>
    <w:p>
      <w:pPr>
        <w:pStyle w:val="50"/>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RedCapFLS1-v002-CompanyA-CompanyB.docx</w:t>
      </w:r>
    </w:p>
    <w:p>
      <w:pPr>
        <w:pStyle w:val="50"/>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RedCapFLS1-v002-CompanyA-CompanyB.docx</w:t>
      </w:r>
      <w:r>
        <w:rPr>
          <w:rFonts w:ascii="Times New Roman" w:hAnsi="Times New Roman" w:eastAsia="Times New Roman" w:cs="Times New Roman"/>
          <w:sz w:val="20"/>
          <w:szCs w:val="20"/>
          <w:lang w:val="en-US"/>
        </w:rPr>
        <w:t>.</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RedCapFLS1-v003-CompanyB-CompanyC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RedCapFLS1-v003-CompanyB-CompanyC</w:t>
      </w:r>
      <w:r>
        <w:rPr>
          <w:rFonts w:ascii="Times New Roman" w:hAnsi="Times New Roman" w:eastAsia="Times New Roman" w:cs="Times New Roman"/>
          <w:i/>
          <w:iCs/>
          <w:color w:val="FF0000"/>
          <w:sz w:val="20"/>
          <w:szCs w:val="20"/>
          <w:lang w:val="en-US"/>
        </w:rPr>
        <w:t>.docx</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"https://www.3gpp.org/ftp/TSG_RAN/WG1_RL1/TSGR1_112/Docs/R1-2300003.zip" </w:instrText>
      </w:r>
      <w:r>
        <w:fldChar w:fldCharType="separate"/>
      </w:r>
      <w:r>
        <w:rPr>
          <w:color w:val="0000FF"/>
          <w:u w:val="single"/>
          <w:lang w:val="en-US"/>
        </w:rPr>
        <w:t>R1-2300003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Jing Lei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Nokia, NSB</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David Bhatoolaul</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fldChar w:fldCharType="begin"/>
            </w:r>
            <w:r>
              <w:instrText xml:space="preserve"> HYPERLINK "mailto:david.bhatoolaul@nokia.com" </w:instrText>
            </w:r>
            <w:r>
              <w:fldChar w:fldCharType="separate"/>
            </w:r>
            <w:r>
              <w:rPr>
                <w:rStyle w:val="40"/>
                <w:rFonts w:eastAsiaTheme="minorEastAsia"/>
                <w:lang w:val="en-US" w:eastAsia="zh-CN"/>
              </w:rPr>
              <w:t>david.bhatoolaul@nokia.com</w:t>
            </w:r>
            <w:r>
              <w:rPr>
                <w:rStyle w:val="40"/>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hint="default" w:eastAsia="宋体"/>
                <w:lang w:val="en-US" w:eastAsia="zh-CN"/>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Theme="minorEastAsia"/>
                <w:lang w:val="en-US" w:eastAsia="zh-CN"/>
              </w:rPr>
            </w:pPr>
            <w:r>
              <w:rPr>
                <w:rFonts w:hint="eastAsia" w:eastAsiaTheme="minorEastAsia"/>
                <w:lang w:val="en-US" w:eastAsia="zh-CN"/>
              </w:rPr>
              <w:t>Youjun Hu</w:t>
            </w:r>
          </w:p>
          <w:p>
            <w:pPr>
              <w:spacing w:after="0"/>
              <w:jc w:val="center"/>
              <w:rPr>
                <w:rFonts w:hint="default" w:eastAsiaTheme="minorEastAsia"/>
                <w:lang w:val="en-US" w:eastAsia="zh-CN"/>
              </w:rPr>
            </w:pPr>
            <w:r>
              <w:rPr>
                <w:rFonts w:hint="eastAsia" w:eastAsiaTheme="minorEastAsia"/>
                <w:lang w:val="en-US" w:eastAsia="zh-CN"/>
              </w:rPr>
              <w:t>Ziyang Li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Theme="minorEastAsia"/>
                <w:lang w:val="en-US" w:eastAsia="zh-CN"/>
              </w:rPr>
            </w:pPr>
            <w:r>
              <w:rPr>
                <w:rFonts w:hint="eastAsia" w:eastAsiaTheme="minorEastAsia"/>
                <w:color w:val="auto"/>
                <w:u w:val="none"/>
                <w:lang w:val="en-US" w:eastAsia="zh-CN"/>
              </w:rPr>
              <w:t>hu.youjun1@zte.com.cn</w:t>
            </w:r>
          </w:p>
          <w:p>
            <w:pPr>
              <w:spacing w:after="0"/>
              <w:jc w:val="center"/>
              <w:rPr>
                <w:rFonts w:hint="default" w:eastAsiaTheme="minorEastAsia"/>
                <w:lang w:val="en-US" w:eastAsia="zh-CN"/>
              </w:rPr>
            </w:pPr>
            <w:r>
              <w:rPr>
                <w:rFonts w:hint="default" w:eastAsiaTheme="minorEastAsia"/>
                <w:lang w:val="en-US" w:eastAsia="zh-CN"/>
              </w:rPr>
              <w:t>li.ziyang1@zte.com.cn</w:t>
            </w:r>
          </w:p>
        </w:tc>
      </w:tr>
    </w:tbl>
    <w:p>
      <w:pPr>
        <w:rPr>
          <w:szCs w:val="22"/>
          <w:highlight w:val="magenta"/>
        </w:rPr>
      </w:pPr>
    </w:p>
    <w:p>
      <w:pPr>
        <w:pStyle w:val="2"/>
        <w:numPr>
          <w:ilvl w:val="0"/>
          <w:numId w:val="0"/>
        </w:numPr>
        <w:ind w:left="1134" w:hanging="1134"/>
        <w:rPr>
          <w:lang w:val="en-US"/>
        </w:rPr>
      </w:pPr>
      <w:r>
        <w:rPr>
          <w:lang w:val="en-US"/>
        </w:rPr>
        <w:t>Issue #1: SDT operation</w:t>
      </w:r>
    </w:p>
    <w:p>
      <w:pPr>
        <w:rPr>
          <w:lang w:val="en-US"/>
        </w:rPr>
      </w:pPr>
      <w:r>
        <w:rPr>
          <w:lang w:val="en-US"/>
        </w:rPr>
        <w:t>The previous RAN1 meeting made the following conclusions related to SDT operation for RedCap UEs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lang w:val="en-US" w:eastAsia="ko-KR"/>
              </w:rPr>
            </w:pPr>
            <w:r>
              <w:rPr>
                <w:rFonts w:ascii="Times" w:hAnsi="Times"/>
                <w:szCs w:val="24"/>
                <w:lang w:val="en-US" w:eastAsia="zh-CN"/>
              </w:rPr>
              <w:t>Conclusion:</w:t>
            </w:r>
          </w:p>
          <w:p>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color w:val="FF0000"/>
                <w:szCs w:val="22"/>
                <w:lang w:val="en-US" w:eastAsia="zh-CN"/>
              </w:rPr>
            </w:pPr>
            <w:r>
              <w:rPr>
                <w:rFonts w:ascii="Times" w:hAnsi="Times" w:eastAsia="等线"/>
                <w:color w:val="FF0000"/>
                <w:szCs w:val="22"/>
                <w:lang w:val="en-US" w:eastAsia="zh-CN"/>
              </w:rPr>
              <w:t xml:space="preserve">The following cases </w:t>
            </w:r>
            <w:r>
              <w:rPr>
                <w:rFonts w:ascii="Times" w:hAnsi="Times"/>
                <w:color w:val="FF0000"/>
                <w:szCs w:val="24"/>
                <w:lang w:val="en-US"/>
              </w:rPr>
              <w:t>can</w:t>
            </w:r>
            <w:r>
              <w:rPr>
                <w:rFonts w:ascii="Times" w:hAnsi="Times" w:eastAsia="等线"/>
                <w:color w:val="FF0000"/>
                <w:szCs w:val="22"/>
                <w:lang w:val="en-US" w:eastAsia="zh-CN"/>
              </w:rPr>
              <w:t xml:space="preserve"> be revisited in RAN1#112:</w:t>
            </w:r>
          </w:p>
          <w:p>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pPr>
              <w:spacing w:after="0" w:line="240" w:lineRule="auto"/>
              <w:jc w:val="left"/>
              <w:rPr>
                <w:lang w:val="en-US" w:eastAsia="ko-KR"/>
              </w:rPr>
            </w:pPr>
          </w:p>
        </w:tc>
      </w:tr>
    </w:tbl>
    <w:p>
      <w:pPr>
        <w:rPr>
          <w:lang w:val="en-US"/>
        </w:rPr>
      </w:pPr>
      <w:r>
        <w:rPr>
          <w:lang w:val="en-US"/>
        </w:rPr>
        <w:br w:type="textWrapping"/>
      </w:r>
      <w:r>
        <w:rPr>
          <w:lang w:val="en-US"/>
        </w:rPr>
        <w:t>The previous RAN2 meeting agreed the following assumption [26]: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Arial" w:hAnsi="Arial" w:cs="Arial"/>
              </w:rPr>
            </w:pPr>
            <w:r>
              <w:rPr>
                <w:rFonts w:ascii="Arial" w:hAnsi="Arial" w:cs="Arial"/>
              </w:rPr>
              <w:t>RAN2 Assumption:</w:t>
            </w:r>
          </w:p>
          <w:p>
            <w:pPr>
              <w:pStyle w:val="50"/>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pPr>
              <w:spacing w:after="0"/>
              <w:rPr>
                <w:rFonts w:ascii="Arial" w:hAnsi="Arial" w:cs="Arial"/>
                <w:lang w:val="en-US"/>
              </w:rPr>
            </w:pPr>
          </w:p>
        </w:tc>
      </w:tr>
    </w:tbl>
    <w:p>
      <w:pPr>
        <w:rPr>
          <w:lang w:val="en-US"/>
        </w:rPr>
      </w:pPr>
      <w:r>
        <w:rPr>
          <w:lang w:val="en-US"/>
        </w:rPr>
        <w:br w:type="textWrapping"/>
      </w:r>
      <w:r>
        <w:rPr>
          <w:lang w:val="en-US"/>
        </w:rPr>
        <w:t>Some related earlier RAN1 agreements [27, 28]:</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szCs w:val="22"/>
              </w:rPr>
            </w:pPr>
            <w:r>
              <w:rPr>
                <w:szCs w:val="22"/>
              </w:rPr>
              <w:t>Conclusion:</w:t>
            </w:r>
          </w:p>
          <w:p>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pPr>
              <w:spacing w:after="0" w:line="240" w:lineRule="auto"/>
              <w:jc w:val="left"/>
              <w:rPr>
                <w:szCs w:val="22"/>
              </w:rPr>
            </w:pPr>
          </w:p>
          <w:p>
            <w:pPr>
              <w:spacing w:after="0" w:line="240" w:lineRule="auto"/>
              <w:jc w:val="left"/>
              <w:rPr>
                <w:rFonts w:ascii="Times" w:hAnsi="Times" w:eastAsia="Malgun Gothic" w:cs="Times"/>
                <w:lang w:val="en-US" w:eastAsia="ko-KR"/>
              </w:rPr>
            </w:pPr>
            <w:r>
              <w:rPr>
                <w:rFonts w:ascii="Times" w:hAnsi="Times" w:cs="Times"/>
              </w:rPr>
              <w:t>Agreement:</w:t>
            </w:r>
          </w:p>
          <w:p>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pPr>
              <w:numPr>
                <w:ilvl w:val="0"/>
                <w:numId w:val="13"/>
              </w:numPr>
              <w:overflowPunct w:val="0"/>
              <w:autoSpaceDE w:val="0"/>
              <w:autoSpaceDN w:val="0"/>
              <w:adjustRightInd w:val="0"/>
              <w:spacing w:line="240" w:lineRule="auto"/>
              <w:contextualSpacing/>
              <w:jc w:val="left"/>
              <w:textAlignment w:val="baseline"/>
              <w:rPr>
                <w:rFonts w:eastAsia="宋体"/>
                <w:lang w:eastAsia="ja-JP"/>
              </w:rPr>
            </w:pPr>
            <w:r>
              <w:rPr>
                <w:rFonts w:eastAsia="宋体"/>
                <w:lang w:eastAsia="ja-JP"/>
              </w:rPr>
              <w:t>Note: details can be further studied to ensure proper functionality of RedCap UE performing SDT.</w:t>
            </w:r>
          </w:p>
          <w:p>
            <w:pPr>
              <w:overflowPunct w:val="0"/>
              <w:autoSpaceDE w:val="0"/>
              <w:autoSpaceDN w:val="0"/>
              <w:adjustRightInd w:val="0"/>
              <w:spacing w:line="240" w:lineRule="auto"/>
              <w:contextualSpacing/>
              <w:jc w:val="left"/>
              <w:textAlignment w:val="baseline"/>
              <w:rPr>
                <w:rFonts w:eastAsia="宋体"/>
                <w:lang w:eastAsia="ja-JP"/>
              </w:rPr>
            </w:pPr>
          </w:p>
          <w:p>
            <w:pPr>
              <w:spacing w:after="0" w:line="240" w:lineRule="auto"/>
              <w:jc w:val="left"/>
              <w:rPr>
                <w:rFonts w:eastAsia="Malgun Gothic"/>
                <w:lang w:val="en-US" w:eastAsia="ko-KR"/>
              </w:rPr>
            </w:pPr>
            <w:r>
              <w:t>Agreement:</w:t>
            </w:r>
          </w:p>
          <w:p>
            <w:pPr>
              <w:spacing w:after="0" w:line="240" w:lineRule="auto"/>
              <w:jc w:val="left"/>
              <w:rPr>
                <w:lang w:eastAsia="zh-CN"/>
              </w:rPr>
            </w:pPr>
            <w:r>
              <w:rPr>
                <w:lang w:eastAsia="zh-CN"/>
              </w:rPr>
              <w:t>The validation rule defined for CG-SDT in FD-FDD mode can be reused for RedCap UE performing CG-SDT in HD-FDD mode.</w:t>
            </w:r>
          </w:p>
          <w:p>
            <w:pPr>
              <w:spacing w:after="0" w:line="240" w:lineRule="auto"/>
              <w:jc w:val="left"/>
              <w:rPr>
                <w:szCs w:val="22"/>
              </w:rPr>
            </w:pPr>
          </w:p>
        </w:tc>
      </w:tr>
    </w:tbl>
    <w:p>
      <w:pPr>
        <w:rPr>
          <w:lang w:val="en-US"/>
        </w:rPr>
      </w:pPr>
      <w:r>
        <w:rPr>
          <w:lang w:val="en-US"/>
        </w:rPr>
        <w:br w:type="textWrapping"/>
      </w:r>
      <w:r>
        <w:rPr>
          <w:lang w:val="en-US"/>
        </w:rPr>
        <w:t>Some related earlier RAN2 agreements [29]: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rPr>
                <w:rFonts w:ascii="Arial" w:hAnsi="Arial" w:cs="Arial"/>
              </w:rPr>
            </w:pPr>
            <w:r>
              <w:rPr>
                <w:rFonts w:ascii="Arial" w:hAnsi="Arial" w:cs="Arial"/>
              </w:rPr>
              <w:t>Agreements:</w:t>
            </w:r>
          </w:p>
          <w:p>
            <w:pPr>
              <w:pStyle w:val="50"/>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pPr>
              <w:pStyle w:val="50"/>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ETWS or CMAS capable UEs monitors PWS notification in any paging occasion at least once every </w:t>
            </w:r>
            <w:r>
              <w:rPr>
                <w:rFonts w:ascii="Arial" w:hAnsi="Arial" w:cs="Arial"/>
                <w:i/>
                <w:iCs/>
                <w:sz w:val="20"/>
                <w:szCs w:val="20"/>
                <w:lang w:val="en-US"/>
              </w:rPr>
              <w:t>defaultPagingCycle</w:t>
            </w:r>
            <w:r>
              <w:rPr>
                <w:rFonts w:ascii="Arial" w:hAnsi="Arial" w:cs="Arial"/>
                <w:sz w:val="20"/>
                <w:szCs w:val="20"/>
                <w:lang w:val="en-US"/>
              </w:rPr>
              <w:t xml:space="preserve"> (i.e., same as legacy RRC_CONNECTED).</w:t>
            </w:r>
          </w:p>
          <w:p>
            <w:pPr>
              <w:spacing w:after="0"/>
              <w:rPr>
                <w:rFonts w:ascii="Arial" w:hAnsi="Arial" w:cs="Arial"/>
                <w:lang w:val="en-US"/>
              </w:rPr>
            </w:pPr>
          </w:p>
        </w:tc>
      </w:tr>
    </w:tbl>
    <w:p>
      <w:pPr>
        <w:rPr>
          <w:lang w:val="en-US"/>
        </w:rPr>
      </w:pPr>
      <w:r>
        <w:rPr>
          <w:lang w:val="en-US"/>
        </w:rPr>
        <w:br w:type="textWrapping"/>
      </w:r>
      <w:r>
        <w:rPr>
          <w:lang w:val="en-US"/>
        </w:rPr>
        <w:t>Now, the following contributions have been submitted to this RAN1 meeting about SDT operation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3"/>
        <w:gridCol w:w="1456"/>
        <w:gridCol w:w="4920"/>
        <w:gridCol w:w="25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"https://www.3gpp.org/ftp/TSG_RAN/WG1_RL1/TSGR1_112/Docs/R1-2300367.zip" </w:instrText>
            </w:r>
            <w:r>
              <w:fldChar w:fldCharType="separate"/>
            </w:r>
            <w:r>
              <w:rPr>
                <w:rStyle w:val="40"/>
                <w:color w:val="0000FF"/>
              </w:rPr>
              <w:t>R1-2300367</w:t>
            </w:r>
            <w:r>
              <w:rPr>
                <w:rStyle w:val="40"/>
                <w:color w:val="0000FF"/>
              </w:rPr>
              <w:fldChar w:fldCharType="end"/>
            </w:r>
            <w:r>
              <w:rPr>
                <w:rStyle w:val="40"/>
                <w:color w:val="0000FF"/>
              </w:rPr>
              <w:br w:type="textWrapping"/>
            </w:r>
            <w:r>
              <w:t>(Section 2.1)</w:t>
            </w:r>
          </w:p>
        </w:tc>
        <w:tc>
          <w:tcPr>
            <w:tcW w:w="4920" w:type="dxa"/>
            <w:tcMar>
              <w:top w:w="0" w:type="dxa"/>
              <w:left w:w="70" w:type="dxa"/>
              <w:bottom w:w="0" w:type="dxa"/>
              <w:right w:w="70" w:type="dxa"/>
            </w:tcMar>
          </w:tcPr>
          <w:p>
            <w:pPr>
              <w:jc w:val="left"/>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"https://www.3gpp.org/ftp/TSG_RAN/WG1_RL1/TSGR1_112/Docs/R1-2300418.zip" </w:instrText>
            </w:r>
            <w:r>
              <w:fldChar w:fldCharType="separate"/>
            </w:r>
            <w:r>
              <w:rPr>
                <w:rStyle w:val="40"/>
                <w:color w:val="0000FF"/>
              </w:rPr>
              <w:t>R1-2300418</w:t>
            </w:r>
            <w:r>
              <w:rPr>
                <w:rStyle w:val="40"/>
                <w:color w:val="0000FF"/>
              </w:rPr>
              <w:fldChar w:fldCharType="end"/>
            </w:r>
          </w:p>
        </w:tc>
        <w:tc>
          <w:tcPr>
            <w:tcW w:w="4920" w:type="dxa"/>
            <w:tcMar>
              <w:top w:w="0" w:type="dxa"/>
              <w:left w:w="70" w:type="dxa"/>
              <w:bottom w:w="0" w:type="dxa"/>
              <w:right w:w="70" w:type="dxa"/>
            </w:tcMar>
          </w:tcPr>
          <w:p>
            <w:pPr>
              <w:jc w:val="left"/>
            </w:pPr>
            <w:r>
              <w:t>Remaining issues on SDT support for Rel-17 RedCap UE</w:t>
            </w:r>
          </w:p>
        </w:tc>
        <w:tc>
          <w:tcPr>
            <w:tcW w:w="2551" w:type="dxa"/>
            <w:tcMar>
              <w:top w:w="0" w:type="dxa"/>
              <w:left w:w="70" w:type="dxa"/>
              <w:bottom w:w="0" w:type="dxa"/>
              <w:right w:w="70" w:type="dxa"/>
            </w:tcMar>
          </w:tcPr>
          <w:p>
            <w:pPr>
              <w:jc w:val="left"/>
            </w:pPr>
            <w: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"https://www.3gpp.org/ftp/TSG_RAN/WG1_RL1/TSGR1_112/Docs/R1-2300499.zip" </w:instrText>
            </w:r>
            <w:r>
              <w:fldChar w:fldCharType="separate"/>
            </w:r>
            <w:r>
              <w:rPr>
                <w:rStyle w:val="40"/>
                <w:color w:val="0000FF"/>
              </w:rPr>
              <w:t>R1-2300499</w:t>
            </w:r>
            <w:r>
              <w:rPr>
                <w:rStyle w:val="40"/>
                <w:color w:val="0000FF"/>
              </w:rPr>
              <w:fldChar w:fldCharType="end"/>
            </w:r>
          </w:p>
        </w:tc>
        <w:tc>
          <w:tcPr>
            <w:tcW w:w="4920" w:type="dxa"/>
            <w:tcMar>
              <w:top w:w="0" w:type="dxa"/>
              <w:left w:w="70" w:type="dxa"/>
              <w:bottom w:w="0" w:type="dxa"/>
              <w:right w:w="70" w:type="dxa"/>
            </w:tcMar>
          </w:tcPr>
          <w:p>
            <w:pPr>
              <w:jc w:val="left"/>
            </w:pPr>
            <w:r>
              <w:t>Support for SDT in a RedCap-specific initial DL BWP without SSB</w:t>
            </w:r>
          </w:p>
        </w:tc>
        <w:tc>
          <w:tcPr>
            <w:tcW w:w="2551" w:type="dxa"/>
            <w:tcMar>
              <w:top w:w="0" w:type="dxa"/>
              <w:left w:w="70" w:type="dxa"/>
              <w:bottom w:w="0" w:type="dxa"/>
              <w:right w:w="70" w:type="dxa"/>
            </w:tcMar>
          </w:tcPr>
          <w:p>
            <w:pPr>
              <w:jc w:val="left"/>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"https://www.3gpp.org/ftp/TSG_RAN/WG1_RL1/TSGR1_112/Docs/R1-2300542.zip" </w:instrText>
            </w:r>
            <w:r>
              <w:fldChar w:fldCharType="separate"/>
            </w:r>
            <w:r>
              <w:rPr>
                <w:rStyle w:val="40"/>
                <w:color w:val="0000FF"/>
              </w:rPr>
              <w:t>R1-2300542</w:t>
            </w:r>
            <w:r>
              <w:rPr>
                <w:rStyle w:val="40"/>
                <w:color w:val="0000FF"/>
              </w:rPr>
              <w:fldChar w:fldCharType="end"/>
            </w:r>
          </w:p>
        </w:tc>
        <w:tc>
          <w:tcPr>
            <w:tcW w:w="4920" w:type="dxa"/>
            <w:tcMar>
              <w:top w:w="0" w:type="dxa"/>
              <w:left w:w="70" w:type="dxa"/>
              <w:bottom w:w="0" w:type="dxa"/>
              <w:right w:w="70" w:type="dxa"/>
            </w:tcMar>
          </w:tcPr>
          <w:p>
            <w:pPr>
              <w:jc w:val="left"/>
            </w:pPr>
            <w:r>
              <w:t>Discussion on remaining details of RedCap SDT operation</w:t>
            </w:r>
          </w:p>
        </w:tc>
        <w:tc>
          <w:tcPr>
            <w:tcW w:w="2551" w:type="dxa"/>
            <w:tcMar>
              <w:top w:w="0" w:type="dxa"/>
              <w:left w:w="70" w:type="dxa"/>
              <w:bottom w:w="0" w:type="dxa"/>
              <w:right w:w="70" w:type="dxa"/>
            </w:tcMar>
          </w:tcPr>
          <w:p>
            <w:pPr>
              <w:jc w:val="left"/>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"https://www.3gpp.org/ftp/TSG_RAN/WG1_RL1/TSGR1_112/Docs/R1-2300648.zip" </w:instrText>
            </w:r>
            <w:r>
              <w:fldChar w:fldCharType="separate"/>
            </w:r>
            <w:r>
              <w:rPr>
                <w:rStyle w:val="40"/>
                <w:color w:val="0000FF"/>
              </w:rPr>
              <w:t>R1-2300648</w:t>
            </w:r>
            <w:r>
              <w:rPr>
                <w:rStyle w:val="40"/>
                <w:color w:val="0000FF"/>
              </w:rPr>
              <w:fldChar w:fldCharType="end"/>
            </w:r>
          </w:p>
        </w:tc>
        <w:tc>
          <w:tcPr>
            <w:tcW w:w="4920" w:type="dxa"/>
            <w:tcMar>
              <w:top w:w="0" w:type="dxa"/>
              <w:left w:w="70" w:type="dxa"/>
              <w:bottom w:w="0" w:type="dxa"/>
              <w:right w:w="70" w:type="dxa"/>
            </w:tcMar>
          </w:tcPr>
          <w:p>
            <w:pPr>
              <w:jc w:val="left"/>
            </w:pPr>
            <w:r>
              <w:t>Discussion on SDT in separate initial BWP without CD-SSB</w:t>
            </w:r>
          </w:p>
        </w:tc>
        <w:tc>
          <w:tcPr>
            <w:tcW w:w="2551"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"https://www.3gpp.org/ftp/TSG_RAN/WG1_RL1/TSGR1_112/Docs/R1-2300854.zip" </w:instrText>
            </w:r>
            <w:r>
              <w:fldChar w:fldCharType="separate"/>
            </w:r>
            <w:r>
              <w:rPr>
                <w:rStyle w:val="40"/>
                <w:color w:val="0000FF"/>
              </w:rPr>
              <w:t>R1-2300854</w:t>
            </w:r>
            <w:r>
              <w:rPr>
                <w:rStyle w:val="40"/>
                <w:color w:val="0000FF"/>
              </w:rPr>
              <w:fldChar w:fldCharType="end"/>
            </w:r>
          </w:p>
        </w:tc>
        <w:tc>
          <w:tcPr>
            <w:tcW w:w="4920" w:type="dxa"/>
            <w:tcMar>
              <w:top w:w="0" w:type="dxa"/>
              <w:left w:w="70" w:type="dxa"/>
              <w:bottom w:w="0" w:type="dxa"/>
              <w:right w:w="70" w:type="dxa"/>
            </w:tcMar>
          </w:tcPr>
          <w:p>
            <w:pPr>
              <w:jc w:val="left"/>
            </w:pPr>
            <w:r>
              <w:t>Remaining issue of Rel-17 RedCap UE</w:t>
            </w:r>
          </w:p>
        </w:tc>
        <w:tc>
          <w:tcPr>
            <w:tcW w:w="2551" w:type="dxa"/>
            <w:tcMar>
              <w:top w:w="0" w:type="dxa"/>
              <w:left w:w="70" w:type="dxa"/>
              <w:bottom w:w="0" w:type="dxa"/>
              <w:right w:w="70" w:type="dxa"/>
            </w:tcMar>
          </w:tcPr>
          <w:p>
            <w:pPr>
              <w:jc w:val="left"/>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"https://www.3gpp.org/ftp/TSG_RAN/WG1_RL1/TSGR1_112/Docs/R1-2300977.zip" </w:instrText>
            </w:r>
            <w:r>
              <w:fldChar w:fldCharType="separate"/>
            </w:r>
            <w:r>
              <w:rPr>
                <w:rStyle w:val="40"/>
                <w:color w:val="0000FF"/>
              </w:rPr>
              <w:t>R1-2300977</w:t>
            </w:r>
            <w:r>
              <w:rPr>
                <w:rStyle w:val="40"/>
                <w:color w:val="0000FF"/>
              </w:rPr>
              <w:fldChar w:fldCharType="end"/>
            </w:r>
          </w:p>
        </w:tc>
        <w:tc>
          <w:tcPr>
            <w:tcW w:w="4920" w:type="dxa"/>
            <w:tcMar>
              <w:top w:w="0" w:type="dxa"/>
              <w:left w:w="70" w:type="dxa"/>
              <w:bottom w:w="0" w:type="dxa"/>
              <w:right w:w="70" w:type="dxa"/>
            </w:tcMar>
          </w:tcPr>
          <w:p>
            <w:pPr>
              <w:jc w:val="left"/>
            </w:pPr>
            <w:r>
              <w:t>Discussion on SDT procedure related RedCap remaining issues</w:t>
            </w:r>
          </w:p>
        </w:tc>
        <w:tc>
          <w:tcPr>
            <w:tcW w:w="2551"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"https://www.3gpp.org/ftp/TSG_RAN/WG1_RL1/TSGR1_112/Docs/R1-2301148.zip" </w:instrText>
            </w:r>
            <w:r>
              <w:fldChar w:fldCharType="separate"/>
            </w:r>
            <w:r>
              <w:rPr>
                <w:rStyle w:val="40"/>
                <w:color w:val="0000FF"/>
              </w:rPr>
              <w:t>R1-2301148</w:t>
            </w:r>
            <w:r>
              <w:rPr>
                <w:rStyle w:val="40"/>
                <w:color w:val="0000FF"/>
              </w:rPr>
              <w:fldChar w:fldCharType="end"/>
            </w:r>
          </w:p>
        </w:tc>
        <w:tc>
          <w:tcPr>
            <w:tcW w:w="4920" w:type="dxa"/>
            <w:tcMar>
              <w:top w:w="0" w:type="dxa"/>
              <w:left w:w="70" w:type="dxa"/>
              <w:bottom w:w="0" w:type="dxa"/>
              <w:right w:w="70" w:type="dxa"/>
            </w:tcMar>
          </w:tcPr>
          <w:p>
            <w:pPr>
              <w:jc w:val="left"/>
            </w:pPr>
            <w:r>
              <w:t>RedCap support of SDT</w:t>
            </w:r>
          </w:p>
        </w:tc>
        <w:tc>
          <w:tcPr>
            <w:tcW w:w="2551" w:type="dxa"/>
            <w:tcMar>
              <w:top w:w="0" w:type="dxa"/>
              <w:left w:w="70" w:type="dxa"/>
              <w:bottom w:w="0" w:type="dxa"/>
              <w:right w:w="70" w:type="dxa"/>
            </w:tcMar>
          </w:tcPr>
          <w:p>
            <w:pPr>
              <w:jc w:val="left"/>
            </w:pPr>
            <w: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"https://www.3gpp.org/ftp/TSG_RAN/WG1_RL1/TSGR1_112/Docs/R1-2301328.zip" </w:instrText>
            </w:r>
            <w:r>
              <w:fldChar w:fldCharType="separate"/>
            </w:r>
            <w:r>
              <w:rPr>
                <w:rStyle w:val="40"/>
                <w:color w:val="0000FF"/>
              </w:rPr>
              <w:t>R1-2301328</w:t>
            </w:r>
            <w:r>
              <w:rPr>
                <w:rStyle w:val="40"/>
                <w:color w:val="0000FF"/>
              </w:rPr>
              <w:fldChar w:fldCharType="end"/>
            </w:r>
          </w:p>
        </w:tc>
        <w:tc>
          <w:tcPr>
            <w:tcW w:w="4920" w:type="dxa"/>
            <w:tcMar>
              <w:top w:w="0" w:type="dxa"/>
              <w:left w:w="70" w:type="dxa"/>
              <w:bottom w:w="0" w:type="dxa"/>
              <w:right w:w="70" w:type="dxa"/>
            </w:tcMar>
          </w:tcPr>
          <w:p>
            <w:pPr>
              <w:jc w:val="left"/>
            </w:pPr>
            <w:r>
              <w:t>On Small Data Transmission for Redcap UEs</w:t>
            </w:r>
          </w:p>
        </w:tc>
        <w:tc>
          <w:tcPr>
            <w:tcW w:w="2551" w:type="dxa"/>
            <w:tcMar>
              <w:top w:w="0" w:type="dxa"/>
              <w:left w:w="70" w:type="dxa"/>
              <w:bottom w:w="0" w:type="dxa"/>
              <w:right w:w="70" w:type="dxa"/>
            </w:tcMar>
          </w:tcPr>
          <w:p>
            <w:pPr>
              <w:jc w:val="left"/>
            </w:pPr>
            <w: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r>
              <w:rPr>
                <w:rStyle w:val="40"/>
                <w:color w:val="0000FF"/>
              </w:rPr>
              <w:br w:type="textWrapping"/>
            </w:r>
            <w:r>
              <w:t>(Section 4)</w:t>
            </w:r>
          </w:p>
        </w:tc>
        <w:tc>
          <w:tcPr>
            <w:tcW w:w="4920" w:type="dxa"/>
            <w:tcMar>
              <w:top w:w="0" w:type="dxa"/>
              <w:left w:w="70" w:type="dxa"/>
              <w:bottom w:w="0" w:type="dxa"/>
              <w:right w:w="70" w:type="dxa"/>
            </w:tcMar>
          </w:tcPr>
          <w:p>
            <w:pPr>
              <w:jc w:val="left"/>
            </w:pPr>
            <w:r>
              <w:t>Remaining Issues on UE Complexity Reduction</w:t>
            </w:r>
          </w:p>
        </w:tc>
        <w:tc>
          <w:tcPr>
            <w:tcW w:w="2551" w:type="dxa"/>
            <w:tcMar>
              <w:top w:w="0" w:type="dxa"/>
              <w:left w:w="70" w:type="dxa"/>
              <w:bottom w:w="0" w:type="dxa"/>
              <w:right w:w="70" w:type="dxa"/>
            </w:tcMar>
          </w:tcPr>
          <w:p>
            <w:pPr>
              <w:jc w:val="left"/>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"https://www.3gpp.org/ftp/TSG_RAN/WG1_RL1/TSGR1_112/Docs/R1-2301471.zip" </w:instrText>
            </w:r>
            <w:r>
              <w:fldChar w:fldCharType="separate"/>
            </w:r>
            <w:r>
              <w:rPr>
                <w:rStyle w:val="40"/>
                <w:color w:val="0000FF"/>
              </w:rPr>
              <w:t>R1-2301471</w:t>
            </w:r>
            <w:r>
              <w:rPr>
                <w:rStyle w:val="40"/>
                <w:color w:val="0000FF"/>
              </w:rPr>
              <w:fldChar w:fldCharType="end"/>
            </w:r>
            <w:r>
              <w:rPr>
                <w:rStyle w:val="40"/>
                <w:color w:val="0000FF"/>
              </w:rPr>
              <w:br w:type="textWrapping"/>
            </w:r>
            <w:r>
              <w:t>(Section 2.2)</w:t>
            </w:r>
          </w:p>
        </w:tc>
        <w:tc>
          <w:tcPr>
            <w:tcW w:w="4920" w:type="dxa"/>
            <w:tcMar>
              <w:top w:w="0" w:type="dxa"/>
              <w:left w:w="70" w:type="dxa"/>
              <w:bottom w:w="0" w:type="dxa"/>
              <w:right w:w="70" w:type="dxa"/>
            </w:tcMar>
          </w:tcPr>
          <w:p>
            <w:pPr>
              <w:jc w:val="left"/>
            </w:pPr>
            <w:r>
              <w:t>Discussion on corrections and SDT operations for RedCap UE</w:t>
            </w:r>
          </w:p>
        </w:tc>
        <w:tc>
          <w:tcPr>
            <w:tcW w:w="2551" w:type="dxa"/>
            <w:tcMar>
              <w:top w:w="0" w:type="dxa"/>
              <w:left w:w="70" w:type="dxa"/>
              <w:bottom w:w="0" w:type="dxa"/>
              <w:right w:w="70" w:type="dxa"/>
            </w:tcMar>
          </w:tcPr>
          <w:p>
            <w:pPr>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"https://www.3gpp.org/ftp/TSG_RAN/WG1_RL1/TSGR1_112/Docs/R1-2301723.zip" </w:instrText>
            </w:r>
            <w:r>
              <w:fldChar w:fldCharType="separate"/>
            </w:r>
            <w:r>
              <w:rPr>
                <w:rStyle w:val="40"/>
                <w:color w:val="0000FF"/>
              </w:rPr>
              <w:t>R1-2301723</w:t>
            </w:r>
            <w:r>
              <w:rPr>
                <w:rStyle w:val="40"/>
                <w:color w:val="0000FF"/>
              </w:rPr>
              <w:fldChar w:fldCharType="end"/>
            </w:r>
          </w:p>
        </w:tc>
        <w:tc>
          <w:tcPr>
            <w:tcW w:w="4920" w:type="dxa"/>
            <w:tcMar>
              <w:top w:w="0" w:type="dxa"/>
              <w:left w:w="70" w:type="dxa"/>
              <w:bottom w:w="0" w:type="dxa"/>
              <w:right w:w="70" w:type="dxa"/>
            </w:tcMar>
          </w:tcPr>
          <w:p>
            <w:pPr>
              <w:jc w:val="left"/>
            </w:pPr>
            <w:r>
              <w:t>Remaining issues during SDT procedure for RedCap UEs</w:t>
            </w:r>
          </w:p>
        </w:tc>
        <w:tc>
          <w:tcPr>
            <w:tcW w:w="2551" w:type="dxa"/>
            <w:tcMar>
              <w:top w:w="0" w:type="dxa"/>
              <w:left w:w="70" w:type="dxa"/>
              <w:bottom w:w="0" w:type="dxa"/>
              <w:right w:w="70" w:type="dxa"/>
            </w:tcMar>
          </w:tcPr>
          <w:p>
            <w:pPr>
              <w:jc w:val="left"/>
            </w:pPr>
            <w: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"https://www.3gpp.org/ftp/TSG_RAN/WG1_RL1/TSGR1_112/Docs/R1-2301781.zip" </w:instrText>
            </w:r>
            <w:r>
              <w:fldChar w:fldCharType="separate"/>
            </w:r>
            <w:r>
              <w:rPr>
                <w:rStyle w:val="40"/>
                <w:color w:val="0000FF"/>
              </w:rPr>
              <w:t>R1-2301781</w:t>
            </w:r>
            <w:r>
              <w:rPr>
                <w:rStyle w:val="40"/>
                <w:color w:val="0000FF"/>
              </w:rPr>
              <w:fldChar w:fldCharType="end"/>
            </w:r>
            <w:r>
              <w:rPr>
                <w:rStyle w:val="40"/>
                <w:color w:val="0000FF"/>
              </w:rPr>
              <w:br w:type="textWrapping"/>
            </w:r>
            <w:r>
              <w:t>(Section 2)</w:t>
            </w:r>
          </w:p>
        </w:tc>
        <w:tc>
          <w:tcPr>
            <w:tcW w:w="4920" w:type="dxa"/>
            <w:tcMar>
              <w:top w:w="0" w:type="dxa"/>
              <w:left w:w="70" w:type="dxa"/>
              <w:bottom w:w="0" w:type="dxa"/>
              <w:right w:w="70" w:type="dxa"/>
            </w:tcMar>
          </w:tcPr>
          <w:p>
            <w:pPr>
              <w:jc w:val="left"/>
            </w:pPr>
            <w:r>
              <w:t xml:space="preserve">On RedCap remaining issues (revision of </w:t>
            </w:r>
            <w:r>
              <w:fldChar w:fldCharType="begin"/>
            </w:r>
            <w:r>
              <w:instrText xml:space="preserve"> HYPERLINK "https://www.3gpp.org/ftp/TSG_RAN/WG1_RL1/TSGR1_112/Docs/R1-2301606.zip" </w:instrText>
            </w:r>
            <w:r>
              <w:fldChar w:fldCharType="separate"/>
            </w:r>
            <w:r>
              <w:rPr>
                <w:rStyle w:val="40"/>
                <w:color w:val="0000FF"/>
              </w:rPr>
              <w:t>R1-2301606</w:t>
            </w:r>
            <w:r>
              <w:rPr>
                <w:rStyle w:val="40"/>
                <w:color w:val="0000FF"/>
              </w:rPr>
              <w:fldChar w:fldCharType="end"/>
            </w:r>
            <w:r>
              <w:t>)</w:t>
            </w:r>
          </w:p>
        </w:tc>
        <w:tc>
          <w:tcPr>
            <w:tcW w:w="2551" w:type="dxa"/>
            <w:tcMar>
              <w:top w:w="0" w:type="dxa"/>
              <w:left w:w="70" w:type="dxa"/>
              <w:bottom w:w="0" w:type="dxa"/>
              <w:right w:w="70" w:type="dxa"/>
            </w:tcMar>
          </w:tcPr>
          <w:p>
            <w:pPr>
              <w:jc w:val="left"/>
            </w:pPr>
            <w:r>
              <w:t>MediaTek Inc.</w:t>
            </w:r>
          </w:p>
        </w:tc>
      </w:tr>
    </w:tbl>
    <w:p>
      <w:r>
        <w:rPr>
          <w:lang w:val="en-US"/>
        </w:rPr>
        <w:br w:type="textWrapping"/>
      </w:r>
      <w:r>
        <w:t>Many contributions express views on the following three cases which were identified in the previous RAN1 meeting:</w:t>
      </w:r>
    </w:p>
    <w:p>
      <w:pPr>
        <w:pStyle w:val="50"/>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pPr>
        <w:pStyle w:val="50"/>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pPr>
        <w:pStyle w:val="50"/>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pPr>
        <w:pStyle w:val="50"/>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pPr>
        <w:pStyle w:val="50"/>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pPr>
        <w:pStyle w:val="50"/>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pPr>
        <w:pStyle w:val="50"/>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pPr>
        <w:pStyle w:val="50"/>
        <w:numPr>
          <w:ilvl w:val="1"/>
          <w:numId w:val="15"/>
        </w:numPr>
        <w:rPr>
          <w:sz w:val="20"/>
          <w:szCs w:val="22"/>
          <w:lang w:val="en-US"/>
        </w:rPr>
      </w:pPr>
      <w:r>
        <w:rPr>
          <w:sz w:val="20"/>
          <w:szCs w:val="22"/>
          <w:lang w:val="en-US"/>
        </w:rPr>
        <w:t>Several contributions [8, 10, 11, 18, 19, 24] express that this case may be supported.</w:t>
      </w:r>
    </w:p>
    <w:p>
      <w:pPr>
        <w:pStyle w:val="50"/>
        <w:numPr>
          <w:ilvl w:val="1"/>
          <w:numId w:val="15"/>
        </w:numPr>
        <w:rPr>
          <w:sz w:val="20"/>
          <w:szCs w:val="22"/>
          <w:lang w:val="en-US"/>
        </w:rPr>
      </w:pPr>
      <w:r>
        <w:rPr>
          <w:sz w:val="20"/>
          <w:szCs w:val="22"/>
          <w:lang w:val="en-US"/>
        </w:rPr>
        <w:t>Several contributions [13, 15, 16, 17, 21] express that this case should not be supported.</w:t>
      </w:r>
    </w:p>
    <w:p>
      <w:pPr>
        <w:pStyle w:val="50"/>
        <w:numPr>
          <w:ilvl w:val="1"/>
          <w:numId w:val="15"/>
        </w:numPr>
        <w:rPr>
          <w:sz w:val="20"/>
          <w:szCs w:val="22"/>
          <w:lang w:val="en-US"/>
        </w:rPr>
      </w:pPr>
      <w:r>
        <w:rPr>
          <w:sz w:val="20"/>
          <w:szCs w:val="22"/>
          <w:lang w:val="en-US"/>
        </w:rPr>
        <w:t>One contribution [23] expresses that it should be left up to RAN2/RAN4 whether to support this case.</w:t>
      </w:r>
    </w:p>
    <w:p>
      <w:pPr>
        <w:rPr>
          <w:szCs w:val="22"/>
          <w:lang w:val="en-US"/>
        </w:rPr>
      </w:pPr>
      <w:r>
        <w:rPr>
          <w:szCs w:val="22"/>
          <w:lang w:val="en-US"/>
        </w:rPr>
        <w:t>For RA-SDT-related Case A, the following subcases (analogous to CG-SDT-related Cases B and C) can be considered:</w:t>
      </w:r>
    </w:p>
    <w:p>
      <w:pPr>
        <w:pStyle w:val="50"/>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pPr>
        <w:pStyle w:val="50"/>
        <w:numPr>
          <w:ilvl w:val="0"/>
          <w:numId w:val="15"/>
        </w:numPr>
        <w:rPr>
          <w:b/>
          <w:bCs/>
          <w:color w:val="C00000"/>
          <w:sz w:val="20"/>
          <w:szCs w:val="22"/>
          <w:lang w:val="en-US"/>
        </w:rPr>
      </w:pPr>
      <w:r>
        <w:rPr>
          <w:b/>
          <w:bCs/>
          <w:color w:val="C00000"/>
          <w:sz w:val="20"/>
          <w:szCs w:val="22"/>
          <w:lang w:val="en-US"/>
        </w:rPr>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pPr>
              <w:jc w:val="left"/>
              <w:rPr>
                <w:rFonts w:eastAsiaTheme="minorEastAsia"/>
                <w:lang w:val="en-US" w:eastAsia="zh-CN"/>
              </w:rPr>
            </w:pPr>
            <w:r>
              <w:rPr>
                <w:rFonts w:eastAsiaTheme="minorEastAsia"/>
                <w:lang w:val="en-US" w:eastAsia="zh-CN"/>
              </w:rPr>
              <w:t xml:space="preserve">Secondly, supporting SDT in a initial BWP without SSB is very difficult for RedCap UE to maintain the sync, meet UL transmission timing accuracy. RedCap UE needs to switch back and forth between the legacy initial BWP for CD-SSB measurement and separate initial BWP for SDT transmission. It increase RedCap UE power consumption, SDT transmission delay, defeating the SDT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 Nokia, NSB</w:t>
            </w:r>
          </w:p>
        </w:tc>
        <w:tc>
          <w:tcPr>
            <w:tcW w:w="1372" w:type="dxa"/>
          </w:tcPr>
          <w:p>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 at least for non-FG 28-1a UE</w:t>
            </w:r>
          </w:p>
        </w:tc>
        <w:tc>
          <w:tcPr>
            <w:tcW w:w="6780" w:type="dxa"/>
          </w:tcPr>
          <w:p>
            <w:pPr>
              <w:jc w:val="left"/>
              <w:rPr>
                <w:rFonts w:eastAsiaTheme="minorEastAsia"/>
                <w:lang w:val="en-US" w:eastAsia="zh-CN"/>
              </w:rPr>
            </w:pPr>
            <w:r>
              <w:rPr>
                <w:rFonts w:hint="eastAsia" w:eastAsiaTheme="minorEastAsia"/>
                <w:lang w:val="en-US" w:eastAsia="zh-CN"/>
              </w:rPr>
              <w:t>1) For RedCap UE not capable with FG 28-1a, this case is not supported by nature.</w:t>
            </w:r>
          </w:p>
          <w:p>
            <w:pPr>
              <w:jc w:val="left"/>
              <w:rPr>
                <w:rFonts w:eastAsiaTheme="minorEastAsia"/>
                <w:lang w:val="en-US" w:eastAsia="zh-CN"/>
              </w:rPr>
            </w:pPr>
            <w:r>
              <w:rPr>
                <w:rFonts w:hint="eastAsia" w:eastAsiaTheme="minorEastAsia"/>
                <w:lang w:val="en-US" w:eastAsia="zh-CN"/>
              </w:rPr>
              <w:t>2) For RedCap UE supporting FG 28-1a , we think this can be supported. But due to RAN2</w:t>
            </w:r>
            <w:r>
              <w:rPr>
                <w:rFonts w:eastAsiaTheme="minorEastAsia"/>
                <w:lang w:val="en-US" w:eastAsia="zh-CN"/>
              </w:rPr>
              <w:t>’</w:t>
            </w:r>
            <w:r>
              <w:rPr>
                <w:rFonts w:hint="eastAsia" w:eastAsiaTheme="minor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hint="eastAsia" w:eastAsiaTheme="minorEastAsia"/>
                <w:lang w:val="en-US" w:eastAsia="zh-CN"/>
              </w:rPr>
              <w:t xml:space="preserve"> this case is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hint="eastAsia" w:eastAsiaTheme="minorEastAsia"/>
                <w:lang w:val="en-US" w:eastAsia="zh-CN"/>
              </w:rPr>
            </w:pPr>
            <w:r>
              <w:rPr>
                <w:rFonts w:eastAsiaTheme="minorEastAsia"/>
                <w:lang w:val="en-US" w:eastAsia="zh-CN"/>
              </w:rPr>
              <w:t xml:space="preserve">Slightly prefer </w:t>
            </w:r>
            <w:r>
              <w:rPr>
                <w:rFonts w:hint="eastAsia" w:eastAsiaTheme="minorEastAsia"/>
                <w:lang w:val="en-US" w:eastAsia="zh-CN"/>
              </w:rPr>
              <w:t>N</w:t>
            </w:r>
          </w:p>
        </w:tc>
        <w:tc>
          <w:tcPr>
            <w:tcW w:w="6780" w:type="dxa"/>
          </w:tcPr>
          <w:p>
            <w:pPr>
              <w:jc w:val="left"/>
              <w:rPr>
                <w:rFonts w:hint="eastAsia" w:eastAsiaTheme="minorEastAsia"/>
                <w:lang w:val="en-US" w:eastAsia="zh-CN"/>
              </w:rPr>
            </w:pPr>
            <w:r>
              <w:rPr>
                <w:rFonts w:hint="eastAsia" w:eastAsiaTheme="minorEastAsia"/>
                <w:lang w:val="en-US" w:eastAsia="zh-CN"/>
              </w:rPr>
              <w:t xml:space="preserve">In general </w:t>
            </w:r>
            <w:r>
              <w:rPr>
                <w:rFonts w:eastAsiaTheme="minorEastAsia"/>
                <w:lang w:val="en-US" w:eastAsia="zh-CN"/>
              </w:rPr>
              <w:t>view</w:t>
            </w:r>
            <w:r>
              <w:rPr>
                <w:rFonts w:hint="eastAsia" w:eastAsiaTheme="minor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N if Case A2 is supported</w:t>
            </w:r>
          </w:p>
        </w:tc>
        <w:tc>
          <w:tcPr>
            <w:tcW w:w="6780" w:type="dxa"/>
            <w:vAlign w:val="top"/>
          </w:tcPr>
          <w:p>
            <w:pPr>
              <w:jc w:val="left"/>
              <w:rPr>
                <w:rFonts w:hint="default" w:eastAsiaTheme="minorEastAsia"/>
                <w:lang w:val="en-US" w:eastAsia="zh-CN"/>
              </w:rPr>
            </w:pPr>
            <w:r>
              <w:rPr>
                <w:rFonts w:hint="eastAsia" w:eastAsiaTheme="minorEastAsia"/>
                <w:lang w:val="en-US" w:eastAsia="zh-CN"/>
              </w:rPr>
              <w:t xml:space="preserve">Actually the option that no SSB is configured for CG-SDT is also on the table of RAN2 discussion, they will further discuss 3 options in this meeting. </w:t>
            </w:r>
          </w:p>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From our understanding, we should firstly discuss Case A2, if NCD-SSB can be used for SDT, then there is no need to discuss the Case A1.</w:t>
            </w:r>
          </w:p>
        </w:tc>
      </w:tr>
    </w:tbl>
    <w:p>
      <w:pPr>
        <w:rPr>
          <w:lang w:val="en-US"/>
        </w:rPr>
      </w:pPr>
    </w:p>
    <w:p>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increased and RedCap UE complexity can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50"/>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pPr>
              <w:pStyle w:val="50"/>
              <w:numPr>
                <w:ilvl w:val="0"/>
                <w:numId w:val="16"/>
              </w:numPr>
              <w:jc w:val="left"/>
              <w:rPr>
                <w:rFonts w:eastAsiaTheme="minor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pPr>
              <w:pStyle w:val="50"/>
              <w:numPr>
                <w:ilvl w:val="0"/>
                <w:numId w:val="16"/>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type="textWrapping"/>
            </w:r>
            <w:r>
              <w:rPr>
                <w:rFonts w:eastAsiaTheme="minorEastAsia"/>
                <w:lang w:val="en-US" w:eastAsia="zh-CN"/>
              </w:rPr>
              <w:br w:type="textWrapping"/>
            </w:r>
            <w:r>
              <w:rPr>
                <w:rFonts w:eastAsiaTheme="minorEastAsia"/>
                <w:lang w:val="en-US" w:eastAsia="zh-CN"/>
              </w:rPr>
              <w:t>(1)  Is the assumption that NCD-SSB is always present if configured for connected mode UEs?</w:t>
            </w:r>
            <w:r>
              <w:rPr>
                <w:rFonts w:eastAsiaTheme="minorEastAsia"/>
                <w:lang w:val="en-US" w:eastAsia="zh-CN"/>
              </w:rPr>
              <w:br w:type="textWrapping"/>
            </w:r>
            <w:r>
              <w:rPr>
                <w:rFonts w:eastAsiaTheme="minorEastAsia"/>
                <w:lang w:val="en-US" w:eastAsia="zh-CN"/>
              </w:rPr>
              <w:t xml:space="preserve">(2)  Is a new way to specify NCD-SSB for idle-inactive UEs required? If a new way is specified, do we need to ensure that 2x NCD-SSB aren’t created in the same BWP? </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think this will lead to some RRC modification (e.g. adding NCD-SSB configuration IE in SIB). In this phase, we</w:t>
            </w:r>
            <w:r>
              <w:rPr>
                <w:rFonts w:eastAsiaTheme="minorEastAsia"/>
                <w:lang w:val="en-US" w:eastAsia="zh-CN"/>
              </w:rPr>
              <w:t>’</w:t>
            </w:r>
            <w:r>
              <w:rPr>
                <w:rFonts w:hint="eastAsia" w:eastAsiaTheme="minorEastAsia"/>
                <w:lang w:val="en-US" w:eastAsia="zh-CN"/>
              </w:rPr>
              <w:t>d better avoid this kind of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hint="eastAsia" w:eastAsiaTheme="minorEastAsia"/>
                <w:lang w:val="en-US" w:eastAsia="zh-CN"/>
              </w:rPr>
            </w:pPr>
            <w:r>
              <w:rPr>
                <w:rFonts w:eastAsiaTheme="minorEastAsia"/>
                <w:lang w:val="en-US" w:eastAsia="zh-CN"/>
              </w:rPr>
              <w:t>Slightly prefer Y</w:t>
            </w:r>
          </w:p>
        </w:tc>
        <w:tc>
          <w:tcPr>
            <w:tcW w:w="6780" w:type="dxa"/>
          </w:tcPr>
          <w:p>
            <w:pPr>
              <w:jc w:val="left"/>
              <w:rPr>
                <w:rFonts w:hint="eastAsia" w:eastAsiaTheme="minorEastAsia"/>
                <w:lang w:val="en-US" w:eastAsia="zh-CN"/>
              </w:rPr>
            </w:pPr>
            <w:r>
              <w:rPr>
                <w:rFonts w:eastAsiaTheme="minorEastAsia"/>
                <w:lang w:val="en-US" w:eastAsia="zh-CN"/>
              </w:rPr>
              <w:t>L</w:t>
            </w:r>
            <w:r>
              <w:rPr>
                <w:rFonts w:hint="eastAsia" w:eastAsiaTheme="minorEastAsia"/>
                <w:lang w:val="en-US" w:eastAsia="zh-CN"/>
              </w:rPr>
              <w:t xml:space="preserve">ike </w:t>
            </w:r>
            <w:r>
              <w:rPr>
                <w:b/>
                <w:lang w:val="en-US"/>
              </w:rPr>
              <w:t>FL1 Question 1-1a</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jc w:val="left"/>
              <w:rPr>
                <w:rFonts w:hint="eastAsia" w:eastAsiaTheme="minorEastAsia"/>
                <w:lang w:val="en-US" w:eastAsia="zh-CN"/>
              </w:rPr>
            </w:pPr>
            <w:r>
              <w:rPr>
                <w:rFonts w:hint="eastAsia" w:eastAsiaTheme="minorEastAsia"/>
                <w:lang w:val="en-US" w:eastAsia="zh-CN"/>
              </w:rPr>
              <w:t>Motivation: In separate initial BWP without CD-SSB, if NCD-SSB is not supported for SDT, UE has to switch to initial BWP to maintain the sync and timing, which increases the UE complexity.</w:t>
            </w:r>
          </w:p>
          <w:p>
            <w:pPr>
              <w:jc w:val="left"/>
              <w:rPr>
                <w:rFonts w:hint="eastAsia" w:eastAsiaTheme="minorEastAsia"/>
                <w:lang w:val="en-US" w:eastAsia="zh-CN"/>
              </w:rPr>
            </w:pPr>
            <w:r>
              <w:rPr>
                <w:rFonts w:hint="eastAsia" w:eastAsiaTheme="minor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bl>
    <w:p>
      <w:pPr>
        <w:rPr>
          <w:lang w:val="en-US"/>
        </w:rPr>
      </w:pPr>
    </w:p>
    <w:p>
      <w:pPr>
        <w:rPr>
          <w:b/>
          <w:bCs/>
          <w:lang w:val="en-US"/>
        </w:rPr>
      </w:pPr>
      <w:r>
        <w:rPr>
          <w:b/>
          <w:lang w:val="en-US"/>
        </w:rPr>
        <w:t>FL1 Question 1-3a</w:t>
      </w:r>
      <w:r>
        <w:rPr>
          <w:b/>
          <w:bCs/>
          <w:lang w:val="en-US"/>
        </w:rPr>
        <w:t xml:space="preserve">: 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 at least for non-FG 28-1a UE</w:t>
            </w:r>
          </w:p>
        </w:tc>
        <w:tc>
          <w:tcPr>
            <w:tcW w:w="6780" w:type="dxa"/>
          </w:tcPr>
          <w:p>
            <w:pPr>
              <w:jc w:val="left"/>
              <w:rPr>
                <w:rFonts w:eastAsiaTheme="minorEastAsia"/>
                <w:lang w:val="en-US" w:eastAsia="zh-CN"/>
              </w:rPr>
            </w:pPr>
            <w:r>
              <w:rPr>
                <w:rFonts w:hint="eastAsia" w:eastAsiaTheme="minorEastAsia"/>
                <w:lang w:val="en-US" w:eastAsia="zh-CN"/>
              </w:rPr>
              <w:t>Same comment as that of Case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hint="eastAsia" w:eastAsiaTheme="minorEastAsia"/>
                <w:lang w:val="en-US" w:eastAsia="zh-CN"/>
              </w:rPr>
            </w:pPr>
            <w:r>
              <w:rPr>
                <w:rFonts w:eastAsiaTheme="minorEastAsia"/>
                <w:lang w:val="en-US" w:eastAsia="zh-CN"/>
              </w:rPr>
              <w:t xml:space="preserve">Slightly prefer </w:t>
            </w:r>
            <w:r>
              <w:rPr>
                <w:rFonts w:hint="eastAsia" w:eastAsiaTheme="minorEastAsia"/>
                <w:lang w:val="en-US" w:eastAsia="zh-CN"/>
              </w:rPr>
              <w:t>N</w:t>
            </w:r>
          </w:p>
        </w:tc>
        <w:tc>
          <w:tcPr>
            <w:tcW w:w="6780" w:type="dxa"/>
          </w:tcPr>
          <w:p>
            <w:pPr>
              <w:jc w:val="left"/>
              <w:rPr>
                <w:rFonts w:hint="eastAsia"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r>
              <w:rPr>
                <w:rFonts w:hint="eastAsia" w:eastAsiaTheme="minorEastAsia"/>
                <w:lang w:val="en-US" w:eastAsia="zh-CN"/>
              </w:rPr>
              <w:t>N if Case C is supported</w:t>
            </w:r>
          </w:p>
        </w:tc>
        <w:tc>
          <w:tcPr>
            <w:tcW w:w="6780" w:type="dxa"/>
            <w:vAlign w:val="top"/>
          </w:tcPr>
          <w:p>
            <w:pPr>
              <w:jc w:val="left"/>
              <w:rPr>
                <w:rFonts w:ascii="Times New Roman" w:hAnsi="Times New Roman" w:cs="Times New Roman" w:eastAsiaTheme="minorEastAsia"/>
                <w:lang w:val="en-US" w:eastAsia="zh-CN" w:bidi="ar-SA"/>
              </w:rPr>
            </w:pPr>
            <w:r>
              <w:rPr>
                <w:rFonts w:hint="eastAsia" w:eastAsiaTheme="minorEastAsia"/>
                <w:lang w:val="en-US" w:eastAsia="zh-CN"/>
              </w:rPr>
              <w:t>From our understanding, we should firstly discuss Case C, if NCD-SSB can be used for SDT, then there is no need to discuss the Case B.</w:t>
            </w:r>
          </w:p>
        </w:tc>
      </w:tr>
    </w:tbl>
    <w:p>
      <w:pPr>
        <w:rPr>
          <w:lang w:val="en-US"/>
        </w:rPr>
      </w:pPr>
    </w:p>
    <w:p>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Same comments as for Question 1-2a for Case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50"/>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pPr>
              <w:pStyle w:val="50"/>
              <w:numPr>
                <w:ilvl w:val="0"/>
                <w:numId w:val="16"/>
              </w:numPr>
              <w:jc w:val="left"/>
              <w:rPr>
                <w:rFonts w:eastAsiaTheme="minorEastAsia"/>
                <w:sz w:val="20"/>
                <w:szCs w:val="20"/>
                <w:lang w:val="en-US" w:eastAsia="zh-CN"/>
              </w:rPr>
            </w:pPr>
            <w:r>
              <w:rPr>
                <w:rFonts w:eastAsiaTheme="minorEastAsia"/>
                <w:sz w:val="20"/>
                <w:szCs w:val="20"/>
                <w:lang w:val="en-US" w:eastAsia="zh-CN"/>
              </w:rPr>
              <w:t>Similar to CD-SSB, a RedCap UE does not expect symbols of NCD-SSB to overlap with UL symbols of a TDD slot.</w:t>
            </w:r>
          </w:p>
          <w:p>
            <w:pPr>
              <w:pStyle w:val="50"/>
              <w:numPr>
                <w:ilvl w:val="0"/>
                <w:numId w:val="16"/>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pPr>
              <w:jc w:val="left"/>
              <w:rPr>
                <w:rFonts w:eastAsiaTheme="minorEastAsia"/>
                <w:lang w:val="en-US" w:eastAsia="zh-CN"/>
              </w:rPr>
            </w:pPr>
            <w:r>
              <w:rPr>
                <w:rFonts w:eastAsiaTheme="minorEastAsia"/>
                <w:lang w:val="en-US" w:eastAsia="zh-CN"/>
              </w:rPr>
              <w:t>See our question 1-2a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hint="eastAsia" w:eastAsiaTheme="minorEastAsia"/>
                <w:lang w:val="en-US" w:eastAsia="zh-CN"/>
              </w:rPr>
              <w:t>d better avoid this kind of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hint="eastAsia" w:eastAsiaTheme="minorEastAsia"/>
                <w:lang w:val="en-US" w:eastAsia="zh-CN"/>
              </w:rPr>
            </w:pPr>
            <w:r>
              <w:rPr>
                <w:rFonts w:eastAsiaTheme="minorEastAsia"/>
                <w:lang w:val="en-US" w:eastAsia="zh-CN"/>
              </w:rPr>
              <w:t>Slightly prefer Y</w:t>
            </w:r>
          </w:p>
        </w:tc>
        <w:tc>
          <w:tcPr>
            <w:tcW w:w="6780" w:type="dxa"/>
          </w:tcPr>
          <w:p>
            <w:pPr>
              <w:jc w:val="left"/>
              <w:rPr>
                <w:rFonts w:hint="eastAsia" w:eastAsiaTheme="minorEastAsia"/>
                <w:lang w:val="en-US" w:eastAsia="zh-CN"/>
              </w:rPr>
            </w:pPr>
            <w:r>
              <w:rPr>
                <w:rFonts w:eastAsiaTheme="minorEastAsia"/>
                <w:lang w:val="en-US" w:eastAsia="zh-CN"/>
              </w:rPr>
              <w:t xml:space="preserve">Like </w:t>
            </w:r>
            <w:r>
              <w:rPr>
                <w:b/>
                <w:lang w:val="en-US"/>
              </w:rPr>
              <w:t>FL1 Question 1-3a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jc w:val="left"/>
              <w:rPr>
                <w:rFonts w:hint="eastAsia" w:eastAsiaTheme="minorEastAsia"/>
                <w:lang w:val="en-US" w:eastAsia="zh-CN"/>
              </w:rPr>
            </w:pPr>
            <w:r>
              <w:rPr>
                <w:rFonts w:hint="eastAsia" w:eastAsiaTheme="minor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pPr>
              <w:jc w:val="left"/>
              <w:rPr>
                <w:rFonts w:hint="eastAsia" w:eastAsiaTheme="minorEastAsia"/>
                <w:lang w:val="en-US" w:eastAsia="zh-CN"/>
              </w:rPr>
            </w:pPr>
            <w:r>
              <w:rPr>
                <w:rFonts w:hint="eastAsia" w:eastAsiaTheme="minor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bl>
    <w:p>
      <w:pPr>
        <w:rPr>
          <w:lang w:val="en-US"/>
        </w:rPr>
      </w:pPr>
    </w:p>
    <w:p>
      <w:pPr>
        <w:pStyle w:val="2"/>
        <w:numPr>
          <w:ilvl w:val="0"/>
          <w:numId w:val="0"/>
        </w:numPr>
        <w:ind w:left="1134" w:hanging="1134"/>
        <w:rPr>
          <w:lang w:val="en-US"/>
        </w:rPr>
      </w:pPr>
      <w:r>
        <w:rPr>
          <w:lang w:val="en-US"/>
        </w:rPr>
        <w:t>Issue #2: HD-FDD operation</w:t>
      </w:r>
    </w:p>
    <w:p>
      <w:pPr>
        <w:rPr>
          <w:lang w:val="en-US"/>
        </w:rPr>
      </w:pPr>
      <w:r>
        <w:rPr>
          <w:lang w:val="en-US"/>
        </w:rPr>
        <w:t>The following contributions concern HD-FDD operation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"https://www.3gpp.org/ftp/TSG_RAN/WG1_RL1/TSGR1_112/Docs/R1-2300649.zip" </w:instrText>
            </w:r>
            <w:r>
              <w:fldChar w:fldCharType="separate"/>
            </w:r>
            <w:r>
              <w:rPr>
                <w:rStyle w:val="40"/>
                <w:color w:val="0000FF"/>
              </w:rPr>
              <w:t>R1-2300649</w:t>
            </w:r>
            <w:r>
              <w:rPr>
                <w:rStyle w:val="40"/>
                <w:color w:val="0000FF"/>
              </w:rPr>
              <w:fldChar w:fldCharType="end"/>
            </w:r>
            <w:r>
              <w:rPr>
                <w:rStyle w:val="40"/>
                <w:color w:val="0000FF"/>
              </w:rPr>
              <w:br w:type="textWrapping"/>
            </w:r>
            <w:r>
              <w:t>(38.213 CR)</w:t>
            </w:r>
          </w:p>
        </w:tc>
        <w:tc>
          <w:tcPr>
            <w:tcW w:w="4920" w:type="dxa"/>
            <w:tcMar>
              <w:top w:w="0" w:type="dxa"/>
              <w:left w:w="70" w:type="dxa"/>
              <w:bottom w:w="0" w:type="dxa"/>
              <w:right w:w="70" w:type="dxa"/>
            </w:tcMar>
          </w:tcPr>
          <w:p>
            <w:pPr>
              <w:jc w:val="left"/>
            </w:pPr>
            <w:r>
              <w:t>Correction on impact of HD-FDD operation in Rel-17</w:t>
            </w:r>
          </w:p>
        </w:tc>
        <w:tc>
          <w:tcPr>
            <w:tcW w:w="2550" w:type="dxa"/>
            <w:tcMar>
              <w:top w:w="0" w:type="dxa"/>
              <w:left w:w="70" w:type="dxa"/>
              <w:bottom w:w="0" w:type="dxa"/>
              <w:right w:w="70" w:type="dxa"/>
            </w:tcMar>
          </w:tcPr>
          <w:p>
            <w:pPr>
              <w:jc w:val="left"/>
              <w:rPr>
                <w:lang w:val="en-US"/>
              </w:rPr>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"https://www.3gpp.org/ftp/TSG_RAN/WG1_RL1/TSGR1_112/Docs/R1-2301470.zip" </w:instrText>
            </w:r>
            <w:r>
              <w:fldChar w:fldCharType="separate"/>
            </w:r>
            <w:r>
              <w:rPr>
                <w:rStyle w:val="40"/>
                <w:color w:val="0000FF"/>
              </w:rPr>
              <w:t>R1-2301470</w:t>
            </w:r>
            <w:r>
              <w:rPr>
                <w:rStyle w:val="40"/>
                <w:color w:val="0000FF"/>
              </w:rPr>
              <w:fldChar w:fldCharType="end"/>
            </w:r>
            <w:r>
              <w:rPr>
                <w:rStyle w:val="40"/>
                <w:color w:val="0000FF"/>
              </w:rPr>
              <w:br w:type="textWrapping"/>
            </w:r>
            <w:r>
              <w:t>(38.213 CR)</w:t>
            </w:r>
          </w:p>
        </w:tc>
        <w:tc>
          <w:tcPr>
            <w:tcW w:w="4920" w:type="dxa"/>
            <w:tcMar>
              <w:top w:w="0" w:type="dxa"/>
              <w:left w:w="70" w:type="dxa"/>
              <w:bottom w:w="0" w:type="dxa"/>
              <w:right w:w="70" w:type="dxa"/>
            </w:tcMar>
          </w:tcPr>
          <w:p>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pPr>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"https://www.3gpp.org/ftp/TSG_RAN/WG1_RL1/TSGR1_112/Docs/R1-2301471.zip" </w:instrText>
            </w:r>
            <w:r>
              <w:fldChar w:fldCharType="separate"/>
            </w:r>
            <w:r>
              <w:rPr>
                <w:rStyle w:val="40"/>
                <w:color w:val="0000FF"/>
              </w:rPr>
              <w:t>R1-2301471</w:t>
            </w:r>
            <w:r>
              <w:rPr>
                <w:rStyle w:val="40"/>
                <w:color w:val="0000FF"/>
              </w:rPr>
              <w:fldChar w:fldCharType="end"/>
            </w:r>
            <w:r>
              <w:rPr>
                <w:rStyle w:val="40"/>
                <w:color w:val="0000FF"/>
              </w:rPr>
              <w:br w:type="textWrapping"/>
            </w:r>
            <w:r>
              <w:t>(Section 2.1)</w:t>
            </w:r>
          </w:p>
        </w:tc>
        <w:tc>
          <w:tcPr>
            <w:tcW w:w="4920" w:type="dxa"/>
            <w:tcMar>
              <w:top w:w="0" w:type="dxa"/>
              <w:left w:w="70" w:type="dxa"/>
              <w:bottom w:w="0" w:type="dxa"/>
              <w:right w:w="70" w:type="dxa"/>
            </w:tcMar>
          </w:tcPr>
          <w:p>
            <w:pPr>
              <w:jc w:val="left"/>
            </w:pPr>
            <w:r>
              <w:t>Discussion on corrections and SDT operations for RedCap UE</w:t>
            </w:r>
          </w:p>
        </w:tc>
        <w:tc>
          <w:tcPr>
            <w:tcW w:w="2550" w:type="dxa"/>
            <w:tcMar>
              <w:top w:w="0" w:type="dxa"/>
              <w:left w:w="70" w:type="dxa"/>
              <w:bottom w:w="0" w:type="dxa"/>
              <w:right w:w="70" w:type="dxa"/>
            </w:tcMar>
          </w:tcPr>
          <w:p>
            <w:pPr>
              <w:jc w:val="left"/>
            </w:pPr>
            <w:r>
              <w:t>NTT DOCOMO, INC.</w:t>
            </w:r>
          </w:p>
        </w:tc>
      </w:tr>
    </w:tbl>
    <w:p>
      <w:pPr>
        <w:rPr>
          <w:lang w:val="en-US"/>
        </w:rPr>
      </w:pPr>
      <w:r>
        <w:rPr>
          <w:lang w:val="en-US"/>
        </w:rPr>
        <w:br w:type="textWrapping"/>
      </w:r>
      <w:r>
        <w:rPr>
          <w:lang w:val="en-US"/>
        </w:rPr>
        <w:t>The draft CRs add references to clause 17.2 (which concerns HD-FDD procedures) in several clauses in 38.213.</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OK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We should add these references to complete the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hint="eastAsia" w:eastAsiaTheme="minorEastAsia"/>
                <w:lang w:val="en-US" w:eastAsia="zh-CN"/>
              </w:rPr>
            </w:pPr>
            <w:r>
              <w:rPr>
                <w:rFonts w:eastAsiaTheme="minorEastAsia"/>
                <w:lang w:val="en-US" w:eastAsia="zh-CN"/>
              </w:rPr>
              <w:t>H</w:t>
            </w:r>
          </w:p>
        </w:tc>
        <w:tc>
          <w:tcPr>
            <w:tcW w:w="6780" w:type="dxa"/>
          </w:tcPr>
          <w:p>
            <w:pPr>
              <w:jc w:val="left"/>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M or L</w:t>
            </w:r>
          </w:p>
        </w:tc>
        <w:tc>
          <w:tcPr>
            <w:tcW w:w="6780" w:type="dxa"/>
            <w:vAlign w:val="top"/>
          </w:tcPr>
          <w:p>
            <w:pPr>
              <w:jc w:val="left"/>
              <w:rPr>
                <w:rFonts w:hint="eastAsia" w:eastAsiaTheme="minorEastAsia"/>
                <w:lang w:val="en-US" w:eastAsia="zh-CN"/>
              </w:rPr>
            </w:pPr>
            <w:r>
              <w:rPr>
                <w:rFonts w:hint="eastAsia" w:eastAsiaTheme="minorEastAsia"/>
                <w:lang w:val="en-US" w:eastAsia="zh-CN"/>
              </w:rPr>
              <w:t>I guess it also works if no correction.</w:t>
            </w:r>
          </w:p>
          <w:p>
            <w:pPr>
              <w:jc w:val="left"/>
              <w:rPr>
                <w:rFonts w:hint="eastAsia" w:ascii="Times New Roman" w:hAnsi="Times New Roman" w:cs="Times New Roman" w:eastAsiaTheme="minorEastAsia"/>
                <w:lang w:val="en-US" w:eastAsia="zh-CN" w:bidi="ar-SA"/>
              </w:rPr>
            </w:pPr>
            <w:r>
              <w:drawing>
                <wp:inline distT="0" distB="0" distL="114300" distR="114300">
                  <wp:extent cx="4156710" cy="918210"/>
                  <wp:effectExtent l="0" t="0" r="8890" b="889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6"/>
                          <a:stretch>
                            <a:fillRect/>
                          </a:stretch>
                        </pic:blipFill>
                        <pic:spPr>
                          <a:xfrm>
                            <a:off x="0" y="0"/>
                            <a:ext cx="4156710" cy="918210"/>
                          </a:xfrm>
                          <a:prstGeom prst="rect">
                            <a:avLst/>
                          </a:prstGeom>
                          <a:noFill/>
                          <a:ln>
                            <a:noFill/>
                          </a:ln>
                        </pic:spPr>
                      </pic:pic>
                    </a:graphicData>
                  </a:graphic>
                </wp:inline>
              </w:drawing>
            </w:r>
          </w:p>
        </w:tc>
      </w:tr>
    </w:tbl>
    <w:p>
      <w:pPr>
        <w:rPr>
          <w:szCs w:val="22"/>
          <w:lang w:val="en-US"/>
        </w:rPr>
      </w:pPr>
    </w:p>
    <w:p>
      <w:pPr>
        <w:pStyle w:val="2"/>
        <w:numPr>
          <w:ilvl w:val="0"/>
          <w:numId w:val="0"/>
        </w:numPr>
        <w:ind w:left="1134" w:hanging="1134"/>
        <w:rPr>
          <w:lang w:val="en-US"/>
        </w:rPr>
      </w:pPr>
      <w:r>
        <w:rPr>
          <w:lang w:val="en-US"/>
        </w:rPr>
        <w:t>Issue #3: Initial DL BWP configuration</w:t>
      </w:r>
    </w:p>
    <w:p>
      <w:pPr>
        <w:rPr>
          <w:lang w:val="en-US"/>
        </w:rPr>
      </w:pPr>
      <w:r>
        <w:rPr>
          <w:lang w:val="en-US"/>
        </w:rPr>
        <w:t>The following contribution concerns initial DL BWP configuration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r>
              <w:rPr>
                <w:rStyle w:val="40"/>
                <w:color w:val="0000FF"/>
              </w:rPr>
              <w:br w:type="textWrapping"/>
            </w:r>
            <w:r>
              <w:t>(Section 2)</w:t>
            </w:r>
          </w:p>
        </w:tc>
        <w:tc>
          <w:tcPr>
            <w:tcW w:w="4920" w:type="dxa"/>
            <w:tcMar>
              <w:top w:w="0" w:type="dxa"/>
              <w:left w:w="70" w:type="dxa"/>
              <w:bottom w:w="0" w:type="dxa"/>
              <w:right w:w="70" w:type="dxa"/>
            </w:tcMar>
          </w:tcPr>
          <w:p>
            <w:pPr>
              <w:jc w:val="left"/>
            </w:pPr>
            <w:r>
              <w:t>Remaining Issues on UE Complexity Reduction</w:t>
            </w:r>
          </w:p>
        </w:tc>
        <w:tc>
          <w:tcPr>
            <w:tcW w:w="2550" w:type="dxa"/>
            <w:tcMar>
              <w:top w:w="0" w:type="dxa"/>
              <w:left w:w="70" w:type="dxa"/>
              <w:bottom w:w="0" w:type="dxa"/>
              <w:right w:w="70" w:type="dxa"/>
            </w:tcMar>
          </w:tcPr>
          <w:p>
            <w:pPr>
              <w:jc w:val="left"/>
              <w:rPr>
                <w:lang w:val="en-US"/>
              </w:rPr>
            </w:pPr>
            <w:r>
              <w:t>Qualcomm Incorporated</w:t>
            </w:r>
          </w:p>
        </w:tc>
      </w:tr>
    </w:tbl>
    <w:p>
      <w:pPr>
        <w:rPr>
          <w:lang w:val="en-US"/>
        </w:rPr>
      </w:pPr>
      <w:r>
        <w:rPr>
          <w:lang w:val="en-US"/>
        </w:rPr>
        <w:br w:type="textWrapping"/>
      </w:r>
      <w:r>
        <w:rPr>
          <w:lang w:val="en-US"/>
        </w:rPr>
        <w:t>The contribution proposes to revisit a RAN2 agreement which may conflict with RAN1 agreement and specification.</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a different understanding for following RAN1 specification. </w:t>
            </w:r>
          </w:p>
          <w:p>
            <w:pPr>
              <w:jc w:val="left"/>
              <w:rPr>
                <w:rFonts w:eastAsiaTheme="minorEastAsia"/>
                <w:lang w:val="sv-SE" w:eastAsia="zh-CN"/>
              </w:rPr>
            </w:pPr>
            <w:r>
              <w:rPr>
                <w:rFonts w:hint="eastAsia" w:eastAsiaTheme="minorEastAsia"/>
                <w:lang w:val="sv-SE" w:eastAsia="zh-CN"/>
              </w:rPr>
              <w:t>“</w:t>
            </w:r>
            <w:r>
              <w:rPr>
                <w:rFonts w:eastAsiaTheme="minorEastAsia"/>
                <w:lang w:val="sv-SE" w:eastAsia="zh-CN"/>
              </w:rPr>
              <w:t>For an initial DL BWP provided by initialDownlinkBWP-RedCap in DownlinkConfigCommonSIB, if a UE in RRC_IDLE state or in RRC_INACTIVE state monitors PDCCH according to Type1-PDCCH CSS set and does not monitor PDCCH according to Type2-PDCCH CSS set, the UE does not expect the initial DL BWP to include SS/PBCH blocks and the CORESET with index 0.”</w:t>
            </w:r>
          </w:p>
          <w:p>
            <w:pPr>
              <w:jc w:val="left"/>
              <w:rPr>
                <w:rFonts w:eastAsiaTheme="minorEastAsia"/>
                <w:lang w:val="sv-SE" w:eastAsia="zh-CN"/>
              </w:rPr>
            </w:pPr>
            <w:r>
              <w:rPr>
                <w:rFonts w:hint="eastAsia" w:eastAsiaTheme="minorEastAsia"/>
                <w:lang w:val="sv-SE" w:eastAsia="zh-CN"/>
              </w:rPr>
              <w:t>A</w:t>
            </w:r>
            <w:r>
              <w:rPr>
                <w:rFonts w:eastAsiaTheme="minorEastAsia"/>
                <w:lang w:val="sv-SE" w:eastAsia="zh-CN"/>
              </w:rPr>
              <w:t xml:space="preserve">bove specification just specifies that when RedCap UE </w:t>
            </w:r>
            <w:r>
              <w:rPr>
                <w:rFonts w:eastAsiaTheme="minorEastAsia"/>
                <w:highlight w:val="yellow"/>
                <w:lang w:val="sv-SE" w:eastAsia="zh-CN"/>
              </w:rPr>
              <w:t>does not monitor Type2-PDCCH CSS set</w:t>
            </w:r>
            <w:r>
              <w:rPr>
                <w:rFonts w:eastAsiaTheme="minorEastAsia"/>
                <w:lang w:val="sv-SE" w:eastAsia="zh-CN"/>
              </w:rPr>
              <w:t xml:space="preserve">, the UE </w:t>
            </w:r>
            <w:r>
              <w:rPr>
                <w:rFonts w:eastAsiaTheme="minorEastAsia"/>
                <w:highlight w:val="yellow"/>
                <w:lang w:val="sv-SE" w:eastAsia="zh-CN"/>
              </w:rPr>
              <w:t>does not expect the initial DL BWP to include SS/PBCH blocks + CORESET with index 0.</w:t>
            </w:r>
            <w:r>
              <w:rPr>
                <w:rFonts w:eastAsiaTheme="minorEastAsia"/>
                <w:lang w:val="sv-SE" w:eastAsia="zh-CN"/>
              </w:rPr>
              <w:t xml:space="preserve"> But it cannot be interpreted that when RedCap UE</w:t>
            </w:r>
            <w:r>
              <w:rPr>
                <w:rFonts w:eastAsiaTheme="minorEastAsia"/>
                <w:highlight w:val="yellow"/>
                <w:lang w:val="sv-SE" w:eastAsia="zh-CN"/>
              </w:rPr>
              <w:t xml:space="preserve"> monitors Type2-PDCCH CSS set</w:t>
            </w:r>
            <w:r>
              <w:rPr>
                <w:rFonts w:eastAsiaTheme="minorEastAsia"/>
                <w:lang w:val="sv-SE" w:eastAsia="zh-CN"/>
              </w:rPr>
              <w:t xml:space="preserve">, the </w:t>
            </w:r>
            <w:r>
              <w:rPr>
                <w:rFonts w:eastAsiaTheme="minorEastAsia"/>
                <w:highlight w:val="yellow"/>
                <w:lang w:val="sv-SE" w:eastAsia="zh-CN"/>
              </w:rPr>
              <w:t>the initial DL BWP shall include SS/PBCH blocks + CORESET with index 0.</w:t>
            </w:r>
            <w:r>
              <w:rPr>
                <w:rFonts w:eastAsiaTheme="minorEastAsia"/>
                <w:lang w:val="sv-SE" w:eastAsia="zh-CN"/>
              </w:rPr>
              <w:t xml:space="preserve"> From our undersatnding, when RedCap monitors Type2-PDCCH CSS set, the initial DL BWP shall include SS/PBCH blocks, not necessrily include CORESET#0. For leagcy UE, the Type 2 PDCCH CSS set does not need to always associated with CORESET#0, SIB1 can configure another common CORESET for Type 2 PDCCH CSS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pPr>
              <w:numPr>
                <w:ilvl w:val="0"/>
                <w:numId w:val="17"/>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pPr>
              <w:jc w:val="left"/>
              <w:rPr>
                <w:rFonts w:eastAsiaTheme="minorEastAsia"/>
                <w:lang w:eastAsia="zh-CN"/>
              </w:rPr>
            </w:pPr>
          </w:p>
          <w:p>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hint="eastAsia" w:eastAsiaTheme="minorEastAsia"/>
                <w:lang w:val="en-US" w:eastAsia="zh-CN"/>
              </w:rPr>
            </w:pPr>
            <w:r>
              <w:rPr>
                <w:rFonts w:hint="eastAsia" w:eastAsiaTheme="minorEastAsia"/>
                <w:lang w:val="en-US" w:eastAsia="zh-CN"/>
              </w:rPr>
              <w:t>H</w:t>
            </w:r>
            <w:r>
              <w:rPr>
                <w:rFonts w:eastAsiaTheme="minorEastAsia"/>
                <w:lang w:val="en-US" w:eastAsia="zh-CN"/>
              </w:rPr>
              <w:t xml:space="preserve"> (potential duplication and/or conflicting for RAN1/RAN2 spec)</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p>
        </w:tc>
        <w:tc>
          <w:tcPr>
            <w:tcW w:w="6780" w:type="dxa"/>
            <w:vAlign w:val="top"/>
          </w:tcPr>
          <w:p>
            <w:pPr>
              <w:jc w:val="left"/>
              <w:rPr>
                <w:rFonts w:hint="eastAsia" w:eastAsiaTheme="minorEastAsia"/>
                <w:lang w:val="en-US" w:eastAsia="zh-CN"/>
              </w:rPr>
            </w:pPr>
            <w:r>
              <w:rPr>
                <w:rFonts w:hint="eastAsia" w:eastAsiaTheme="minorEastAsia"/>
                <w:lang w:val="en-US" w:eastAsia="zh-CN"/>
              </w:rPr>
              <w:t>No spec conflict is observed, even when separate paging CSS is configured, since NW will guarantee that it is configured in the BWP with CD-SSB and CORESET#0.</w:t>
            </w:r>
          </w:p>
          <w:p>
            <w:pPr>
              <w:jc w:val="left"/>
              <w:rPr>
                <w:rFonts w:hint="default" w:eastAsiaTheme="minorEastAsia"/>
                <w:lang w:val="en-US" w:eastAsia="zh-CN"/>
              </w:rPr>
            </w:pPr>
            <w:r>
              <w:rPr>
                <w:rFonts w:hint="eastAsia" w:eastAsiaTheme="minorEastAsia"/>
                <w:lang w:val="en-US" w:eastAsia="zh-CN"/>
              </w:rPr>
              <w:t>If the motivation for sending the LS is clear, we would be open to discuss. Hope more necessity is presented.</w:t>
            </w:r>
          </w:p>
        </w:tc>
      </w:tr>
    </w:tbl>
    <w:p>
      <w:pPr>
        <w:rPr>
          <w:szCs w:val="22"/>
          <w:lang w:val="en-US"/>
        </w:rPr>
      </w:pPr>
    </w:p>
    <w:p>
      <w:pPr>
        <w:pStyle w:val="2"/>
        <w:numPr>
          <w:ilvl w:val="0"/>
          <w:numId w:val="0"/>
        </w:numPr>
        <w:ind w:left="1134" w:hanging="1134"/>
        <w:rPr>
          <w:lang w:val="en-US"/>
        </w:rPr>
      </w:pPr>
      <w:r>
        <w:rPr>
          <w:lang w:val="en-US"/>
        </w:rPr>
        <w:t>Issue #4: Separate CSS configuration</w:t>
      </w:r>
    </w:p>
    <w:p>
      <w:pPr>
        <w:rPr>
          <w:lang w:val="en-US"/>
        </w:rPr>
      </w:pPr>
      <w:r>
        <w:rPr>
          <w:lang w:val="en-US"/>
        </w:rPr>
        <w:t>The following contribution concerns separate CSS configuration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r>
              <w:rPr>
                <w:rStyle w:val="40"/>
                <w:color w:val="0000FF"/>
              </w:rPr>
              <w:br w:type="textWrapping"/>
            </w:r>
            <w:r>
              <w:t>(Section 3)</w:t>
            </w:r>
          </w:p>
        </w:tc>
        <w:tc>
          <w:tcPr>
            <w:tcW w:w="4920" w:type="dxa"/>
            <w:tcMar>
              <w:top w:w="0" w:type="dxa"/>
              <w:left w:w="70" w:type="dxa"/>
              <w:bottom w:w="0" w:type="dxa"/>
              <w:right w:w="70" w:type="dxa"/>
            </w:tcMar>
          </w:tcPr>
          <w:p>
            <w:pPr>
              <w:jc w:val="left"/>
            </w:pPr>
            <w:r>
              <w:t>Remaining Issues on UE Complexity Reduction</w:t>
            </w:r>
          </w:p>
        </w:tc>
        <w:tc>
          <w:tcPr>
            <w:tcW w:w="2550" w:type="dxa"/>
            <w:tcMar>
              <w:top w:w="0" w:type="dxa"/>
              <w:left w:w="70" w:type="dxa"/>
              <w:bottom w:w="0" w:type="dxa"/>
              <w:right w:w="70" w:type="dxa"/>
            </w:tcMar>
          </w:tcPr>
          <w:p>
            <w:pPr>
              <w:jc w:val="left"/>
              <w:rPr>
                <w:lang w:val="en-US"/>
              </w:rPr>
            </w:pPr>
            <w:r>
              <w:t>Qualcomm Incorporated</w:t>
            </w:r>
          </w:p>
        </w:tc>
      </w:tr>
    </w:tbl>
    <w:p>
      <w:pPr>
        <w:rPr>
          <w:lang w:val="en-US"/>
        </w:rPr>
      </w:pPr>
      <w:r>
        <w:rPr>
          <w:lang w:val="en-US"/>
        </w:rPr>
        <w:br w:type="textWrapping"/>
      </w:r>
      <w:r>
        <w:rPr>
          <w:lang w:val="en-US"/>
        </w:rPr>
        <w:t>The contribution proposes to specify rules to ensure consistent CSS configuration for RedCap and non-RedCap UEs.</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pPr>
              <w:pStyle w:val="50"/>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pPr>
              <w:pStyle w:val="50"/>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pPr>
              <w:pStyle w:val="50"/>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pPr>
              <w:pStyle w:val="50"/>
              <w:numPr>
                <w:ilvl w:val="0"/>
                <w:numId w:val="17"/>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t>M</w:t>
            </w:r>
          </w:p>
        </w:tc>
        <w:tc>
          <w:tcPr>
            <w:tcW w:w="6780" w:type="dxa"/>
          </w:tcPr>
          <w:p>
            <w:pPr>
              <w:jc w:val="left"/>
              <w:rPr>
                <w:rFonts w:eastAsiaTheme="minorEastAsia"/>
                <w:lang w:val="en-US" w:eastAsia="zh-CN"/>
              </w:rPr>
            </w:pPr>
            <w:r>
              <w:t>We are OK to discuss. We have marked as M, as with initially see this more as an optimization/restriction.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pPr>
          </w:p>
        </w:tc>
        <w:tc>
          <w:tcPr>
            <w:tcW w:w="6780" w:type="dxa"/>
          </w:tcPr>
          <w:p>
            <w:pPr>
              <w:jc w:val="left"/>
            </w:pPr>
            <w:r>
              <w:rPr>
                <w:rFonts w:hint="eastAsia" w:eastAsiaTheme="minorEastAsia"/>
                <w:lang w:val="en-US" w:eastAsia="zh-CN"/>
              </w:rPr>
              <w:t>We think current spec supports what the contribution is proposing, and probably a natural choice from NW</w:t>
            </w:r>
            <w:r>
              <w:rPr>
                <w:rFonts w:eastAsiaTheme="minorEastAsia"/>
                <w:lang w:val="en-US" w:eastAsia="zh-CN"/>
              </w:rPr>
              <w:t>’</w:t>
            </w:r>
            <w:r>
              <w:rPr>
                <w:rFonts w:hint="eastAsia" w:eastAsiaTheme="minorEastAsia"/>
                <w:lang w:val="en-US" w:eastAsia="zh-CN"/>
              </w:rPr>
              <w:t xml:space="preserve">s view. Additional restriction seems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pPr>
            <w:r>
              <w:rPr>
                <w:rFonts w:eastAsiaTheme="minorEastAsia"/>
                <w:lang w:val="en-US" w:eastAsia="zh-CN"/>
              </w:rPr>
              <w:t>Y (</w:t>
            </w:r>
            <w:r>
              <w:rPr>
                <w:rFonts w:hint="eastAsia" w:eastAsiaTheme="minorEastAsia"/>
                <w:lang w:val="en-US" w:eastAsia="zh-CN"/>
              </w:rPr>
              <w:t>C</w:t>
            </w:r>
            <w:r>
              <w:rPr>
                <w:rFonts w:eastAsiaTheme="minorEastAsia"/>
                <w:lang w:val="en-US" w:eastAsia="zh-CN"/>
              </w:rPr>
              <w:t>ombined to Issue #3)</w:t>
            </w:r>
          </w:p>
        </w:tc>
        <w:tc>
          <w:tcPr>
            <w:tcW w:w="6780" w:type="dxa"/>
          </w:tcPr>
          <w:p>
            <w:pPr>
              <w:jc w:val="left"/>
              <w:rPr>
                <w:rFonts w:hint="eastAsia" w:eastAsiaTheme="minorEastAsia"/>
                <w:lang w:val="en-US" w:eastAsia="zh-CN"/>
              </w:rPr>
            </w:pPr>
            <w:r>
              <w:rPr>
                <w:rFonts w:hint="eastAsia" w:eastAsiaTheme="minor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L</w:t>
            </w:r>
          </w:p>
        </w:tc>
        <w:tc>
          <w:tcPr>
            <w:tcW w:w="6780"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For the UE, separate configuration or shard configuration shows no difference. For the gNB, separate CSS, e.g., for paging, also has some benefits of offloading in some cases. We don</w:t>
            </w:r>
            <w:r>
              <w:rPr>
                <w:rFonts w:hint="default" w:eastAsiaTheme="minorEastAsia"/>
                <w:lang w:val="en-US" w:eastAsia="zh-CN"/>
              </w:rPr>
              <w:t>’</w:t>
            </w:r>
            <w:r>
              <w:rPr>
                <w:rFonts w:hint="eastAsia" w:eastAsiaTheme="minorEastAsia"/>
                <w:lang w:val="en-US" w:eastAsia="zh-CN"/>
              </w:rPr>
              <w:t>t see the necessity to revert RAN2</w:t>
            </w:r>
            <w:r>
              <w:rPr>
                <w:rFonts w:hint="default" w:eastAsiaTheme="minorEastAsia"/>
                <w:lang w:val="en-US" w:eastAsia="zh-CN"/>
              </w:rPr>
              <w:t>’</w:t>
            </w:r>
            <w:r>
              <w:rPr>
                <w:rFonts w:hint="eastAsia" w:eastAsiaTheme="minorEastAsia"/>
                <w:lang w:val="en-US" w:eastAsia="zh-CN"/>
              </w:rPr>
              <w:t>s conclusion.</w:t>
            </w:r>
          </w:p>
        </w:tc>
      </w:tr>
    </w:tbl>
    <w:p>
      <w:pPr>
        <w:rPr>
          <w:szCs w:val="22"/>
          <w:lang w:val="en-US"/>
        </w:rPr>
      </w:pPr>
    </w:p>
    <w:p>
      <w:pPr>
        <w:pStyle w:val="2"/>
        <w:numPr>
          <w:ilvl w:val="0"/>
          <w:numId w:val="0"/>
        </w:numPr>
        <w:ind w:left="1134" w:hanging="1134"/>
        <w:rPr>
          <w:lang w:val="en-US"/>
        </w:rPr>
      </w:pPr>
      <w:r>
        <w:rPr>
          <w:lang w:val="en-US"/>
        </w:rPr>
        <w:t>Issue #5: PRACH/PUSCH occasion validation</w:t>
      </w:r>
    </w:p>
    <w:p>
      <w:pPr>
        <w:rPr>
          <w:lang w:val="en-US"/>
        </w:rPr>
      </w:pPr>
      <w:r>
        <w:rPr>
          <w:lang w:val="en-US"/>
        </w:rPr>
        <w:t>The following contributions concern PRACH/PUSCH occasion validation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"https://www.3gpp.org/ftp/TSG_RAN/WG1_RL1/TSGR1_112/Docs/R1-2301781.zip" </w:instrText>
            </w:r>
            <w:r>
              <w:fldChar w:fldCharType="separate"/>
            </w:r>
            <w:r>
              <w:rPr>
                <w:rStyle w:val="40"/>
                <w:color w:val="0000FF"/>
              </w:rPr>
              <w:t>R1-2301781</w:t>
            </w:r>
            <w:r>
              <w:rPr>
                <w:rStyle w:val="40"/>
                <w:color w:val="0000FF"/>
              </w:rPr>
              <w:fldChar w:fldCharType="end"/>
            </w:r>
            <w:r>
              <w:rPr>
                <w:rStyle w:val="40"/>
                <w:color w:val="0000FF"/>
              </w:rPr>
              <w:br w:type="textWrapping"/>
            </w:r>
            <w:r>
              <w:t>(Section 3)</w:t>
            </w:r>
          </w:p>
        </w:tc>
        <w:tc>
          <w:tcPr>
            <w:tcW w:w="4920" w:type="dxa"/>
            <w:tcMar>
              <w:top w:w="0" w:type="dxa"/>
              <w:left w:w="70" w:type="dxa"/>
              <w:bottom w:w="0" w:type="dxa"/>
              <w:right w:w="70" w:type="dxa"/>
            </w:tcMar>
          </w:tcPr>
          <w:p>
            <w:pPr>
              <w:jc w:val="left"/>
            </w:pPr>
            <w:r>
              <w:t xml:space="preserve">On RedCap remaining issues (revision of </w:t>
            </w:r>
            <w:r>
              <w:fldChar w:fldCharType="begin"/>
            </w:r>
            <w:r>
              <w:instrText xml:space="preserve"> HYPERLINK "https://www.3gpp.org/ftp/TSG_RAN/WG1_RL1/TSGR1_112/Docs/R1-2301606.zip" </w:instrText>
            </w:r>
            <w:r>
              <w:fldChar w:fldCharType="separate"/>
            </w:r>
            <w:r>
              <w:rPr>
                <w:rStyle w:val="40"/>
                <w:color w:val="0000FF"/>
              </w:rPr>
              <w:t>R1-2301606</w:t>
            </w:r>
            <w:r>
              <w:rPr>
                <w:rStyle w:val="40"/>
                <w:color w:val="0000FF"/>
              </w:rPr>
              <w:fldChar w:fldCharType="end"/>
            </w:r>
            <w:r>
              <w:t>)</w:t>
            </w:r>
          </w:p>
        </w:tc>
        <w:tc>
          <w:tcPr>
            <w:tcW w:w="2550" w:type="dxa"/>
            <w:tcMar>
              <w:top w:w="0" w:type="dxa"/>
              <w:left w:w="70" w:type="dxa"/>
              <w:bottom w:w="0" w:type="dxa"/>
              <w:right w:w="70" w:type="dxa"/>
            </w:tcMar>
          </w:tcPr>
          <w:p>
            <w:pPr>
              <w:jc w:val="left"/>
              <w:rPr>
                <w:lang w:val="en-US"/>
              </w:rPr>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"https://www.3gpp.org/ftp/TSG_RAN/WG1_RL1/TSGR1_112/Docs/R1-2301782.zip" </w:instrText>
            </w:r>
            <w:r>
              <w:fldChar w:fldCharType="separate"/>
            </w:r>
            <w:r>
              <w:rPr>
                <w:rStyle w:val="40"/>
                <w:color w:val="0000FF"/>
              </w:rPr>
              <w:t>R1-2301782</w:t>
            </w:r>
            <w:r>
              <w:rPr>
                <w:rStyle w:val="40"/>
                <w:color w:val="0000FF"/>
              </w:rPr>
              <w:fldChar w:fldCharType="end"/>
            </w:r>
            <w:r>
              <w:rPr>
                <w:rStyle w:val="40"/>
                <w:color w:val="0000FF"/>
              </w:rPr>
              <w:br w:type="textWrapping"/>
            </w:r>
            <w:r>
              <w:t>(38.213 CR)</w:t>
            </w:r>
          </w:p>
        </w:tc>
        <w:tc>
          <w:tcPr>
            <w:tcW w:w="4920" w:type="dxa"/>
            <w:tcMar>
              <w:top w:w="0" w:type="dxa"/>
              <w:left w:w="70" w:type="dxa"/>
              <w:bottom w:w="0" w:type="dxa"/>
              <w:right w:w="70" w:type="dxa"/>
            </w:tcMar>
          </w:tcPr>
          <w:p>
            <w:pPr>
              <w:jc w:val="left"/>
            </w:pPr>
            <w:r>
              <w:t xml:space="preserve">Draft CR on validation of PRACH and PUSCH occasions with NCD-SSB (revision of </w:t>
            </w:r>
            <w:r>
              <w:fldChar w:fldCharType="begin"/>
            </w:r>
            <w:r>
              <w:instrText xml:space="preserve"> HYPERLINK "https://www.3gpp.org/ftp/TSG_RAN/WG1_RL1/TSGR1_112/Docs/R1-2301607.zip" </w:instrText>
            </w:r>
            <w:r>
              <w:fldChar w:fldCharType="separate"/>
            </w:r>
            <w:r>
              <w:rPr>
                <w:rStyle w:val="40"/>
                <w:color w:val="0000FF"/>
              </w:rPr>
              <w:t>R1-2301607</w:t>
            </w:r>
            <w:r>
              <w:rPr>
                <w:rStyle w:val="40"/>
                <w:color w:val="0000FF"/>
              </w:rPr>
              <w:fldChar w:fldCharType="end"/>
            </w:r>
            <w:r>
              <w:t>)</w:t>
            </w:r>
          </w:p>
        </w:tc>
        <w:tc>
          <w:tcPr>
            <w:tcW w:w="2550" w:type="dxa"/>
            <w:tcMar>
              <w:top w:w="0" w:type="dxa"/>
              <w:left w:w="70" w:type="dxa"/>
              <w:bottom w:w="0" w:type="dxa"/>
              <w:right w:w="70" w:type="dxa"/>
            </w:tcMar>
          </w:tcPr>
          <w:p>
            <w:pPr>
              <w:jc w:val="left"/>
            </w:pPr>
            <w:r>
              <w:t>MediaTek Inc.</w:t>
            </w:r>
          </w:p>
        </w:tc>
      </w:tr>
    </w:tbl>
    <w:p>
      <w:r>
        <w:rPr>
          <w:lang w:val="en-US"/>
        </w:rPr>
        <w:br w:type="textWrapping"/>
      </w:r>
      <w:r>
        <w:t>PRACH/PUSCH occasion validation was also discussed in the previous RAN1 meeting, see Issue #4 in the FLS in [3].</w:t>
      </w:r>
    </w:p>
    <w:p>
      <w:pPr>
        <w:rPr>
          <w:b/>
          <w:bCs/>
          <w:lang w:val="en-US"/>
        </w:rPr>
      </w:pPr>
      <w:r>
        <w:rPr>
          <w:b/>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r>
              <w:rPr>
                <w:rFonts w:eastAsiaTheme="minorEastAsia"/>
                <w:lang w:val="en-US" w:eastAsia="zh-CN"/>
              </w:rPr>
              <w:t xml:space="preserve"> or M</w:t>
            </w:r>
          </w:p>
        </w:tc>
        <w:tc>
          <w:tcPr>
            <w:tcW w:w="6780" w:type="dxa"/>
          </w:tcPr>
          <w:p>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pStyle w:val="50"/>
              <w:numPr>
                <w:ilvl w:val="0"/>
                <w:numId w:val="18"/>
              </w:numPr>
              <w:jc w:val="left"/>
              <w:rPr>
                <w:sz w:val="20"/>
                <w:szCs w:val="22"/>
              </w:rPr>
            </w:pPr>
            <w:r>
              <w:rPr>
                <w:rFonts w:eastAsiaTheme="minorEastAsia"/>
                <w:sz w:val="20"/>
                <w:szCs w:val="22"/>
                <w:lang w:val="en-US" w:eastAsia="zh-CN"/>
              </w:rPr>
              <w:t xml:space="preserve">If NCD-SSB is configured in the initial/non-initial DL BWP of RedCap UE on unpaired spectrum, </w:t>
            </w:r>
            <w:r>
              <w:rPr>
                <w:sz w:val="20"/>
                <w:szCs w:val="22"/>
              </w:rPr>
              <w:t>NCD-SSB should only fall in DL/flexible symbols. and do not fall in UL symbols of a TDD slot, which is similar to CD-SSB.</w:t>
            </w:r>
          </w:p>
          <w:p>
            <w:pPr>
              <w:pStyle w:val="50"/>
              <w:numPr>
                <w:ilvl w:val="0"/>
                <w:numId w:val="18"/>
              </w:numPr>
              <w:jc w:val="left"/>
              <w:rPr>
                <w:rFonts w:eastAsiaTheme="minorEastAsia"/>
                <w:lang w:val="en-US" w:eastAsia="zh-CN"/>
              </w:rPr>
            </w:pPr>
            <w:r>
              <w:rPr>
                <w:sz w:val="20"/>
                <w:szCs w:val="22"/>
              </w:rPr>
              <w:t xml:space="preserve">Based on current spec (Clause 17.1 of TS 38.213), </w:t>
            </w:r>
            <w:r>
              <w:rPr>
                <w:rFonts w:eastAsiaTheme="minorEastAsia"/>
                <w:sz w:val="20"/>
                <w:szCs w:val="22"/>
                <w:lang w:eastAsia="zh-CN"/>
              </w:rPr>
              <w:t>a</w:t>
            </w:r>
            <w:r>
              <w:rPr>
                <w:rFonts w:eastAsiaTheme="minorEastAsia"/>
                <w:sz w:val="20"/>
                <w:szCs w:val="22"/>
                <w:lang w:val="en-US" w:eastAsia="zh-CN"/>
              </w:rPr>
              <w:t xml:space="preserve"> RedCap UE should use both CD-SSB and NCD-SSB for RO validation on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t>Low</w:t>
            </w:r>
          </w:p>
        </w:tc>
        <w:tc>
          <w:tcPr>
            <w:tcW w:w="6780" w:type="dxa"/>
          </w:tcPr>
          <w:p>
            <w:pPr>
              <w:jc w:val="left"/>
              <w:rPr>
                <w:rFonts w:eastAsiaTheme="minorEastAsia"/>
                <w:lang w:val="en-US" w:eastAsia="zh-CN"/>
              </w:rPr>
            </w:pPr>
            <w:r>
              <w:t xml:space="preserve">Similar view as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pPr>
            <w:r>
              <w:rPr>
                <w:rFonts w:hint="eastAsia" w:eastAsiaTheme="minorEastAsia"/>
                <w:lang w:val="en-US" w:eastAsia="zh-CN"/>
              </w:rPr>
              <w:t>L</w:t>
            </w:r>
          </w:p>
        </w:tc>
        <w:tc>
          <w:tcPr>
            <w:tcW w:w="6780" w:type="dxa"/>
          </w:tcPr>
          <w:p>
            <w:pPr>
              <w:jc w:val="left"/>
            </w:pPr>
            <w:r>
              <w:rPr>
                <w:rFonts w:hint="eastAsia" w:eastAsiaTheme="minorEastAsia"/>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hint="eastAsia" w:eastAsiaTheme="minorEastAsia"/>
                <w:lang w:val="en-US" w:eastAsia="zh-CN"/>
              </w:rPr>
            </w:pPr>
            <w:r>
              <w:rPr>
                <w:rFonts w:hint="eastAsia" w:eastAsiaTheme="minorEastAsia"/>
                <w:lang w:val="en-US" w:eastAsia="zh-CN"/>
              </w:rPr>
              <w:t>L</w:t>
            </w:r>
          </w:p>
        </w:tc>
        <w:tc>
          <w:tcPr>
            <w:tcW w:w="6780" w:type="dxa"/>
          </w:tcPr>
          <w:p>
            <w:pPr>
              <w:jc w:val="left"/>
              <w:rPr>
                <w:rFonts w:hint="eastAsia" w:eastAsiaTheme="minorEastAsia"/>
                <w:lang w:val="en-US" w:eastAsia="zh-CN"/>
              </w:rPr>
            </w:pPr>
            <w:r>
              <w:rPr>
                <w:rFonts w:eastAsiaTheme="minorEastAsia"/>
                <w:lang w:val="en-US" w:eastAsia="zh-CN"/>
              </w:rPr>
              <w:t>Pending after SDT issues are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M</w:t>
            </w: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We are OK to discuss this issue. If no correction is needed, we can have a conclusion.</w:t>
            </w:r>
          </w:p>
        </w:tc>
      </w:tr>
    </w:tbl>
    <w:p>
      <w:pPr>
        <w:rPr>
          <w:szCs w:val="22"/>
          <w:lang w:val="en-US"/>
        </w:rPr>
      </w:pPr>
    </w:p>
    <w:p>
      <w:pPr>
        <w:pStyle w:val="2"/>
        <w:numPr>
          <w:ilvl w:val="0"/>
          <w:numId w:val="0"/>
        </w:numPr>
        <w:ind w:left="1134" w:hanging="1134"/>
        <w:rPr>
          <w:lang w:val="en-US"/>
        </w:rPr>
      </w:pPr>
      <w:r>
        <w:rPr>
          <w:lang w:val="en-US"/>
        </w:rPr>
        <w:t>Issue #6: PUSCH TDRA misalignment</w:t>
      </w:r>
    </w:p>
    <w:p>
      <w:pPr>
        <w:rPr>
          <w:lang w:val="en-US"/>
        </w:rPr>
      </w:pPr>
      <w:r>
        <w:rPr>
          <w:lang w:val="en-US"/>
        </w:rPr>
        <w:t>The following contributions concern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[8]</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"https://www.3gpp.org/ftp/TSG_RAN/WG1_RL1/TSGR1_112/Docs/R1-2300367.zip" </w:instrText>
            </w:r>
            <w:r>
              <w:fldChar w:fldCharType="separate"/>
            </w:r>
            <w:r>
              <w:rPr>
                <w:rStyle w:val="40"/>
                <w:color w:val="0000FF"/>
              </w:rPr>
              <w:t>R1-2300367</w:t>
            </w:r>
            <w:r>
              <w:rPr>
                <w:rStyle w:val="40"/>
                <w:color w:val="0000FF"/>
              </w:rPr>
              <w:fldChar w:fldCharType="end"/>
            </w:r>
            <w:r>
              <w:rPr>
                <w:rStyle w:val="40"/>
                <w:color w:val="0000FF"/>
              </w:rPr>
              <w:br w:type="textWrapping"/>
            </w:r>
            <w:r>
              <w:t>(Section 2.2)</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"https://www.3gpp.org/ftp/TSG_RAN/WG1_RL1/TSGR1_112/Docs/R1-2300368.zip" </w:instrText>
            </w:r>
            <w:r>
              <w:fldChar w:fldCharType="separate"/>
            </w:r>
            <w:r>
              <w:rPr>
                <w:rStyle w:val="40"/>
                <w:color w:val="0000FF"/>
              </w:rPr>
              <w:t>R1-2300368</w:t>
            </w:r>
            <w:r>
              <w:rPr>
                <w:rStyle w:val="40"/>
                <w:color w:val="0000FF"/>
              </w:rPr>
              <w:fldChar w:fldCharType="end"/>
            </w:r>
            <w:r>
              <w:rPr>
                <w:rStyle w:val="40"/>
                <w:color w:val="0000FF"/>
              </w:rPr>
              <w:br w:type="textWrapping"/>
            </w:r>
            <w:r>
              <w:t>(38.214 CR)</w:t>
            </w:r>
          </w:p>
        </w:tc>
        <w:tc>
          <w:tcPr>
            <w:tcW w:w="4920" w:type="dxa"/>
            <w:tcMar>
              <w:top w:w="0" w:type="dxa"/>
              <w:left w:w="70" w:type="dxa"/>
              <w:bottom w:w="0" w:type="dxa"/>
              <w:right w:w="70" w:type="dxa"/>
            </w:tcMar>
          </w:tcPr>
          <w:p>
            <w:pPr>
              <w:jc w:val="left"/>
            </w:pPr>
            <w:r>
              <w:t>Correction on TDRA misalignment of PUSCH for RedCap</w:t>
            </w:r>
          </w:p>
        </w:tc>
        <w:tc>
          <w:tcPr>
            <w:tcW w:w="2550" w:type="dxa"/>
            <w:tcMar>
              <w:top w:w="0" w:type="dxa"/>
              <w:left w:w="70" w:type="dxa"/>
              <w:bottom w:w="0" w:type="dxa"/>
              <w:right w:w="70" w:type="dxa"/>
            </w:tcMar>
          </w:tcPr>
          <w:p>
            <w:pPr>
              <w:jc w:val="left"/>
            </w:pPr>
            <w:r>
              <w:t>ZTE, Sanechips</w:t>
            </w:r>
          </w:p>
        </w:tc>
      </w:tr>
    </w:tbl>
    <w:p>
      <w:r>
        <w:br w:type="textWrapping"/>
      </w:r>
      <w:r>
        <w:t>PUSCH TDRA misalignment was also discussed in the previous RAN1 meeting, see Issue #3 in the FLS in [3].</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ot needed. It can be handled by gNB implementation/proper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OK to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 xml:space="preserve">This issue may be valid, but we are not sure it is essential since many gNB implementation methods can address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hint="eastAsia" w:eastAsiaTheme="minorEastAsia"/>
                <w:lang w:val="en-US" w:eastAsia="zh-CN"/>
              </w:rPr>
            </w:pPr>
            <w:r>
              <w:rPr>
                <w:rFonts w:hint="eastAsia" w:eastAsiaTheme="minorEastAsia"/>
                <w:lang w:val="en-US" w:eastAsia="zh-CN"/>
              </w:rPr>
              <w:t>M</w:t>
            </w:r>
          </w:p>
        </w:tc>
        <w:tc>
          <w:tcPr>
            <w:tcW w:w="6780" w:type="dxa"/>
          </w:tcPr>
          <w:p>
            <w:pPr>
              <w:jc w:val="left"/>
              <w:rPr>
                <w:rFonts w:hint="eastAsia" w:eastAsiaTheme="minorEastAsia"/>
                <w:lang w:val="en-US" w:eastAsia="zh-CN"/>
              </w:rPr>
            </w:pPr>
            <w:r>
              <w:rPr>
                <w:rFonts w:hint="eastAsia" w:eastAsiaTheme="minor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H</w:t>
            </w:r>
          </w:p>
        </w:tc>
        <w:tc>
          <w:tcPr>
            <w:tcW w:w="6780"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This issue is better to be addressed before widely deployed, since it would limit the gNB configuration for PUSCH if it is left to gNB implementation and finally cause the lower system efficiency.</w:t>
            </w:r>
          </w:p>
        </w:tc>
      </w:tr>
    </w:tbl>
    <w:p>
      <w:pPr>
        <w:rPr>
          <w:szCs w:val="22"/>
          <w:lang w:val="en-US"/>
        </w:rPr>
      </w:pPr>
    </w:p>
    <w:p>
      <w:pPr>
        <w:pStyle w:val="2"/>
        <w:numPr>
          <w:ilvl w:val="0"/>
          <w:numId w:val="0"/>
        </w:numPr>
        <w:ind w:left="1134" w:hanging="1134"/>
        <w:rPr>
          <w:lang w:val="en-US"/>
        </w:rPr>
      </w:pPr>
      <w:r>
        <w:rPr>
          <w:lang w:val="en-US"/>
        </w:rPr>
        <w:t>Issue #7: PUSCH repetition type B</w:t>
      </w:r>
    </w:p>
    <w:p>
      <w:pPr>
        <w:rPr>
          <w:lang w:val="en-US"/>
        </w:rPr>
      </w:pPr>
      <w:r>
        <w:rPr>
          <w:lang w:val="en-US"/>
        </w:rPr>
        <w:t>The following contribution concern PUSCH repetition type 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"https://www.3gpp.org/ftp/TSG_RAN/WG1_RL1/TSGR1_112/Docs/R1-2301542.zip" </w:instrText>
            </w:r>
            <w:r>
              <w:fldChar w:fldCharType="separate"/>
            </w:r>
            <w:r>
              <w:rPr>
                <w:rStyle w:val="40"/>
                <w:color w:val="0000FF"/>
              </w:rPr>
              <w:t>R1-2301542</w:t>
            </w:r>
            <w:r>
              <w:rPr>
                <w:rStyle w:val="40"/>
                <w:color w:val="0000FF"/>
              </w:rPr>
              <w:fldChar w:fldCharType="end"/>
            </w:r>
            <w:r>
              <w:rPr>
                <w:rStyle w:val="40"/>
                <w:color w:val="0000FF"/>
              </w:rPr>
              <w:br w:type="textWrapping"/>
            </w:r>
            <w:r>
              <w:t>(38.214 CR)</w:t>
            </w:r>
          </w:p>
        </w:tc>
        <w:tc>
          <w:tcPr>
            <w:tcW w:w="4920" w:type="dxa"/>
            <w:tcMar>
              <w:top w:w="0" w:type="dxa"/>
              <w:left w:w="70" w:type="dxa"/>
              <w:bottom w:w="0" w:type="dxa"/>
              <w:right w:w="70" w:type="dxa"/>
            </w:tcMar>
          </w:tcPr>
          <w:p>
            <w:pPr>
              <w:jc w:val="left"/>
            </w:pPr>
            <w:r>
              <w:t>Corrections on invalid symbol determination for PUSCH repetition Type B transmission for RedCap UE</w:t>
            </w:r>
          </w:p>
        </w:tc>
        <w:tc>
          <w:tcPr>
            <w:tcW w:w="2550" w:type="dxa"/>
            <w:tcMar>
              <w:top w:w="0" w:type="dxa"/>
              <w:left w:w="70" w:type="dxa"/>
              <w:bottom w:w="0" w:type="dxa"/>
              <w:right w:w="70" w:type="dxa"/>
            </w:tcMar>
          </w:tcPr>
          <w:p>
            <w:pPr>
              <w:jc w:val="left"/>
              <w:rPr>
                <w:lang w:val="en-US"/>
              </w:rPr>
            </w:pPr>
            <w:r>
              <w:t>Sharp, Vivo</w:t>
            </w:r>
          </w:p>
        </w:tc>
      </w:tr>
    </w:tbl>
    <w:p>
      <w:pPr>
        <w:rPr>
          <w:lang w:val="en-US"/>
        </w:rPr>
      </w:pPr>
      <w:r>
        <w:rPr>
          <w:lang w:val="en-US"/>
        </w:rPr>
        <w:br w:type="textWrapping"/>
      </w:r>
      <w:r>
        <w:rPr>
          <w:lang w:val="en-US"/>
        </w:rPr>
        <w:t>PUSCH repetition type B for HD-FDD was addressed by the agreed CR in [30], and now this draft CR addresses TDD.</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OK to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hint="eastAsia" w:eastAsiaTheme="minorEastAsia"/>
                <w:lang w:val="en-US" w:eastAsia="zh-CN"/>
              </w:rPr>
            </w:pPr>
            <w:r>
              <w:rPr>
                <w:rFonts w:hint="eastAsia" w:eastAsiaTheme="minorEastAsia"/>
                <w:lang w:val="en-US" w:eastAsia="zh-CN"/>
              </w:rPr>
              <w:t>M</w:t>
            </w:r>
          </w:p>
        </w:tc>
        <w:tc>
          <w:tcPr>
            <w:tcW w:w="6780" w:type="dxa"/>
          </w:tcPr>
          <w:p>
            <w:pPr>
              <w:jc w:val="left"/>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L</w:t>
            </w:r>
          </w:p>
        </w:tc>
        <w:tc>
          <w:tcPr>
            <w:tcW w:w="6780" w:type="dxa"/>
            <w:vAlign w:val="top"/>
          </w:tcPr>
          <w:p>
            <w:pPr>
              <w:jc w:val="left"/>
              <w:rPr>
                <w:rFonts w:hint="eastAsia" w:eastAsiaTheme="minorEastAsia"/>
                <w:lang w:val="en-US" w:eastAsia="zh-CN"/>
              </w:rPr>
            </w:pPr>
            <w:r>
              <w:rPr>
                <w:rFonts w:hint="eastAsia" w:eastAsiaTheme="minorEastAsia"/>
                <w:lang w:val="en-US" w:eastAsia="zh-CN"/>
              </w:rPr>
              <w:t>It seems to be covered by the following:</w:t>
            </w:r>
          </w:p>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pPr>
              <w:jc w:val="left"/>
              <w:rPr>
                <w:rFonts w:hint="eastAsia" w:ascii="Times New Roman" w:hAnsi="Times New Roman" w:cs="Times New Roman" w:eastAsiaTheme="minorEastAsia"/>
                <w:lang w:val="en-US" w:eastAsia="zh-CN" w:bidi="ar-SA"/>
              </w:rPr>
            </w:pPr>
          </w:p>
        </w:tc>
      </w:tr>
    </w:tbl>
    <w:p>
      <w:pPr>
        <w:rPr>
          <w:szCs w:val="22"/>
          <w:lang w:val="en-US"/>
        </w:rPr>
      </w:pPr>
    </w:p>
    <w:p>
      <w:pPr>
        <w:pStyle w:val="2"/>
        <w:numPr>
          <w:ilvl w:val="0"/>
          <w:numId w:val="0"/>
        </w:numPr>
        <w:ind w:left="432" w:hanging="432"/>
        <w:rPr>
          <w:lang w:val="en-US"/>
        </w:rPr>
      </w:pPr>
      <w:bookmarkStart w:id="3" w:name="_Hlk41391803"/>
      <w:r>
        <w:rPr>
          <w:lang w:val="en-US"/>
        </w:rPr>
        <w:t>References</w:t>
      </w:r>
    </w:p>
    <w:bookmarkEnd w:id="3"/>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"https://www.3gpp.org/ftp/tsg_ran/WG1_RL1/TSGR1_111/Docs/R1-2212530.zip" </w:instrText>
            </w:r>
            <w:r>
              <w:fldChar w:fldCharType="separate"/>
            </w:r>
            <w:r>
              <w:rPr>
                <w:rStyle w:val="40"/>
                <w:color w:val="0000FF"/>
              </w:rPr>
              <w:t>R1-2212530</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"https://www.3gpp.org/ftp/tsg_ran/WG1_RL1/TSGR1_111/Docs/R1-2212531.zip" </w:instrText>
            </w:r>
            <w:r>
              <w:fldChar w:fldCharType="separate"/>
            </w:r>
            <w:r>
              <w:rPr>
                <w:rStyle w:val="40"/>
                <w:color w:val="0000FF"/>
              </w:rPr>
              <w:t>R1-2212531</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"https://www.3gpp.org/ftp/tsg_ran/WG1_RL1/TSGR1_111/Docs/R1-2212532.zip" </w:instrText>
            </w:r>
            <w:r>
              <w:fldChar w:fldCharType="separate"/>
            </w:r>
            <w:r>
              <w:rPr>
                <w:color w:val="0000FF"/>
                <w:u w:val="single"/>
                <w:lang w:val="en-US" w:eastAsia="zh-CN"/>
              </w:rPr>
              <w:t>R1-2212532</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"https://www.3gpp.org/ftp/tsg_ran/WG1_RL1/TSGR1_111/Docs/R1-2212981.zip" </w:instrText>
            </w:r>
            <w:r>
              <w:fldChar w:fldCharType="separate"/>
            </w:r>
            <w:r>
              <w:rPr>
                <w:rStyle w:val="40"/>
                <w:color w:val="0000FF"/>
                <w:lang w:val="en-US"/>
              </w:rPr>
              <w:t>R1-2212981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"https://www.3gpp.org/ftp/TSG_RAN/WG1_RL1/TSGR1_112/Docs/R1-2300367.zip" </w:instrText>
            </w:r>
            <w:r>
              <w:fldChar w:fldCharType="separate"/>
            </w:r>
            <w:r>
              <w:rPr>
                <w:rStyle w:val="40"/>
                <w:color w:val="0000FF"/>
              </w:rPr>
              <w:t>R1-2300367</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"https://www.3gpp.org/ftp/TSG_RAN/WG1_RL1/TSGR1_112/Docs/R1-2300368.zip" </w:instrText>
            </w:r>
            <w:r>
              <w:fldChar w:fldCharType="separate"/>
            </w:r>
            <w:r>
              <w:rPr>
                <w:rStyle w:val="40"/>
                <w:color w:val="0000FF"/>
              </w:rPr>
              <w:t>R1-2300368</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TDRA misalignment of PUSCH for RedCap</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"https://www.3gpp.org/ftp/TSG_RAN/WG1_RL1/TSGR1_112/Docs/R1-2300418.zip" </w:instrText>
            </w:r>
            <w:r>
              <w:fldChar w:fldCharType="separate"/>
            </w:r>
            <w:r>
              <w:rPr>
                <w:rStyle w:val="40"/>
                <w:color w:val="0000FF"/>
              </w:rPr>
              <w:t>R1-2300418</w:t>
            </w:r>
            <w:r>
              <w:rPr>
                <w:rStyle w:val="40"/>
                <w:color w:val="0000FF"/>
              </w:rPr>
              <w:fldChar w:fldCharType="end"/>
            </w:r>
          </w:p>
        </w:tc>
        <w:tc>
          <w:tcPr>
            <w:tcW w:w="4921" w:type="dxa"/>
            <w:tcMar>
              <w:top w:w="0" w:type="dxa"/>
              <w:left w:w="70" w:type="dxa"/>
              <w:bottom w:w="0" w:type="dxa"/>
              <w:right w:w="70" w:type="dxa"/>
            </w:tcMar>
          </w:tcPr>
          <w:p>
            <w:pPr>
              <w:jc w:val="left"/>
              <w:rPr>
                <w:lang w:val="en-US"/>
              </w:rPr>
            </w:pPr>
            <w:r>
              <w:t>Remaining issues on SDT support for Rel-17 RedCap UE</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"https://www.3gpp.org/ftp/TSG_RAN/WG1_RL1/TSGR1_112/Docs/R1-2300499.zip" </w:instrText>
            </w:r>
            <w:r>
              <w:fldChar w:fldCharType="separate"/>
            </w:r>
            <w:r>
              <w:rPr>
                <w:rStyle w:val="40"/>
                <w:color w:val="0000FF"/>
              </w:rPr>
              <w:t>R1-2300499</w:t>
            </w:r>
            <w:r>
              <w:rPr>
                <w:rStyle w:val="40"/>
                <w:color w:val="0000FF"/>
              </w:rPr>
              <w:fldChar w:fldCharType="end"/>
            </w:r>
          </w:p>
        </w:tc>
        <w:tc>
          <w:tcPr>
            <w:tcW w:w="4921" w:type="dxa"/>
            <w:tcMar>
              <w:top w:w="0" w:type="dxa"/>
              <w:left w:w="70" w:type="dxa"/>
              <w:bottom w:w="0" w:type="dxa"/>
              <w:right w:w="70" w:type="dxa"/>
            </w:tcMar>
          </w:tcPr>
          <w:p>
            <w:pPr>
              <w:jc w:val="left"/>
              <w:rPr>
                <w:lang w:val="en-US"/>
              </w:rPr>
            </w:pPr>
            <w:r>
              <w:t>Support for SDT in a RedCap-specific initial DL BWP without SSB</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"https://www.3gpp.org/ftp/TSG_RAN/WG1_RL1/TSGR1_112/Docs/R1-2300542.zip" </w:instrText>
            </w:r>
            <w:r>
              <w:fldChar w:fldCharType="separate"/>
            </w:r>
            <w:r>
              <w:rPr>
                <w:rStyle w:val="40"/>
                <w:color w:val="0000FF"/>
              </w:rPr>
              <w:t>R1-2300542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remaining details of RedCap SDT operation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"https://www.3gpp.org/ftp/TSG_RAN/WG1_RL1/TSGR1_112/Docs/R1-2300648.zip" </w:instrText>
            </w:r>
            <w:r>
              <w:fldChar w:fldCharType="separate"/>
            </w:r>
            <w:r>
              <w:rPr>
                <w:rStyle w:val="40"/>
                <w:color w:val="0000FF"/>
              </w:rPr>
              <w:t>R1-2300648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SDT in separate initial BWP without CD-SSB</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"https://www.3gpp.org/ftp/TSG_RAN/WG1_RL1/TSGR1_112/Docs/R1-2300649.zip" </w:instrText>
            </w:r>
            <w:r>
              <w:fldChar w:fldCharType="separate"/>
            </w:r>
            <w:r>
              <w:rPr>
                <w:rStyle w:val="40"/>
                <w:color w:val="0000FF"/>
              </w:rPr>
              <w:t>R1-2300649</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impact of HD-FDD operation in Rel-17</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"https://www.3gpp.org/ftp/TSG_RAN/WG1_RL1/TSGR1_112/Docs/R1-2300854.zip" </w:instrText>
            </w:r>
            <w:r>
              <w:fldChar w:fldCharType="separate"/>
            </w:r>
            <w:r>
              <w:rPr>
                <w:rStyle w:val="40"/>
                <w:color w:val="0000FF"/>
              </w:rPr>
              <w:t>R1-2300854</w:t>
            </w:r>
            <w:r>
              <w:rPr>
                <w:rStyle w:val="40"/>
                <w:color w:val="0000FF"/>
              </w:rPr>
              <w:fldChar w:fldCharType="end"/>
            </w:r>
          </w:p>
        </w:tc>
        <w:tc>
          <w:tcPr>
            <w:tcW w:w="4921" w:type="dxa"/>
            <w:tcMar>
              <w:top w:w="0" w:type="dxa"/>
              <w:left w:w="70" w:type="dxa"/>
              <w:bottom w:w="0" w:type="dxa"/>
              <w:right w:w="70" w:type="dxa"/>
            </w:tcMar>
          </w:tcPr>
          <w:p>
            <w:pPr>
              <w:jc w:val="left"/>
              <w:rPr>
                <w:lang w:val="en-US"/>
              </w:rPr>
            </w:pPr>
            <w:r>
              <w:t>Remaining issue of Rel-17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"https://www.3gpp.org/ftp/TSG_RAN/WG1_RL1/TSGR1_112/Docs/R1-2300977.zip" </w:instrText>
            </w:r>
            <w:r>
              <w:fldChar w:fldCharType="separate"/>
            </w:r>
            <w:r>
              <w:rPr>
                <w:rStyle w:val="40"/>
                <w:color w:val="0000FF"/>
              </w:rPr>
              <w:t>R1-2300977</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SDT procedure related RedCap remaining issues</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"https://www.3gpp.org/ftp/TSG_RAN/WG1_RL1/TSGR1_112/Docs/R1-2301148.zip" </w:instrText>
            </w:r>
            <w:r>
              <w:fldChar w:fldCharType="separate"/>
            </w:r>
            <w:r>
              <w:rPr>
                <w:rStyle w:val="40"/>
                <w:color w:val="0000FF"/>
              </w:rPr>
              <w:t>R1-2301148</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support of SDT</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"https://www.3gpp.org/ftp/TSG_RAN/WG1_RL1/TSGR1_112/Docs/R1-2301328.zip" </w:instrText>
            </w:r>
            <w:r>
              <w:fldChar w:fldCharType="separate"/>
            </w:r>
            <w:r>
              <w:rPr>
                <w:rStyle w:val="40"/>
                <w:color w:val="0000FF"/>
              </w:rPr>
              <w:t>R1-2301328</w:t>
            </w:r>
            <w:r>
              <w:rPr>
                <w:rStyle w:val="40"/>
                <w:color w:val="0000FF"/>
              </w:rPr>
              <w:fldChar w:fldCharType="end"/>
            </w:r>
          </w:p>
        </w:tc>
        <w:tc>
          <w:tcPr>
            <w:tcW w:w="4921" w:type="dxa"/>
            <w:tcMar>
              <w:top w:w="0" w:type="dxa"/>
              <w:left w:w="70" w:type="dxa"/>
              <w:bottom w:w="0" w:type="dxa"/>
              <w:right w:w="70" w:type="dxa"/>
            </w:tcMar>
          </w:tcPr>
          <w:p>
            <w:pPr>
              <w:jc w:val="left"/>
              <w:rPr>
                <w:lang w:val="en-US"/>
              </w:rPr>
            </w:pPr>
            <w:r>
              <w:t>On Small Data Transmission for Redcap UEs</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p>
        </w:tc>
        <w:tc>
          <w:tcPr>
            <w:tcW w:w="4921" w:type="dxa"/>
            <w:tcMar>
              <w:top w:w="0" w:type="dxa"/>
              <w:left w:w="70" w:type="dxa"/>
              <w:bottom w:w="0" w:type="dxa"/>
              <w:right w:w="70" w:type="dxa"/>
            </w:tcMar>
          </w:tcPr>
          <w:p>
            <w:pPr>
              <w:jc w:val="left"/>
              <w:rPr>
                <w:lang w:val="en-US"/>
              </w:rPr>
            </w:pPr>
            <w:r>
              <w:t>Remaining Issues on UE Complexity Reduction</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"https://www.3gpp.org/ftp/TSG_RAN/WG1_RL1/TSGR1_112/Docs/R1-2301470.zip" </w:instrText>
            </w:r>
            <w:r>
              <w:fldChar w:fldCharType="separate"/>
            </w:r>
            <w:r>
              <w:rPr>
                <w:rStyle w:val="40"/>
                <w:color w:val="0000FF"/>
              </w:rPr>
              <w:t>R1-2301470</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"https://www.3gpp.org/ftp/TSG_RAN/WG1_RL1/TSGR1_112/Docs/R1-2301471.zip" </w:instrText>
            </w:r>
            <w:r>
              <w:fldChar w:fldCharType="separate"/>
            </w:r>
            <w:r>
              <w:rPr>
                <w:rStyle w:val="40"/>
                <w:color w:val="0000FF"/>
              </w:rPr>
              <w:t>R1-2301471</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corrections and SDT operations for RedCap UE</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rPr>
                <w:color w:val="0000FF"/>
                <w:u w:val="single"/>
              </w:rPr>
            </w:pPr>
            <w:r>
              <w:fldChar w:fldCharType="begin"/>
            </w:r>
            <w:r>
              <w:instrText xml:space="preserve"> HYPERLINK "https://www.3gpp.org/ftp/TSG_RAN/WG1_RL1/TSGR1_112/Docs/R1-2301542.zip" </w:instrText>
            </w:r>
            <w:r>
              <w:fldChar w:fldCharType="separate"/>
            </w:r>
            <w:r>
              <w:rPr>
                <w:rStyle w:val="40"/>
                <w:color w:val="0000FF"/>
              </w:rPr>
              <w:t>R1-2301542</w:t>
            </w:r>
            <w:r>
              <w:rPr>
                <w:rStyle w:val="40"/>
                <w:color w:val="0000FF"/>
              </w:rPr>
              <w:fldChar w:fldCharType="end"/>
            </w:r>
          </w:p>
        </w:tc>
        <w:tc>
          <w:tcPr>
            <w:tcW w:w="4921" w:type="dxa"/>
            <w:tcMar>
              <w:top w:w="0" w:type="dxa"/>
              <w:left w:w="70" w:type="dxa"/>
              <w:bottom w:w="0" w:type="dxa"/>
              <w:right w:w="70" w:type="dxa"/>
            </w:tcMar>
          </w:tcPr>
          <w:p>
            <w:pPr>
              <w:jc w:val="left"/>
            </w:pPr>
            <w:r>
              <w:t>Corrections on invalid symbol determination for PUSCH repetition Type B transmission for RedCap UE</w:t>
            </w:r>
          </w:p>
        </w:tc>
        <w:tc>
          <w:tcPr>
            <w:tcW w:w="2551" w:type="dxa"/>
            <w:tcMar>
              <w:top w:w="0" w:type="dxa"/>
              <w:left w:w="70" w:type="dxa"/>
              <w:bottom w:w="0" w:type="dxa"/>
              <w:right w:w="70" w:type="dxa"/>
            </w:tcMar>
          </w:tcPr>
          <w:p>
            <w:pPr>
              <w:jc w:val="left"/>
            </w:pPr>
            <w:r>
              <w:t>Sharp,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"https://www.3gpp.org/ftp/TSG_RAN/WG1_RL1/TSGR1_112/Docs/R1-2301723.zip" </w:instrText>
            </w:r>
            <w:r>
              <w:fldChar w:fldCharType="separate"/>
            </w:r>
            <w:r>
              <w:rPr>
                <w:rStyle w:val="40"/>
                <w:color w:val="0000FF"/>
              </w:rPr>
              <w:t>R1-2301723</w:t>
            </w:r>
            <w:r>
              <w:rPr>
                <w:rStyle w:val="40"/>
                <w:color w:val="0000FF"/>
              </w:rPr>
              <w:fldChar w:fldCharType="end"/>
            </w:r>
          </w:p>
        </w:tc>
        <w:tc>
          <w:tcPr>
            <w:tcW w:w="4921" w:type="dxa"/>
            <w:tcMar>
              <w:top w:w="0" w:type="dxa"/>
              <w:left w:w="70" w:type="dxa"/>
              <w:bottom w:w="0" w:type="dxa"/>
              <w:right w:w="70" w:type="dxa"/>
            </w:tcMar>
          </w:tcPr>
          <w:p>
            <w:pPr>
              <w:jc w:val="left"/>
              <w:rPr>
                <w:lang w:val="en-US"/>
              </w:rPr>
            </w:pPr>
            <w:r>
              <w:t>Remaining issues during SDT procedure for RedCap UEs</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"https://www.3gpp.org/ftp/TSG_RAN/WG1_RL1/TSGR1_112/Docs/R1-2301781.zip" </w:instrText>
            </w:r>
            <w:r>
              <w:fldChar w:fldCharType="separate"/>
            </w:r>
            <w:r>
              <w:rPr>
                <w:rStyle w:val="40"/>
                <w:color w:val="0000FF"/>
              </w:rPr>
              <w:t>R1-2301781</w:t>
            </w:r>
            <w:r>
              <w:rPr>
                <w:rStyle w:val="40"/>
                <w:color w:val="0000FF"/>
              </w:rPr>
              <w:fldChar w:fldCharType="end"/>
            </w:r>
          </w:p>
        </w:tc>
        <w:tc>
          <w:tcPr>
            <w:tcW w:w="4921" w:type="dxa"/>
            <w:tcMar>
              <w:top w:w="0" w:type="dxa"/>
              <w:left w:w="70" w:type="dxa"/>
              <w:bottom w:w="0" w:type="dxa"/>
              <w:right w:w="70" w:type="dxa"/>
            </w:tcMar>
          </w:tcPr>
          <w:p>
            <w:pPr>
              <w:jc w:val="left"/>
              <w:rPr>
                <w:lang w:val="en-US"/>
              </w:rPr>
            </w:pPr>
            <w:r>
              <w:t xml:space="preserve">On RedCap remaining issues (revision of </w:t>
            </w:r>
            <w:r>
              <w:fldChar w:fldCharType="begin"/>
            </w:r>
            <w:r>
              <w:instrText xml:space="preserve"> HYPERLINK "https://www.3gpp.org/ftp/TSG_RAN/WG1_RL1/TSGR1_112/Docs/R1-2301606.zip" </w:instrText>
            </w:r>
            <w:r>
              <w:fldChar w:fldCharType="separate"/>
            </w:r>
            <w:r>
              <w:rPr>
                <w:rStyle w:val="40"/>
                <w:color w:val="0000FF"/>
              </w:rPr>
              <w:t>R1-2301606</w:t>
            </w:r>
            <w:r>
              <w:rPr>
                <w:rStyle w:val="40"/>
                <w:color w:val="0000FF"/>
              </w:rPr>
              <w:fldChar w:fldCharType="end"/>
            </w:r>
            <w:r>
              <w:t>)</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"https://www.3gpp.org/ftp/TSG_RAN/WG1_RL1/TSGR1_112/Docs/R1-2301782.zip" </w:instrText>
            </w:r>
            <w:r>
              <w:fldChar w:fldCharType="separate"/>
            </w:r>
            <w:r>
              <w:rPr>
                <w:rStyle w:val="40"/>
                <w:color w:val="0000FF"/>
              </w:rPr>
              <w:t>R1-2301782</w:t>
            </w:r>
            <w:r>
              <w:rPr>
                <w:rStyle w:val="40"/>
                <w:color w:val="0000FF"/>
              </w:rPr>
              <w:fldChar w:fldCharType="end"/>
            </w:r>
          </w:p>
        </w:tc>
        <w:tc>
          <w:tcPr>
            <w:tcW w:w="4921" w:type="dxa"/>
            <w:tcMar>
              <w:top w:w="0" w:type="dxa"/>
              <w:left w:w="70" w:type="dxa"/>
              <w:bottom w:w="0" w:type="dxa"/>
              <w:right w:w="70" w:type="dxa"/>
            </w:tcMar>
          </w:tcPr>
          <w:p>
            <w:pPr>
              <w:jc w:val="left"/>
              <w:rPr>
                <w:lang w:val="en-US"/>
              </w:rPr>
            </w:pPr>
            <w:r>
              <w:t xml:space="preserve">Draft CR on validation of PRACH and PUSCH occasions with NCD-SSB (revision of </w:t>
            </w:r>
            <w:r>
              <w:fldChar w:fldCharType="begin"/>
            </w:r>
            <w:r>
              <w:instrText xml:space="preserve"> HYPERLINK "https://www.3gpp.org/ftp/TSG_RAN/WG1_RL1/TSGR1_112/Docs/R1-2301607.zip" </w:instrText>
            </w:r>
            <w:r>
              <w:fldChar w:fldCharType="separate"/>
            </w:r>
            <w:r>
              <w:rPr>
                <w:rStyle w:val="40"/>
                <w:color w:val="0000FF"/>
              </w:rPr>
              <w:t>R1-2301607</w:t>
            </w:r>
            <w:r>
              <w:rPr>
                <w:rStyle w:val="40"/>
                <w:color w:val="0000FF"/>
              </w:rPr>
              <w:fldChar w:fldCharType="end"/>
            </w:r>
            <w:r>
              <w:t>)</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"https://www.3gpp.org/ftp/tsg_ran/WG2_RL2/TSGR2_120/Docs/R2-2213001.zip" </w:instrText>
            </w:r>
            <w:r>
              <w:fldChar w:fldCharType="separate"/>
            </w:r>
            <w:r>
              <w:rPr>
                <w:rStyle w:val="40"/>
                <w:color w:val="0000FF"/>
              </w:rPr>
              <w:t>R2-2213001</w:t>
            </w:r>
            <w:r>
              <w:rPr>
                <w:rStyle w:val="40"/>
                <w:color w:val="0000FF"/>
              </w:rPr>
              <w:fldChar w:fldCharType="end"/>
            </w:r>
          </w:p>
        </w:tc>
        <w:tc>
          <w:tcPr>
            <w:tcW w:w="4921" w:type="dxa"/>
            <w:tcMar>
              <w:top w:w="0" w:type="dxa"/>
              <w:left w:w="70" w:type="dxa"/>
              <w:bottom w:w="0" w:type="dxa"/>
              <w:right w:w="70" w:type="dxa"/>
            </w:tcMar>
          </w:tcPr>
          <w:p>
            <w:pPr>
              <w:jc w:val="left"/>
              <w:rPr>
                <w:lang w:val="en-US"/>
              </w:rPr>
            </w:pPr>
            <w:r>
              <w:t>Report from Break-out session on NR-NTN, IoT-NTN, RedCap, and CE</w:t>
            </w:r>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"https://www.3gpp.org/ftp/TSG_RAN/WG1_RL1/TSGR1_107b-e/Docs/R1-2200002.zip" </w:instrText>
            </w:r>
            <w:r>
              <w:fldChar w:fldCharType="separate"/>
            </w:r>
            <w:r>
              <w:rPr>
                <w:rStyle w:val="40"/>
                <w:color w:val="0000FF"/>
              </w:rPr>
              <w:t>R1-2200002</w:t>
            </w:r>
            <w:r>
              <w:rPr>
                <w:rStyle w:val="40"/>
                <w:color w:val="0000FF"/>
              </w:rPr>
              <w:fldChar w:fldCharType="end"/>
            </w:r>
          </w:p>
        </w:tc>
        <w:tc>
          <w:tcPr>
            <w:tcW w:w="4921" w:type="dxa"/>
            <w:tcMar>
              <w:top w:w="0" w:type="dxa"/>
              <w:left w:w="70" w:type="dxa"/>
              <w:bottom w:w="0" w:type="dxa"/>
              <w:right w:w="70" w:type="dxa"/>
            </w:tcMar>
          </w:tcPr>
          <w:p>
            <w:pPr>
              <w:jc w:val="left"/>
              <w:rPr>
                <w:lang w:val="en-US"/>
              </w:rPr>
            </w:pPr>
            <w:r>
              <w:t>Report of RAN1#107-e meeting</w:t>
            </w:r>
          </w:p>
        </w:tc>
        <w:tc>
          <w:tcPr>
            <w:tcW w:w="2551" w:type="dxa"/>
            <w:tcMar>
              <w:top w:w="0" w:type="dxa"/>
              <w:left w:w="70" w:type="dxa"/>
              <w:bottom w:w="0" w:type="dxa"/>
              <w:right w:w="70" w:type="dxa"/>
            </w:tcMar>
          </w:tcPr>
          <w:p>
            <w:pPr>
              <w:jc w:val="left"/>
              <w:rPr>
                <w:lang w:val="en-US"/>
              </w:rPr>
            </w:pPr>
            <w:r>
              <w:t>ETSI 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"https://www.3gpp.org/ftp/TSG_RAN/WG1_RL1/TSGR1_109-e/Docs/R1-2205193.zip" </w:instrText>
            </w:r>
            <w:r>
              <w:fldChar w:fldCharType="separate"/>
            </w:r>
            <w:r>
              <w:rPr>
                <w:rStyle w:val="40"/>
                <w:color w:val="0000FF"/>
              </w:rPr>
              <w:t>R1-2205193</w:t>
            </w:r>
            <w:r>
              <w:rPr>
                <w:rStyle w:val="40"/>
                <w:color w:val="0000FF"/>
              </w:rPr>
              <w:fldChar w:fldCharType="end"/>
            </w:r>
          </w:p>
        </w:tc>
        <w:tc>
          <w:tcPr>
            <w:tcW w:w="4921" w:type="dxa"/>
            <w:tcMar>
              <w:top w:w="0" w:type="dxa"/>
              <w:left w:w="70" w:type="dxa"/>
              <w:bottom w:w="0" w:type="dxa"/>
              <w:right w:w="70" w:type="dxa"/>
            </w:tcMar>
          </w:tcPr>
          <w:p>
            <w:pPr>
              <w:jc w:val="left"/>
              <w:rPr>
                <w:lang w:val="en-US"/>
              </w:rPr>
            </w:pPr>
            <w:r>
              <w:t>Report of RAN1#108-e meeting</w:t>
            </w:r>
          </w:p>
        </w:tc>
        <w:tc>
          <w:tcPr>
            <w:tcW w:w="2551" w:type="dxa"/>
            <w:tcMar>
              <w:top w:w="0" w:type="dxa"/>
              <w:left w:w="70" w:type="dxa"/>
              <w:bottom w:w="0" w:type="dxa"/>
              <w:right w:w="70" w:type="dxa"/>
            </w:tcMar>
          </w:tcPr>
          <w:p>
            <w:pPr>
              <w:jc w:val="left"/>
              <w:rPr>
                <w:lang w:val="en-US"/>
              </w:rPr>
            </w:pPr>
            <w:r>
              <w:t>ETSI 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[29]</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"https://www.3gpp.org/ftp/TSG_RAN/WG2_RL2/TSGR2_117-e/Docs/R2-2202102.zip" </w:instrText>
            </w:r>
            <w:r>
              <w:fldChar w:fldCharType="separate"/>
            </w:r>
            <w:r>
              <w:rPr>
                <w:rStyle w:val="40"/>
                <w:color w:val="0000FF"/>
              </w:rPr>
              <w:t>R2-2202102</w:t>
            </w:r>
            <w:r>
              <w:rPr>
                <w:rStyle w:val="40"/>
                <w:color w:val="0000FF"/>
              </w:rPr>
              <w:fldChar w:fldCharType="end"/>
            </w:r>
          </w:p>
        </w:tc>
        <w:tc>
          <w:tcPr>
            <w:tcW w:w="4921" w:type="dxa"/>
            <w:tcMar>
              <w:top w:w="0" w:type="dxa"/>
              <w:left w:w="70" w:type="dxa"/>
              <w:bottom w:w="0" w:type="dxa"/>
              <w:right w:w="70" w:type="dxa"/>
            </w:tcMar>
          </w:tcPr>
          <w:p>
            <w:pPr>
              <w:jc w:val="left"/>
              <w:rPr>
                <w:lang w:val="en-US"/>
              </w:rPr>
            </w:pPr>
            <w:r>
              <w:t>RAN2#116bis-e Meeting Report</w:t>
            </w:r>
          </w:p>
        </w:tc>
        <w:tc>
          <w:tcPr>
            <w:tcW w:w="2551" w:type="dxa"/>
            <w:tcMar>
              <w:top w:w="0" w:type="dxa"/>
              <w:left w:w="70" w:type="dxa"/>
              <w:bottom w:w="0" w:type="dxa"/>
              <w:right w:w="70" w:type="dxa"/>
            </w:tcMar>
          </w:tcPr>
          <w:p>
            <w:pPr>
              <w:jc w:val="left"/>
            </w:pPr>
            <w:r>
              <w:t>ETSI 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"https://www.3gpp.org/ftp/tsg_ran/WG1_RL1/TSGR1_110b-e/Docs/R1-2210630.zip" </w:instrText>
            </w:r>
            <w:r>
              <w:fldChar w:fldCharType="separate"/>
            </w:r>
            <w:r>
              <w:rPr>
                <w:rStyle w:val="40"/>
                <w:color w:val="0000FF"/>
              </w:rPr>
              <w:t>R1-2210630</w:t>
            </w:r>
            <w:r>
              <w:rPr>
                <w:rStyle w:val="40"/>
                <w:color w:val="0000FF"/>
              </w:rPr>
              <w:fldChar w:fldCharType="end"/>
            </w:r>
          </w:p>
        </w:tc>
        <w:tc>
          <w:tcPr>
            <w:tcW w:w="4921" w:type="dxa"/>
            <w:tcMar>
              <w:top w:w="0" w:type="dxa"/>
              <w:left w:w="70" w:type="dxa"/>
              <w:bottom w:w="0" w:type="dxa"/>
              <w:right w:w="70" w:type="dxa"/>
            </w:tcMar>
          </w:tcPr>
          <w:p>
            <w:pPr>
              <w:jc w:val="left"/>
              <w:rPr>
                <w:lang w:val="en-US"/>
              </w:rPr>
            </w:pPr>
            <w:r>
              <w:rPr>
                <w:lang w:val="en-US"/>
              </w:rPr>
              <w:t>38.214 CR0356 (Rel-17, F) Correction on invalid symbol determination for PUSCH repetition type B for HD-FDD</w:t>
            </w:r>
          </w:p>
          <w:p>
            <w:pPr>
              <w:jc w:val="left"/>
              <w:rPr>
                <w:lang w:val="en-US"/>
              </w:rPr>
            </w:pPr>
          </w:p>
        </w:tc>
        <w:tc>
          <w:tcPr>
            <w:tcW w:w="2551" w:type="dxa"/>
            <w:tcMar>
              <w:top w:w="0" w:type="dxa"/>
              <w:left w:w="70" w:type="dxa"/>
              <w:bottom w:w="0" w:type="dxa"/>
              <w:right w:w="70" w:type="dxa"/>
            </w:tcMar>
          </w:tcPr>
          <w:p>
            <w:pPr>
              <w:jc w:val="left"/>
            </w:pPr>
            <w:r>
              <w:t xml:space="preserve">Moderator (Ericsson), </w:t>
            </w:r>
            <w:r>
              <w:rPr>
                <w:lang w:val="en-US"/>
              </w:rPr>
              <w:t>Vivo</w:t>
            </w:r>
            <w:r>
              <w:t>, Sharp, Intel, Nokia, Nokia Shanghai Bell, Ericsson, Samsung</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Sylfae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UI"/>
    <w:panose1 w:val="00000000000000000000"/>
    <w:charset w:val="80"/>
    <w:family w:val="roman"/>
    <w:pitch w:val="default"/>
    <w:sig w:usb0="00000000" w:usb1="00000000" w:usb2="00000012" w:usb3="00000000" w:csb0="0002009F" w:csb1="00000000"/>
  </w:font>
  <w:font w:name="Malgun Gothic Semilight">
    <w:panose1 w:val="020B0502040204020203"/>
    <w:charset w:val="86"/>
    <w:family w:val="auto"/>
    <w:pitch w:val="default"/>
    <w:sig w:usb0="900002AF" w:usb1="01D77CFB" w:usb2="00000012" w:usb3="00000000" w:csb0="203E01BD" w:csb1="D7FF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12EF0540"/>
    <w:multiLevelType w:val="multilevel"/>
    <w:tmpl w:val="12EF05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F8C70D7"/>
    <w:multiLevelType w:val="multilevel"/>
    <w:tmpl w:val="1F8C70D7"/>
    <w:lvl w:ilvl="0" w:tentative="0">
      <w:start w:val="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7">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3AB055C"/>
    <w:multiLevelType w:val="multilevel"/>
    <w:tmpl w:val="23AB05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6D84BDE"/>
    <w:multiLevelType w:val="multilevel"/>
    <w:tmpl w:val="36D84BD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2">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04019A0"/>
    <w:multiLevelType w:val="multilevel"/>
    <w:tmpl w:val="404019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D103219"/>
    <w:multiLevelType w:val="multilevel"/>
    <w:tmpl w:val="4D10321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19827BD"/>
    <w:multiLevelType w:val="multilevel"/>
    <w:tmpl w:val="719827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6"/>
  </w:num>
  <w:num w:numId="3">
    <w:abstractNumId w:val="1"/>
  </w:num>
  <w:num w:numId="4">
    <w:abstractNumId w:val="0"/>
  </w:num>
  <w:num w:numId="5">
    <w:abstractNumId w:val="9"/>
  </w:num>
  <w:num w:numId="6">
    <w:abstractNumId w:val="11"/>
    <w:lvlOverride w:ilvl="0">
      <w:startOverride w:val="1"/>
    </w:lvlOverride>
  </w:num>
  <w:num w:numId="7">
    <w:abstractNumId w:val="12"/>
  </w:num>
  <w:num w:numId="8">
    <w:abstractNumId w:val="15"/>
  </w:num>
  <w:num w:numId="9">
    <w:abstractNumId w:val="7"/>
  </w:num>
  <w:num w:numId="10">
    <w:abstractNumId w:val="16"/>
  </w:num>
  <w:num w:numId="11">
    <w:abstractNumId w:val="5"/>
  </w:num>
  <w:num w:numId="12">
    <w:abstractNumId w:val="13"/>
  </w:num>
  <w:num w:numId="13">
    <w:abstractNumId w:val="17"/>
  </w:num>
  <w:num w:numId="14">
    <w:abstractNumId w:val="4"/>
  </w:num>
  <w:num w:numId="15">
    <w:abstractNumId w:val="3"/>
  </w:num>
  <w:num w:numId="16">
    <w:abstractNumId w:val="10"/>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4181"/>
    <w:rsid w:val="00014364"/>
    <w:rsid w:val="00014487"/>
    <w:rsid w:val="000144C3"/>
    <w:rsid w:val="00015CD7"/>
    <w:rsid w:val="000168F4"/>
    <w:rsid w:val="00016E0D"/>
    <w:rsid w:val="000171EA"/>
    <w:rsid w:val="00017626"/>
    <w:rsid w:val="00020645"/>
    <w:rsid w:val="00020DFC"/>
    <w:rsid w:val="00021248"/>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336"/>
    <w:rsid w:val="00042EE7"/>
    <w:rsid w:val="00043C11"/>
    <w:rsid w:val="00043EEB"/>
    <w:rsid w:val="00044057"/>
    <w:rsid w:val="000440AA"/>
    <w:rsid w:val="000443EA"/>
    <w:rsid w:val="000449E1"/>
    <w:rsid w:val="00044B34"/>
    <w:rsid w:val="00044BA8"/>
    <w:rsid w:val="00044FAE"/>
    <w:rsid w:val="00045232"/>
    <w:rsid w:val="000455F6"/>
    <w:rsid w:val="00045742"/>
    <w:rsid w:val="00045835"/>
    <w:rsid w:val="00045CC9"/>
    <w:rsid w:val="00045ECA"/>
    <w:rsid w:val="0004610A"/>
    <w:rsid w:val="00046632"/>
    <w:rsid w:val="00046742"/>
    <w:rsid w:val="00046C7F"/>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BF"/>
    <w:rsid w:val="00087B84"/>
    <w:rsid w:val="00087ED4"/>
    <w:rsid w:val="00087F4B"/>
    <w:rsid w:val="000902A6"/>
    <w:rsid w:val="0009060B"/>
    <w:rsid w:val="00090672"/>
    <w:rsid w:val="00090885"/>
    <w:rsid w:val="00090D0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3FD2"/>
    <w:rsid w:val="000A4652"/>
    <w:rsid w:val="000A47AA"/>
    <w:rsid w:val="000A4EA2"/>
    <w:rsid w:val="000A5461"/>
    <w:rsid w:val="000A5604"/>
    <w:rsid w:val="000A561D"/>
    <w:rsid w:val="000A57FC"/>
    <w:rsid w:val="000A5DDA"/>
    <w:rsid w:val="000A62C5"/>
    <w:rsid w:val="000A666A"/>
    <w:rsid w:val="000A66FD"/>
    <w:rsid w:val="000A686D"/>
    <w:rsid w:val="000A6DE1"/>
    <w:rsid w:val="000B0215"/>
    <w:rsid w:val="000B0600"/>
    <w:rsid w:val="000B0604"/>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5D2"/>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461"/>
    <w:rsid w:val="000E3CC1"/>
    <w:rsid w:val="000E3F08"/>
    <w:rsid w:val="000E4081"/>
    <w:rsid w:val="000E4D53"/>
    <w:rsid w:val="000E5284"/>
    <w:rsid w:val="000E53DA"/>
    <w:rsid w:val="000E57EE"/>
    <w:rsid w:val="000E58E5"/>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1F81"/>
    <w:rsid w:val="00132450"/>
    <w:rsid w:val="00133153"/>
    <w:rsid w:val="00133250"/>
    <w:rsid w:val="001335A6"/>
    <w:rsid w:val="0013371D"/>
    <w:rsid w:val="00133ECA"/>
    <w:rsid w:val="00134778"/>
    <w:rsid w:val="001348B5"/>
    <w:rsid w:val="00135145"/>
    <w:rsid w:val="0013517F"/>
    <w:rsid w:val="00135196"/>
    <w:rsid w:val="0013523C"/>
    <w:rsid w:val="0013594D"/>
    <w:rsid w:val="00135A01"/>
    <w:rsid w:val="00135FD8"/>
    <w:rsid w:val="00136012"/>
    <w:rsid w:val="00136291"/>
    <w:rsid w:val="00136B63"/>
    <w:rsid w:val="0013771F"/>
    <w:rsid w:val="00137F16"/>
    <w:rsid w:val="0014026E"/>
    <w:rsid w:val="001405E9"/>
    <w:rsid w:val="00140D7E"/>
    <w:rsid w:val="00140E5C"/>
    <w:rsid w:val="00141109"/>
    <w:rsid w:val="0014132F"/>
    <w:rsid w:val="001415E5"/>
    <w:rsid w:val="00141C10"/>
    <w:rsid w:val="00141D31"/>
    <w:rsid w:val="00142BAE"/>
    <w:rsid w:val="00142DC8"/>
    <w:rsid w:val="00142FF4"/>
    <w:rsid w:val="001432F9"/>
    <w:rsid w:val="00143F98"/>
    <w:rsid w:val="00143FB0"/>
    <w:rsid w:val="001440FF"/>
    <w:rsid w:val="001442E7"/>
    <w:rsid w:val="001445E4"/>
    <w:rsid w:val="001446C4"/>
    <w:rsid w:val="0014510D"/>
    <w:rsid w:val="0014522B"/>
    <w:rsid w:val="0014554D"/>
    <w:rsid w:val="00145767"/>
    <w:rsid w:val="00145BC4"/>
    <w:rsid w:val="00145D1D"/>
    <w:rsid w:val="00145EEE"/>
    <w:rsid w:val="001460BB"/>
    <w:rsid w:val="001464BF"/>
    <w:rsid w:val="001465F1"/>
    <w:rsid w:val="001467D8"/>
    <w:rsid w:val="00146A86"/>
    <w:rsid w:val="00146D01"/>
    <w:rsid w:val="00147039"/>
    <w:rsid w:val="001473EC"/>
    <w:rsid w:val="001476EE"/>
    <w:rsid w:val="00147CD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E43"/>
    <w:rsid w:val="00160FEB"/>
    <w:rsid w:val="00161006"/>
    <w:rsid w:val="00161A00"/>
    <w:rsid w:val="00161D8D"/>
    <w:rsid w:val="00162935"/>
    <w:rsid w:val="00162A19"/>
    <w:rsid w:val="00162EA8"/>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F9B"/>
    <w:rsid w:val="001B429D"/>
    <w:rsid w:val="001B4698"/>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C86"/>
    <w:rsid w:val="001D0F4E"/>
    <w:rsid w:val="001D1302"/>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40B"/>
    <w:rsid w:val="00252EC3"/>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84F"/>
    <w:rsid w:val="00276922"/>
    <w:rsid w:val="00276C53"/>
    <w:rsid w:val="002770AC"/>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14E"/>
    <w:rsid w:val="002913DB"/>
    <w:rsid w:val="002922F1"/>
    <w:rsid w:val="00292520"/>
    <w:rsid w:val="00292B1B"/>
    <w:rsid w:val="00292D26"/>
    <w:rsid w:val="00292E1A"/>
    <w:rsid w:val="002932C1"/>
    <w:rsid w:val="00293335"/>
    <w:rsid w:val="0029359E"/>
    <w:rsid w:val="00293919"/>
    <w:rsid w:val="00293A18"/>
    <w:rsid w:val="00293CE4"/>
    <w:rsid w:val="00293F31"/>
    <w:rsid w:val="00294230"/>
    <w:rsid w:val="0029426E"/>
    <w:rsid w:val="00294454"/>
    <w:rsid w:val="002945F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71C0"/>
    <w:rsid w:val="002B71FC"/>
    <w:rsid w:val="002B7582"/>
    <w:rsid w:val="002B7C12"/>
    <w:rsid w:val="002C02CB"/>
    <w:rsid w:val="002C0301"/>
    <w:rsid w:val="002C0805"/>
    <w:rsid w:val="002C0DA9"/>
    <w:rsid w:val="002C0EFF"/>
    <w:rsid w:val="002C125E"/>
    <w:rsid w:val="002C1269"/>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CF"/>
    <w:rsid w:val="002D3966"/>
    <w:rsid w:val="002D3FA0"/>
    <w:rsid w:val="002D45F4"/>
    <w:rsid w:val="002D472B"/>
    <w:rsid w:val="002D47CC"/>
    <w:rsid w:val="002D4DD4"/>
    <w:rsid w:val="002D4EB0"/>
    <w:rsid w:val="002D5108"/>
    <w:rsid w:val="002D587E"/>
    <w:rsid w:val="002D5ACB"/>
    <w:rsid w:val="002D61EA"/>
    <w:rsid w:val="002D67AD"/>
    <w:rsid w:val="002D68BD"/>
    <w:rsid w:val="002D6B89"/>
    <w:rsid w:val="002D7735"/>
    <w:rsid w:val="002D7B2C"/>
    <w:rsid w:val="002E0011"/>
    <w:rsid w:val="002E0489"/>
    <w:rsid w:val="002E0B4F"/>
    <w:rsid w:val="002E0CD7"/>
    <w:rsid w:val="002E1007"/>
    <w:rsid w:val="002E15FF"/>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FA9"/>
    <w:rsid w:val="002F48EC"/>
    <w:rsid w:val="002F49F4"/>
    <w:rsid w:val="002F5C2F"/>
    <w:rsid w:val="002F6182"/>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90C"/>
    <w:rsid w:val="003112D8"/>
    <w:rsid w:val="003114FC"/>
    <w:rsid w:val="00311A16"/>
    <w:rsid w:val="00312A1F"/>
    <w:rsid w:val="00312EE1"/>
    <w:rsid w:val="003132A1"/>
    <w:rsid w:val="00313A7D"/>
    <w:rsid w:val="0031434A"/>
    <w:rsid w:val="00314499"/>
    <w:rsid w:val="003144B9"/>
    <w:rsid w:val="00314A86"/>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706"/>
    <w:rsid w:val="00351012"/>
    <w:rsid w:val="003514FB"/>
    <w:rsid w:val="00351894"/>
    <w:rsid w:val="00351ABB"/>
    <w:rsid w:val="00352004"/>
    <w:rsid w:val="003520A3"/>
    <w:rsid w:val="00352582"/>
    <w:rsid w:val="0035299C"/>
    <w:rsid w:val="003538E3"/>
    <w:rsid w:val="003538F6"/>
    <w:rsid w:val="00353E50"/>
    <w:rsid w:val="003548F7"/>
    <w:rsid w:val="00354C0D"/>
    <w:rsid w:val="00354F51"/>
    <w:rsid w:val="0035515D"/>
    <w:rsid w:val="00355673"/>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F9"/>
    <w:rsid w:val="0036072D"/>
    <w:rsid w:val="00360B6D"/>
    <w:rsid w:val="00360BFD"/>
    <w:rsid w:val="00360EC2"/>
    <w:rsid w:val="00361239"/>
    <w:rsid w:val="00361716"/>
    <w:rsid w:val="00361AB4"/>
    <w:rsid w:val="00362097"/>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48F"/>
    <w:rsid w:val="00372D94"/>
    <w:rsid w:val="00372E5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410"/>
    <w:rsid w:val="003C74C5"/>
    <w:rsid w:val="003C780D"/>
    <w:rsid w:val="003C7929"/>
    <w:rsid w:val="003D177E"/>
    <w:rsid w:val="003D22E3"/>
    <w:rsid w:val="003D2569"/>
    <w:rsid w:val="003D2663"/>
    <w:rsid w:val="003D27B3"/>
    <w:rsid w:val="003D2B64"/>
    <w:rsid w:val="003D39E1"/>
    <w:rsid w:val="003D487B"/>
    <w:rsid w:val="003D4F7A"/>
    <w:rsid w:val="003D5014"/>
    <w:rsid w:val="003D58C3"/>
    <w:rsid w:val="003D61D6"/>
    <w:rsid w:val="003D6355"/>
    <w:rsid w:val="003D72CA"/>
    <w:rsid w:val="003D7EFC"/>
    <w:rsid w:val="003D7F56"/>
    <w:rsid w:val="003E054B"/>
    <w:rsid w:val="003E08B1"/>
    <w:rsid w:val="003E0F3F"/>
    <w:rsid w:val="003E133C"/>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B59"/>
    <w:rsid w:val="003F30ED"/>
    <w:rsid w:val="003F39E3"/>
    <w:rsid w:val="003F42DA"/>
    <w:rsid w:val="003F4332"/>
    <w:rsid w:val="003F4555"/>
    <w:rsid w:val="003F472A"/>
    <w:rsid w:val="003F474A"/>
    <w:rsid w:val="003F4DB7"/>
    <w:rsid w:val="003F52E9"/>
    <w:rsid w:val="003F547E"/>
    <w:rsid w:val="003F57BE"/>
    <w:rsid w:val="003F5C19"/>
    <w:rsid w:val="003F6797"/>
    <w:rsid w:val="003F695B"/>
    <w:rsid w:val="003F6A39"/>
    <w:rsid w:val="003F6C92"/>
    <w:rsid w:val="003F7C09"/>
    <w:rsid w:val="003F7FED"/>
    <w:rsid w:val="004000ED"/>
    <w:rsid w:val="00400908"/>
    <w:rsid w:val="00400E0B"/>
    <w:rsid w:val="00400F81"/>
    <w:rsid w:val="00401201"/>
    <w:rsid w:val="00401641"/>
    <w:rsid w:val="004016D4"/>
    <w:rsid w:val="00401A63"/>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6D29"/>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461"/>
    <w:rsid w:val="00434649"/>
    <w:rsid w:val="004347E6"/>
    <w:rsid w:val="00434877"/>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02B"/>
    <w:rsid w:val="00455327"/>
    <w:rsid w:val="004553BA"/>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4"/>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B31"/>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EEF"/>
    <w:rsid w:val="004C59EB"/>
    <w:rsid w:val="004C5B18"/>
    <w:rsid w:val="004C6F26"/>
    <w:rsid w:val="004C70C4"/>
    <w:rsid w:val="004C7626"/>
    <w:rsid w:val="004C7D6C"/>
    <w:rsid w:val="004D0808"/>
    <w:rsid w:val="004D0901"/>
    <w:rsid w:val="004D1021"/>
    <w:rsid w:val="004D1FFE"/>
    <w:rsid w:val="004D268A"/>
    <w:rsid w:val="004D3253"/>
    <w:rsid w:val="004D32A0"/>
    <w:rsid w:val="004D34BF"/>
    <w:rsid w:val="004D34C3"/>
    <w:rsid w:val="004D3813"/>
    <w:rsid w:val="004D45C0"/>
    <w:rsid w:val="004D4C44"/>
    <w:rsid w:val="004D5686"/>
    <w:rsid w:val="004D5A8D"/>
    <w:rsid w:val="004D5AA3"/>
    <w:rsid w:val="004D5C38"/>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887"/>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1394"/>
    <w:rsid w:val="00501419"/>
    <w:rsid w:val="0050152B"/>
    <w:rsid w:val="00501549"/>
    <w:rsid w:val="00501AD1"/>
    <w:rsid w:val="00501D21"/>
    <w:rsid w:val="0050220E"/>
    <w:rsid w:val="00502840"/>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A0E"/>
    <w:rsid w:val="00520BA8"/>
    <w:rsid w:val="0052140C"/>
    <w:rsid w:val="0052184C"/>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03A"/>
    <w:rsid w:val="00533237"/>
    <w:rsid w:val="005332CC"/>
    <w:rsid w:val="00533347"/>
    <w:rsid w:val="00533BD7"/>
    <w:rsid w:val="00533EA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654"/>
    <w:rsid w:val="00543774"/>
    <w:rsid w:val="005437EA"/>
    <w:rsid w:val="0054391B"/>
    <w:rsid w:val="00543C22"/>
    <w:rsid w:val="00544287"/>
    <w:rsid w:val="0054453D"/>
    <w:rsid w:val="005445EF"/>
    <w:rsid w:val="00544921"/>
    <w:rsid w:val="00544B39"/>
    <w:rsid w:val="00544D1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57E27"/>
    <w:rsid w:val="0056040A"/>
    <w:rsid w:val="00560C3F"/>
    <w:rsid w:val="00560DCF"/>
    <w:rsid w:val="00560EA3"/>
    <w:rsid w:val="00561423"/>
    <w:rsid w:val="0056174C"/>
    <w:rsid w:val="00561EB3"/>
    <w:rsid w:val="005623EE"/>
    <w:rsid w:val="0056290E"/>
    <w:rsid w:val="00562BB1"/>
    <w:rsid w:val="00563148"/>
    <w:rsid w:val="00563E85"/>
    <w:rsid w:val="00564960"/>
    <w:rsid w:val="00564977"/>
    <w:rsid w:val="005652C1"/>
    <w:rsid w:val="005654C7"/>
    <w:rsid w:val="00565A60"/>
    <w:rsid w:val="00565A77"/>
    <w:rsid w:val="00565CD1"/>
    <w:rsid w:val="00565F91"/>
    <w:rsid w:val="00566276"/>
    <w:rsid w:val="005662C6"/>
    <w:rsid w:val="00566871"/>
    <w:rsid w:val="00566CAD"/>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1872"/>
    <w:rsid w:val="00592757"/>
    <w:rsid w:val="00593080"/>
    <w:rsid w:val="00593249"/>
    <w:rsid w:val="00593426"/>
    <w:rsid w:val="005937F4"/>
    <w:rsid w:val="00593BBA"/>
    <w:rsid w:val="00593C6F"/>
    <w:rsid w:val="00593DB1"/>
    <w:rsid w:val="0059429A"/>
    <w:rsid w:val="005942DF"/>
    <w:rsid w:val="0059434A"/>
    <w:rsid w:val="00595079"/>
    <w:rsid w:val="00595253"/>
    <w:rsid w:val="00595357"/>
    <w:rsid w:val="005953EE"/>
    <w:rsid w:val="00595829"/>
    <w:rsid w:val="00596276"/>
    <w:rsid w:val="0059679A"/>
    <w:rsid w:val="00597768"/>
    <w:rsid w:val="00597938"/>
    <w:rsid w:val="00597E56"/>
    <w:rsid w:val="005A0824"/>
    <w:rsid w:val="005A0836"/>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606"/>
    <w:rsid w:val="00656763"/>
    <w:rsid w:val="006573EB"/>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48A"/>
    <w:rsid w:val="00675521"/>
    <w:rsid w:val="00675B2D"/>
    <w:rsid w:val="006762FD"/>
    <w:rsid w:val="00677167"/>
    <w:rsid w:val="00677368"/>
    <w:rsid w:val="006773F0"/>
    <w:rsid w:val="006777A7"/>
    <w:rsid w:val="006777D6"/>
    <w:rsid w:val="00677909"/>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83E"/>
    <w:rsid w:val="00685ABB"/>
    <w:rsid w:val="00685B69"/>
    <w:rsid w:val="00686465"/>
    <w:rsid w:val="00686C9A"/>
    <w:rsid w:val="00687230"/>
    <w:rsid w:val="00687813"/>
    <w:rsid w:val="00687B4F"/>
    <w:rsid w:val="00687D2E"/>
    <w:rsid w:val="00690385"/>
    <w:rsid w:val="006906CB"/>
    <w:rsid w:val="0069094C"/>
    <w:rsid w:val="0069111C"/>
    <w:rsid w:val="00691228"/>
    <w:rsid w:val="0069137E"/>
    <w:rsid w:val="0069151C"/>
    <w:rsid w:val="00691987"/>
    <w:rsid w:val="00691B93"/>
    <w:rsid w:val="00692B8A"/>
    <w:rsid w:val="00692BDE"/>
    <w:rsid w:val="00692BE6"/>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485"/>
    <w:rsid w:val="007039D6"/>
    <w:rsid w:val="00704477"/>
    <w:rsid w:val="0070455D"/>
    <w:rsid w:val="00705176"/>
    <w:rsid w:val="007051BD"/>
    <w:rsid w:val="007051C7"/>
    <w:rsid w:val="00705739"/>
    <w:rsid w:val="00706256"/>
    <w:rsid w:val="007065C7"/>
    <w:rsid w:val="007065DE"/>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22F5"/>
    <w:rsid w:val="007227A4"/>
    <w:rsid w:val="007227EC"/>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529"/>
    <w:rsid w:val="007549E4"/>
    <w:rsid w:val="00754BF0"/>
    <w:rsid w:val="00754C3C"/>
    <w:rsid w:val="00755287"/>
    <w:rsid w:val="007555B3"/>
    <w:rsid w:val="007558B7"/>
    <w:rsid w:val="0075599F"/>
    <w:rsid w:val="00755BB0"/>
    <w:rsid w:val="007561ED"/>
    <w:rsid w:val="007564BE"/>
    <w:rsid w:val="0075705D"/>
    <w:rsid w:val="007573C3"/>
    <w:rsid w:val="00757729"/>
    <w:rsid w:val="007579A8"/>
    <w:rsid w:val="00757FD2"/>
    <w:rsid w:val="00757FD6"/>
    <w:rsid w:val="007600C0"/>
    <w:rsid w:val="0076011C"/>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72CD"/>
    <w:rsid w:val="00767554"/>
    <w:rsid w:val="00770973"/>
    <w:rsid w:val="00770B4A"/>
    <w:rsid w:val="00771228"/>
    <w:rsid w:val="00771320"/>
    <w:rsid w:val="00771CC2"/>
    <w:rsid w:val="00771E48"/>
    <w:rsid w:val="00771FED"/>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33E"/>
    <w:rsid w:val="007919F0"/>
    <w:rsid w:val="00791B4D"/>
    <w:rsid w:val="00791F54"/>
    <w:rsid w:val="007932F6"/>
    <w:rsid w:val="00793B13"/>
    <w:rsid w:val="00793D8A"/>
    <w:rsid w:val="00793E2A"/>
    <w:rsid w:val="00794163"/>
    <w:rsid w:val="00794746"/>
    <w:rsid w:val="00794D3A"/>
    <w:rsid w:val="00794FE4"/>
    <w:rsid w:val="007950EC"/>
    <w:rsid w:val="00795888"/>
    <w:rsid w:val="00796072"/>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97"/>
    <w:rsid w:val="007A6FB6"/>
    <w:rsid w:val="007A73AB"/>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72D"/>
    <w:rsid w:val="00810A71"/>
    <w:rsid w:val="008113C2"/>
    <w:rsid w:val="008113C3"/>
    <w:rsid w:val="00811488"/>
    <w:rsid w:val="00811499"/>
    <w:rsid w:val="0081154A"/>
    <w:rsid w:val="0081165D"/>
    <w:rsid w:val="00811719"/>
    <w:rsid w:val="008118D2"/>
    <w:rsid w:val="00811AAB"/>
    <w:rsid w:val="008123D2"/>
    <w:rsid w:val="00812C0E"/>
    <w:rsid w:val="00813370"/>
    <w:rsid w:val="00813661"/>
    <w:rsid w:val="00813EEA"/>
    <w:rsid w:val="00813F58"/>
    <w:rsid w:val="00813FA3"/>
    <w:rsid w:val="00814219"/>
    <w:rsid w:val="008147A1"/>
    <w:rsid w:val="008150B2"/>
    <w:rsid w:val="008150FA"/>
    <w:rsid w:val="0081563C"/>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281"/>
    <w:rsid w:val="00825798"/>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87"/>
    <w:rsid w:val="00840552"/>
    <w:rsid w:val="008407EB"/>
    <w:rsid w:val="00840C4D"/>
    <w:rsid w:val="00841156"/>
    <w:rsid w:val="0084165E"/>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346F"/>
    <w:rsid w:val="00853743"/>
    <w:rsid w:val="008537E7"/>
    <w:rsid w:val="00853A1E"/>
    <w:rsid w:val="00853E13"/>
    <w:rsid w:val="00853F4E"/>
    <w:rsid w:val="008543D5"/>
    <w:rsid w:val="008544A8"/>
    <w:rsid w:val="008545CA"/>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B71"/>
    <w:rsid w:val="00875C0B"/>
    <w:rsid w:val="00875CCE"/>
    <w:rsid w:val="00875D5F"/>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87B"/>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F88"/>
    <w:rsid w:val="008A1040"/>
    <w:rsid w:val="008A1053"/>
    <w:rsid w:val="008A197A"/>
    <w:rsid w:val="008A1FF1"/>
    <w:rsid w:val="008A20E7"/>
    <w:rsid w:val="008A2715"/>
    <w:rsid w:val="008A290B"/>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C01B2"/>
    <w:rsid w:val="008C03DE"/>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7C9"/>
    <w:rsid w:val="008C6A7E"/>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24D"/>
    <w:rsid w:val="008E35E8"/>
    <w:rsid w:val="008E3D2B"/>
    <w:rsid w:val="008E4009"/>
    <w:rsid w:val="008E42F4"/>
    <w:rsid w:val="008E4851"/>
    <w:rsid w:val="008E56DB"/>
    <w:rsid w:val="008E572F"/>
    <w:rsid w:val="008E5987"/>
    <w:rsid w:val="008E69E8"/>
    <w:rsid w:val="008E7436"/>
    <w:rsid w:val="008E779B"/>
    <w:rsid w:val="008E796E"/>
    <w:rsid w:val="008E7BFE"/>
    <w:rsid w:val="008F006A"/>
    <w:rsid w:val="008F00AB"/>
    <w:rsid w:val="008F06AF"/>
    <w:rsid w:val="008F1D57"/>
    <w:rsid w:val="008F29E1"/>
    <w:rsid w:val="008F2C8A"/>
    <w:rsid w:val="008F32D0"/>
    <w:rsid w:val="008F3623"/>
    <w:rsid w:val="008F3DFB"/>
    <w:rsid w:val="008F3E21"/>
    <w:rsid w:val="008F4DE0"/>
    <w:rsid w:val="008F5088"/>
    <w:rsid w:val="008F50FC"/>
    <w:rsid w:val="008F51AF"/>
    <w:rsid w:val="008F5361"/>
    <w:rsid w:val="008F5CCD"/>
    <w:rsid w:val="008F5FC8"/>
    <w:rsid w:val="008F60EA"/>
    <w:rsid w:val="008F63F1"/>
    <w:rsid w:val="008F68CD"/>
    <w:rsid w:val="00900007"/>
    <w:rsid w:val="00900128"/>
    <w:rsid w:val="00900373"/>
    <w:rsid w:val="0090048E"/>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B48"/>
    <w:rsid w:val="009433F2"/>
    <w:rsid w:val="00943A66"/>
    <w:rsid w:val="00943B3B"/>
    <w:rsid w:val="00943E73"/>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BD6"/>
    <w:rsid w:val="00960CE7"/>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9AF"/>
    <w:rsid w:val="009A2C45"/>
    <w:rsid w:val="009A3F9D"/>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08E"/>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7BD"/>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A5E"/>
    <w:rsid w:val="00A05F85"/>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F64"/>
    <w:rsid w:val="00A27F78"/>
    <w:rsid w:val="00A300A4"/>
    <w:rsid w:val="00A304D7"/>
    <w:rsid w:val="00A30DDA"/>
    <w:rsid w:val="00A30E1A"/>
    <w:rsid w:val="00A312CE"/>
    <w:rsid w:val="00A313B3"/>
    <w:rsid w:val="00A314EB"/>
    <w:rsid w:val="00A32034"/>
    <w:rsid w:val="00A32AE3"/>
    <w:rsid w:val="00A32B37"/>
    <w:rsid w:val="00A330AD"/>
    <w:rsid w:val="00A332C5"/>
    <w:rsid w:val="00A332D6"/>
    <w:rsid w:val="00A33626"/>
    <w:rsid w:val="00A336F0"/>
    <w:rsid w:val="00A33D99"/>
    <w:rsid w:val="00A33F13"/>
    <w:rsid w:val="00A34865"/>
    <w:rsid w:val="00A34B39"/>
    <w:rsid w:val="00A34B9F"/>
    <w:rsid w:val="00A34C7D"/>
    <w:rsid w:val="00A3521F"/>
    <w:rsid w:val="00A35519"/>
    <w:rsid w:val="00A35AE8"/>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7C2"/>
    <w:rsid w:val="00A667DC"/>
    <w:rsid w:val="00A66C51"/>
    <w:rsid w:val="00A67256"/>
    <w:rsid w:val="00A6728A"/>
    <w:rsid w:val="00A6729E"/>
    <w:rsid w:val="00A67407"/>
    <w:rsid w:val="00A702B8"/>
    <w:rsid w:val="00A7033D"/>
    <w:rsid w:val="00A715B2"/>
    <w:rsid w:val="00A71897"/>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9BC"/>
    <w:rsid w:val="00AB0E23"/>
    <w:rsid w:val="00AB167F"/>
    <w:rsid w:val="00AB17E6"/>
    <w:rsid w:val="00AB1DDD"/>
    <w:rsid w:val="00AB293F"/>
    <w:rsid w:val="00AB2A9F"/>
    <w:rsid w:val="00AB34F5"/>
    <w:rsid w:val="00AB35AF"/>
    <w:rsid w:val="00AB392B"/>
    <w:rsid w:val="00AB40ED"/>
    <w:rsid w:val="00AB4737"/>
    <w:rsid w:val="00AB4911"/>
    <w:rsid w:val="00AB505B"/>
    <w:rsid w:val="00AB505E"/>
    <w:rsid w:val="00AB53E2"/>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2E0"/>
    <w:rsid w:val="00AD0B1F"/>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52C"/>
    <w:rsid w:val="00AE26F1"/>
    <w:rsid w:val="00AE29B7"/>
    <w:rsid w:val="00AE35BB"/>
    <w:rsid w:val="00AE3729"/>
    <w:rsid w:val="00AE3AD0"/>
    <w:rsid w:val="00AE4031"/>
    <w:rsid w:val="00AE40D1"/>
    <w:rsid w:val="00AE4413"/>
    <w:rsid w:val="00AE4944"/>
    <w:rsid w:val="00AE6640"/>
    <w:rsid w:val="00AE6991"/>
    <w:rsid w:val="00AE6ED9"/>
    <w:rsid w:val="00AF14E9"/>
    <w:rsid w:val="00AF19EF"/>
    <w:rsid w:val="00AF21F4"/>
    <w:rsid w:val="00AF286D"/>
    <w:rsid w:val="00AF299C"/>
    <w:rsid w:val="00AF2DC2"/>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292"/>
    <w:rsid w:val="00B106A9"/>
    <w:rsid w:val="00B10980"/>
    <w:rsid w:val="00B10B35"/>
    <w:rsid w:val="00B10C90"/>
    <w:rsid w:val="00B1102B"/>
    <w:rsid w:val="00B11189"/>
    <w:rsid w:val="00B1125D"/>
    <w:rsid w:val="00B1128E"/>
    <w:rsid w:val="00B113E9"/>
    <w:rsid w:val="00B1195F"/>
    <w:rsid w:val="00B11AC5"/>
    <w:rsid w:val="00B11E37"/>
    <w:rsid w:val="00B12EA5"/>
    <w:rsid w:val="00B130FA"/>
    <w:rsid w:val="00B1338B"/>
    <w:rsid w:val="00B13A46"/>
    <w:rsid w:val="00B13AF8"/>
    <w:rsid w:val="00B13CA8"/>
    <w:rsid w:val="00B1404E"/>
    <w:rsid w:val="00B14318"/>
    <w:rsid w:val="00B14348"/>
    <w:rsid w:val="00B14EBE"/>
    <w:rsid w:val="00B15102"/>
    <w:rsid w:val="00B1546B"/>
    <w:rsid w:val="00B155A4"/>
    <w:rsid w:val="00B15644"/>
    <w:rsid w:val="00B159F0"/>
    <w:rsid w:val="00B15A80"/>
    <w:rsid w:val="00B16058"/>
    <w:rsid w:val="00B16225"/>
    <w:rsid w:val="00B16A4C"/>
    <w:rsid w:val="00B16E01"/>
    <w:rsid w:val="00B174AD"/>
    <w:rsid w:val="00B178D5"/>
    <w:rsid w:val="00B179E2"/>
    <w:rsid w:val="00B17A6F"/>
    <w:rsid w:val="00B20A7E"/>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C45"/>
    <w:rsid w:val="00B33552"/>
    <w:rsid w:val="00B33A39"/>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19D"/>
    <w:rsid w:val="00B40247"/>
    <w:rsid w:val="00B40352"/>
    <w:rsid w:val="00B405D5"/>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2576"/>
    <w:rsid w:val="00B62607"/>
    <w:rsid w:val="00B62B4B"/>
    <w:rsid w:val="00B63EFA"/>
    <w:rsid w:val="00B644BD"/>
    <w:rsid w:val="00B647A8"/>
    <w:rsid w:val="00B650CC"/>
    <w:rsid w:val="00B6522F"/>
    <w:rsid w:val="00B6540C"/>
    <w:rsid w:val="00B657EA"/>
    <w:rsid w:val="00B657EF"/>
    <w:rsid w:val="00B65CF2"/>
    <w:rsid w:val="00B65E0D"/>
    <w:rsid w:val="00B660CE"/>
    <w:rsid w:val="00B66C0C"/>
    <w:rsid w:val="00B66CA1"/>
    <w:rsid w:val="00B703AF"/>
    <w:rsid w:val="00B70B0D"/>
    <w:rsid w:val="00B70EA9"/>
    <w:rsid w:val="00B71573"/>
    <w:rsid w:val="00B729C8"/>
    <w:rsid w:val="00B72AF7"/>
    <w:rsid w:val="00B72B84"/>
    <w:rsid w:val="00B72C0B"/>
    <w:rsid w:val="00B72FE5"/>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62F2"/>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31F"/>
    <w:rsid w:val="00BE7488"/>
    <w:rsid w:val="00BF070D"/>
    <w:rsid w:val="00BF0792"/>
    <w:rsid w:val="00BF105C"/>
    <w:rsid w:val="00BF1571"/>
    <w:rsid w:val="00BF17F5"/>
    <w:rsid w:val="00BF1F93"/>
    <w:rsid w:val="00BF211A"/>
    <w:rsid w:val="00BF2C9A"/>
    <w:rsid w:val="00BF2DAD"/>
    <w:rsid w:val="00BF2F60"/>
    <w:rsid w:val="00BF3087"/>
    <w:rsid w:val="00BF3302"/>
    <w:rsid w:val="00BF3436"/>
    <w:rsid w:val="00BF36A4"/>
    <w:rsid w:val="00BF3A9F"/>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037"/>
    <w:rsid w:val="00C07213"/>
    <w:rsid w:val="00C07298"/>
    <w:rsid w:val="00C07BFA"/>
    <w:rsid w:val="00C07D4F"/>
    <w:rsid w:val="00C10914"/>
    <w:rsid w:val="00C12F32"/>
    <w:rsid w:val="00C12FC6"/>
    <w:rsid w:val="00C1342C"/>
    <w:rsid w:val="00C13686"/>
    <w:rsid w:val="00C13B96"/>
    <w:rsid w:val="00C13BE7"/>
    <w:rsid w:val="00C143D8"/>
    <w:rsid w:val="00C1519C"/>
    <w:rsid w:val="00C151ED"/>
    <w:rsid w:val="00C1583E"/>
    <w:rsid w:val="00C15956"/>
    <w:rsid w:val="00C1668D"/>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F93"/>
    <w:rsid w:val="00C3043D"/>
    <w:rsid w:val="00C30794"/>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37D9B"/>
    <w:rsid w:val="00C405C6"/>
    <w:rsid w:val="00C40BDC"/>
    <w:rsid w:val="00C411B3"/>
    <w:rsid w:val="00C4120A"/>
    <w:rsid w:val="00C41571"/>
    <w:rsid w:val="00C4165E"/>
    <w:rsid w:val="00C41C5D"/>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BA7"/>
    <w:rsid w:val="00C74E07"/>
    <w:rsid w:val="00C75622"/>
    <w:rsid w:val="00C7577B"/>
    <w:rsid w:val="00C75847"/>
    <w:rsid w:val="00C75E28"/>
    <w:rsid w:val="00C7673D"/>
    <w:rsid w:val="00C76E0F"/>
    <w:rsid w:val="00C76E12"/>
    <w:rsid w:val="00C7769B"/>
    <w:rsid w:val="00C77D8A"/>
    <w:rsid w:val="00C77E48"/>
    <w:rsid w:val="00C8095A"/>
    <w:rsid w:val="00C80B0D"/>
    <w:rsid w:val="00C817CE"/>
    <w:rsid w:val="00C820A5"/>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7366"/>
    <w:rsid w:val="00C8764B"/>
    <w:rsid w:val="00C90142"/>
    <w:rsid w:val="00C909BC"/>
    <w:rsid w:val="00C9122A"/>
    <w:rsid w:val="00C91A9E"/>
    <w:rsid w:val="00C91D97"/>
    <w:rsid w:val="00C920DF"/>
    <w:rsid w:val="00C92DDF"/>
    <w:rsid w:val="00C93315"/>
    <w:rsid w:val="00C93469"/>
    <w:rsid w:val="00C937B2"/>
    <w:rsid w:val="00C93B44"/>
    <w:rsid w:val="00C942A3"/>
    <w:rsid w:val="00C9442E"/>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124"/>
    <w:rsid w:val="00CC2F87"/>
    <w:rsid w:val="00CC3013"/>
    <w:rsid w:val="00CC3087"/>
    <w:rsid w:val="00CC35BA"/>
    <w:rsid w:val="00CC49DC"/>
    <w:rsid w:val="00CC5338"/>
    <w:rsid w:val="00CC670F"/>
    <w:rsid w:val="00CC6A77"/>
    <w:rsid w:val="00CC6C3F"/>
    <w:rsid w:val="00CC6CF0"/>
    <w:rsid w:val="00CC7016"/>
    <w:rsid w:val="00CC70B7"/>
    <w:rsid w:val="00CD0086"/>
    <w:rsid w:val="00CD0712"/>
    <w:rsid w:val="00CD087D"/>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0E5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CA"/>
    <w:rsid w:val="00D52268"/>
    <w:rsid w:val="00D526FE"/>
    <w:rsid w:val="00D52786"/>
    <w:rsid w:val="00D52C4E"/>
    <w:rsid w:val="00D53406"/>
    <w:rsid w:val="00D5398D"/>
    <w:rsid w:val="00D53BE7"/>
    <w:rsid w:val="00D53CAD"/>
    <w:rsid w:val="00D5419D"/>
    <w:rsid w:val="00D54ABE"/>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4D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BBE"/>
    <w:rsid w:val="00D85D48"/>
    <w:rsid w:val="00D85D8D"/>
    <w:rsid w:val="00D86182"/>
    <w:rsid w:val="00D869D1"/>
    <w:rsid w:val="00D86B12"/>
    <w:rsid w:val="00D87261"/>
    <w:rsid w:val="00D875D5"/>
    <w:rsid w:val="00D87E8E"/>
    <w:rsid w:val="00D87F94"/>
    <w:rsid w:val="00D900FD"/>
    <w:rsid w:val="00D90571"/>
    <w:rsid w:val="00D90874"/>
    <w:rsid w:val="00D91024"/>
    <w:rsid w:val="00D91076"/>
    <w:rsid w:val="00D912B4"/>
    <w:rsid w:val="00D912F8"/>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4A1"/>
    <w:rsid w:val="00D978F5"/>
    <w:rsid w:val="00D97EC2"/>
    <w:rsid w:val="00DA1B77"/>
    <w:rsid w:val="00DA1D1D"/>
    <w:rsid w:val="00DA2330"/>
    <w:rsid w:val="00DA2461"/>
    <w:rsid w:val="00DA264D"/>
    <w:rsid w:val="00DA2AB6"/>
    <w:rsid w:val="00DA3236"/>
    <w:rsid w:val="00DA3338"/>
    <w:rsid w:val="00DA38FA"/>
    <w:rsid w:val="00DA3A27"/>
    <w:rsid w:val="00DA3DA6"/>
    <w:rsid w:val="00DA3F13"/>
    <w:rsid w:val="00DA446B"/>
    <w:rsid w:val="00DA46AB"/>
    <w:rsid w:val="00DA4703"/>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552"/>
    <w:rsid w:val="00DD0610"/>
    <w:rsid w:val="00DD0A9E"/>
    <w:rsid w:val="00DD1995"/>
    <w:rsid w:val="00DD1B7A"/>
    <w:rsid w:val="00DD1C53"/>
    <w:rsid w:val="00DD209A"/>
    <w:rsid w:val="00DD2134"/>
    <w:rsid w:val="00DD24A8"/>
    <w:rsid w:val="00DD24FD"/>
    <w:rsid w:val="00DD2A93"/>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3947"/>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5773"/>
    <w:rsid w:val="00E05AF4"/>
    <w:rsid w:val="00E05E94"/>
    <w:rsid w:val="00E062D3"/>
    <w:rsid w:val="00E070B5"/>
    <w:rsid w:val="00E07766"/>
    <w:rsid w:val="00E078C0"/>
    <w:rsid w:val="00E07A1F"/>
    <w:rsid w:val="00E07A89"/>
    <w:rsid w:val="00E10349"/>
    <w:rsid w:val="00E103A6"/>
    <w:rsid w:val="00E10C84"/>
    <w:rsid w:val="00E119AA"/>
    <w:rsid w:val="00E11F48"/>
    <w:rsid w:val="00E126E0"/>
    <w:rsid w:val="00E12C0B"/>
    <w:rsid w:val="00E12F19"/>
    <w:rsid w:val="00E13284"/>
    <w:rsid w:val="00E137FC"/>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E08"/>
    <w:rsid w:val="00E23164"/>
    <w:rsid w:val="00E231A1"/>
    <w:rsid w:val="00E23425"/>
    <w:rsid w:val="00E23ECC"/>
    <w:rsid w:val="00E24094"/>
    <w:rsid w:val="00E24275"/>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67BE3"/>
    <w:rsid w:val="00E67D80"/>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3EBC"/>
    <w:rsid w:val="00E74159"/>
    <w:rsid w:val="00E741CD"/>
    <w:rsid w:val="00E74366"/>
    <w:rsid w:val="00E746C4"/>
    <w:rsid w:val="00E74795"/>
    <w:rsid w:val="00E7488E"/>
    <w:rsid w:val="00E74AFD"/>
    <w:rsid w:val="00E74D61"/>
    <w:rsid w:val="00E75049"/>
    <w:rsid w:val="00E75082"/>
    <w:rsid w:val="00E7557A"/>
    <w:rsid w:val="00E7587B"/>
    <w:rsid w:val="00E758D3"/>
    <w:rsid w:val="00E758D6"/>
    <w:rsid w:val="00E75D6F"/>
    <w:rsid w:val="00E7651D"/>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69DF"/>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276"/>
    <w:rsid w:val="00EA05B3"/>
    <w:rsid w:val="00EA0B54"/>
    <w:rsid w:val="00EA0ED6"/>
    <w:rsid w:val="00EA142C"/>
    <w:rsid w:val="00EA1FA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CBE"/>
    <w:rsid w:val="00EF55D2"/>
    <w:rsid w:val="00EF5AA2"/>
    <w:rsid w:val="00EF5E61"/>
    <w:rsid w:val="00EF6823"/>
    <w:rsid w:val="00EF6ABF"/>
    <w:rsid w:val="00EF749D"/>
    <w:rsid w:val="00EF7904"/>
    <w:rsid w:val="00EF79E8"/>
    <w:rsid w:val="00EF7DEC"/>
    <w:rsid w:val="00F008D9"/>
    <w:rsid w:val="00F00A26"/>
    <w:rsid w:val="00F00B23"/>
    <w:rsid w:val="00F012F3"/>
    <w:rsid w:val="00F01459"/>
    <w:rsid w:val="00F01765"/>
    <w:rsid w:val="00F01AC2"/>
    <w:rsid w:val="00F028F6"/>
    <w:rsid w:val="00F02D0E"/>
    <w:rsid w:val="00F02FDB"/>
    <w:rsid w:val="00F03094"/>
    <w:rsid w:val="00F03295"/>
    <w:rsid w:val="00F04010"/>
    <w:rsid w:val="00F048BE"/>
    <w:rsid w:val="00F04F2E"/>
    <w:rsid w:val="00F05348"/>
    <w:rsid w:val="00F05C65"/>
    <w:rsid w:val="00F0609A"/>
    <w:rsid w:val="00F067F4"/>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980"/>
    <w:rsid w:val="00F33234"/>
    <w:rsid w:val="00F33C0D"/>
    <w:rsid w:val="00F347C0"/>
    <w:rsid w:val="00F350A6"/>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86E3A"/>
    <w:rsid w:val="00F90351"/>
    <w:rsid w:val="00F90EFF"/>
    <w:rsid w:val="00F91739"/>
    <w:rsid w:val="00F9191F"/>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2EF"/>
    <w:rsid w:val="00FC436D"/>
    <w:rsid w:val="00FC4450"/>
    <w:rsid w:val="00FC4669"/>
    <w:rsid w:val="00FC479A"/>
    <w:rsid w:val="00FC47C3"/>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A4F"/>
    <w:rsid w:val="00FD1AD3"/>
    <w:rsid w:val="00FD235D"/>
    <w:rsid w:val="00FD2403"/>
    <w:rsid w:val="00FD2657"/>
    <w:rsid w:val="00FD2775"/>
    <w:rsid w:val="00FD28F4"/>
    <w:rsid w:val="00FD2960"/>
    <w:rsid w:val="00FD299D"/>
    <w:rsid w:val="00FD2B2C"/>
    <w:rsid w:val="00FD32B7"/>
    <w:rsid w:val="00FD336C"/>
    <w:rsid w:val="00FD3515"/>
    <w:rsid w:val="00FD39F5"/>
    <w:rsid w:val="00FD415F"/>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5C1"/>
    <w:rsid w:val="00FF7774"/>
    <w:rsid w:val="00FF7AE5"/>
    <w:rsid w:val="01811C75"/>
    <w:rsid w:val="03921D6C"/>
    <w:rsid w:val="05440029"/>
    <w:rsid w:val="05D70087"/>
    <w:rsid w:val="065C0887"/>
    <w:rsid w:val="069A0A43"/>
    <w:rsid w:val="0704774F"/>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B755653"/>
    <w:rsid w:val="4ECD6FDE"/>
    <w:rsid w:val="4ED44471"/>
    <w:rsid w:val="4F0D2DB3"/>
    <w:rsid w:val="4F453635"/>
    <w:rsid w:val="500927CF"/>
    <w:rsid w:val="5025082A"/>
    <w:rsid w:val="51477516"/>
    <w:rsid w:val="51765B3D"/>
    <w:rsid w:val="51B90621"/>
    <w:rsid w:val="526E4D11"/>
    <w:rsid w:val="540903AF"/>
    <w:rsid w:val="5539287C"/>
    <w:rsid w:val="57045E92"/>
    <w:rsid w:val="57DC16CF"/>
    <w:rsid w:val="5A1F6B0F"/>
    <w:rsid w:val="5BAF3429"/>
    <w:rsid w:val="5C160E3F"/>
    <w:rsid w:val="5E7775A4"/>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字符"/>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字符"/>
    <w:link w:val="9"/>
    <w:qFormat/>
    <w:uiPriority w:val="0"/>
    <w:rPr>
      <w:rFonts w:ascii="Arial" w:hAnsi="Arial"/>
      <w:sz w:val="36"/>
      <w:lang w:val="en-GB" w:eastAsia="en-US"/>
    </w:rPr>
  </w:style>
  <w:style w:type="character" w:customStyle="1" w:styleId="48">
    <w:name w:val="标题 3 字符"/>
    <w:link w:val="4"/>
    <w:qFormat/>
    <w:uiPriority w:val="0"/>
    <w:rPr>
      <w:sz w:val="28"/>
      <w:lang w:eastAsia="en-US"/>
    </w:rPr>
  </w:style>
  <w:style w:type="character" w:customStyle="1" w:styleId="49">
    <w:name w:val="列出段落 字符"/>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批注文字 字符"/>
    <w:link w:val="21"/>
    <w:qFormat/>
    <w:uiPriority w:val="99"/>
    <w:rPr>
      <w:lang w:val="en-GB" w:eastAsia="en-US"/>
    </w:rPr>
  </w:style>
  <w:style w:type="character" w:customStyle="1" w:styleId="52">
    <w:name w:val="批注主题 字符"/>
    <w:link w:val="33"/>
    <w:qFormat/>
    <w:uiPriority w:val="0"/>
    <w:rPr>
      <w:b/>
      <w:bCs/>
      <w:lang w:val="en-GB" w:eastAsia="en-US"/>
    </w:rPr>
  </w:style>
  <w:style w:type="character" w:customStyle="1" w:styleId="53">
    <w:name w:val="正文文本 字符"/>
    <w:link w:val="23"/>
    <w:qFormat/>
    <w:uiPriority w:val="0"/>
    <w:rPr>
      <w:rFonts w:ascii="Arial" w:hAnsi="Arial"/>
      <w:b/>
      <w:sz w:val="18"/>
      <w:lang w:val="en-GB" w:eastAsia="ja-JP"/>
    </w:rPr>
  </w:style>
  <w:style w:type="character" w:customStyle="1" w:styleId="54">
    <w:name w:val="题注 字符"/>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字符"/>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标题 2 字符"/>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文档结构图 字符"/>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纯文本 字符"/>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MS Mincho"/>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1467EF3-4E2B-4C0C-9F14-7BB3AF2664ED}">
  <ds:schemaRefs/>
</ds:datastoreItem>
</file>

<file path=customXml/itemProps2.xml><?xml version="1.0" encoding="utf-8"?>
<ds:datastoreItem xmlns:ds="http://schemas.openxmlformats.org/officeDocument/2006/customXml" ds:itemID="{E379FE64-2D64-462F-A130-35144DD7FA92}">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13</Pages>
  <Words>4785</Words>
  <Characters>25223</Characters>
  <Lines>231</Lines>
  <Paragraphs>65</Paragraphs>
  <TotalTime>1</TotalTime>
  <ScaleCrop>false</ScaleCrop>
  <LinksUpToDate>false</LinksUpToDate>
  <CharactersWithSpaces>29574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2023-02-27T06:56:00Z</dcterms:created>
  <dc:creator>Johan Bergman</dc:creator>
  <cp:lastModifiedBy>Hu Youjun</cp:lastModifiedBy>
  <dcterms:modified xsi:type="dcterms:W3CDTF">2023-02-27T07:41:59Z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2052-11.1.0.13703</vt:lpwstr>
  </property>
  <property fmtid="{D5CDD505-2E9C-101B-9397-08002B2CF9AE}" pid="13" name="ICV">
    <vt:lpwstr>E7EBEF5042A5436FA7D55FE38406EAB2</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