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hint="default"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112</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w:t>
      </w:r>
      <w:r>
        <w:rPr>
          <w:rFonts w:hint="eastAsia" w:ascii="Arial" w:hAnsi="Arial" w:eastAsia="宋体" w:cs="Arial"/>
          <w:b/>
          <w:bCs/>
          <w:sz w:val="22"/>
          <w:szCs w:val="22"/>
        </w:rPr>
        <w:t>3</w:t>
      </w:r>
      <w:r>
        <w:rPr>
          <w:rFonts w:hint="eastAsia" w:ascii="Arial" w:hAnsi="Arial" w:eastAsia="宋体" w:cs="Arial"/>
          <w:b/>
          <w:bCs/>
          <w:sz w:val="22"/>
          <w:szCs w:val="22"/>
          <w:lang w:val="en-US" w:eastAsia="zh-CN"/>
        </w:rPr>
        <w:t>02005</w:t>
      </w:r>
    </w:p>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lang w:eastAsia="ja-JP"/>
        </w:rPr>
        <w:t>Athens, Greece, February 27</w:t>
      </w:r>
      <w:r>
        <w:rPr>
          <w:rFonts w:ascii="Arial" w:hAnsi="Arial" w:cs="Arial"/>
          <w:b/>
          <w:bCs/>
          <w:sz w:val="22"/>
          <w:szCs w:val="22"/>
          <w:vertAlign w:val="superscript"/>
          <w:lang w:eastAsia="ja-JP"/>
        </w:rPr>
        <w:t>th</w:t>
      </w:r>
      <w:r>
        <w:rPr>
          <w:rFonts w:ascii="Arial" w:hAnsi="Arial" w:cs="Arial"/>
          <w:b/>
          <w:bCs/>
          <w:sz w:val="22"/>
          <w:szCs w:val="22"/>
          <w:lang w:eastAsia="ja-JP"/>
        </w:rPr>
        <w:t xml:space="preserve"> – March 3</w:t>
      </w:r>
      <w:r>
        <w:rPr>
          <w:rFonts w:ascii="Arial" w:hAnsi="Arial" w:cs="Arial"/>
          <w:b/>
          <w:bCs/>
          <w:sz w:val="22"/>
          <w:szCs w:val="22"/>
          <w:vertAlign w:val="superscript"/>
          <w:lang w:eastAsia="ja-JP"/>
        </w:rPr>
        <w:t>rd</w:t>
      </w:r>
      <w:r>
        <w:rPr>
          <w:rFonts w:ascii="Arial" w:hAnsi="Arial" w:cs="Arial"/>
          <w:b/>
          <w:bCs/>
          <w:sz w:val="22"/>
          <w:szCs w:val="22"/>
          <w:lang w:eastAsia="ja-JP"/>
        </w:rPr>
        <w:t>, 202</w:t>
      </w:r>
      <w:r>
        <w:rPr>
          <w:rFonts w:hint="eastAsia" w:ascii="Arial" w:hAnsi="Arial" w:eastAsia="宋体" w:cs="Arial"/>
          <w:b/>
          <w:bCs/>
          <w:sz w:val="22"/>
          <w:szCs w:val="22"/>
        </w:rPr>
        <w:t>3</w:t>
      </w:r>
    </w:p>
    <w:p>
      <w:pPr>
        <w:pStyle w:val="22"/>
        <w:spacing w:before="120"/>
        <w:rPr>
          <w:rFonts w:eastAsiaTheme="minorEastAsia"/>
        </w:rPr>
      </w:pPr>
    </w:p>
    <w:p>
      <w:pPr>
        <w:pStyle w:val="22"/>
        <w:spacing w:before="120"/>
        <w:rPr>
          <w:rFonts w:eastAsia="宋体"/>
        </w:rPr>
      </w:pPr>
      <w:r>
        <w:t>Agenda item:</w:t>
      </w:r>
      <w:r>
        <w:tab/>
      </w:r>
      <w:r>
        <w:rPr>
          <w:rFonts w:hint="eastAsia" w:eastAsia="宋体"/>
        </w:rPr>
        <w:t>8.10</w:t>
      </w:r>
    </w:p>
    <w:p>
      <w:pPr>
        <w:pStyle w:val="22"/>
        <w:spacing w:before="120"/>
        <w:rPr>
          <w:rFonts w:eastAsia="宋体"/>
        </w:rPr>
      </w:pPr>
      <w:r>
        <w:t xml:space="preserve">Source: </w:t>
      </w:r>
      <w:r>
        <w:tab/>
      </w:r>
      <w:r>
        <w:rPr>
          <w:rFonts w:cs="Arial"/>
          <w:spacing w:val="5"/>
          <w:lang w:val="en-GB"/>
        </w:rPr>
        <w:t>Moderator (</w:t>
      </w:r>
      <w:r>
        <w:t>ZTE</w:t>
      </w:r>
      <w:r>
        <w:rPr>
          <w:rFonts w:hint="eastAsia" w:eastAsia="宋体"/>
        </w:rPr>
        <w:t>)</w:t>
      </w:r>
    </w:p>
    <w:p>
      <w:pPr>
        <w:pStyle w:val="22"/>
        <w:spacing w:before="120"/>
        <w:rPr>
          <w:rFonts w:eastAsia="宋体"/>
        </w:rPr>
      </w:pPr>
      <w:r>
        <w:t xml:space="preserve">Title: </w:t>
      </w:r>
      <w:r>
        <w:tab/>
      </w:r>
      <w:r>
        <w:rPr>
          <w:rFonts w:cs="Arial"/>
          <w:spacing w:val="5"/>
          <w:lang w:val="en-GB"/>
        </w:rPr>
        <w:t>Summary of reply LS to</w:t>
      </w:r>
      <w:r>
        <w:rPr>
          <w:rFonts w:hint="eastAsia" w:eastAsia="宋体" w:cs="Arial"/>
          <w:spacing w:val="5"/>
        </w:rPr>
        <w:t xml:space="preserve"> </w:t>
      </w:r>
      <w:r>
        <w:rPr>
          <w:rFonts w:hint="eastAsia" w:eastAsia="宋体"/>
        </w:rPr>
        <w:t>R1-2300006(</w:t>
      </w:r>
      <w:r>
        <w:rPr>
          <w:rFonts w:hint="eastAsia"/>
        </w:rPr>
        <w:t>RAN3 LS on RB set configuration</w:t>
      </w:r>
      <w:r>
        <w:rPr>
          <w:rFonts w:hint="eastAsia" w:eastAsia="宋体"/>
        </w:rPr>
        <w:t>)</w:t>
      </w:r>
    </w:p>
    <w:p>
      <w:pPr>
        <w:pStyle w:val="22"/>
        <w:spacing w:before="120"/>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rPr>
          <w:rFonts w:eastAsia="宋体"/>
        </w:rPr>
      </w:pPr>
      <w:r>
        <w:t>RAN1 has received the LS</w:t>
      </w:r>
      <w:r>
        <w:rPr>
          <w:rFonts w:hint="eastAsia" w:eastAsia="宋体"/>
        </w:rPr>
        <w:t xml:space="preserve"> on RB set configuration for IAB</w:t>
      </w:r>
      <w:r>
        <w:t xml:space="preserve"> from RAN</w:t>
      </w:r>
      <w:r>
        <w:rPr>
          <w:rFonts w:hint="eastAsia" w:eastAsia="宋体"/>
        </w:rPr>
        <w:t>3[1] with the following contents: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pPr>
            <w:r>
              <w:t>RAN3’s discussion considers the following RAN1 agreements:</w:t>
            </w:r>
          </w:p>
          <w:p>
            <w:pPr>
              <w:spacing w:before="120" w:after="120"/>
              <w:rPr>
                <w:color w:val="000000"/>
              </w:rPr>
            </w:pPr>
            <w:r>
              <w:rPr>
                <w:b/>
                <w:bCs/>
                <w:iCs/>
                <w:highlight w:val="green"/>
              </w:rPr>
              <w:t>Agreement</w:t>
            </w:r>
            <w:r>
              <w:rPr>
                <w:b/>
                <w:bCs/>
                <w:iCs/>
              </w:rPr>
              <w:t xml:space="preserve"> (RAN1#106-e)</w:t>
            </w:r>
            <w:r>
              <w:rPr>
                <w:b/>
                <w:bCs/>
                <w:color w:val="000000"/>
              </w:rPr>
              <w:br w:type="textWrapping"/>
            </w:r>
            <w:r>
              <w:rPr>
                <w:color w:val="000000"/>
              </w:rPr>
              <w:t>A Reference SCS is configured for frequency domain H/S/NA configuration.</w:t>
            </w:r>
          </w:p>
          <w:p>
            <w:pPr>
              <w:spacing w:before="120" w:after="120"/>
              <w:rPr>
                <w:rFonts w:eastAsia="宋体"/>
              </w:rPr>
            </w:pPr>
            <w:r>
              <w:rPr>
                <w:b/>
                <w:bCs/>
                <w:iCs/>
                <w:highlight w:val="green"/>
              </w:rPr>
              <w:t>Agreement</w:t>
            </w:r>
            <w:r>
              <w:rPr>
                <w:b/>
                <w:bCs/>
                <w:iCs/>
              </w:rPr>
              <w:t xml:space="preserve"> (RAN1#108-e)</w:t>
            </w:r>
            <w:r>
              <w:rPr>
                <w:b/>
                <w:bCs/>
                <w:iCs/>
              </w:rPr>
              <w:br w:type="textWrapping"/>
            </w:r>
            <w:r>
              <w:rPr>
                <w:rStyle w:val="51"/>
                <w:rFonts w:ascii="Times New Roman" w:hAnsi="Times New Roman"/>
              </w:rPr>
              <w:t>The start RB index of the first RB set for the Rel-17 IAB-DU HSNA resource configuration is the lowest index of RB of the IAB-DU cell</w:t>
            </w:r>
            <w:r>
              <w:rPr>
                <w:rStyle w:val="51"/>
                <w:rFonts w:ascii="Times New Roman" w:hAnsi="Times New Roman" w:eastAsia="宋体"/>
              </w:rPr>
              <w:t>.</w:t>
            </w:r>
          </w:p>
          <w:p>
            <w:pPr>
              <w:spacing w:before="120" w:after="120"/>
            </w:pPr>
          </w:p>
          <w:p>
            <w:pPr>
              <w:spacing w:before="120" w:after="120"/>
            </w:pPr>
            <w:r>
              <w:t xml:space="preserve">RAN3 has uncertainty on how to define the start RB index for the Rel-17 IAB-DU HSNA resource configuration of an IAB-DU cell. </w:t>
            </w:r>
          </w:p>
          <w:p>
            <w:pPr>
              <w:spacing w:before="120" w:after="120"/>
            </w:pPr>
            <w:r>
              <w:t>RAN3 has two different understandings:</w:t>
            </w:r>
          </w:p>
          <w:p>
            <w:pPr>
              <w:numPr>
                <w:ilvl w:val="0"/>
                <w:numId w:val="9"/>
              </w:numPr>
              <w:spacing w:before="120" w:after="120"/>
            </w:pPr>
            <w:r>
              <w:t>Understanding 1: the start RB index for the Rel-17 IAB-DU HSNA resource configuration of the IAB-DU cell is point A plus the SCS-specific offset defined in the</w:t>
            </w:r>
            <w:r>
              <w:rPr>
                <w:i/>
                <w:iCs/>
              </w:rPr>
              <w:t xml:space="preserve"> NR Carrier List</w:t>
            </w:r>
            <w:r>
              <w:t xml:space="preserve"> IE based on the SCS included in the </w:t>
            </w:r>
            <w:r>
              <w:rPr>
                <w:i/>
                <w:iCs/>
              </w:rPr>
              <w:t>RB Set Configuration</w:t>
            </w:r>
            <w:r>
              <w:t xml:space="preserve"> IE.</w:t>
            </w:r>
          </w:p>
          <w:p>
            <w:pPr>
              <w:numPr>
                <w:ilvl w:val="0"/>
                <w:numId w:val="10"/>
              </w:numPr>
              <w:spacing w:before="120" w:after="120"/>
            </w:pPr>
            <w:r>
              <w:t>Understanding 2: t</w:t>
            </w:r>
            <w:r>
              <w:rPr>
                <w:lang w:eastAsia="ja-JP"/>
              </w:rPr>
              <w:t xml:space="preserve">he start RB index </w:t>
            </w:r>
            <w:r>
              <w:t xml:space="preserve">for the </w:t>
            </w:r>
            <w:r>
              <w:rPr>
                <w:rStyle w:val="51"/>
                <w:rFonts w:ascii="Times New Roman" w:hAnsi="Times New Roman"/>
              </w:rPr>
              <w:t xml:space="preserve">Rel-17 IAB-DU HSNA resource configuration of the IAB-DU cell is point A plus the smallest SCS-specific frequency offset across all numerologies provided by the </w:t>
            </w:r>
            <w:r>
              <w:rPr>
                <w:rStyle w:val="51"/>
                <w:rFonts w:ascii="Times New Roman" w:hAnsi="Times New Roman"/>
                <w:i/>
                <w:iCs/>
              </w:rPr>
              <w:t>NR Carrier List</w:t>
            </w:r>
            <w:r>
              <w:rPr>
                <w:rStyle w:val="51"/>
                <w:rFonts w:ascii="Times New Roman" w:hAnsi="Times New Roman"/>
              </w:rPr>
              <w:t xml:space="preserve"> IE for this cell. </w:t>
            </w:r>
            <w:r>
              <w:t xml:space="preserve">Note that in this understanding, the start RB index does not depend on the SCS value included in the </w:t>
            </w:r>
            <w:r>
              <w:rPr>
                <w:i/>
                <w:iCs/>
              </w:rPr>
              <w:t>RB Set Configuration</w:t>
            </w:r>
            <w:r>
              <w:t xml:space="preserve"> IE in TS 38.473.</w:t>
            </w:r>
          </w:p>
          <w:p>
            <w:pPr>
              <w:spacing w:before="120" w:after="120"/>
            </w:pPr>
            <w:r>
              <w:rPr>
                <w:rStyle w:val="51"/>
                <w:rFonts w:ascii="Times New Roman" w:hAnsi="Times New Roman"/>
              </w:rPr>
              <w:t xml:space="preserve">In both understandings, the start RB is aligned with point A in case the </w:t>
            </w:r>
            <w:r>
              <w:rPr>
                <w:rStyle w:val="51"/>
                <w:rFonts w:ascii="Times New Roman" w:hAnsi="Times New Roman"/>
                <w:i/>
                <w:iCs/>
              </w:rPr>
              <w:t>NR Carrier List</w:t>
            </w:r>
            <w:r>
              <w:rPr>
                <w:rStyle w:val="51"/>
                <w:rFonts w:ascii="Times New Roman" w:hAnsi="Times New Roman"/>
              </w:rPr>
              <w:t xml:space="preserve"> IE is not present.</w:t>
            </w:r>
          </w:p>
          <w:p>
            <w:pPr>
              <w:spacing w:before="120" w:after="120"/>
              <w:rPr>
                <w:szCs w:val="18"/>
              </w:rPr>
            </w:pPr>
          </w:p>
        </w:tc>
      </w:tr>
    </w:tbl>
    <w:p>
      <w:pPr>
        <w:snapToGrid w:val="0"/>
        <w:spacing w:before="120" w:after="120"/>
      </w:pPr>
      <w:r>
        <w:rPr>
          <w:rFonts w:hint="eastAsia"/>
        </w:rPr>
        <w:t>The requested action for RAN1 is given below</w:t>
      </w:r>
      <w:r>
        <w:rPr>
          <w:rFonts w:hint="eastAsia" w:eastAsia="宋体"/>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ind w:left="851" w:hanging="851"/>
              <w:rPr>
                <w:rFonts w:ascii="Arial" w:hAnsi="Arial" w:cs="Arial"/>
                <w:b/>
              </w:rPr>
            </w:pPr>
            <w:r>
              <w:rPr>
                <w:rFonts w:ascii="Arial" w:hAnsi="Arial" w:cs="Arial"/>
                <w:b/>
              </w:rPr>
              <w:t>A</w:t>
            </w:r>
            <w:r>
              <w:rPr>
                <w:rFonts w:hint="eastAsia" w:ascii="Arial" w:hAnsi="Arial" w:eastAsia="宋体" w:cs="Arial"/>
                <w:b/>
              </w:rPr>
              <w:t>ction</w:t>
            </w:r>
            <w:r>
              <w:rPr>
                <w:rFonts w:ascii="Arial" w:hAnsi="Arial" w:cs="Arial"/>
                <w:b/>
              </w:rPr>
              <w:t xml:space="preserve">: </w:t>
            </w:r>
          </w:p>
          <w:p>
            <w:pPr>
              <w:widowControl w:val="0"/>
              <w:spacing w:before="120" w:after="120"/>
              <w:ind w:left="1051" w:leftChars="100" w:hanging="851"/>
              <w:rPr>
                <w:rFonts w:eastAsia="宋体"/>
              </w:rPr>
            </w:pPr>
            <w:r>
              <w:t>RAN3 kindly asks RAN1 to provide clarification on which of the two understandings is correct</w:t>
            </w:r>
            <w:r>
              <w:rPr>
                <w:rFonts w:eastAsia="宋体"/>
              </w:rPr>
              <w:t>.</w:t>
            </w:r>
          </w:p>
          <w:p>
            <w:pPr>
              <w:pStyle w:val="30"/>
              <w:widowControl w:val="0"/>
              <w:spacing w:after="120"/>
              <w:ind w:left="0"/>
              <w:rPr>
                <w:sz w:val="20"/>
              </w:rPr>
            </w:pPr>
          </w:p>
        </w:tc>
      </w:tr>
    </w:tbl>
    <w:p>
      <w:pPr>
        <w:snapToGrid w:val="0"/>
        <w:spacing w:before="120" w:after="120"/>
      </w:pPr>
      <w:r>
        <w:rPr>
          <w:rFonts w:hint="eastAsia" w:eastAsia="宋体"/>
        </w:rPr>
        <w:t>In t</w:t>
      </w:r>
      <w:r>
        <w:rPr>
          <w:rFonts w:hint="eastAsia"/>
        </w:rPr>
        <w:t>his contribution</w:t>
      </w:r>
      <w:r>
        <w:rPr>
          <w:rFonts w:hint="eastAsia" w:eastAsia="宋体"/>
        </w:rPr>
        <w:t xml:space="preserve">, we discuss the </w:t>
      </w:r>
      <w:r>
        <w:t>defin</w:t>
      </w:r>
      <w:r>
        <w:rPr>
          <w:rFonts w:hint="eastAsia" w:eastAsia="宋体"/>
        </w:rPr>
        <w:t>ition of</w:t>
      </w:r>
      <w:r>
        <w:t xml:space="preserve"> the start RB index for the Rel-17 IAB-DU HSNA resource configuration of an IAB-DU cel</w:t>
      </w:r>
      <w:r>
        <w:rPr>
          <w:rFonts w:hint="eastAsia" w:eastAsia="宋体"/>
        </w:rPr>
        <w:t>l for</w:t>
      </w:r>
      <w:r>
        <w:rPr>
          <w:rFonts w:hint="eastAsia"/>
        </w:rPr>
        <w:t xml:space="preserve"> the reply LS.</w:t>
      </w:r>
    </w:p>
    <w:p>
      <w:pPr>
        <w:pStyle w:val="2"/>
        <w:spacing w:before="120" w:after="120"/>
      </w:pPr>
      <w:r>
        <w:rPr>
          <w:rFonts w:hint="eastAsia"/>
        </w:rPr>
        <w:t>Discussion</w:t>
      </w:r>
      <w:r>
        <w:t>s</w:t>
      </w:r>
      <w:r>
        <w:rPr>
          <w:rFonts w:hint="eastAsia"/>
        </w:rPr>
        <w:t xml:space="preserve"> </w:t>
      </w:r>
    </w:p>
    <w:p>
      <w:pPr>
        <w:pStyle w:val="3"/>
      </w:pPr>
      <w:r>
        <w:t xml:space="preserve">Summary of </w:t>
      </w:r>
      <w:r>
        <w:rPr>
          <w:rFonts w:hint="eastAsia"/>
        </w:rPr>
        <w:t>Tdoc</w:t>
      </w:r>
      <w:r>
        <w:t>s</w:t>
      </w:r>
    </w:p>
    <w:p>
      <w:pPr>
        <w:spacing w:before="120" w:after="120"/>
        <w:rPr>
          <w:rFonts w:eastAsia="宋体"/>
          <w:kern w:val="0"/>
        </w:rPr>
      </w:pPr>
      <w:r>
        <w:rPr>
          <w:rFonts w:eastAsia="宋体"/>
          <w:kern w:val="0"/>
        </w:rPr>
        <w:t>Companies’ views</w:t>
      </w:r>
      <w:r>
        <w:rPr>
          <w:rFonts w:hint="eastAsia" w:eastAsia="宋体"/>
          <w:kern w:val="0"/>
        </w:rPr>
        <w:t xml:space="preserve"> </w:t>
      </w:r>
      <w:r>
        <w:rPr>
          <w:rFonts w:eastAsia="宋体"/>
          <w:kern w:val="0"/>
        </w:rPr>
        <w:t xml:space="preserve">are summarized </w:t>
      </w:r>
      <w:r>
        <w:rPr>
          <w:rFonts w:hint="eastAsia" w:eastAsia="宋体"/>
          <w:kern w:val="0"/>
        </w:rPr>
        <w:t>as</w:t>
      </w:r>
      <w:r>
        <w:rPr>
          <w:rFonts w:eastAsia="宋体"/>
          <w:kern w:val="0"/>
        </w:rPr>
        <w:t xml:space="preserve"> </w:t>
      </w:r>
      <w:r>
        <w:rPr>
          <w:rFonts w:hint="eastAsia" w:eastAsia="宋体"/>
          <w:kern w:val="0"/>
        </w:rPr>
        <w:t>below:</w:t>
      </w:r>
    </w:p>
    <w:p>
      <w:pPr>
        <w:numPr>
          <w:ilvl w:val="0"/>
          <w:numId w:val="11"/>
        </w:numPr>
        <w:spacing w:before="120" w:after="120"/>
        <w:rPr>
          <w:b/>
          <w:bCs/>
          <w:u w:val="single"/>
        </w:rPr>
      </w:pPr>
      <w:r>
        <w:rPr>
          <w:rFonts w:hint="eastAsia" w:eastAsia="宋体"/>
          <w:b/>
          <w:bCs/>
          <w:u w:val="single"/>
        </w:rPr>
        <w:t>Understanding 1 is correct</w:t>
      </w:r>
    </w:p>
    <w:p>
      <w:pPr>
        <w:numPr>
          <w:ilvl w:val="1"/>
          <w:numId w:val="11"/>
        </w:numPr>
        <w:spacing w:before="120" w:after="120"/>
      </w:pPr>
      <w:r>
        <w:rPr>
          <w:rFonts w:hint="eastAsia" w:eastAsia="宋体"/>
        </w:rPr>
        <w:t xml:space="preserve">Supported by ZTE[3][4], Samsung[7], Qualcomm[8], </w:t>
      </w:r>
    </w:p>
    <w:p>
      <w:pPr>
        <w:numPr>
          <w:ilvl w:val="2"/>
          <w:numId w:val="11"/>
        </w:numPr>
        <w:spacing w:before="120" w:after="120"/>
      </w:pPr>
      <w:r>
        <w:rPr>
          <w:rStyle w:val="51"/>
          <w:rFonts w:hint="eastAsia" w:eastAsia="宋体"/>
        </w:rPr>
        <w:t>Understanding 1 is clear and more flexible, and understanding 2 can be achieved via understanding 1</w:t>
      </w:r>
      <w:r>
        <w:rPr>
          <w:rFonts w:hint="eastAsia"/>
        </w:rPr>
        <w:t xml:space="preserve"> via implementation, e.g., the reference SCS can be configured as </w:t>
      </w:r>
      <w:r>
        <w:rPr>
          <w:rStyle w:val="51"/>
          <w:rFonts w:ascii="Times New Roman" w:hAnsi="Times New Roman"/>
        </w:rPr>
        <w:t>the SCS</w:t>
      </w:r>
      <w:r>
        <w:rPr>
          <w:rStyle w:val="51"/>
          <w:rFonts w:hint="eastAsia" w:eastAsia="宋体"/>
        </w:rPr>
        <w:t xml:space="preserve"> of the carrier with </w:t>
      </w:r>
      <w:r>
        <w:rPr>
          <w:rStyle w:val="51"/>
          <w:rFonts w:ascii="Times New Roman" w:hAnsi="Times New Roman"/>
        </w:rPr>
        <w:t>the smallest SCS-specific frequency offset across all numerologies</w:t>
      </w:r>
      <w:r>
        <w:rPr>
          <w:rStyle w:val="51"/>
          <w:rFonts w:hint="eastAsia" w:ascii="Times New Roman" w:hAnsi="Times New Roman" w:eastAsia="宋体"/>
        </w:rPr>
        <w:t>.</w:t>
      </w:r>
      <w:r>
        <w:rPr>
          <w:rFonts w:hint="eastAsia" w:eastAsia="宋体"/>
        </w:rPr>
        <w:t>[3][4]</w:t>
      </w:r>
    </w:p>
    <w:p>
      <w:pPr>
        <w:numPr>
          <w:ilvl w:val="2"/>
          <w:numId w:val="11"/>
        </w:numPr>
        <w:spacing w:before="120" w:after="120"/>
      </w:pPr>
      <w:r>
        <w:rPr>
          <w:rFonts w:hint="eastAsia" w:eastAsia="宋体"/>
        </w:rPr>
        <w:t xml:space="preserve">The reference SCS should be used </w:t>
      </w:r>
      <w:r>
        <w:rPr>
          <w:rFonts w:eastAsia="Yu Mincho"/>
          <w:lang w:eastAsia="ja-JP"/>
        </w:rPr>
        <w:t>for all configuration parameters related to RB set size and location in frequency</w:t>
      </w:r>
      <w:r>
        <w:rPr>
          <w:rFonts w:hint="eastAsia" w:eastAsia="宋体"/>
        </w:rPr>
        <w:t>. [8]</w:t>
      </w:r>
    </w:p>
    <w:p>
      <w:pPr>
        <w:numPr>
          <w:ilvl w:val="1"/>
          <w:numId w:val="11"/>
        </w:numPr>
        <w:spacing w:before="120" w:after="120"/>
      </w:pPr>
      <w:r>
        <w:rPr>
          <w:rFonts w:hint="eastAsia" w:eastAsia="宋体"/>
        </w:rPr>
        <w:t>Technical concern on understanding 1</w:t>
      </w:r>
    </w:p>
    <w:p>
      <w:pPr>
        <w:numPr>
          <w:ilvl w:val="2"/>
          <w:numId w:val="11"/>
        </w:numPr>
        <w:spacing w:before="120" w:after="120"/>
      </w:pPr>
      <w:r>
        <w:rPr>
          <w:rFonts w:hint="eastAsia"/>
        </w:rPr>
        <w:t xml:space="preserve">Understanding 1 may result in </w:t>
      </w:r>
      <w:r>
        <w:rPr>
          <w:lang w:val="en-GB"/>
        </w:rPr>
        <w:t>an RB</w:t>
      </w:r>
      <w:r>
        <w:rPr>
          <w:rFonts w:hint="eastAsia" w:eastAsia="宋体"/>
        </w:rPr>
        <w:t xml:space="preserve"> for a given SCS</w:t>
      </w:r>
      <w:r>
        <w:rPr>
          <w:lang w:val="en-GB"/>
        </w:rPr>
        <w:t xml:space="preserve"> with lower </w:t>
      </w:r>
      <w:r>
        <w:rPr>
          <w:rFonts w:hint="eastAsia" w:eastAsia="宋体"/>
        </w:rPr>
        <w:t>frequency position</w:t>
      </w:r>
      <w:r>
        <w:rPr>
          <w:lang w:val="en-GB"/>
        </w:rPr>
        <w:t xml:space="preserve"> than the start RB of the first </w:t>
      </w:r>
      <w:r>
        <w:rPr>
          <w:rFonts w:hint="eastAsia" w:eastAsia="宋体"/>
        </w:rPr>
        <w:t xml:space="preserve">RB </w:t>
      </w:r>
      <w:r>
        <w:rPr>
          <w:lang w:val="en-GB"/>
        </w:rPr>
        <w:t>of the first RB set</w:t>
      </w:r>
      <w:r>
        <w:rPr>
          <w:rFonts w:hint="eastAsia" w:eastAsia="宋体"/>
        </w:rPr>
        <w:t xml:space="preserve">, and may result in </w:t>
      </w:r>
      <w:r>
        <w:rPr>
          <w:rFonts w:hint="eastAsia"/>
        </w:rPr>
        <w:t xml:space="preserve">undefined H/S/NA resources for </w:t>
      </w:r>
      <w:r>
        <w:rPr>
          <w:rFonts w:hint="eastAsia" w:eastAsia="宋体"/>
        </w:rPr>
        <w:t>this</w:t>
      </w:r>
      <w:r>
        <w:rPr>
          <w:rFonts w:hint="eastAsia"/>
        </w:rPr>
        <w:t xml:space="preserve"> given SCS</w:t>
      </w:r>
      <w:r>
        <w:rPr>
          <w:rFonts w:hint="eastAsia" w:eastAsia="宋体"/>
        </w:rPr>
        <w:t>. [2][9][10][11]</w:t>
      </w:r>
    </w:p>
    <w:p>
      <w:pPr>
        <w:numPr>
          <w:ilvl w:val="2"/>
          <w:numId w:val="11"/>
        </w:numPr>
        <w:spacing w:before="120" w:after="120"/>
      </w:pPr>
      <w:r>
        <w:rPr>
          <w:rFonts w:hint="eastAsia"/>
        </w:rPr>
        <w:t>Understanding 1 implies that the IAB-specific reference SCS has impact on what is the lowest RB in a cell</w:t>
      </w:r>
      <w:r>
        <w:rPr>
          <w:rFonts w:hint="eastAsia" w:eastAsia="宋体"/>
        </w:rPr>
        <w:t>.[10][11]</w:t>
      </w:r>
    </w:p>
    <w:p>
      <w:pPr>
        <w:spacing w:before="120" w:after="120"/>
        <w:rPr>
          <w:rStyle w:val="51"/>
          <w:rFonts w:ascii="Times New Roman" w:hAnsi="Times New Roman"/>
        </w:rPr>
      </w:pPr>
    </w:p>
    <w:p>
      <w:pPr>
        <w:numPr>
          <w:ilvl w:val="0"/>
          <w:numId w:val="11"/>
        </w:numPr>
        <w:spacing w:before="120" w:after="120"/>
        <w:rPr>
          <w:b/>
          <w:bCs/>
          <w:u w:val="single"/>
        </w:rPr>
      </w:pPr>
      <w:bookmarkStart w:id="0" w:name="_Toc61870302"/>
      <w:bookmarkEnd w:id="0"/>
      <w:bookmarkStart w:id="1" w:name="_Toc18214"/>
      <w:bookmarkEnd w:id="1"/>
      <w:bookmarkStart w:id="2" w:name="_Toc61870757"/>
      <w:bookmarkEnd w:id="2"/>
      <w:bookmarkStart w:id="3" w:name="_Toc20503"/>
      <w:bookmarkEnd w:id="3"/>
      <w:bookmarkStart w:id="4" w:name="_Toc61870287"/>
      <w:bookmarkEnd w:id="4"/>
      <w:bookmarkStart w:id="5" w:name="_Toc61869984"/>
      <w:bookmarkEnd w:id="5"/>
      <w:bookmarkStart w:id="6" w:name="_Toc15096"/>
      <w:bookmarkEnd w:id="6"/>
      <w:bookmarkStart w:id="7" w:name="_Toc61870095"/>
      <w:bookmarkEnd w:id="7"/>
      <w:bookmarkStart w:id="8" w:name="_Toc16191"/>
      <w:bookmarkEnd w:id="8"/>
      <w:bookmarkStart w:id="9" w:name="_Toc61870537"/>
      <w:bookmarkEnd w:id="9"/>
      <w:bookmarkStart w:id="10" w:name="_Toc15935"/>
      <w:bookmarkEnd w:id="10"/>
      <w:bookmarkStart w:id="11" w:name="_Toc61870567"/>
      <w:bookmarkEnd w:id="11"/>
      <w:bookmarkStart w:id="12" w:name="_Toc61870226"/>
      <w:bookmarkEnd w:id="12"/>
      <w:bookmarkStart w:id="13" w:name="_Toc14775"/>
      <w:bookmarkEnd w:id="13"/>
      <w:bookmarkStart w:id="14" w:name="_Toc24703"/>
      <w:bookmarkEnd w:id="14"/>
      <w:bookmarkStart w:id="15" w:name="_Toc61872237"/>
      <w:bookmarkEnd w:id="15"/>
      <w:r>
        <w:rPr>
          <w:rFonts w:hint="eastAsia" w:eastAsia="宋体"/>
          <w:b/>
          <w:bCs/>
          <w:u w:val="single"/>
        </w:rPr>
        <w:t>Understanding 2 is correct</w:t>
      </w:r>
    </w:p>
    <w:p>
      <w:pPr>
        <w:numPr>
          <w:ilvl w:val="1"/>
          <w:numId w:val="11"/>
        </w:numPr>
        <w:spacing w:before="120" w:after="120"/>
      </w:pPr>
      <w:r>
        <w:rPr>
          <w:rFonts w:hint="eastAsia" w:eastAsia="宋体"/>
        </w:rPr>
        <w:t xml:space="preserve">Supported by Ericsson[10][11] </w:t>
      </w:r>
    </w:p>
    <w:p>
      <w:pPr>
        <w:numPr>
          <w:ilvl w:val="2"/>
          <w:numId w:val="11"/>
        </w:numPr>
        <w:spacing w:before="120" w:after="120"/>
      </w:pPr>
      <w:r>
        <w:rPr>
          <w:rFonts w:hint="eastAsia"/>
        </w:rPr>
        <w:t>Rel-17 IAB-DU H/S/NA resource configuration</w:t>
      </w:r>
      <w:r>
        <w:rPr>
          <w:rFonts w:hint="eastAsia" w:eastAsia="宋体"/>
        </w:rPr>
        <w:t xml:space="preserve"> should cover the entire carrier bandwidth for all configured SCS(s) in </w:t>
      </w:r>
      <w:r>
        <w:rPr>
          <w:rFonts w:hint="eastAsia"/>
        </w:rPr>
        <w:t>NR Carrier List</w:t>
      </w:r>
    </w:p>
    <w:p>
      <w:pPr>
        <w:numPr>
          <w:ilvl w:val="1"/>
          <w:numId w:val="11"/>
        </w:numPr>
        <w:spacing w:before="120" w:after="120"/>
      </w:pPr>
      <w:r>
        <w:rPr>
          <w:rFonts w:hint="eastAsia" w:eastAsia="宋体"/>
        </w:rPr>
        <w:t>Technical concerns on understanding 2</w:t>
      </w:r>
    </w:p>
    <w:p>
      <w:pPr>
        <w:numPr>
          <w:ilvl w:val="2"/>
          <w:numId w:val="11"/>
        </w:numPr>
        <w:spacing w:before="120" w:after="120"/>
      </w:pPr>
      <w:r>
        <w:rPr>
          <w:rFonts w:hint="eastAsia" w:eastAsia="宋体"/>
        </w:rPr>
        <w:t>U</w:t>
      </w:r>
      <w:r>
        <w:rPr>
          <w:rFonts w:hint="eastAsia"/>
        </w:rPr>
        <w:t>nderstanding 2 may result in H/S/NA resources that will never be used for a given SCS</w:t>
      </w:r>
      <w:r>
        <w:rPr>
          <w:rFonts w:hint="eastAsia" w:eastAsia="宋体"/>
        </w:rPr>
        <w:t>. [2][9]</w:t>
      </w:r>
    </w:p>
    <w:p>
      <w:pPr>
        <w:numPr>
          <w:ilvl w:val="2"/>
          <w:numId w:val="11"/>
        </w:numPr>
        <w:spacing w:before="120" w:after="120"/>
      </w:pPr>
      <w:r>
        <w:rPr>
          <w:rFonts w:hint="eastAsia" w:eastAsia="宋体"/>
        </w:rPr>
        <w:t>U</w:t>
      </w:r>
      <w:r>
        <w:rPr>
          <w:rFonts w:hint="eastAsia"/>
        </w:rPr>
        <w:t>nderstanding 2 may result in</w:t>
      </w:r>
      <w:r>
        <w:rPr>
          <w:rFonts w:hint="eastAsia" w:eastAsia="宋体"/>
        </w:rPr>
        <w:t xml:space="preserve"> </w:t>
      </w:r>
      <w:r>
        <w:rPr>
          <w:rStyle w:val="51"/>
          <w:rFonts w:ascii="Times New Roman" w:hAnsi="Times New Roman"/>
        </w:rPr>
        <w:t>point A plus the smallest SCS-specific frequency offset</w:t>
      </w:r>
      <w:r>
        <w:rPr>
          <w:rStyle w:val="51"/>
          <w:rFonts w:hint="eastAsia" w:ascii="Times New Roman" w:hAnsi="Times New Roman" w:eastAsia="宋体"/>
        </w:rPr>
        <w:t xml:space="preserve"> that</w:t>
      </w:r>
      <w:r>
        <w:rPr>
          <w:rStyle w:val="51"/>
          <w:rFonts w:hint="eastAsia"/>
        </w:rPr>
        <w:t xml:space="preserve"> may not be aligned with the common RB at the reference </w:t>
      </w:r>
      <w:r>
        <w:rPr>
          <w:rFonts w:hint="eastAsia" w:eastAsia="宋体"/>
        </w:rPr>
        <w:t xml:space="preserve">SCS, i.e., a RB for </w:t>
      </w:r>
      <w:r>
        <w:rPr>
          <w:rFonts w:hint="eastAsia"/>
        </w:rPr>
        <w:t>Rel-17 IAB-DU H/S/NA resource configuration</w:t>
      </w:r>
      <w:r>
        <w:rPr>
          <w:rFonts w:hint="eastAsia" w:eastAsia="宋体"/>
        </w:rPr>
        <w:t xml:space="preserve"> may be not in any resource block grid.[3][4]</w:t>
      </w:r>
    </w:p>
    <w:p>
      <w:pPr>
        <w:numPr>
          <w:ilvl w:val="0"/>
          <w:numId w:val="11"/>
        </w:numPr>
        <w:spacing w:before="120" w:after="120"/>
        <w:rPr>
          <w:b/>
          <w:bCs/>
          <w:u w:val="single"/>
        </w:rPr>
      </w:pPr>
      <w:r>
        <w:rPr>
          <w:rFonts w:hint="eastAsia" w:eastAsia="宋体"/>
          <w:b/>
          <w:bCs/>
          <w:u w:val="single"/>
        </w:rPr>
        <w:t>Other Understandings</w:t>
      </w:r>
    </w:p>
    <w:p>
      <w:pPr>
        <w:numPr>
          <w:ilvl w:val="1"/>
          <w:numId w:val="11"/>
        </w:numPr>
        <w:spacing w:before="120" w:after="120"/>
      </w:pPr>
      <w:r>
        <w:rPr>
          <w:rFonts w:hint="eastAsia" w:eastAsia="宋体"/>
          <w:b/>
          <w:bCs/>
          <w:u w:val="single"/>
        </w:rPr>
        <w:t>Understanding 3:</w:t>
      </w:r>
      <w:r>
        <w:rPr>
          <w:rFonts w:hint="eastAsia" w:eastAsia="宋体"/>
        </w:rPr>
        <w:t xml:space="preserve"> Define the start RB index as the first RB for each SCS provided in NR Carrier List IE</w:t>
      </w:r>
    </w:p>
    <w:p>
      <w:pPr>
        <w:numPr>
          <w:ilvl w:val="2"/>
          <w:numId w:val="11"/>
        </w:numPr>
        <w:spacing w:before="120" w:after="120"/>
      </w:pPr>
      <w:r>
        <w:rPr>
          <w:rFonts w:hint="eastAsia" w:eastAsia="宋体"/>
        </w:rPr>
        <w:t xml:space="preserve">Proposed by Huawei [2][9] </w:t>
      </w:r>
    </w:p>
    <w:p>
      <w:pPr>
        <w:numPr>
          <w:ilvl w:val="1"/>
          <w:numId w:val="11"/>
        </w:numPr>
        <w:spacing w:before="120" w:after="120"/>
      </w:pPr>
      <w:r>
        <w:rPr>
          <w:rFonts w:hint="eastAsia" w:eastAsia="宋体"/>
          <w:b/>
          <w:bCs/>
          <w:u w:val="single"/>
        </w:rPr>
        <w:t>Understanding 4:</w:t>
      </w:r>
      <w:r>
        <w:rPr>
          <w:rFonts w:hint="eastAsia" w:eastAsia="宋体"/>
        </w:rPr>
        <w:t xml:space="preserve"> </w:t>
      </w:r>
      <w:r>
        <w:rPr>
          <w:rFonts w:hint="eastAsia"/>
        </w:rPr>
        <w:t>The starting subcarrier of the IAB-DU cell is determined by point A plus the SCS-specific offset defined by NR SCS in the NR Carrier List IE</w:t>
      </w:r>
    </w:p>
    <w:p>
      <w:pPr>
        <w:numPr>
          <w:ilvl w:val="2"/>
          <w:numId w:val="11"/>
        </w:numPr>
        <w:spacing w:before="120" w:after="120"/>
      </w:pPr>
      <w:r>
        <w:rPr>
          <w:rFonts w:hint="eastAsia" w:eastAsia="宋体"/>
        </w:rPr>
        <w:t>Proposed by vivo</w:t>
      </w:r>
    </w:p>
    <w:p>
      <w:pPr>
        <w:numPr>
          <w:ilvl w:val="1"/>
          <w:numId w:val="11"/>
        </w:numPr>
        <w:spacing w:before="120" w:after="120"/>
      </w:pPr>
      <w:r>
        <w:rPr>
          <w:rFonts w:hint="eastAsia" w:eastAsia="宋体"/>
          <w:b/>
          <w:bCs/>
          <w:u w:val="single"/>
        </w:rPr>
        <w:t>Understanding 5:</w:t>
      </w:r>
      <w:r>
        <w:rPr>
          <w:rFonts w:hint="eastAsia" w:eastAsia="宋体"/>
        </w:rPr>
        <w:t xml:space="preserve"> The understanding of the location of the lowest index RB relative to point A as indicated in TS 38.211</w:t>
      </w:r>
    </w:p>
    <w:p>
      <w:pPr>
        <w:numPr>
          <w:ilvl w:val="2"/>
          <w:numId w:val="11"/>
        </w:numPr>
        <w:spacing w:before="120" w:after="120"/>
      </w:pPr>
      <w:r>
        <w:rPr>
          <w:rFonts w:hint="eastAsia" w:eastAsia="宋体"/>
        </w:rPr>
        <w:t>Proposed by Nokia</w:t>
      </w:r>
    </w:p>
    <w:p>
      <w:pPr>
        <w:pStyle w:val="3"/>
      </w:pPr>
      <w:r>
        <w:rPr>
          <w:rFonts w:hint="eastAsia"/>
        </w:rPr>
        <w:t>Moderator</w:t>
      </w:r>
      <w:r>
        <w:t>’</w:t>
      </w:r>
      <w:r>
        <w:rPr>
          <w:rFonts w:hint="eastAsia"/>
        </w:rPr>
        <w:t>s observation and proposals</w:t>
      </w:r>
    </w:p>
    <w:p>
      <w:pPr>
        <w:spacing w:before="120" w:after="120"/>
      </w:pPr>
      <w:r>
        <w:rPr>
          <w:rFonts w:hint="eastAsia"/>
        </w:rPr>
        <w:t xml:space="preserve">In current specs, a DU cell can be configured with multiple SCS-specific carriers, and we have clear definition on point A which identifies the absolute frequency position of common RB 0 for the DU </w:t>
      </w:r>
      <w:r>
        <w:rPr>
          <w:rFonts w:hint="eastAsia"/>
          <w:b/>
          <w:bCs/>
          <w:color w:val="FF0000"/>
        </w:rPr>
        <w:t>cell</w:t>
      </w:r>
      <w:r>
        <w:rPr>
          <w:rFonts w:hint="eastAsia"/>
        </w:rPr>
        <w:t xml:space="preserve"> and the lowest available RB index for each SCS-specific </w:t>
      </w:r>
      <w:r>
        <w:rPr>
          <w:rFonts w:hint="eastAsia"/>
          <w:b/>
          <w:bCs/>
          <w:color w:val="00B050"/>
        </w:rPr>
        <w:t>carrier</w:t>
      </w:r>
      <w:r>
        <w:rPr>
          <w:rFonts w:hint="eastAsia"/>
        </w:rPr>
        <w:t xml:space="preserve"> which is identified by point A plus </w:t>
      </w:r>
      <w:r>
        <w:rPr>
          <w:rFonts w:hint="eastAsia" w:eastAsia="宋体"/>
        </w:rPr>
        <w:t>corresponding</w:t>
      </w:r>
      <w:r>
        <w:rPr>
          <w:rFonts w:hint="eastAsia"/>
        </w:rPr>
        <w:t xml:space="preserve"> SCS-specific</w:t>
      </w:r>
      <w:r>
        <w:rPr>
          <w:rFonts w:hint="eastAsia" w:eastAsia="宋体"/>
        </w:rPr>
        <w:t xml:space="preserve"> </w:t>
      </w:r>
      <w:r>
        <w:rPr>
          <w:rFonts w:hint="eastAsia"/>
        </w:rPr>
        <w:t>offset, but no definition on</w:t>
      </w:r>
      <w:r>
        <w:rPr>
          <w:rStyle w:val="51"/>
          <w:rFonts w:ascii="Times New Roman" w:hAnsi="Times New Roman"/>
        </w:rPr>
        <w:t xml:space="preserve"> lowest index of RB of the IAB-DU cell</w:t>
      </w:r>
      <w:r>
        <w:rPr>
          <w:rStyle w:val="51"/>
          <w:rFonts w:hint="eastAsia" w:eastAsia="宋体"/>
        </w:rPr>
        <w:t>, and this is why d</w:t>
      </w:r>
      <w:r>
        <w:rPr>
          <w:rFonts w:hint="eastAsia"/>
        </w:rPr>
        <w:t>ivergent understandings can be observed on the agreement of RAN1#108-e.</w:t>
      </w:r>
    </w:p>
    <w:p>
      <w:pPr>
        <w:spacing w:before="120" w:after="120"/>
        <w:rPr>
          <w:b/>
          <w:bCs/>
          <w:color w:val="00B050"/>
        </w:rPr>
      </w:pPr>
      <w:r>
        <w:rPr>
          <w:rFonts w:hint="eastAsia"/>
        </w:rPr>
        <w:t xml:space="preserve">For understanding 3, it means different RB set configuration for different SCS-specific carriers which is not aligned with the motivation of previous agreement, and the frequency position of an RB set, e.g., RB set 0, is different for different SCS-specific carries, and it will also cause </w:t>
      </w:r>
      <w:r>
        <w:rPr>
          <w:rFonts w:cstheme="minorHAnsi"/>
          <w:bCs/>
        </w:rPr>
        <w:t>ambiguity</w:t>
      </w:r>
      <w:r>
        <w:rPr>
          <w:rFonts w:hint="eastAsia"/>
        </w:rPr>
        <w:t xml:space="preserve"> on the availability indication in DCI format 2-5 which is indicated for RB sets of a DU cell than for RB sets of each SCS-specific carrier.</w:t>
      </w:r>
    </w:p>
    <w:p>
      <w:pPr>
        <w:spacing w:before="120" w:after="120"/>
      </w:pPr>
      <w:r>
        <w:rPr>
          <w:rFonts w:hint="eastAsia"/>
        </w:rPr>
        <w:t>For understanding 4, moderator thinks it is not clear which SCS-specific offset</w:t>
      </w:r>
      <w:r>
        <w:rPr>
          <w:rFonts w:hint="eastAsia" w:eastAsia="宋体"/>
        </w:rPr>
        <w:t xml:space="preserve"> is used to determine t</w:t>
      </w:r>
      <w:r>
        <w:rPr>
          <w:rFonts w:hint="eastAsia"/>
        </w:rPr>
        <w:t>he starting subcarrier of the IAB-DU cell</w:t>
      </w:r>
      <w:r>
        <w:rPr>
          <w:rFonts w:hint="eastAsia" w:eastAsia="宋体"/>
        </w:rPr>
        <w:t>, more clarification is needed</w:t>
      </w:r>
      <w:r>
        <w:rPr>
          <w:rFonts w:hint="eastAsia"/>
        </w:rPr>
        <w:t>.</w:t>
      </w:r>
    </w:p>
    <w:p>
      <w:pPr>
        <w:spacing w:before="120" w:after="120"/>
      </w:pPr>
      <w:r>
        <w:rPr>
          <w:rFonts w:hint="eastAsia"/>
        </w:rPr>
        <w:t>For understanding 5, moderator thinks point A and the lowest RB which overlaps with the SSB as in TS38.211 is not suitable for RB set configuration of a DU cell, which is also not aligned with the motivation of previous agreement.</w:t>
      </w:r>
    </w:p>
    <w:p>
      <w:pPr>
        <w:spacing w:before="120" w:after="120"/>
        <w:rPr>
          <w:rFonts w:eastAsia="宋体"/>
        </w:rPr>
      </w:pPr>
      <w:r>
        <w:rPr>
          <w:rFonts w:hint="eastAsia"/>
        </w:rPr>
        <w:t>Moderator thinks RAN1 should focus on the identified understandings of RAN3, i.e., understanding 1 and 2, and down-select one of them to remove the ambiguity on t</w:t>
      </w:r>
      <w:r>
        <w:t>he start RB index for the Rel-17 IAB-DU HSNA resource configuration of an IAB-DU cell</w:t>
      </w:r>
      <w:r>
        <w:rPr>
          <w:rFonts w:hint="eastAsia" w:eastAsia="宋体"/>
        </w:rPr>
        <w:t>.</w:t>
      </w:r>
    </w:p>
    <w:p>
      <w:pPr>
        <w:spacing w:before="120" w:after="120"/>
      </w:pPr>
      <w:r>
        <w:rPr>
          <w:rFonts w:hint="eastAsia"/>
        </w:rPr>
        <w:t>For understanding 1, it gets more supports than other understandings, and it aligns with traditional frequency domain configurations, i.e., one reference numerology is used for all parameters, moderator observes the main concern for understanding 1 is how to define the H/S/NA attribute of the resources with lower frequency position than the lowest RB of the first RB set, moderator thinks the following clarifications can be added if understanding 1 is agreed:</w:t>
      </w:r>
    </w:p>
    <w:p>
      <w:pPr>
        <w:numPr>
          <w:ilvl w:val="1"/>
          <w:numId w:val="11"/>
        </w:numPr>
        <w:spacing w:before="120" w:after="120"/>
      </w:pPr>
      <w:r>
        <w:rPr>
          <w:rFonts w:hint="eastAsia"/>
        </w:rPr>
        <w:t xml:space="preserve">The reference SCS can be configured as </w:t>
      </w:r>
      <w:r>
        <w:rPr>
          <w:rStyle w:val="51"/>
          <w:rFonts w:ascii="Times New Roman" w:hAnsi="Times New Roman"/>
        </w:rPr>
        <w:t>the SCS</w:t>
      </w:r>
      <w:r>
        <w:rPr>
          <w:rStyle w:val="51"/>
          <w:rFonts w:hint="eastAsia" w:eastAsia="宋体"/>
        </w:rPr>
        <w:t xml:space="preserve"> of the carrier with </w:t>
      </w:r>
      <w:r>
        <w:rPr>
          <w:rStyle w:val="51"/>
          <w:rFonts w:ascii="Times New Roman" w:hAnsi="Times New Roman"/>
        </w:rPr>
        <w:t>the smallest SCS-specific frequency offset across all numerologies</w:t>
      </w:r>
      <w:r>
        <w:rPr>
          <w:rStyle w:val="51"/>
          <w:rFonts w:hint="eastAsia" w:eastAsia="宋体"/>
        </w:rPr>
        <w:t xml:space="preserve"> if the </w:t>
      </w:r>
      <w:r>
        <w:rPr>
          <w:rStyle w:val="51"/>
          <w:rFonts w:eastAsia="宋体"/>
        </w:rPr>
        <w:t>‘</w:t>
      </w:r>
      <w:r>
        <w:rPr>
          <w:rStyle w:val="51"/>
          <w:rFonts w:hint="eastAsia" w:eastAsia="宋体"/>
        </w:rPr>
        <w:t>left out</w:t>
      </w:r>
      <w:r>
        <w:rPr>
          <w:rStyle w:val="51"/>
          <w:rFonts w:eastAsia="宋体"/>
        </w:rPr>
        <w:t>’</w:t>
      </w:r>
      <w:r>
        <w:rPr>
          <w:rStyle w:val="51"/>
          <w:rFonts w:hint="eastAsia" w:eastAsia="宋体"/>
        </w:rPr>
        <w:t xml:space="preserve"> RBs are not expected, i.e., understanding 1 is implemented as understanding 2.</w:t>
      </w:r>
    </w:p>
    <w:p>
      <w:pPr>
        <w:numPr>
          <w:ilvl w:val="1"/>
          <w:numId w:val="11"/>
        </w:numPr>
        <w:spacing w:before="120" w:after="120"/>
        <w:rPr>
          <w:rFonts w:eastAsia="宋体"/>
        </w:rPr>
      </w:pPr>
      <w:r>
        <w:rPr>
          <w:rFonts w:hint="eastAsia"/>
        </w:rPr>
        <w:t>Similar as we have agreed in RAN1#109, t</w:t>
      </w:r>
      <w:r>
        <w:t>he remaining RBs not part of an RB set configuration are considered as included in the last RB set</w:t>
      </w:r>
      <w:r>
        <w:rPr>
          <w:rFonts w:hint="eastAsia"/>
        </w:rPr>
        <w:t xml:space="preserve"> or the first RB set.</w:t>
      </w:r>
    </w:p>
    <w:p>
      <w:pPr>
        <w:spacing w:before="120" w:after="120"/>
      </w:pPr>
      <w:r>
        <w:rPr>
          <w:rFonts w:hint="eastAsia"/>
        </w:rPr>
        <w:t>For understanding 2, moderator observes the main concern is that we use one numerology to define the RB set size but another numerology for the position of the RB sets, it may result in</w:t>
      </w:r>
      <w:r>
        <w:rPr>
          <w:rFonts w:hint="eastAsia" w:eastAsia="宋体"/>
        </w:rPr>
        <w:t xml:space="preserve"> </w:t>
      </w:r>
      <w:r>
        <w:rPr>
          <w:rStyle w:val="51"/>
          <w:rFonts w:ascii="Times New Roman" w:hAnsi="Times New Roman"/>
        </w:rPr>
        <w:t>point A plus the smallest SCS-specific frequency offset</w:t>
      </w:r>
      <w:r>
        <w:rPr>
          <w:rStyle w:val="51"/>
          <w:rFonts w:hint="eastAsia" w:ascii="Times New Roman" w:hAnsi="Times New Roman" w:eastAsia="宋体"/>
        </w:rPr>
        <w:t xml:space="preserve"> that</w:t>
      </w:r>
      <w:r>
        <w:rPr>
          <w:rStyle w:val="51"/>
          <w:rFonts w:hint="eastAsia"/>
        </w:rPr>
        <w:t xml:space="preserve"> may not be aligned with the common RB at the reference </w:t>
      </w:r>
      <w:r>
        <w:rPr>
          <w:rFonts w:hint="eastAsia" w:eastAsia="宋体"/>
        </w:rPr>
        <w:t xml:space="preserve">SCS, i.e., a RB for </w:t>
      </w:r>
      <w:r>
        <w:rPr>
          <w:rFonts w:hint="eastAsia"/>
        </w:rPr>
        <w:t>Rel-17 IAB-DU H/S/NA resource configuration</w:t>
      </w:r>
      <w:r>
        <w:rPr>
          <w:rFonts w:hint="eastAsia" w:eastAsia="宋体"/>
        </w:rPr>
        <w:t xml:space="preserve"> may be not in any resource block grid. </w:t>
      </w:r>
      <w:r>
        <w:rPr>
          <w:rFonts w:hint="eastAsia"/>
        </w:rPr>
        <w:t>Moderator thinks the following can be updated to understanding 2 if understanding 2 is agreed:</w:t>
      </w:r>
    </w:p>
    <w:p>
      <w:pPr>
        <w:numPr>
          <w:ilvl w:val="1"/>
          <w:numId w:val="11"/>
        </w:numPr>
        <w:spacing w:before="120" w:after="120"/>
      </w:pPr>
      <w:r>
        <w:rPr>
          <w:rFonts w:hint="eastAsia"/>
        </w:rPr>
        <w:t xml:space="preserve">Understanding 2: the start RB index for the Rel-17 IAB-DU HSNA resource configuration of the IAB-DU cell is </w:t>
      </w:r>
      <w:r>
        <w:rPr>
          <w:rFonts w:hint="eastAsia"/>
          <w:color w:val="FF0000"/>
          <w:u w:val="single"/>
        </w:rPr>
        <w:t>the RB index of the lowest RB at the reference SCS, which overlaps with</w:t>
      </w:r>
      <w:r>
        <w:rPr>
          <w:rFonts w:hint="eastAsia"/>
        </w:rPr>
        <w:t xml:space="preserve"> point A plus the smallest SCS-specific frequency offset across all numerologies provided by the NR Carrier List IE for this cell. </w:t>
      </w:r>
      <w:r>
        <w:rPr>
          <w:rFonts w:hint="eastAsia"/>
          <w:strike/>
          <w:color w:val="FF0000"/>
        </w:rPr>
        <w:t>Note that in this understanding, the start RB index does not depend on the SCS value included in the RB Set Configuration IE in TS 38.473.</w:t>
      </w: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 clarifications:</w:t>
      </w:r>
    </w:p>
    <w:p>
      <w:pPr>
        <w:numPr>
          <w:ilvl w:val="1"/>
          <w:numId w:val="11"/>
        </w:numPr>
        <w:spacing w:before="120" w:after="120"/>
        <w:rPr>
          <w:rFonts w:cstheme="minorHAnsi"/>
          <w:b/>
        </w:rPr>
      </w:pPr>
      <w:r>
        <w:rPr>
          <w:rFonts w:hint="eastAsia" w:cstheme="minorHAnsi"/>
          <w:b/>
        </w:rPr>
        <w:t>The remaining RBs not part of an RB set configuration are considered as included in the last/first RB set</w:t>
      </w:r>
    </w:p>
    <w:p>
      <w:pPr>
        <w:numPr>
          <w:ilvl w:val="1"/>
          <w:numId w:val="11"/>
        </w:numPr>
        <w:spacing w:before="120" w:after="120"/>
        <w:rPr>
          <w:rFonts w:cstheme="minorHAnsi"/>
          <w:b/>
        </w:rPr>
      </w:pPr>
      <w:r>
        <w:rPr>
          <w:rFonts w:hint="eastAsia" w:eastAsia="宋体"/>
          <w:b/>
          <w:bCs/>
        </w:rPr>
        <w:t xml:space="preserve">The reference SCS can be configured as the SCS of the carrier with the smallest SCS-specific frequency offset across all numerologies if the </w:t>
      </w:r>
      <w:r>
        <w:rPr>
          <w:rFonts w:eastAsia="宋体"/>
          <w:b/>
          <w:bCs/>
        </w:rPr>
        <w:t>‘</w:t>
      </w:r>
      <w:r>
        <w:rPr>
          <w:rFonts w:hint="eastAsia" w:eastAsia="宋体"/>
          <w:b/>
          <w:bCs/>
        </w:rPr>
        <w:t>remaining RBs</w:t>
      </w:r>
      <w:r>
        <w:rPr>
          <w:rFonts w:eastAsia="宋体"/>
          <w:b/>
          <w:bCs/>
        </w:rPr>
        <w:t>’</w:t>
      </w:r>
      <w:r>
        <w:rPr>
          <w:rFonts w:hint="eastAsia" w:eastAsia="宋体"/>
          <w:b/>
          <w:bCs/>
        </w:rPr>
        <w:t xml:space="preserve"> are not expected</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cstheme="minorHAnsi"/>
          <w:b/>
        </w:rPr>
      </w:pPr>
      <w:r>
        <w:rPr>
          <w:rFonts w:hint="eastAsia"/>
          <w:b/>
          <w:bCs/>
        </w:rPr>
        <w:t xml:space="preserve">Understanding 2: the start RB index for the Rel-17 IAB-DU HSNA resource configuration of the IAB-DU cell is </w:t>
      </w:r>
      <w:r>
        <w:rPr>
          <w:rFonts w:hint="eastAsia"/>
          <w:b/>
          <w:bCs/>
          <w:color w:val="FF0000"/>
          <w:u w:val="single"/>
        </w:rPr>
        <w:t>the RB index 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spacing w:before="120" w:after="120"/>
        <w:rPr>
          <w:rFonts w:cstheme="minorHAnsi"/>
          <w:b/>
        </w:rPr>
      </w:pPr>
    </w:p>
    <w:p>
      <w:pPr>
        <w:spacing w:before="120" w:after="120"/>
        <w:rPr>
          <w:rFonts w:cstheme="minorHAnsi"/>
          <w:b/>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5"/>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
              </w:rPr>
            </w:pPr>
            <w:r>
              <w:rPr>
                <w:rFonts w:cstheme="minorHAnsi"/>
                <w:b/>
              </w:rPr>
              <w:t>Company</w:t>
            </w:r>
          </w:p>
        </w:tc>
        <w:tc>
          <w:tcPr>
            <w:tcW w:w="7294" w:type="dxa"/>
          </w:tcPr>
          <w:p>
            <w:pPr>
              <w:spacing w:before="120" w:after="120"/>
              <w:jc w:val="center"/>
              <w:rPr>
                <w:rFonts w:cstheme="minorHAnsi"/>
                <w:b/>
              </w:rPr>
            </w:pPr>
            <w:r>
              <w:rPr>
                <w:rFonts w:cstheme="minorHAnsi"/>
                <w: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Qualcomm</w:t>
            </w:r>
          </w:p>
        </w:tc>
        <w:tc>
          <w:tcPr>
            <w:tcW w:w="7294" w:type="dxa"/>
          </w:tcPr>
          <w:p>
            <w:pPr>
              <w:spacing w:before="120" w:after="120"/>
              <w:rPr>
                <w:rFonts w:cstheme="minorHAnsi"/>
                <w:bCs/>
              </w:rPr>
            </w:pPr>
            <w:r>
              <w:rPr>
                <w:rFonts w:cstheme="minorHAnsi"/>
                <w:bCs/>
              </w:rPr>
              <w:t>Our view was aligned with Understanding 1, however we would support any solution that would address the issue without major specification changes.</w:t>
            </w:r>
          </w:p>
          <w:p>
            <w:pPr>
              <w:spacing w:before="120" w:after="120"/>
              <w:rPr>
                <w:rFonts w:cstheme="minorHAnsi"/>
                <w:bCs/>
              </w:rPr>
            </w:pPr>
            <w:r>
              <w:rPr>
                <w:rFonts w:cstheme="minorHAnsi"/>
                <w:bCs/>
              </w:rPr>
              <w:t>Our understanding is that RAN1’s intention with the RB set configuration is to define a grid in frequency where each element of the grid is a frequency window that can be associated with a H, S, NA attribute.</w:t>
            </w:r>
          </w:p>
          <w:p>
            <w:pPr>
              <w:spacing w:before="120" w:after="120"/>
              <w:rPr>
                <w:rFonts w:cstheme="minorHAnsi"/>
                <w:bCs/>
              </w:rPr>
            </w:pPr>
            <w:r>
              <w:rPr>
                <w:rFonts w:cstheme="minorHAnsi"/>
                <w:bCs/>
              </w:rPr>
              <w:t>In case of a single SCS numerology per DU cell there is no ambiguity in the identification of the lowest RB set.</w:t>
            </w:r>
          </w:p>
          <w:p>
            <w:pPr>
              <w:spacing w:before="120" w:after="120"/>
              <w:rPr>
                <w:rFonts w:cstheme="minorHAnsi"/>
                <w:bCs/>
              </w:rPr>
            </w:pPr>
            <w:r>
              <w:rPr>
                <w:rFonts w:cstheme="minorHAnsi"/>
                <w:bCs/>
              </w:rPr>
              <w:t>In case of multiple SCS numerologies per DU cell, RAN1 has agreed to define the RB sets according to only 1 numerology, so inevitably, regardless of the SCS value used on the RB sets configuration, there may be boundaries effect at the edge of each RB sets in terms of actually usable RBs within the frequency range identified by a configured RB set using a different numerology, depending on how offset the RB boundaries are given their respective offsets from Point A. This is true regardless of the determination of the precise starting point of the 1</w:t>
            </w:r>
            <w:r>
              <w:rPr>
                <w:rFonts w:cstheme="minorHAnsi"/>
                <w:bCs/>
                <w:vertAlign w:val="superscript"/>
              </w:rPr>
              <w:t>st</w:t>
            </w:r>
            <w:r>
              <w:rPr>
                <w:rFonts w:cstheme="minorHAnsi"/>
                <w:bCs/>
              </w:rPr>
              <w:t xml:space="preserve"> RB.</w:t>
            </w:r>
          </w:p>
          <w:p>
            <w:pPr>
              <w:spacing w:before="120" w:after="120"/>
              <w:rPr>
                <w:rFonts w:cstheme="minorHAnsi"/>
                <w:bCs/>
              </w:rPr>
            </w:pPr>
            <w:r>
              <w:rPr>
                <w:rFonts w:cstheme="minorHAnsi"/>
                <w:bCs/>
              </w:rPr>
              <w:t xml:space="preserve">With understanding 1, it is always possible to choose as reference SCS that would provide the lowest (in frequency) possible start RB. The only potential drawback is that the slot size and the RB set size will have to be defined according to that same SCS. </w:t>
            </w:r>
          </w:p>
          <w:p>
            <w:pPr>
              <w:spacing w:before="120" w:after="120"/>
              <w:rPr>
                <w:rFonts w:cstheme="minorHAnsi"/>
                <w:bCs/>
              </w:rPr>
            </w:pPr>
            <w:r>
              <w:rPr>
                <w:rFonts w:cstheme="minorHAnsi"/>
                <w:bCs/>
              </w:rPr>
              <w:t>An easy way to address the issue is to confirm understanding 1 and agree that the 1</w:t>
            </w:r>
            <w:r>
              <w:rPr>
                <w:rFonts w:cstheme="minorHAnsi"/>
                <w:bCs/>
                <w:vertAlign w:val="superscript"/>
              </w:rPr>
              <w:t>st</w:t>
            </w:r>
            <w:r>
              <w:rPr>
                <w:rFonts w:cstheme="minorHAnsi"/>
                <w:bCs/>
              </w:rPr>
              <w:t xml:space="preserve"> RB set of a configured carrier may extend below the 1</w:t>
            </w:r>
            <w:r>
              <w:rPr>
                <w:rFonts w:cstheme="minorHAnsi"/>
                <w:bCs/>
                <w:vertAlign w:val="superscript"/>
              </w:rPr>
              <w:t>st</w:t>
            </w:r>
            <w:r>
              <w:rPr>
                <w:rFonts w:cstheme="minorHAnsi"/>
                <w:bCs/>
              </w:rPr>
              <w:t xml:space="preserve"> RB corresponding to the RB sets configuration based on the reference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Ericsson</w:t>
            </w:r>
          </w:p>
        </w:tc>
        <w:tc>
          <w:tcPr>
            <w:tcW w:w="7294" w:type="dxa"/>
          </w:tcPr>
          <w:p>
            <w:pPr>
              <w:spacing w:before="120" w:after="120"/>
              <w:rPr>
                <w:rFonts w:cstheme="minorHAnsi"/>
                <w:bCs/>
              </w:rPr>
            </w:pPr>
            <w:r>
              <w:rPr>
                <w:rFonts w:cstheme="minorHAnsi"/>
                <w:bCs/>
              </w:rPr>
              <w:t>Although we acknowledge the need to focus on the more relevant alternatives, we don’t think we can afford to make an agreement that does not include RAN1’s view of the correct understanding to RAN3. Additionally, we are not convinced the proposed addition by the FL is needed for Understanding 2.</w:t>
            </w:r>
          </w:p>
          <w:p>
            <w:pPr>
              <w:spacing w:before="120" w:after="120"/>
              <w:rPr>
                <w:rFonts w:cstheme="minorHAnsi"/>
                <w:bCs/>
              </w:rPr>
            </w:pPr>
            <w:r>
              <w:rPr>
                <w:rFonts w:cstheme="minorHAnsi"/>
                <w:bCs/>
              </w:rPr>
              <w:t xml:space="preserve">Given that the whole cell/carrier is chosen for the RB set range, and that RBs are not perfectly aligned among different numerologies, there will always be the risk that RB sets of arbitrary numerologies are not properly matching the RB sets of the reference SCS. </w:t>
            </w:r>
            <w:r>
              <w:rPr>
                <w:rFonts w:cstheme="minorHAnsi"/>
              </w:rPr>
              <w:t>This can be exemplified by that</w:t>
            </w:r>
            <w:r>
              <w:rPr>
                <w:rFonts w:cstheme="minorHAnsi"/>
                <w:bCs/>
              </w:rPr>
              <w:t xml:space="preserve"> f</w:t>
            </w:r>
            <w:r>
              <w:rPr>
                <w:rStyle w:val="54"/>
              </w:rPr>
              <w:t>or a given cell configuration, if alignment for SCS n can be achieved, the alignment of SCS (n+1) is anyway not ensured. Therefore, if Understanding 1 is attempting to provide a better alignment, it does not achieve that.</w:t>
            </w:r>
          </w:p>
          <w:p>
            <w:pPr>
              <w:spacing w:before="120" w:after="120"/>
              <w:rPr>
                <w:rFonts w:cstheme="minorHAnsi"/>
                <w:bCs/>
              </w:rPr>
            </w:pPr>
            <w:r>
              <w:rPr>
                <w:rFonts w:cstheme="minorHAnsi"/>
              </w:rPr>
              <w:t>Also w</w:t>
            </w:r>
            <w:r>
              <w:rPr>
                <w:rFonts w:cstheme="minorHAnsi"/>
                <w:bCs/>
              </w:rPr>
              <w:t xml:space="preserve">ith respect to Understanding 1, apart from the fact that we think it </w:t>
            </w:r>
            <w:r>
              <w:rPr>
                <w:rFonts w:cstheme="minorHAnsi"/>
              </w:rPr>
              <w:t>does not reflect the intention of the agreemen</w:t>
            </w:r>
            <w:r>
              <w:rPr>
                <w:rFonts w:cstheme="minorHAnsi"/>
                <w:bCs/>
              </w:rPr>
              <w:t>t, it is our understanding that it will require additional changes in the specification that are not warranted at this point in time. One example of that is the following agreement</w:t>
            </w:r>
          </w:p>
          <w:p>
            <w:pPr>
              <w:spacing w:before="120" w:after="120"/>
              <w:ind w:left="8"/>
              <w:rPr>
                <w:rFonts w:cstheme="minorHAnsi"/>
                <w:b/>
              </w:rPr>
            </w:pPr>
            <w:r>
              <w:rPr>
                <w:rFonts w:cstheme="minorHAnsi"/>
                <w:b/>
                <w:highlight w:val="green"/>
              </w:rPr>
              <w:t>Agreement</w:t>
            </w:r>
          </w:p>
          <w:p>
            <w:pPr>
              <w:spacing w:before="120" w:after="120"/>
              <w:ind w:left="1"/>
              <w:rPr>
                <w:rFonts w:cstheme="minorHAnsi"/>
                <w:bCs/>
                <w:i/>
                <w:iCs/>
              </w:rPr>
            </w:pPr>
            <w:r>
              <w:rPr>
                <w:rFonts w:cstheme="minorHAnsi"/>
                <w:bCs/>
                <w:i/>
                <w:iCs/>
              </w:rPr>
              <w:t xml:space="preserve">If the RB sets of a Rel-17 IAB-DU H/S/NA resource configuration do not cover the entire carrier bandwidth: The </w:t>
            </w:r>
            <w:r>
              <w:rPr>
                <w:rFonts w:cstheme="minorHAnsi"/>
                <w:bCs/>
                <w:i/>
                <w:iCs/>
                <w:highlight w:val="yellow"/>
              </w:rPr>
              <w:t>remaining RBs not part of an</w:t>
            </w:r>
            <w:r>
              <w:rPr>
                <w:rFonts w:cstheme="minorHAnsi"/>
                <w:i/>
                <w:highlight w:val="yellow"/>
              </w:rPr>
              <w:t xml:space="preserve"> RB set</w:t>
            </w:r>
            <w:r>
              <w:rPr>
                <w:rFonts w:cstheme="minorHAnsi"/>
                <w:bCs/>
                <w:i/>
                <w:iCs/>
              </w:rPr>
              <w:t xml:space="preserve"> configuration are considered as </w:t>
            </w:r>
            <w:r>
              <w:rPr>
                <w:rFonts w:cstheme="minorHAnsi"/>
                <w:bCs/>
                <w:i/>
                <w:iCs/>
                <w:highlight w:val="yellow"/>
              </w:rPr>
              <w:t>included in the last RB set</w:t>
            </w:r>
            <w:r>
              <w:rPr>
                <w:rFonts w:cstheme="minorHAnsi"/>
                <w:bCs/>
                <w:i/>
                <w:iCs/>
              </w:rPr>
              <w:t>.</w:t>
            </w:r>
          </w:p>
          <w:p>
            <w:pPr>
              <w:spacing w:before="120" w:after="120"/>
              <w:rPr>
                <w:rFonts w:cstheme="minorHAnsi"/>
                <w:bCs/>
              </w:rPr>
            </w:pPr>
            <w:r>
              <w:rPr>
                <w:rFonts w:cstheme="minorHAnsi"/>
                <w:bCs/>
              </w:rPr>
              <w:t>that is highly undesirable provided Understanding 1 is agreed. Additionally, if the specification requires a certain SCS to be configured to work, we don’t see the point in explicitly signaling said SCS.</w:t>
            </w:r>
          </w:p>
          <w:p>
            <w:pPr>
              <w:spacing w:before="120" w:after="120"/>
              <w:rPr>
                <w:rFonts w:cstheme="minorHAnsi"/>
                <w:bCs/>
              </w:rPr>
            </w:pPr>
            <w:r>
              <w:rPr>
                <w:rFonts w:cstheme="minorHAnsi"/>
                <w:bCs/>
              </w:rPr>
              <w:t xml:space="preserve">The original intention of introducing RB sets was to singlehandedly indicate the availability for multiple cell resources (i.e., cell RBs) that can be used for scheduling (by the IAB-DU). For that, the parent and IAB-node need to have a common understanding of what RBs (scheduling resources) in the IAB-DU cell are Soft and to what cell RBs an availability indication is referring to. The RB sets (and consequently the underlying RBs – based on the RB set reference SCS) are essentially a means to address several cell frequency-resources with a single indication. For example, if the RB set reference SCS is 4 times higher than an SCS for cell RBs, the H/S/NA configuration for cell RBs would in principle happen in groups of 4. Thus, the RB set reference SCS is not supposed to be used as a spectrum defining parameter but rather as indicating a grouping factor. In this way, the RB set reference SCS configuration is not even required to have a same SCS value in an existing configuration for cell RBs (irrespective of a configuration via </w:t>
            </w:r>
            <w:r>
              <w:rPr>
                <w:rFonts w:cstheme="minorHAnsi"/>
                <w:bCs/>
                <w:i/>
                <w:iCs/>
              </w:rPr>
              <w:t>Transmission Bandwidth</w:t>
            </w:r>
            <w:r>
              <w:rPr>
                <w:rFonts w:cstheme="minorHAnsi"/>
                <w:bCs/>
              </w:rPr>
              <w:t xml:space="preserve"> or </w:t>
            </w:r>
            <w:r>
              <w:rPr>
                <w:rFonts w:cstheme="minorHAnsi"/>
                <w:bCs/>
                <w:i/>
                <w:iCs/>
              </w:rPr>
              <w:t>Carrier List</w:t>
            </w:r>
            <w:r>
              <w:rPr>
                <w:rFonts w:cstheme="minorHAnsi"/>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Huawei, HiSilicon</w:t>
            </w:r>
          </w:p>
        </w:tc>
        <w:tc>
          <w:tcPr>
            <w:tcW w:w="7294" w:type="dxa"/>
          </w:tcPr>
          <w:p>
            <w:pPr>
              <w:spacing w:before="120" w:after="120"/>
              <w:rPr>
                <w:rFonts w:eastAsiaTheme="minorEastAsia"/>
              </w:rPr>
            </w:pPr>
            <w:r>
              <w:rPr>
                <w:rFonts w:cstheme="minorHAnsi"/>
                <w:bCs/>
              </w:rPr>
              <w:t xml:space="preserve">As explained in our contribution </w:t>
            </w:r>
            <w:r>
              <w:rPr>
                <w:rFonts w:hint="eastAsia"/>
              </w:rPr>
              <w:t>R1-2300136</w:t>
            </w:r>
            <w:r>
              <w:rPr>
                <w:rFonts w:cstheme="minorHAnsi"/>
                <w:bCs/>
              </w:rPr>
              <w:t xml:space="preserve">, understanding 1 may result in undefined H/S/NA resources for a given SCS configurated by NR Carrier List. There is no such issue for understanding 2. However, understanding 2 may result in H/S/NA resources that will never be used for a given SCS. This is reason why we propose another alternative: </w:t>
            </w:r>
            <w:r>
              <w:t xml:space="preserve">to define the start RB index as the first RB for each SCS provided in NR Carrier List IE. With this alternative, we think the issues for both understanding 1 and understand 2 can be resolved. However, we </w:t>
            </w:r>
            <w:r>
              <w:rPr>
                <w:rFonts w:hint="eastAsia" w:eastAsiaTheme="minorEastAsia"/>
              </w:rPr>
              <w:t>a</w:t>
            </w:r>
            <w:r>
              <w:rPr>
                <w:rFonts w:eastAsiaTheme="minorEastAsia"/>
              </w:rPr>
              <w:t xml:space="preserve">lso </w:t>
            </w:r>
            <w:r>
              <w:t>acknowledge the comment that “</w:t>
            </w:r>
            <w:r>
              <w:rPr>
                <w:rFonts w:hint="eastAsia"/>
              </w:rPr>
              <w:t>the frequency position of an RB set, e.g., RB set 0, is different for different SCS-specific carries,</w:t>
            </w:r>
            <w:r>
              <w:t xml:space="preserve"> </w:t>
            </w:r>
            <w:r>
              <w:rPr>
                <w:rFonts w:hint="eastAsia"/>
              </w:rPr>
              <w:t xml:space="preserve">and it will also cause </w:t>
            </w:r>
            <w:r>
              <w:rPr>
                <w:rFonts w:cstheme="minorHAnsi"/>
                <w:bCs/>
              </w:rPr>
              <w:t>ambiguity</w:t>
            </w:r>
            <w:r>
              <w:rPr>
                <w:rFonts w:hint="eastAsia"/>
              </w:rPr>
              <w:t xml:space="preserve"> on the availability indication in DCI format 2-5 which is indicated for RB sets of a DU cell than for RB sets of each SCS-specific carrier.</w:t>
            </w:r>
            <w:r>
              <w:t>”. We are fine not to pursue understanding 3.</w:t>
            </w:r>
          </w:p>
          <w:p>
            <w:pPr>
              <w:spacing w:before="120" w:after="120"/>
              <w:rPr>
                <w:rFonts w:eastAsiaTheme="minorEastAsia"/>
              </w:rPr>
            </w:pPr>
            <w:r>
              <w:t xml:space="preserve">Between understanding 1 and understanding 2, we prefer a solution with minimum spec impact. </w:t>
            </w:r>
          </w:p>
          <w:p>
            <w:pPr>
              <w:spacing w:before="120" w:after="120"/>
            </w:pPr>
            <w:r>
              <w:t>For understanding 1 with the last update, one would need to extend the following RAN1 agreement</w:t>
            </w:r>
          </w:p>
          <w:p>
            <w:pPr>
              <w:spacing w:before="120" w:after="120"/>
              <w:ind w:left="8"/>
              <w:rPr>
                <w:rFonts w:cstheme="minorHAnsi"/>
                <w:b/>
              </w:rPr>
            </w:pPr>
            <w:r>
              <w:rPr>
                <w:rFonts w:cstheme="minorHAnsi"/>
                <w:b/>
                <w:highlight w:val="green"/>
              </w:rPr>
              <w:t>Agreement</w:t>
            </w:r>
          </w:p>
          <w:p>
            <w:pPr>
              <w:spacing w:before="120" w:after="120"/>
              <w:ind w:left="1"/>
              <w:rPr>
                <w:rFonts w:cstheme="minorHAnsi"/>
                <w:bCs/>
                <w:i/>
                <w:iCs/>
              </w:rPr>
            </w:pPr>
            <w:r>
              <w:rPr>
                <w:rFonts w:cstheme="minorHAnsi"/>
                <w:bCs/>
                <w:i/>
                <w:iCs/>
              </w:rPr>
              <w:t xml:space="preserve">If the RB sets of a Rel-17 IAB-DU H/S/NA resource configuration do not cover the entire carrier bandwidth: The </w:t>
            </w:r>
            <w:r>
              <w:rPr>
                <w:rFonts w:cstheme="minorHAnsi"/>
                <w:bCs/>
                <w:i/>
                <w:iCs/>
                <w:highlight w:val="yellow"/>
              </w:rPr>
              <w:t>remaining RBs not part of an</w:t>
            </w:r>
            <w:r>
              <w:rPr>
                <w:rFonts w:cstheme="minorHAnsi"/>
                <w:i/>
                <w:highlight w:val="yellow"/>
              </w:rPr>
              <w:t xml:space="preserve"> RB set</w:t>
            </w:r>
            <w:r>
              <w:rPr>
                <w:rFonts w:cstheme="minorHAnsi"/>
                <w:bCs/>
                <w:i/>
                <w:iCs/>
              </w:rPr>
              <w:t xml:space="preserve"> configuration are considered as </w:t>
            </w:r>
            <w:r>
              <w:rPr>
                <w:rFonts w:cstheme="minorHAnsi"/>
                <w:bCs/>
                <w:i/>
                <w:iCs/>
                <w:highlight w:val="yellow"/>
              </w:rPr>
              <w:t>included in the last RB set</w:t>
            </w:r>
            <w:r>
              <w:rPr>
                <w:rFonts w:cstheme="minorHAnsi"/>
                <w:bCs/>
                <w:i/>
                <w:iCs/>
              </w:rPr>
              <w:t>.</w:t>
            </w:r>
          </w:p>
          <w:p>
            <w:pPr>
              <w:spacing w:before="120" w:after="120"/>
            </w:pPr>
            <w:r>
              <w:t xml:space="preserve">This means if there are some left out RBs which has not been allocated to any RB set due to the offset between different SCS configurations, they are allocated to the first RB set. Of course, one could always configure the reference SCS as the one with the smallest SCS-specific frequency offset across all numerologies. But this means there is no flexibility to configure the frequency granularity of an RB set. </w:t>
            </w:r>
          </w:p>
          <w:p>
            <w:pPr>
              <w:spacing w:before="120" w:after="120"/>
            </w:pPr>
            <w:r>
              <w:t xml:space="preserve">For understanding 2, there is no dependency between the SCS to determine the starting RB and the reference SCS to determine the frequency granularity of an RB set. However, it also extends the previous RAN1 agreement </w:t>
            </w:r>
          </w:p>
          <w:p>
            <w:pPr>
              <w:spacing w:before="120" w:after="120"/>
              <w:rPr>
                <w:rFonts w:eastAsia="宋体"/>
              </w:rPr>
            </w:pPr>
            <w:r>
              <w:rPr>
                <w:b/>
                <w:bCs/>
                <w:iCs/>
                <w:highlight w:val="green"/>
              </w:rPr>
              <w:t>Agreement</w:t>
            </w:r>
            <w:r>
              <w:rPr>
                <w:b/>
                <w:bCs/>
                <w:iCs/>
              </w:rPr>
              <w:t xml:space="preserve"> (RAN1#108-e)</w:t>
            </w:r>
            <w:r>
              <w:rPr>
                <w:b/>
                <w:bCs/>
                <w:iCs/>
              </w:rPr>
              <w:br w:type="textWrapping"/>
            </w:r>
            <w:r>
              <w:rPr>
                <w:rStyle w:val="51"/>
                <w:rFonts w:ascii="Times New Roman" w:hAnsi="Times New Roman"/>
              </w:rPr>
              <w:t>The start RB index of the first RB set for the Rel-17 IAB-DU HSNA resource configuration is the lowest index of RB of the IAB-DU cell</w:t>
            </w:r>
            <w:r>
              <w:rPr>
                <w:rStyle w:val="51"/>
                <w:rFonts w:ascii="Times New Roman" w:hAnsi="Times New Roman" w:eastAsia="宋体"/>
              </w:rPr>
              <w:t>.</w:t>
            </w:r>
          </w:p>
          <w:p>
            <w:pPr>
              <w:spacing w:before="120" w:after="120"/>
              <w:rPr>
                <w:rFonts w:eastAsiaTheme="minorEastAsia"/>
              </w:rPr>
            </w:pPr>
            <w:r>
              <w:rPr>
                <w:rFonts w:eastAsiaTheme="minorEastAsia"/>
              </w:rPr>
              <w:t>The start RB index for the Rel-17 IAB-DU HSNA resource configuration of the IAB-DU cell is point A plus the smallest SCS-specific frequency offset across all numerologies provided by the NR Carrier List IE for this cell.</w:t>
            </w:r>
          </w:p>
          <w:p>
            <w:pPr>
              <w:spacing w:before="120" w:after="120"/>
              <w:rPr>
                <w:rFonts w:eastAsiaTheme="minorEastAsia"/>
              </w:rPr>
            </w:pPr>
          </w:p>
          <w:p>
            <w:pPr>
              <w:spacing w:before="120" w:after="120"/>
              <w:rPr>
                <w:rFonts w:eastAsiaTheme="minorEastAsia"/>
              </w:rPr>
            </w:pPr>
            <w:r>
              <w:rPr>
                <w:rFonts w:hint="eastAsia" w:eastAsiaTheme="minorEastAsia"/>
              </w:rPr>
              <w:t>T</w:t>
            </w:r>
            <w:r>
              <w:rPr>
                <w:rFonts w:eastAsiaTheme="minorEastAsia"/>
              </w:rPr>
              <w:t>herefore, there is no obvious advantage between the two options. We have a slight preference over Understanding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hint="eastAsia" w:eastAsia="Malgun Gothic" w:cstheme="minorHAnsi"/>
                <w:bCs/>
                <w:lang w:eastAsia="ko-KR"/>
              </w:rPr>
              <w:t>Samsung</w:t>
            </w:r>
          </w:p>
        </w:tc>
        <w:tc>
          <w:tcPr>
            <w:tcW w:w="7294" w:type="dxa"/>
          </w:tcPr>
          <w:p>
            <w:pPr>
              <w:spacing w:before="120" w:after="120"/>
              <w:rPr>
                <w:rFonts w:cstheme="minorHAnsi"/>
                <w:bCs/>
              </w:rPr>
            </w:pPr>
            <w:r>
              <w:rPr>
                <w:rFonts w:hint="eastAsia" w:eastAsia="Malgun Gothic" w:cstheme="minorHAnsi"/>
                <w:bCs/>
                <w:lang w:eastAsia="ko-KR"/>
              </w:rPr>
              <w:t xml:space="preserve">Although we </w:t>
            </w:r>
            <w:r>
              <w:rPr>
                <w:rFonts w:eastAsia="Malgun Gothic" w:cstheme="minorHAnsi"/>
                <w:bCs/>
                <w:lang w:eastAsia="ko-KR"/>
              </w:rPr>
              <w:t>showed</w:t>
            </w:r>
            <w:r>
              <w:rPr>
                <w:rFonts w:hint="eastAsia" w:eastAsia="Malgun Gothic" w:cstheme="minorHAnsi"/>
                <w:bCs/>
                <w:lang w:eastAsia="ko-KR"/>
              </w:rPr>
              <w:t xml:space="preserve"> a preference on understanding 1,</w:t>
            </w:r>
            <w:r>
              <w:rPr>
                <w:rFonts w:eastAsia="Malgun Gothic" w:cstheme="minorHAnsi"/>
                <w:bCs/>
                <w:lang w:eastAsia="ko-KR"/>
              </w:rPr>
              <w:t xml:space="preserve"> we</w:t>
            </w:r>
            <w:r>
              <w:rPr>
                <w:rFonts w:hint="eastAsia" w:eastAsia="Malgun Gothic" w:cstheme="minorHAnsi"/>
                <w:bCs/>
                <w:lang w:eastAsia="ko-KR"/>
              </w:rPr>
              <w:t xml:space="preserve"> </w:t>
            </w:r>
            <w:r>
              <w:rPr>
                <w:rFonts w:eastAsia="Malgun Gothic" w:cstheme="minorHAnsi"/>
                <w:bCs/>
                <w:lang w:eastAsia="ko-KR"/>
              </w:rPr>
              <w:t>are OK with discussing spec. impacts on each understanding and then would like to go with an option of min. spec. impact. Given the discussion so far, we feel understanding 1 requires some association between reference SCS and frequency granularity of RB set as well as spec. impact for remaining RBs. In this perspective, we can accept understanding 2.</w:t>
            </w:r>
          </w:p>
        </w:tc>
      </w:tr>
    </w:tbl>
    <w:p>
      <w:pPr>
        <w:pStyle w:val="3"/>
      </w:pPr>
      <w:r>
        <w:rPr>
          <w:lang w:eastAsia="ko-KR"/>
        </w:rPr>
        <w:t>Summary of companies’ inputs</w:t>
      </w:r>
    </w:p>
    <w:p>
      <w:pPr>
        <w:spacing w:before="120" w:after="120"/>
        <w:rPr>
          <w:rFonts w:eastAsia="宋体"/>
        </w:rPr>
      </w:pPr>
      <w:r>
        <w:rPr>
          <w:rFonts w:hint="eastAsia" w:eastAsia="宋体"/>
        </w:rPr>
        <w:t>Moderator thanks companies</w:t>
      </w:r>
      <w:r>
        <w:rPr>
          <w:rFonts w:eastAsia="宋体"/>
        </w:rPr>
        <w:t>’</w:t>
      </w:r>
      <w:r>
        <w:rPr>
          <w:rFonts w:hint="eastAsia" w:eastAsia="宋体"/>
        </w:rPr>
        <w:t xml:space="preserve"> inputs on the discussion, and thanks Huawei</w:t>
      </w:r>
      <w:r>
        <w:rPr>
          <w:rFonts w:eastAsia="宋体"/>
        </w:rPr>
        <w:t>’</w:t>
      </w:r>
      <w:r>
        <w:rPr>
          <w:rFonts w:hint="eastAsia" w:eastAsia="宋体"/>
        </w:rPr>
        <w:t>s flexibility on understanding 3.</w:t>
      </w:r>
    </w:p>
    <w:p>
      <w:pPr>
        <w:spacing w:before="120" w:after="120"/>
        <w:rPr>
          <w:rFonts w:eastAsia="宋体"/>
          <w:b/>
          <w:bCs/>
        </w:rPr>
      </w:pPr>
      <w:r>
        <w:rPr>
          <w:rFonts w:hint="eastAsia" w:eastAsia="宋体"/>
          <w:b/>
          <w:bCs/>
        </w:rPr>
        <w:t>For understanding 1:</w:t>
      </w:r>
    </w:p>
    <w:p>
      <w:pPr>
        <w:spacing w:before="120" w:after="120"/>
        <w:rPr>
          <w:rFonts w:eastAsia="宋体" w:cstheme="minorHAnsi"/>
          <w:bCs/>
        </w:rPr>
      </w:pPr>
      <w:r>
        <w:t>With respect to</w:t>
      </w:r>
      <w:r>
        <w:rPr>
          <w:rFonts w:hint="eastAsia" w:eastAsia="宋体"/>
        </w:rPr>
        <w:t xml:space="preserve"> Qualcomm</w:t>
      </w:r>
      <w:r>
        <w:rPr>
          <w:rFonts w:eastAsia="宋体"/>
        </w:rPr>
        <w:t>’</w:t>
      </w:r>
      <w:r>
        <w:rPr>
          <w:rFonts w:hint="eastAsia" w:eastAsia="宋体"/>
        </w:rPr>
        <w:t>s and HW</w:t>
      </w:r>
      <w:r>
        <w:rPr>
          <w:rFonts w:eastAsia="宋体"/>
        </w:rPr>
        <w:t>’</w:t>
      </w:r>
      <w:r>
        <w:rPr>
          <w:rFonts w:hint="eastAsia" w:eastAsia="宋体"/>
        </w:rPr>
        <w:t>s comment, moderator also thinks the technical concern on understanding 1 can be addressed if we can extend the following agreement to agree that</w:t>
      </w:r>
      <w:r>
        <w:rPr>
          <w:rFonts w:cstheme="minorHAnsi"/>
          <w:bCs/>
        </w:rPr>
        <w:t xml:space="preserve"> the 1</w:t>
      </w:r>
      <w:r>
        <w:rPr>
          <w:rFonts w:cstheme="minorHAnsi"/>
          <w:bCs/>
          <w:vertAlign w:val="superscript"/>
        </w:rPr>
        <w:t>st</w:t>
      </w:r>
      <w:r>
        <w:rPr>
          <w:rFonts w:cstheme="minorHAnsi"/>
          <w:bCs/>
        </w:rPr>
        <w:t xml:space="preserve"> RB set of a configured </w:t>
      </w:r>
      <w:r>
        <w:rPr>
          <w:rFonts w:hint="eastAsia" w:eastAsia="宋体" w:cstheme="minorHAnsi"/>
          <w:bCs/>
        </w:rPr>
        <w:t xml:space="preserve">SCS-specific </w:t>
      </w:r>
      <w:r>
        <w:rPr>
          <w:rFonts w:cstheme="minorHAnsi"/>
          <w:bCs/>
        </w:rPr>
        <w:t>carrier may extend below the 1</w:t>
      </w:r>
      <w:r>
        <w:rPr>
          <w:rFonts w:cstheme="minorHAnsi"/>
          <w:bCs/>
          <w:vertAlign w:val="superscript"/>
        </w:rPr>
        <w:t>st</w:t>
      </w:r>
      <w:r>
        <w:rPr>
          <w:rFonts w:cstheme="minorHAnsi"/>
          <w:bCs/>
        </w:rPr>
        <w:t xml:space="preserve"> RB corresponding to the RB sets configuration based on the reference SCS</w:t>
      </w:r>
      <w:r>
        <w:rPr>
          <w:rFonts w:hint="eastAsia" w:eastAsia="宋体" w:cstheme="minorHAnsi"/>
          <w:bCs/>
        </w:rPr>
        <w:t xml:space="preserve">: </w:t>
      </w:r>
    </w:p>
    <w:p>
      <w:pPr>
        <w:spacing w:before="120" w:after="120"/>
        <w:ind w:left="8"/>
        <w:rPr>
          <w:rFonts w:cstheme="minorHAnsi"/>
          <w:b/>
          <w:lang w:val="zh-CN"/>
        </w:rPr>
      </w:pPr>
      <w:r>
        <w:rPr>
          <w:rFonts w:cstheme="minorHAnsi"/>
          <w:b/>
          <w:highlight w:val="green"/>
          <w:lang w:val="zh-CN"/>
        </w:rPr>
        <w:t>Agreement</w:t>
      </w:r>
    </w:p>
    <w:p>
      <w:pPr>
        <w:spacing w:before="120" w:after="120"/>
        <w:ind w:left="1"/>
        <w:rPr>
          <w:rFonts w:eastAsia="宋体" w:cstheme="minorHAnsi"/>
          <w:bCs/>
        </w:rPr>
      </w:pPr>
      <w:r>
        <w:rPr>
          <w:rFonts w:cstheme="minorHAnsi"/>
          <w:bCs/>
          <w:i/>
          <w:iCs/>
          <w:lang w:val="zh-CN"/>
        </w:rPr>
        <w:t xml:space="preserve">If the RB sets of a Rel-17 IAB-DU H/S/NA resource configuration do not cover the entire carrier bandwidth: The </w:t>
      </w:r>
      <w:r>
        <w:rPr>
          <w:rFonts w:cstheme="minorHAnsi"/>
          <w:bCs/>
          <w:i/>
          <w:iCs/>
          <w:highlight w:val="yellow"/>
          <w:lang w:val="zh-CN"/>
        </w:rPr>
        <w:t>remaining RBs not part of an</w:t>
      </w:r>
      <w:r>
        <w:rPr>
          <w:rFonts w:cstheme="minorHAnsi"/>
          <w:i/>
          <w:highlight w:val="yellow"/>
          <w:lang w:val="zh-CN"/>
        </w:rPr>
        <w:t xml:space="preserve"> RB set</w:t>
      </w:r>
      <w:r>
        <w:rPr>
          <w:rFonts w:cstheme="minorHAnsi"/>
          <w:bCs/>
          <w:i/>
          <w:iCs/>
          <w:lang w:val="zh-CN"/>
        </w:rPr>
        <w:t xml:space="preserve"> configuration are considered as </w:t>
      </w:r>
      <w:r>
        <w:rPr>
          <w:rFonts w:cstheme="minorHAnsi"/>
          <w:bCs/>
          <w:i/>
          <w:iCs/>
          <w:highlight w:val="yellow"/>
          <w:lang w:val="zh-CN"/>
        </w:rPr>
        <w:t>included in the last RB set</w:t>
      </w:r>
      <w:r>
        <w:rPr>
          <w:rFonts w:cstheme="minorHAnsi"/>
          <w:bCs/>
          <w:i/>
          <w:iCs/>
          <w:lang w:val="zh-CN"/>
        </w:rPr>
        <w:t>.</w:t>
      </w:r>
    </w:p>
    <w:p>
      <w:pPr>
        <w:spacing w:before="120" w:after="120"/>
        <w:rPr>
          <w:rFonts w:eastAsia="宋体" w:cstheme="minorHAnsi"/>
          <w:bCs/>
        </w:rPr>
      </w:pPr>
      <w:r>
        <w:rPr>
          <w:rFonts w:hint="eastAsia" w:eastAsia="宋体" w:cstheme="minorHAnsi"/>
          <w:bCs/>
        </w:rPr>
        <w:t>And from moderator</w:t>
      </w:r>
      <w:r>
        <w:rPr>
          <w:rFonts w:eastAsia="宋体" w:cstheme="minorHAnsi"/>
          <w:bCs/>
        </w:rPr>
        <w:t>’</w:t>
      </w:r>
      <w:r>
        <w:rPr>
          <w:rFonts w:hint="eastAsia" w:eastAsia="宋体" w:cstheme="minorHAnsi"/>
          <w:bCs/>
        </w:rPr>
        <w:t>s view, the motivation of the agreement is to address the remaining RBs that are higher than the last RB set of the RB set configuration, the similar principle can be applied for the RBs below the first RB set.</w:t>
      </w:r>
    </w:p>
    <w:p>
      <w:pPr>
        <w:spacing w:before="120" w:after="120"/>
        <w:rPr>
          <w:rFonts w:eastAsia="宋体"/>
          <w:b/>
          <w:bCs/>
        </w:rPr>
      </w:pPr>
    </w:p>
    <w:p>
      <w:pPr>
        <w:spacing w:before="120" w:after="120"/>
        <w:rPr>
          <w:rFonts w:eastAsia="宋体"/>
          <w:b/>
          <w:bCs/>
        </w:rPr>
      </w:pPr>
      <w:r>
        <w:rPr>
          <w:rFonts w:hint="eastAsia" w:eastAsia="宋体"/>
          <w:b/>
          <w:bCs/>
        </w:rPr>
        <w:t>For understanding 2:</w:t>
      </w:r>
    </w:p>
    <w:p>
      <w:pPr>
        <w:spacing w:before="120" w:after="120"/>
        <w:rPr>
          <w:rFonts w:eastAsia="宋体"/>
        </w:rPr>
      </w:pPr>
      <w:r>
        <w:rPr>
          <w:rFonts w:hint="eastAsia" w:eastAsia="宋体"/>
        </w:rPr>
        <w:t>Moderator thinks the modification is needed.</w:t>
      </w:r>
    </w:p>
    <w:p>
      <w:pPr>
        <w:spacing w:before="120" w:after="120"/>
        <w:rPr>
          <w:rFonts w:eastAsia="宋体"/>
        </w:rPr>
      </w:pPr>
      <w:r>
        <w:rPr>
          <w:rFonts w:hint="eastAsia" w:eastAsia="宋体"/>
        </w:rPr>
        <w:t xml:space="preserve">Firstly, the original version is not accurate, it says </w:t>
      </w:r>
      <w:r>
        <w:rPr>
          <w:rFonts w:eastAsia="宋体"/>
        </w:rPr>
        <w:t>‘</w:t>
      </w:r>
      <w:r>
        <w:rPr>
          <w:rFonts w:hint="eastAsia" w:eastAsia="宋体"/>
        </w:rPr>
        <w:t xml:space="preserve">the RB </w:t>
      </w:r>
      <w:r>
        <w:rPr>
          <w:rFonts w:hint="eastAsia" w:eastAsia="宋体"/>
          <w:highlight w:val="green"/>
        </w:rPr>
        <w:t>index</w:t>
      </w:r>
      <w:r>
        <w:rPr>
          <w:rFonts w:eastAsia="宋体"/>
        </w:rPr>
        <w:t>’</w:t>
      </w:r>
      <w:r>
        <w:rPr>
          <w:rFonts w:hint="eastAsia" w:eastAsia="宋体"/>
        </w:rPr>
        <w:t xml:space="preserve"> is a </w:t>
      </w:r>
      <w:r>
        <w:rPr>
          <w:rFonts w:eastAsia="宋体"/>
        </w:rPr>
        <w:t>‘</w:t>
      </w:r>
      <w:r>
        <w:rPr>
          <w:rFonts w:hint="eastAsia" w:eastAsia="宋体"/>
        </w:rPr>
        <w:t>frequency position</w:t>
      </w:r>
      <w:r>
        <w:rPr>
          <w:rFonts w:eastAsia="宋体"/>
        </w:rPr>
        <w:t>’</w:t>
      </w:r>
      <w:r>
        <w:rPr>
          <w:rFonts w:hint="eastAsia" w:eastAsia="宋体"/>
        </w:rPr>
        <w:t>=point A+ smallest SCS-specific frequency offset, not aligns with our agreement:</w:t>
      </w:r>
    </w:p>
    <w:p>
      <w:pPr>
        <w:spacing w:before="120" w:after="120"/>
        <w:rPr>
          <w:rStyle w:val="51"/>
          <w:rFonts w:ascii="Times New Roman" w:hAnsi="Times New Roman" w:eastAsia="宋体"/>
        </w:rPr>
      </w:pPr>
      <w:r>
        <w:rPr>
          <w:b/>
          <w:bCs/>
          <w:iCs/>
          <w:highlight w:val="green"/>
        </w:rPr>
        <w:t>Agreement</w:t>
      </w:r>
      <w:r>
        <w:rPr>
          <w:b/>
          <w:bCs/>
          <w:iCs/>
        </w:rPr>
        <w:t xml:space="preserve"> (RAN1#108-e)</w:t>
      </w:r>
      <w:r>
        <w:rPr>
          <w:b/>
          <w:bCs/>
          <w:iCs/>
        </w:rPr>
        <w:br w:type="textWrapping"/>
      </w:r>
      <w:r>
        <w:rPr>
          <w:rStyle w:val="51"/>
          <w:rFonts w:ascii="Times New Roman" w:hAnsi="Times New Roman"/>
        </w:rPr>
        <w:t>The start</w:t>
      </w:r>
      <w:r>
        <w:rPr>
          <w:rStyle w:val="51"/>
          <w:rFonts w:ascii="Times New Roman" w:hAnsi="Times New Roman"/>
          <w:highlight w:val="yellow"/>
        </w:rPr>
        <w:t xml:space="preserve"> RB index </w:t>
      </w:r>
      <w:r>
        <w:rPr>
          <w:rStyle w:val="51"/>
          <w:rFonts w:ascii="Times New Roman" w:hAnsi="Times New Roman"/>
        </w:rPr>
        <w:t xml:space="preserve">of the first RB set for the Rel-17 IAB-DU HSNA resource configuration </w:t>
      </w:r>
      <w:r>
        <w:rPr>
          <w:rStyle w:val="51"/>
          <w:rFonts w:ascii="Times New Roman" w:hAnsi="Times New Roman"/>
          <w:highlight w:val="green"/>
        </w:rPr>
        <w:t>is the lowest index</w:t>
      </w:r>
      <w:r>
        <w:rPr>
          <w:rStyle w:val="51"/>
          <w:rFonts w:ascii="Times New Roman" w:hAnsi="Times New Roman"/>
        </w:rPr>
        <w:t xml:space="preserve"> of RB of the IAB-DU cell</w:t>
      </w:r>
      <w:r>
        <w:rPr>
          <w:rStyle w:val="51"/>
          <w:rFonts w:ascii="Times New Roman" w:hAnsi="Times New Roman" w:eastAsia="宋体"/>
        </w:rPr>
        <w:t>.</w:t>
      </w:r>
    </w:p>
    <w:p>
      <w:pPr>
        <w:spacing w:before="120" w:after="120"/>
        <w:rPr>
          <w:rFonts w:eastAsia="宋体" w:cstheme="minorHAnsi"/>
          <w:bCs/>
        </w:rPr>
      </w:pPr>
      <w:r>
        <w:rPr>
          <w:rFonts w:hint="eastAsia" w:eastAsia="宋体" w:cstheme="minorHAnsi"/>
          <w:bCs/>
        </w:rPr>
        <w:t xml:space="preserve">Secondly, the RB index definition in our agreement should follow the following text in 38.211,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3"/>
                <w:numId w:val="0"/>
              </w:numPr>
              <w:tabs>
                <w:tab w:val="left" w:pos="-4820"/>
                <w:tab w:val="clear" w:pos="0"/>
              </w:tabs>
              <w:outlineLvl w:val="3"/>
            </w:pPr>
            <w:bookmarkStart w:id="16" w:name="_Toc19796388"/>
            <w:bookmarkStart w:id="17" w:name="_Toc45107356"/>
            <w:bookmarkStart w:id="18" w:name="_Toc36026517"/>
            <w:bookmarkStart w:id="19" w:name="_Toc29230258"/>
            <w:bookmarkStart w:id="20" w:name="_Toc26459614"/>
            <w:bookmarkStart w:id="21" w:name="_Toc51774025"/>
            <w:bookmarkStart w:id="22" w:name="_Toc106014714"/>
            <w:r>
              <w:tab/>
            </w:r>
            <w:r>
              <w:rPr>
                <w:rFonts w:hint="eastAsia"/>
              </w:rPr>
              <w:t xml:space="preserve">4.4.4.3 </w:t>
            </w:r>
            <w:r>
              <w:t>Common resource blocks</w:t>
            </w:r>
            <w:bookmarkEnd w:id="16"/>
            <w:bookmarkEnd w:id="17"/>
            <w:bookmarkEnd w:id="18"/>
            <w:bookmarkEnd w:id="19"/>
            <w:bookmarkEnd w:id="20"/>
            <w:bookmarkEnd w:id="21"/>
            <w:bookmarkEnd w:id="22"/>
          </w:p>
          <w:p>
            <w:pPr>
              <w:spacing w:before="120" w:after="120"/>
            </w:pPr>
            <w:r>
              <w:t xml:space="preserve">Common resource blocks are </w:t>
            </w:r>
            <w:r>
              <w:rPr>
                <w:highlight w:val="yellow"/>
              </w:rPr>
              <w:t xml:space="preserve">numbered from 0 and upwards in the frequency domain for subcarrier spacing configuration </w:t>
            </w:r>
            <m:oMath>
              <m:r>
                <m:rPr/>
                <w:rPr>
                  <w:rFonts w:ascii="Cambria Math" w:hAnsi="Cambria Math"/>
                  <w:highlight w:val="yellow"/>
                </w:rPr>
                <m:t>μ</m:t>
              </m:r>
            </m:oMath>
            <w:r>
              <w:t xml:space="preserve">. The center of subcarrier 0 of </w:t>
            </w:r>
            <w:r>
              <w:rPr>
                <w:highlight w:val="yellow"/>
              </w:rPr>
              <w:t>common resource block 0</w:t>
            </w:r>
            <w:r>
              <w:t xml:space="preserve"> for subcarrier spacing configuration </w:t>
            </w:r>
            <m:oMath>
              <m:r>
                <m:rPr/>
                <w:rPr>
                  <w:rFonts w:ascii="Cambria Math" w:hAnsi="Cambria Math"/>
                </w:rPr>
                <m:t>μ</m:t>
              </m:r>
            </m:oMath>
            <w:r>
              <w:t xml:space="preserve"> coincides with </w:t>
            </w:r>
            <w:r>
              <w:rPr>
                <w:highlight w:val="yellow"/>
              </w:rPr>
              <w:t>'point A'.</w:t>
            </w:r>
            <w:r>
              <w:t xml:space="preserve"> </w:t>
            </w:r>
          </w:p>
          <w:p>
            <w:pPr>
              <w:spacing w:before="120" w:after="120"/>
            </w:pPr>
            <w:r>
              <w:t xml:space="preserve">The relation between the common resource block number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rPr>
                    <m:t>CRB</m:t>
                  </m:r>
                  <m:ctrlPr>
                    <w:rPr>
                      <w:rFonts w:ascii="Cambria Math" w:hAnsi="Cambria Math"/>
                      <w:i/>
                    </w:rPr>
                  </m:ctrlPr>
                </m:sub>
                <m:sup>
                  <m:r>
                    <m:rPr/>
                    <w:rPr>
                      <w:rFonts w:ascii="Cambria Math" w:hAnsi="Cambria Math"/>
                    </w:rPr>
                    <m:t>μ</m:t>
                  </m:r>
                  <m:ctrlPr>
                    <w:rPr>
                      <w:rFonts w:ascii="Cambria Math" w:hAnsi="Cambria Math"/>
                      <w:i/>
                    </w:rPr>
                  </m:ctrlPr>
                </m:sup>
              </m:sSubSup>
            </m:oMath>
            <w:r>
              <w:t xml:space="preserve"> in the frequency domain and resource elements </w:t>
            </w:r>
            <w:r>
              <w:rPr>
                <w:position w:val="-10"/>
              </w:rPr>
              <w:object>
                <v:shape id="_x0000_i1025" o:spt="75" type="#_x0000_t75" style="height:15.7pt;width:23.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 for subcarrier spacing configuration </w:t>
            </w:r>
            <m:oMath>
              <m:r>
                <m:rPr/>
                <w:rPr>
                  <w:rFonts w:ascii="Cambria Math" w:hAnsi="Cambria Math"/>
                </w:rPr>
                <m:t>μ</m:t>
              </m:r>
            </m:oMath>
            <w:r>
              <w:t xml:space="preserve"> is given by</w:t>
            </w:r>
          </w:p>
          <w:p>
            <w:pPr>
              <w:pStyle w:val="55"/>
              <w:tabs>
                <w:tab w:val="left" w:pos="3600"/>
              </w:tabs>
              <w:spacing w:before="120" w:after="120"/>
            </w:pPr>
            <w:r>
              <w:tab/>
            </w:r>
            <w:r>
              <w:rPr>
                <w:position w:val="-30"/>
              </w:rPr>
              <w:object>
                <v:shape id="_x0000_i1026" o:spt="75" type="#_x0000_t75" style="height:33.7pt;width:63.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spacing w:before="120" w:after="120"/>
            </w:pPr>
            <w:r>
              <w:t xml:space="preserve">where </w:t>
            </w:r>
            <w:r>
              <w:rPr>
                <w:position w:val="-6"/>
              </w:rPr>
              <w:object>
                <v:shape id="_x0000_i1027" o:spt="75" type="#_x0000_t75" style="height:13.4pt;width:9.7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is defined relative to point A such that </w:t>
            </w:r>
            <m:oMath>
              <m:r>
                <m:rPr/>
                <w:rPr>
                  <w:rFonts w:ascii="Cambria Math" w:hAnsi="Cambria Math"/>
                </w:rPr>
                <m:t>k=0</m:t>
              </m:r>
            </m:oMath>
            <w:r>
              <w:t xml:space="preserve"> corresponds to the subcarrier centered around point A.</w:t>
            </w:r>
          </w:p>
        </w:tc>
      </w:tr>
    </w:tbl>
    <w:p>
      <w:pPr>
        <w:spacing w:before="120" w:after="120"/>
        <w:rPr>
          <w:rFonts w:eastAsia="宋体"/>
        </w:rPr>
      </w:pPr>
      <w:r>
        <w:rPr>
          <w:rFonts w:hint="eastAsia" w:eastAsia="宋体"/>
        </w:rPr>
        <w:t xml:space="preserve">But the original understanding 2 may result in the ambiguity on the RB index of the lowest RB of the first RB set and  a RB for </w:t>
      </w:r>
      <w:r>
        <w:rPr>
          <w:rFonts w:hint="eastAsia"/>
        </w:rPr>
        <w:t>Rel-17 IAB-DU H/S/NA resource configuration</w:t>
      </w:r>
      <w:r>
        <w:rPr>
          <w:rFonts w:hint="eastAsia" w:eastAsia="宋体"/>
        </w:rPr>
        <w:t xml:space="preserve"> may be not in any resource block grid defined in 38.211, take the following as example, how to determine the RB index of the start RB is not clear for understanding 2:</w:t>
      </w:r>
    </w:p>
    <w:p>
      <w:pPr>
        <w:spacing w:before="120" w:after="120"/>
        <w:ind w:left="840"/>
      </w:pPr>
      <w:r>
        <w:rPr>
          <w:lang w:eastAsia="ko-KR"/>
        </w:rPr>
        <w:drawing>
          <wp:inline distT="0" distB="0" distL="114300" distR="114300">
            <wp:extent cx="3451860" cy="1789430"/>
            <wp:effectExtent l="0" t="0" r="1524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5"/>
                    <a:stretch>
                      <a:fillRect/>
                    </a:stretch>
                  </pic:blipFill>
                  <pic:spPr>
                    <a:xfrm>
                      <a:off x="0" y="0"/>
                      <a:ext cx="3451860" cy="1789430"/>
                    </a:xfrm>
                    <a:prstGeom prst="rect">
                      <a:avLst/>
                    </a:prstGeom>
                    <a:noFill/>
                    <a:ln>
                      <a:noFill/>
                    </a:ln>
                  </pic:spPr>
                </pic:pic>
              </a:graphicData>
            </a:graphic>
          </wp:inline>
        </w:drawing>
      </w:r>
    </w:p>
    <w:p>
      <w:pPr>
        <w:spacing w:before="120" w:after="120"/>
        <w:rPr>
          <w:rFonts w:eastAsia="宋体"/>
        </w:rPr>
      </w:pPr>
      <w:r>
        <w:t>With respect to</w:t>
      </w:r>
      <w:r>
        <w:rPr>
          <w:rFonts w:hint="eastAsia" w:eastAsia="宋体"/>
        </w:rPr>
        <w:t xml:space="preserve"> Ericsson</w:t>
      </w:r>
      <w:r>
        <w:rPr>
          <w:rFonts w:eastAsia="宋体"/>
        </w:rPr>
        <w:t>’</w:t>
      </w:r>
      <w:r>
        <w:rPr>
          <w:rFonts w:hint="eastAsia" w:eastAsia="宋体"/>
        </w:rPr>
        <w:t xml:space="preserve">s comment, moderator wants to clarify that it is not motivated to align RBs </w:t>
      </w:r>
      <w:r>
        <w:rPr>
          <w:rFonts w:cstheme="minorHAnsi"/>
          <w:bCs/>
        </w:rPr>
        <w:t>among different numerologies</w:t>
      </w:r>
      <w:r>
        <w:rPr>
          <w:rFonts w:hint="eastAsia" w:eastAsia="宋体" w:cstheme="minorHAnsi"/>
          <w:bCs/>
        </w:rPr>
        <w:t xml:space="preserve">, instead, it wants to make </w:t>
      </w:r>
      <w:r>
        <w:rPr>
          <w:rFonts w:hint="eastAsia" w:eastAsia="宋体"/>
        </w:rPr>
        <w:t xml:space="preserve">a RB for </w:t>
      </w:r>
      <w:r>
        <w:rPr>
          <w:rFonts w:hint="eastAsia"/>
        </w:rPr>
        <w:t>Rel-17 IAB-DU H/S/NA resource configuration</w:t>
      </w:r>
      <w:r>
        <w:rPr>
          <w:rFonts w:hint="eastAsia" w:eastAsia="宋体"/>
        </w:rPr>
        <w:t xml:space="preserve"> align with one of the defined resource block grids in 38.211, and the RB should have an index following current common RB indexing rules.</w:t>
      </w:r>
    </w:p>
    <w:p>
      <w:pPr>
        <w:pStyle w:val="56"/>
        <w:spacing w:before="120" w:after="120"/>
        <w:jc w:val="both"/>
        <w:rPr>
          <w:b w:val="0"/>
          <w:bCs/>
          <w:lang w:val="en-GB"/>
        </w:rPr>
      </w:pPr>
    </w:p>
    <w:p>
      <w:pPr>
        <w:pStyle w:val="56"/>
        <w:spacing w:before="120" w:after="120"/>
        <w:jc w:val="both"/>
        <w:rPr>
          <w:b w:val="0"/>
          <w:bCs/>
          <w:lang w:val="en-GB"/>
        </w:rPr>
      </w:pPr>
      <w:r>
        <w:rPr>
          <w:b w:val="0"/>
          <w:bCs/>
          <w:lang w:val="en-GB"/>
        </w:rPr>
        <w:t>Based on the above discussio</w:t>
      </w:r>
      <w:r>
        <w:rPr>
          <w:rFonts w:hint="eastAsia" w:eastAsia="宋体"/>
          <w:b w:val="0"/>
          <w:bCs/>
          <w:lang w:val="en-US"/>
        </w:rPr>
        <w:t>n</w:t>
      </w:r>
      <w:r>
        <w:rPr>
          <w:b w:val="0"/>
          <w:bCs/>
          <w:lang w:val="en-GB"/>
        </w:rPr>
        <w:t>, the following is proposed:</w:t>
      </w:r>
    </w:p>
    <w:p>
      <w:pPr>
        <w:spacing w:before="120" w:after="120"/>
        <w:rPr>
          <w:rFonts w:eastAsia="宋体"/>
        </w:rPr>
      </w:pP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r>
        <w:rPr>
          <w:rFonts w:hint="eastAsia" w:eastAsia="宋体" w:cstheme="minorHAnsi"/>
          <w:b/>
          <w:highlight w:val="yellow"/>
          <w:u w:val="single"/>
        </w:rPr>
        <w:t>a</w:t>
      </w:r>
      <w:r>
        <w:rPr>
          <w:rFonts w:cstheme="minorHAnsi"/>
          <w:b/>
          <w:highlight w:val="yellow"/>
          <w:u w:val="single"/>
        </w:rPr>
        <w:t>:</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w:t>
      </w:r>
      <w:r>
        <w:rPr>
          <w:rFonts w:hint="eastAsia" w:eastAsia="宋体" w:cstheme="minorHAnsi"/>
          <w:b/>
        </w:rPr>
        <w:t xml:space="preserve"> clarification</w:t>
      </w:r>
      <w:r>
        <w:rPr>
          <w:rFonts w:hint="eastAsia" w:cstheme="minorHAnsi"/>
          <w:b/>
        </w:rPr>
        <w:t>:</w:t>
      </w:r>
    </w:p>
    <w:p>
      <w:pPr>
        <w:numPr>
          <w:ilvl w:val="1"/>
          <w:numId w:val="11"/>
        </w:numPr>
        <w:spacing w:before="120" w:after="120"/>
        <w:rPr>
          <w:rFonts w:cstheme="minorHAnsi"/>
          <w:b/>
        </w:rPr>
      </w:pPr>
      <w:r>
        <w:rPr>
          <w:rFonts w:hint="eastAsia" w:cstheme="minorHAnsi"/>
          <w:b/>
        </w:rPr>
        <w:t>The 1st RB set of a configured SCS-specific carrier may extend below the 1st RB corresponding to the RB sets configuration based on the reference SCS</w:t>
      </w:r>
      <w:r>
        <w:rPr>
          <w:rFonts w:hint="eastAsia" w:eastAsia="宋体" w:cstheme="minorHAnsi"/>
          <w:b/>
        </w:rPr>
        <w:t>.</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eastAsia="宋体"/>
        </w:rPr>
      </w:pPr>
      <w:r>
        <w:rPr>
          <w:rFonts w:hint="eastAsia"/>
          <w:b/>
          <w:bCs/>
        </w:rPr>
        <w:t xml:space="preserve">Understanding 2: the start RB index for the Rel-17 IAB-DU HSNA resource configuration of the IAB-DU cell is </w:t>
      </w:r>
      <w:r>
        <w:rPr>
          <w:rFonts w:hint="eastAsia"/>
          <w:b/>
          <w:bCs/>
          <w:color w:val="0000FF"/>
          <w:u w:val="single"/>
        </w:rPr>
        <w:t xml:space="preserve">the RB index </w:t>
      </w:r>
      <w:r>
        <w:rPr>
          <w:rFonts w:hint="eastAsia"/>
          <w:b/>
          <w:bCs/>
          <w:color w:val="FF0000"/>
          <w:u w:val="single"/>
        </w:rPr>
        <w:t>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spacing w:before="120" w:after="120"/>
      </w:pPr>
    </w:p>
    <w:p>
      <w:pPr>
        <w:spacing w:before="120" w:after="120"/>
        <w:ind w:left="840"/>
      </w:pPr>
    </w:p>
    <w:p>
      <w:pPr>
        <w:pStyle w:val="2"/>
        <w:spacing w:before="120" w:after="120"/>
        <w:rPr>
          <w:rFonts w:eastAsia="宋体"/>
        </w:rPr>
      </w:pPr>
      <w:r>
        <w:rPr>
          <w:rFonts w:hint="eastAsia" w:eastAsia="宋体"/>
        </w:rPr>
        <w:t>Conclusion</w:t>
      </w:r>
    </w:p>
    <w:p>
      <w:pPr>
        <w:spacing w:before="120" w:after="120"/>
        <w:rPr>
          <w:rFonts w:hint="eastAsia" w:eastAsia="宋体"/>
          <w:lang w:val="en-US" w:eastAsia="zh-CN"/>
        </w:rPr>
      </w:pPr>
      <w:r>
        <w:rPr>
          <w:rFonts w:hint="eastAsia" w:eastAsia="宋体"/>
          <w:lang w:val="en-US" w:eastAsia="zh-CN"/>
        </w:rPr>
        <w:t>Based on companies</w:t>
      </w:r>
      <w:r>
        <w:rPr>
          <w:rFonts w:hint="default" w:eastAsia="宋体"/>
          <w:lang w:val="en-US" w:eastAsia="zh-CN"/>
        </w:rPr>
        <w:t>’</w:t>
      </w:r>
      <w:r>
        <w:rPr>
          <w:rFonts w:hint="eastAsia" w:eastAsia="宋体"/>
          <w:lang w:val="en-US" w:eastAsia="zh-CN"/>
        </w:rPr>
        <w:t xml:space="preserve"> feedback</w:t>
      </w:r>
      <w:bookmarkStart w:id="24" w:name="_GoBack"/>
      <w:bookmarkEnd w:id="24"/>
      <w:r>
        <w:rPr>
          <w:rFonts w:hint="eastAsia" w:eastAsia="宋体"/>
          <w:lang w:val="en-US" w:eastAsia="zh-CN"/>
        </w:rPr>
        <w:t>, moderator thinks we can discuss the following proposal during the online session to see more views.</w:t>
      </w: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r>
        <w:rPr>
          <w:rFonts w:hint="eastAsia" w:eastAsia="宋体" w:cstheme="minorHAnsi"/>
          <w:b/>
          <w:highlight w:val="yellow"/>
          <w:u w:val="single"/>
        </w:rPr>
        <w:t>a</w:t>
      </w:r>
      <w:r>
        <w:rPr>
          <w:rFonts w:cstheme="minorHAnsi"/>
          <w:b/>
          <w:highlight w:val="yellow"/>
          <w:u w:val="single"/>
        </w:rPr>
        <w:t>:</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w:t>
      </w:r>
      <w:r>
        <w:rPr>
          <w:rFonts w:hint="eastAsia" w:eastAsia="宋体" w:cstheme="minorHAnsi"/>
          <w:b/>
        </w:rPr>
        <w:t xml:space="preserve"> clarification</w:t>
      </w:r>
      <w:r>
        <w:rPr>
          <w:rFonts w:hint="eastAsia" w:cstheme="minorHAnsi"/>
          <w:b/>
        </w:rPr>
        <w:t>:</w:t>
      </w:r>
    </w:p>
    <w:p>
      <w:pPr>
        <w:numPr>
          <w:ilvl w:val="1"/>
          <w:numId w:val="11"/>
        </w:numPr>
        <w:spacing w:before="120" w:after="120"/>
        <w:rPr>
          <w:rFonts w:cstheme="minorHAnsi"/>
          <w:b/>
        </w:rPr>
      </w:pPr>
      <w:r>
        <w:rPr>
          <w:rFonts w:hint="eastAsia" w:cstheme="minorHAnsi"/>
          <w:b/>
        </w:rPr>
        <w:t>The 1st RB set of a configured SCS-specific carrier may extend below the 1st RB corresponding to the RB sets configuration based on the reference SCS</w:t>
      </w:r>
      <w:r>
        <w:rPr>
          <w:rFonts w:hint="eastAsia" w:eastAsia="宋体" w:cstheme="minorHAnsi"/>
          <w:b/>
        </w:rPr>
        <w:t>.</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eastAsia="宋体"/>
        </w:rPr>
      </w:pPr>
      <w:r>
        <w:rPr>
          <w:rFonts w:hint="eastAsia"/>
          <w:b/>
          <w:bCs/>
        </w:rPr>
        <w:t xml:space="preserve">Understanding 2: the start RB index for the Rel-17 IAB-DU HSNA resource configuration of the IAB-DU cell is </w:t>
      </w:r>
      <w:r>
        <w:rPr>
          <w:rFonts w:hint="eastAsia"/>
          <w:b/>
          <w:bCs/>
          <w:color w:val="FF0000"/>
          <w:u w:val="single"/>
        </w:rPr>
        <w:t xml:space="preserve">the RB index </w:t>
      </w:r>
      <w:r>
        <w:rPr>
          <w:rFonts w:hint="eastAsia"/>
          <w:b/>
          <w:bCs/>
          <w:color w:val="FF0000"/>
          <w:u w:val="single"/>
        </w:rPr>
        <w:t>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spacing w:before="120" w:after="120"/>
        <w:rPr>
          <w:rFonts w:hint="eastAsia" w:eastAsia="宋体"/>
          <w:lang w:val="en-US" w:eastAsia="zh-CN"/>
        </w:rPr>
      </w:pPr>
    </w:p>
    <w:p>
      <w:pPr>
        <w:spacing w:before="120" w:after="120"/>
      </w:pPr>
    </w:p>
    <w:p>
      <w:pPr>
        <w:pStyle w:val="2"/>
        <w:spacing w:before="120" w:after="120"/>
        <w:rPr>
          <w:rFonts w:eastAsia="宋体"/>
        </w:rPr>
      </w:pPr>
      <w:r>
        <w:rPr>
          <w:rFonts w:hint="eastAsia" w:eastAsia="宋体"/>
        </w:rPr>
        <w:t>Reference</w:t>
      </w:r>
      <w:r>
        <w:rPr>
          <w:rFonts w:eastAsia="宋体"/>
        </w:rPr>
        <w:t>s</w:t>
      </w:r>
    </w:p>
    <w:p>
      <w:pPr>
        <w:pStyle w:val="29"/>
        <w:spacing w:before="120" w:after="120"/>
        <w:ind w:left="363" w:hanging="363"/>
        <w:rPr>
          <w:szCs w:val="20"/>
        </w:rPr>
      </w:pPr>
      <w:bookmarkStart w:id="23" w:name="_Ref17466"/>
      <w:r>
        <w:rPr>
          <w:rFonts w:hint="eastAsia" w:eastAsia="宋体"/>
          <w:szCs w:val="20"/>
        </w:rPr>
        <w:t>R1-2300006(R3-226781) LS on RB set configuration</w:t>
      </w:r>
    </w:p>
    <w:p>
      <w:pPr>
        <w:pStyle w:val="29"/>
        <w:spacing w:before="120" w:after="120"/>
        <w:ind w:left="363" w:hanging="363"/>
        <w:rPr>
          <w:szCs w:val="20"/>
        </w:rPr>
      </w:pPr>
      <w:r>
        <w:rPr>
          <w:rFonts w:hint="eastAsia"/>
          <w:szCs w:val="20"/>
        </w:rPr>
        <w:t>R1-2300136</w:t>
      </w:r>
      <w:r>
        <w:rPr>
          <w:rFonts w:hint="eastAsia" w:eastAsia="宋体"/>
          <w:szCs w:val="20"/>
        </w:rPr>
        <w:t xml:space="preserve"> </w:t>
      </w:r>
      <w:r>
        <w:rPr>
          <w:rFonts w:hint="eastAsia"/>
          <w:szCs w:val="20"/>
        </w:rPr>
        <w:tab/>
      </w:r>
      <w:r>
        <w:rPr>
          <w:rFonts w:hint="eastAsia"/>
          <w:szCs w:val="20"/>
        </w:rPr>
        <w:t>On RB set configuration for IAB</w:t>
      </w:r>
      <w:r>
        <w:rPr>
          <w:rFonts w:hint="eastAsia" w:eastAsia="宋体"/>
          <w:szCs w:val="20"/>
        </w:rPr>
        <w:t xml:space="preserve"> </w:t>
      </w:r>
      <w:r>
        <w:rPr>
          <w:rFonts w:hint="eastAsia"/>
          <w:szCs w:val="20"/>
        </w:rPr>
        <w:tab/>
      </w:r>
      <w:r>
        <w:rPr>
          <w:rFonts w:hint="eastAsia"/>
          <w:szCs w:val="20"/>
        </w:rPr>
        <w:t>Huawei, HiSilicon</w:t>
      </w:r>
    </w:p>
    <w:p>
      <w:pPr>
        <w:pStyle w:val="29"/>
        <w:spacing w:before="120" w:after="120"/>
        <w:ind w:left="363" w:hanging="363"/>
        <w:rPr>
          <w:szCs w:val="20"/>
        </w:rPr>
      </w:pPr>
      <w:r>
        <w:rPr>
          <w:rFonts w:hint="eastAsia"/>
          <w:szCs w:val="20"/>
        </w:rPr>
        <w:t>R1-2300349</w:t>
      </w:r>
      <w:r>
        <w:rPr>
          <w:rFonts w:hint="eastAsia"/>
          <w:szCs w:val="20"/>
        </w:rPr>
        <w:tab/>
      </w:r>
      <w:r>
        <w:rPr>
          <w:rFonts w:hint="eastAsia" w:eastAsia="宋体"/>
          <w:szCs w:val="20"/>
        </w:rPr>
        <w:t xml:space="preserve"> </w:t>
      </w:r>
      <w:r>
        <w:rPr>
          <w:rFonts w:hint="eastAsia"/>
          <w:szCs w:val="20"/>
        </w:rPr>
        <w:t>Discussion on RAN3 LS on RB set configuration</w:t>
      </w:r>
      <w:r>
        <w:rPr>
          <w:rFonts w:hint="eastAsia"/>
          <w:szCs w:val="20"/>
        </w:rPr>
        <w:tab/>
      </w:r>
      <w:r>
        <w:rPr>
          <w:rFonts w:hint="eastAsia" w:eastAsia="宋体"/>
          <w:szCs w:val="20"/>
        </w:rPr>
        <w:t xml:space="preserve"> </w:t>
      </w:r>
      <w:r>
        <w:rPr>
          <w:rFonts w:hint="eastAsia"/>
          <w:szCs w:val="20"/>
        </w:rPr>
        <w:t>ZTE, Sanechips</w:t>
      </w:r>
    </w:p>
    <w:p>
      <w:pPr>
        <w:pStyle w:val="29"/>
        <w:spacing w:before="120" w:after="120"/>
        <w:ind w:left="363" w:hanging="363"/>
        <w:rPr>
          <w:szCs w:val="20"/>
        </w:rPr>
      </w:pPr>
      <w:r>
        <w:rPr>
          <w:rFonts w:hint="eastAsia"/>
          <w:szCs w:val="20"/>
        </w:rPr>
        <w:t>R1-2300350</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ZTE, Sanechips</w:t>
      </w:r>
    </w:p>
    <w:p>
      <w:pPr>
        <w:pStyle w:val="29"/>
        <w:spacing w:before="120" w:after="120"/>
        <w:ind w:left="363" w:hanging="363"/>
        <w:rPr>
          <w:szCs w:val="20"/>
        </w:rPr>
      </w:pPr>
      <w:r>
        <w:rPr>
          <w:rFonts w:hint="eastAsia"/>
          <w:szCs w:val="20"/>
        </w:rPr>
        <w:t>R1-2300414</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vivo</w:t>
      </w:r>
    </w:p>
    <w:p>
      <w:pPr>
        <w:pStyle w:val="29"/>
        <w:spacing w:before="120" w:after="120"/>
        <w:ind w:left="363" w:hanging="363"/>
        <w:rPr>
          <w:szCs w:val="20"/>
        </w:rPr>
      </w:pPr>
      <w:r>
        <w:rPr>
          <w:rFonts w:hint="eastAsia"/>
          <w:szCs w:val="20"/>
        </w:rPr>
        <w:t>R1-2300776</w:t>
      </w:r>
      <w:r>
        <w:rPr>
          <w:rFonts w:hint="eastAsia"/>
          <w:szCs w:val="20"/>
        </w:rPr>
        <w:tab/>
      </w:r>
      <w:r>
        <w:rPr>
          <w:rFonts w:hint="eastAsia" w:eastAsia="宋体"/>
          <w:szCs w:val="20"/>
        </w:rPr>
        <w:t xml:space="preserve"> </w:t>
      </w:r>
      <w:r>
        <w:rPr>
          <w:rFonts w:hint="eastAsia"/>
          <w:szCs w:val="20"/>
        </w:rPr>
        <w:t>Discussion on RAN3 LS regarding RB set configuration</w:t>
      </w:r>
      <w:r>
        <w:rPr>
          <w:rFonts w:hint="eastAsia" w:eastAsia="宋体"/>
          <w:szCs w:val="20"/>
        </w:rPr>
        <w:t xml:space="preserve"> </w:t>
      </w:r>
      <w:r>
        <w:rPr>
          <w:rFonts w:hint="eastAsia"/>
          <w:szCs w:val="20"/>
        </w:rPr>
        <w:t>Nokia, Nokia Shanghai Bell</w:t>
      </w:r>
    </w:p>
    <w:p>
      <w:pPr>
        <w:pStyle w:val="29"/>
        <w:spacing w:before="120" w:after="120"/>
        <w:ind w:left="363" w:hanging="363"/>
        <w:rPr>
          <w:szCs w:val="20"/>
        </w:rPr>
      </w:pPr>
      <w:r>
        <w:rPr>
          <w:rFonts w:hint="eastAsia"/>
          <w:szCs w:val="20"/>
        </w:rPr>
        <w:t>R1-2301227</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Samsung</w:t>
      </w:r>
    </w:p>
    <w:p>
      <w:pPr>
        <w:pStyle w:val="29"/>
        <w:spacing w:before="120" w:after="120"/>
        <w:ind w:left="363" w:hanging="363"/>
        <w:rPr>
          <w:szCs w:val="20"/>
        </w:rPr>
      </w:pPr>
      <w:r>
        <w:rPr>
          <w:rFonts w:hint="eastAsia"/>
          <w:szCs w:val="20"/>
        </w:rPr>
        <w:t>R1-2301382</w:t>
      </w:r>
      <w:r>
        <w:rPr>
          <w:rFonts w:hint="eastAsia"/>
          <w:szCs w:val="20"/>
        </w:rPr>
        <w:tab/>
      </w:r>
      <w:r>
        <w:rPr>
          <w:rFonts w:hint="eastAsia" w:eastAsia="宋体"/>
          <w:szCs w:val="20"/>
        </w:rPr>
        <w:t xml:space="preserve"> </w:t>
      </w:r>
      <w:r>
        <w:rPr>
          <w:rFonts w:hint="eastAsia"/>
          <w:szCs w:val="20"/>
        </w:rPr>
        <w:t>Draft reply to RAN3 LS on RB set configuration</w:t>
      </w:r>
      <w:r>
        <w:rPr>
          <w:rFonts w:hint="eastAsia"/>
          <w:szCs w:val="20"/>
        </w:rPr>
        <w:tab/>
      </w:r>
      <w:r>
        <w:rPr>
          <w:rFonts w:hint="eastAsia" w:eastAsia="宋体"/>
          <w:szCs w:val="20"/>
        </w:rPr>
        <w:t xml:space="preserve"> </w:t>
      </w:r>
      <w:r>
        <w:rPr>
          <w:rFonts w:hint="eastAsia"/>
          <w:szCs w:val="20"/>
        </w:rPr>
        <w:t>Qualcomm Incorporated</w:t>
      </w:r>
    </w:p>
    <w:p>
      <w:pPr>
        <w:pStyle w:val="29"/>
        <w:spacing w:before="120" w:after="120"/>
        <w:ind w:left="363" w:hanging="363"/>
        <w:rPr>
          <w:szCs w:val="20"/>
        </w:rPr>
      </w:pPr>
      <w:r>
        <w:rPr>
          <w:rFonts w:hint="eastAsia"/>
          <w:szCs w:val="20"/>
        </w:rPr>
        <w:t>R1-2301756</w:t>
      </w:r>
      <w:r>
        <w:rPr>
          <w:rFonts w:hint="eastAsia"/>
          <w:szCs w:val="20"/>
        </w:rPr>
        <w:tab/>
      </w:r>
      <w:r>
        <w:rPr>
          <w:rFonts w:hint="eastAsia" w:eastAsia="宋体"/>
          <w:szCs w:val="20"/>
        </w:rPr>
        <w:t xml:space="preserve"> </w:t>
      </w:r>
      <w:r>
        <w:rPr>
          <w:rFonts w:hint="eastAsia"/>
          <w:szCs w:val="20"/>
        </w:rPr>
        <w:t>Draft reply LS on RB set configuration for IAB</w:t>
      </w:r>
      <w:r>
        <w:rPr>
          <w:rFonts w:hint="eastAsia"/>
          <w:szCs w:val="20"/>
        </w:rPr>
        <w:tab/>
      </w:r>
      <w:r>
        <w:rPr>
          <w:rFonts w:hint="eastAsia" w:eastAsia="宋体"/>
          <w:szCs w:val="20"/>
        </w:rPr>
        <w:t xml:space="preserve"> </w:t>
      </w:r>
      <w:r>
        <w:rPr>
          <w:rFonts w:hint="eastAsia"/>
          <w:szCs w:val="20"/>
        </w:rPr>
        <w:t>Huawei, HiSilicon</w:t>
      </w:r>
    </w:p>
    <w:p>
      <w:pPr>
        <w:pStyle w:val="29"/>
        <w:spacing w:before="120" w:after="120"/>
        <w:ind w:left="363" w:hanging="363"/>
        <w:rPr>
          <w:szCs w:val="20"/>
        </w:rPr>
      </w:pPr>
      <w:r>
        <w:rPr>
          <w:rFonts w:hint="eastAsia"/>
          <w:szCs w:val="20"/>
        </w:rPr>
        <w:t>R1-2301764</w:t>
      </w:r>
      <w:r>
        <w:rPr>
          <w:rFonts w:hint="eastAsia"/>
          <w:szCs w:val="20"/>
        </w:rPr>
        <w:tab/>
      </w:r>
      <w:r>
        <w:rPr>
          <w:rFonts w:hint="eastAsia" w:eastAsia="宋体"/>
          <w:szCs w:val="20"/>
        </w:rPr>
        <w:t xml:space="preserve"> </w:t>
      </w:r>
      <w:r>
        <w:rPr>
          <w:rFonts w:hint="eastAsia"/>
          <w:szCs w:val="20"/>
        </w:rPr>
        <w:t>Draft Reply LS on RB set configuration</w:t>
      </w:r>
      <w:r>
        <w:rPr>
          <w:rFonts w:hint="eastAsia" w:eastAsia="宋体"/>
          <w:szCs w:val="20"/>
        </w:rPr>
        <w:t xml:space="preserve"> </w:t>
      </w:r>
      <w:r>
        <w:rPr>
          <w:rFonts w:hint="eastAsia"/>
          <w:szCs w:val="20"/>
        </w:rPr>
        <w:tab/>
      </w:r>
      <w:r>
        <w:rPr>
          <w:rFonts w:hint="eastAsia"/>
          <w:szCs w:val="20"/>
        </w:rPr>
        <w:t>Ericsson</w:t>
      </w:r>
    </w:p>
    <w:p>
      <w:pPr>
        <w:pStyle w:val="29"/>
        <w:spacing w:before="120" w:after="120"/>
        <w:ind w:left="363" w:hanging="363"/>
        <w:rPr>
          <w:szCs w:val="20"/>
        </w:rPr>
      </w:pPr>
      <w:r>
        <w:rPr>
          <w:rFonts w:hint="eastAsia"/>
          <w:szCs w:val="20"/>
        </w:rPr>
        <w:t>R1-2301765</w:t>
      </w:r>
      <w:r>
        <w:rPr>
          <w:rFonts w:hint="eastAsia" w:eastAsia="宋体"/>
          <w:szCs w:val="20"/>
        </w:rPr>
        <w:t xml:space="preserve"> </w:t>
      </w:r>
      <w:r>
        <w:rPr>
          <w:rFonts w:hint="eastAsia"/>
          <w:szCs w:val="20"/>
        </w:rPr>
        <w:tab/>
      </w:r>
      <w:r>
        <w:rPr>
          <w:rFonts w:hint="eastAsia"/>
          <w:szCs w:val="20"/>
        </w:rPr>
        <w:t>Discussion on RAN3 LS on RB set configuration</w:t>
      </w:r>
      <w:r>
        <w:rPr>
          <w:rFonts w:hint="eastAsia" w:eastAsia="宋体"/>
          <w:szCs w:val="20"/>
        </w:rPr>
        <w:t xml:space="preserve"> </w:t>
      </w:r>
      <w:r>
        <w:rPr>
          <w:rFonts w:hint="eastAsia"/>
          <w:szCs w:val="20"/>
        </w:rPr>
        <w:tab/>
      </w:r>
      <w:r>
        <w:rPr>
          <w:rFonts w:hint="eastAsia"/>
          <w:szCs w:val="20"/>
        </w:rPr>
        <w:t>Ericsson</w:t>
      </w:r>
    </w:p>
    <w:bookmarkEnd w:id="23"/>
    <w:p>
      <w:pPr>
        <w:spacing w:before="120" w:after="120"/>
      </w:pP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1EBE7"/>
    <w:multiLevelType w:val="multilevel"/>
    <w:tmpl w:val="AB11EBE7"/>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B15F0BA4"/>
    <w:multiLevelType w:val="singleLevel"/>
    <w:tmpl w:val="B15F0BA4"/>
    <w:lvl w:ilvl="0" w:tentative="0">
      <w:start w:val="1"/>
      <w:numFmt w:val="bullet"/>
      <w:pStyle w:val="27"/>
      <w:lvlText w:val="-"/>
      <w:lvlJc w:val="left"/>
      <w:pPr>
        <w:ind w:left="420" w:hanging="420"/>
      </w:pPr>
      <w:rPr>
        <w:rFonts w:hint="default" w:ascii="Arial" w:hAnsi="Arial" w:cs="Arial"/>
      </w:rPr>
    </w:lvl>
  </w:abstractNum>
  <w:abstractNum w:abstractNumId="2">
    <w:nsid w:val="F41DB43E"/>
    <w:multiLevelType w:val="singleLevel"/>
    <w:tmpl w:val="F41DB43E"/>
    <w:lvl w:ilvl="0" w:tentative="0">
      <w:start w:val="1"/>
      <w:numFmt w:val="bullet"/>
      <w:lvlText w:val=""/>
      <w:lvlJc w:val="left"/>
      <w:pPr>
        <w:ind w:left="420" w:hanging="420"/>
      </w:pPr>
      <w:rPr>
        <w:rFonts w:hint="default" w:ascii="Wingdings" w:hAnsi="Wingdings"/>
      </w:rPr>
    </w:lvl>
  </w:abstractNum>
  <w:abstractNum w:abstractNumId="3">
    <w:nsid w:val="175FBC94"/>
    <w:multiLevelType w:val="singleLevel"/>
    <w:tmpl w:val="175FBC94"/>
    <w:lvl w:ilvl="0" w:tentative="0">
      <w:start w:val="1"/>
      <w:numFmt w:val="bullet"/>
      <w:lvlText w:val=""/>
      <w:lvlJc w:val="left"/>
      <w:pPr>
        <w:ind w:left="420" w:hanging="420"/>
      </w:pPr>
      <w:rPr>
        <w:rFonts w:hint="default" w:ascii="Wingdings" w:hAnsi="Wingdings"/>
      </w:rPr>
    </w:lvl>
  </w:abstractNum>
  <w:abstractNum w:abstractNumId="4">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508BE803"/>
    <w:multiLevelType w:val="singleLevel"/>
    <w:tmpl w:val="508BE803"/>
    <w:lvl w:ilvl="0" w:tentative="0">
      <w:start w:val="1"/>
      <w:numFmt w:val="bullet"/>
      <w:pStyle w:val="28"/>
      <w:lvlText w:val="-"/>
      <w:lvlJc w:val="left"/>
      <w:pPr>
        <w:ind w:left="420" w:hanging="420"/>
      </w:pPr>
      <w:rPr>
        <w:rFonts w:hint="default" w:ascii="Arial" w:hAnsi="Arial" w:cs="Arial"/>
      </w:rPr>
    </w:lvl>
  </w:abstractNum>
  <w:abstractNum w:abstractNumId="7">
    <w:nsid w:val="5D763755"/>
    <w:multiLevelType w:val="multilevel"/>
    <w:tmpl w:val="5D763755"/>
    <w:lvl w:ilvl="0" w:tentative="0">
      <w:start w:val="1"/>
      <w:numFmt w:val="decimal"/>
      <w:pStyle w:val="24"/>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10F9F"/>
    <w:multiLevelType w:val="multilevel"/>
    <w:tmpl w:val="70110F9F"/>
    <w:lvl w:ilvl="0" w:tentative="0">
      <w:start w:val="1"/>
      <w:numFmt w:val="decimal"/>
      <w:pStyle w:val="2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9">
    <w:nsid w:val="78B7C76D"/>
    <w:multiLevelType w:val="multilevel"/>
    <w:tmpl w:val="78B7C7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7DC436CD"/>
    <w:multiLevelType w:val="singleLevel"/>
    <w:tmpl w:val="7DC436CD"/>
    <w:lvl w:ilvl="0" w:tentative="0">
      <w:start w:val="1"/>
      <w:numFmt w:val="bullet"/>
      <w:pStyle w:val="25"/>
      <w:lvlText w:val="•"/>
      <w:lvlJc w:val="left"/>
      <w:pPr>
        <w:tabs>
          <w:tab w:val="left" w:pos="420"/>
        </w:tabs>
        <w:ind w:left="420" w:hanging="378"/>
      </w:pPr>
      <w:rPr>
        <w:rFonts w:hint="default" w:ascii="Arial" w:hAnsi="Arial" w:cs="Arial"/>
      </w:rPr>
    </w:lvl>
  </w:abstractNum>
  <w:num w:numId="1">
    <w:abstractNumId w:val="5"/>
  </w:num>
  <w:num w:numId="2">
    <w:abstractNumId w:val="0"/>
  </w:num>
  <w:num w:numId="3">
    <w:abstractNumId w:val="8"/>
  </w:num>
  <w:num w:numId="4">
    <w:abstractNumId w:val="7"/>
  </w:num>
  <w:num w:numId="5">
    <w:abstractNumId w:val="10"/>
  </w:num>
  <w:num w:numId="6">
    <w:abstractNumId w:val="1"/>
  </w:num>
  <w:num w:numId="7">
    <w:abstractNumId w:val="6"/>
  </w:num>
  <w:num w:numId="8">
    <w:abstractNumId w:val="4"/>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0301"/>
    <w:rsid w:val="000315ED"/>
    <w:rsid w:val="000445EB"/>
    <w:rsid w:val="00044B96"/>
    <w:rsid w:val="0005104C"/>
    <w:rsid w:val="00053593"/>
    <w:rsid w:val="00082FEA"/>
    <w:rsid w:val="000B1599"/>
    <w:rsid w:val="000D65FC"/>
    <w:rsid w:val="001636DD"/>
    <w:rsid w:val="00172A27"/>
    <w:rsid w:val="001768FE"/>
    <w:rsid w:val="0018528B"/>
    <w:rsid w:val="00193046"/>
    <w:rsid w:val="001A2BEB"/>
    <w:rsid w:val="001B502E"/>
    <w:rsid w:val="002376AE"/>
    <w:rsid w:val="00296303"/>
    <w:rsid w:val="002C0735"/>
    <w:rsid w:val="002D087D"/>
    <w:rsid w:val="002E478D"/>
    <w:rsid w:val="00301063"/>
    <w:rsid w:val="003161BA"/>
    <w:rsid w:val="00324214"/>
    <w:rsid w:val="003618CA"/>
    <w:rsid w:val="00386DFA"/>
    <w:rsid w:val="00395F21"/>
    <w:rsid w:val="003C0B54"/>
    <w:rsid w:val="003D17AE"/>
    <w:rsid w:val="00414F7E"/>
    <w:rsid w:val="004202CF"/>
    <w:rsid w:val="00422D64"/>
    <w:rsid w:val="0046441D"/>
    <w:rsid w:val="0047107E"/>
    <w:rsid w:val="00473377"/>
    <w:rsid w:val="00475B67"/>
    <w:rsid w:val="00490F9E"/>
    <w:rsid w:val="00525E65"/>
    <w:rsid w:val="005317CA"/>
    <w:rsid w:val="00572097"/>
    <w:rsid w:val="005813E4"/>
    <w:rsid w:val="0059672B"/>
    <w:rsid w:val="005A4839"/>
    <w:rsid w:val="005B065E"/>
    <w:rsid w:val="005D5EC1"/>
    <w:rsid w:val="005F7B99"/>
    <w:rsid w:val="00624033"/>
    <w:rsid w:val="006807E6"/>
    <w:rsid w:val="006B040B"/>
    <w:rsid w:val="006F26CE"/>
    <w:rsid w:val="00724E53"/>
    <w:rsid w:val="007E0F17"/>
    <w:rsid w:val="007E1FB9"/>
    <w:rsid w:val="007E7A15"/>
    <w:rsid w:val="00820E09"/>
    <w:rsid w:val="00824F3A"/>
    <w:rsid w:val="00851C37"/>
    <w:rsid w:val="00885FE5"/>
    <w:rsid w:val="00890F3B"/>
    <w:rsid w:val="008F30BC"/>
    <w:rsid w:val="008F3CF6"/>
    <w:rsid w:val="009021EE"/>
    <w:rsid w:val="009141DD"/>
    <w:rsid w:val="009401EC"/>
    <w:rsid w:val="00945B44"/>
    <w:rsid w:val="00954A8B"/>
    <w:rsid w:val="0096044C"/>
    <w:rsid w:val="0096499E"/>
    <w:rsid w:val="009C07C1"/>
    <w:rsid w:val="009D3B70"/>
    <w:rsid w:val="009E342A"/>
    <w:rsid w:val="009F756D"/>
    <w:rsid w:val="00A35639"/>
    <w:rsid w:val="00A37B97"/>
    <w:rsid w:val="00A40102"/>
    <w:rsid w:val="00A50086"/>
    <w:rsid w:val="00AC4CB5"/>
    <w:rsid w:val="00AE312D"/>
    <w:rsid w:val="00AF2690"/>
    <w:rsid w:val="00B03CE5"/>
    <w:rsid w:val="00B23BAD"/>
    <w:rsid w:val="00B428B5"/>
    <w:rsid w:val="00B56BC1"/>
    <w:rsid w:val="00B66CB1"/>
    <w:rsid w:val="00B71FE5"/>
    <w:rsid w:val="00BB0B7F"/>
    <w:rsid w:val="00BB5956"/>
    <w:rsid w:val="00BB6518"/>
    <w:rsid w:val="00C27C1C"/>
    <w:rsid w:val="00C6294E"/>
    <w:rsid w:val="00CA3ECE"/>
    <w:rsid w:val="00CB6631"/>
    <w:rsid w:val="00CC18CA"/>
    <w:rsid w:val="00CC18CB"/>
    <w:rsid w:val="00CE25BC"/>
    <w:rsid w:val="00D20EC2"/>
    <w:rsid w:val="00D316E9"/>
    <w:rsid w:val="00D40F69"/>
    <w:rsid w:val="00D44606"/>
    <w:rsid w:val="00D53E1A"/>
    <w:rsid w:val="00D8397F"/>
    <w:rsid w:val="00DA7FC2"/>
    <w:rsid w:val="00DC2D41"/>
    <w:rsid w:val="00DD5091"/>
    <w:rsid w:val="00DE79EC"/>
    <w:rsid w:val="00DF0709"/>
    <w:rsid w:val="00DF6B80"/>
    <w:rsid w:val="00DF75DB"/>
    <w:rsid w:val="00E06776"/>
    <w:rsid w:val="00E069CC"/>
    <w:rsid w:val="00E35DE6"/>
    <w:rsid w:val="00E479BD"/>
    <w:rsid w:val="00E61ED3"/>
    <w:rsid w:val="00E74F94"/>
    <w:rsid w:val="00ED04F9"/>
    <w:rsid w:val="00ED34D5"/>
    <w:rsid w:val="00EE5F9D"/>
    <w:rsid w:val="00F509E9"/>
    <w:rsid w:val="00F65BA8"/>
    <w:rsid w:val="00F67032"/>
    <w:rsid w:val="00F822AF"/>
    <w:rsid w:val="00FA1E6D"/>
    <w:rsid w:val="00FC6E1D"/>
    <w:rsid w:val="00FD2DE4"/>
    <w:rsid w:val="00FE3A28"/>
    <w:rsid w:val="00FE6EAD"/>
    <w:rsid w:val="00FF38B8"/>
    <w:rsid w:val="016862EA"/>
    <w:rsid w:val="01764F01"/>
    <w:rsid w:val="02144C87"/>
    <w:rsid w:val="024D6B6A"/>
    <w:rsid w:val="02941A11"/>
    <w:rsid w:val="029B04E7"/>
    <w:rsid w:val="03073BDC"/>
    <w:rsid w:val="030C5976"/>
    <w:rsid w:val="033F44DC"/>
    <w:rsid w:val="0390750B"/>
    <w:rsid w:val="03C6073D"/>
    <w:rsid w:val="03FC1588"/>
    <w:rsid w:val="043168B5"/>
    <w:rsid w:val="047900FF"/>
    <w:rsid w:val="04841AA3"/>
    <w:rsid w:val="0555228E"/>
    <w:rsid w:val="059D1E39"/>
    <w:rsid w:val="05E078B3"/>
    <w:rsid w:val="06191484"/>
    <w:rsid w:val="06264EAA"/>
    <w:rsid w:val="068C2CFE"/>
    <w:rsid w:val="077D0583"/>
    <w:rsid w:val="079724D0"/>
    <w:rsid w:val="07DE7B20"/>
    <w:rsid w:val="082A352F"/>
    <w:rsid w:val="082C4411"/>
    <w:rsid w:val="084E7D15"/>
    <w:rsid w:val="08C349D1"/>
    <w:rsid w:val="08FD1F99"/>
    <w:rsid w:val="09F67CD5"/>
    <w:rsid w:val="0AC167FE"/>
    <w:rsid w:val="0B163410"/>
    <w:rsid w:val="0B3F5F1E"/>
    <w:rsid w:val="0B584155"/>
    <w:rsid w:val="0B904506"/>
    <w:rsid w:val="0B9E71DF"/>
    <w:rsid w:val="0C774A56"/>
    <w:rsid w:val="0C9D30C2"/>
    <w:rsid w:val="0D9D65F4"/>
    <w:rsid w:val="0DAD3F4D"/>
    <w:rsid w:val="0E14552A"/>
    <w:rsid w:val="0E172BD0"/>
    <w:rsid w:val="0EC904D1"/>
    <w:rsid w:val="0EDF02B5"/>
    <w:rsid w:val="0EE53854"/>
    <w:rsid w:val="0F0075CF"/>
    <w:rsid w:val="0F657693"/>
    <w:rsid w:val="10936355"/>
    <w:rsid w:val="10A50104"/>
    <w:rsid w:val="111B084C"/>
    <w:rsid w:val="115B3410"/>
    <w:rsid w:val="119D7849"/>
    <w:rsid w:val="12390FD6"/>
    <w:rsid w:val="1242135C"/>
    <w:rsid w:val="13122C36"/>
    <w:rsid w:val="131D74C5"/>
    <w:rsid w:val="13A1683F"/>
    <w:rsid w:val="14376B46"/>
    <w:rsid w:val="148E4B9B"/>
    <w:rsid w:val="14960C8D"/>
    <w:rsid w:val="14DA3DA1"/>
    <w:rsid w:val="158125AD"/>
    <w:rsid w:val="15D548B8"/>
    <w:rsid w:val="17155857"/>
    <w:rsid w:val="174F29CE"/>
    <w:rsid w:val="178C11EE"/>
    <w:rsid w:val="17950508"/>
    <w:rsid w:val="17AD7BB9"/>
    <w:rsid w:val="1830723B"/>
    <w:rsid w:val="185F4569"/>
    <w:rsid w:val="18671C16"/>
    <w:rsid w:val="18A20699"/>
    <w:rsid w:val="19010C43"/>
    <w:rsid w:val="19084C73"/>
    <w:rsid w:val="196C36C2"/>
    <w:rsid w:val="19923301"/>
    <w:rsid w:val="19DC6105"/>
    <w:rsid w:val="1A054259"/>
    <w:rsid w:val="1A8A50F8"/>
    <w:rsid w:val="1AA20BEC"/>
    <w:rsid w:val="1B192595"/>
    <w:rsid w:val="1B231E7F"/>
    <w:rsid w:val="1B7F6005"/>
    <w:rsid w:val="1B865037"/>
    <w:rsid w:val="1B9D73EE"/>
    <w:rsid w:val="1BC738A2"/>
    <w:rsid w:val="1C132CB9"/>
    <w:rsid w:val="1C300E56"/>
    <w:rsid w:val="1C592E11"/>
    <w:rsid w:val="1CCC26CA"/>
    <w:rsid w:val="1D545CF7"/>
    <w:rsid w:val="1E056606"/>
    <w:rsid w:val="1E276E56"/>
    <w:rsid w:val="1E54362A"/>
    <w:rsid w:val="1E703C99"/>
    <w:rsid w:val="1E9D6342"/>
    <w:rsid w:val="1F001DEB"/>
    <w:rsid w:val="1F841F36"/>
    <w:rsid w:val="204E6676"/>
    <w:rsid w:val="20AC5329"/>
    <w:rsid w:val="20AF0AC0"/>
    <w:rsid w:val="21194658"/>
    <w:rsid w:val="2168669E"/>
    <w:rsid w:val="21697A99"/>
    <w:rsid w:val="2195668B"/>
    <w:rsid w:val="21BE5AD4"/>
    <w:rsid w:val="22405740"/>
    <w:rsid w:val="22465648"/>
    <w:rsid w:val="22663A52"/>
    <w:rsid w:val="23081A49"/>
    <w:rsid w:val="23267AB9"/>
    <w:rsid w:val="2334383D"/>
    <w:rsid w:val="23464113"/>
    <w:rsid w:val="235A5381"/>
    <w:rsid w:val="23CE335E"/>
    <w:rsid w:val="245C52F8"/>
    <w:rsid w:val="2463385E"/>
    <w:rsid w:val="250D568B"/>
    <w:rsid w:val="2510772C"/>
    <w:rsid w:val="25134332"/>
    <w:rsid w:val="257E508F"/>
    <w:rsid w:val="25F67A42"/>
    <w:rsid w:val="26BF5712"/>
    <w:rsid w:val="27A442C3"/>
    <w:rsid w:val="27AB7429"/>
    <w:rsid w:val="27C93D40"/>
    <w:rsid w:val="280542B6"/>
    <w:rsid w:val="280A4A33"/>
    <w:rsid w:val="285C053E"/>
    <w:rsid w:val="285C78D0"/>
    <w:rsid w:val="285C7A8B"/>
    <w:rsid w:val="288F2114"/>
    <w:rsid w:val="291134EF"/>
    <w:rsid w:val="29FA7F26"/>
    <w:rsid w:val="2A0F29F0"/>
    <w:rsid w:val="2A822B83"/>
    <w:rsid w:val="2B774832"/>
    <w:rsid w:val="2B9B7C39"/>
    <w:rsid w:val="2BB708BB"/>
    <w:rsid w:val="2C357514"/>
    <w:rsid w:val="2C3E7B79"/>
    <w:rsid w:val="2C594748"/>
    <w:rsid w:val="2C6E2567"/>
    <w:rsid w:val="2C946521"/>
    <w:rsid w:val="2CDE11E4"/>
    <w:rsid w:val="2DAD167F"/>
    <w:rsid w:val="2F1251F2"/>
    <w:rsid w:val="2F374E1E"/>
    <w:rsid w:val="2F9C1967"/>
    <w:rsid w:val="3011436C"/>
    <w:rsid w:val="3012656A"/>
    <w:rsid w:val="30962F3E"/>
    <w:rsid w:val="30D17E68"/>
    <w:rsid w:val="30FF2795"/>
    <w:rsid w:val="315435DA"/>
    <w:rsid w:val="31C40963"/>
    <w:rsid w:val="32332EBB"/>
    <w:rsid w:val="324254F3"/>
    <w:rsid w:val="329A6ACE"/>
    <w:rsid w:val="32CB6763"/>
    <w:rsid w:val="32E07D18"/>
    <w:rsid w:val="33607071"/>
    <w:rsid w:val="337F1FD8"/>
    <w:rsid w:val="343966B0"/>
    <w:rsid w:val="35E82082"/>
    <w:rsid w:val="35EB3B29"/>
    <w:rsid w:val="360B1D73"/>
    <w:rsid w:val="361F3323"/>
    <w:rsid w:val="363A2F24"/>
    <w:rsid w:val="36923616"/>
    <w:rsid w:val="36E93760"/>
    <w:rsid w:val="36F465EA"/>
    <w:rsid w:val="375F39EF"/>
    <w:rsid w:val="377E620D"/>
    <w:rsid w:val="3784394E"/>
    <w:rsid w:val="381D6B33"/>
    <w:rsid w:val="38AE3BB0"/>
    <w:rsid w:val="38FD3090"/>
    <w:rsid w:val="393328E5"/>
    <w:rsid w:val="39DC55B4"/>
    <w:rsid w:val="3A0606BF"/>
    <w:rsid w:val="3A7D1885"/>
    <w:rsid w:val="3AC71DA2"/>
    <w:rsid w:val="3ACB5746"/>
    <w:rsid w:val="3AE55B2F"/>
    <w:rsid w:val="3BB20883"/>
    <w:rsid w:val="3C5A5920"/>
    <w:rsid w:val="3C935077"/>
    <w:rsid w:val="3CCC3EC3"/>
    <w:rsid w:val="3CD06756"/>
    <w:rsid w:val="3D5877B1"/>
    <w:rsid w:val="3D606F77"/>
    <w:rsid w:val="3D6E1C05"/>
    <w:rsid w:val="3DA8275C"/>
    <w:rsid w:val="3DB93DCB"/>
    <w:rsid w:val="3DBE15F8"/>
    <w:rsid w:val="3DC15EDC"/>
    <w:rsid w:val="3E1416BA"/>
    <w:rsid w:val="3E441C7D"/>
    <w:rsid w:val="3E48375E"/>
    <w:rsid w:val="3F264EE4"/>
    <w:rsid w:val="3F3570C3"/>
    <w:rsid w:val="3FC956FF"/>
    <w:rsid w:val="40A36A71"/>
    <w:rsid w:val="40F515DD"/>
    <w:rsid w:val="410E4736"/>
    <w:rsid w:val="41245104"/>
    <w:rsid w:val="41D3631F"/>
    <w:rsid w:val="41F466FD"/>
    <w:rsid w:val="42A67A24"/>
    <w:rsid w:val="42C11812"/>
    <w:rsid w:val="42D846B9"/>
    <w:rsid w:val="42E41383"/>
    <w:rsid w:val="430D7A82"/>
    <w:rsid w:val="432F23E8"/>
    <w:rsid w:val="43A55B32"/>
    <w:rsid w:val="43C2584B"/>
    <w:rsid w:val="440D5045"/>
    <w:rsid w:val="44996E9A"/>
    <w:rsid w:val="44F3408E"/>
    <w:rsid w:val="452765EE"/>
    <w:rsid w:val="455B1156"/>
    <w:rsid w:val="456D26F5"/>
    <w:rsid w:val="45837CCA"/>
    <w:rsid w:val="45BA27F4"/>
    <w:rsid w:val="45BE6191"/>
    <w:rsid w:val="460C5979"/>
    <w:rsid w:val="46FF560C"/>
    <w:rsid w:val="471F2A90"/>
    <w:rsid w:val="47C01792"/>
    <w:rsid w:val="47E34173"/>
    <w:rsid w:val="4808150F"/>
    <w:rsid w:val="48F004DE"/>
    <w:rsid w:val="48F869EA"/>
    <w:rsid w:val="49E9233D"/>
    <w:rsid w:val="4A297886"/>
    <w:rsid w:val="4A42266B"/>
    <w:rsid w:val="4A580050"/>
    <w:rsid w:val="4A864172"/>
    <w:rsid w:val="4AA31047"/>
    <w:rsid w:val="4AAD1944"/>
    <w:rsid w:val="4AC31003"/>
    <w:rsid w:val="4AE93159"/>
    <w:rsid w:val="4BD0339A"/>
    <w:rsid w:val="4BD45455"/>
    <w:rsid w:val="4C3C7520"/>
    <w:rsid w:val="4C424826"/>
    <w:rsid w:val="4CAA1E07"/>
    <w:rsid w:val="4CB613E8"/>
    <w:rsid w:val="4D462159"/>
    <w:rsid w:val="4D5C5FAC"/>
    <w:rsid w:val="4DC605B6"/>
    <w:rsid w:val="4DEC0985"/>
    <w:rsid w:val="4E1C60CC"/>
    <w:rsid w:val="4E27683A"/>
    <w:rsid w:val="4F225734"/>
    <w:rsid w:val="4F2765B1"/>
    <w:rsid w:val="4F285975"/>
    <w:rsid w:val="4F357330"/>
    <w:rsid w:val="4FCC6A40"/>
    <w:rsid w:val="50031E55"/>
    <w:rsid w:val="503849A6"/>
    <w:rsid w:val="507D32EE"/>
    <w:rsid w:val="51796EDE"/>
    <w:rsid w:val="517D384B"/>
    <w:rsid w:val="51867298"/>
    <w:rsid w:val="51AC0F10"/>
    <w:rsid w:val="51EF1952"/>
    <w:rsid w:val="52195EDF"/>
    <w:rsid w:val="52313387"/>
    <w:rsid w:val="529F0593"/>
    <w:rsid w:val="52C051D0"/>
    <w:rsid w:val="52C06A88"/>
    <w:rsid w:val="52E04D27"/>
    <w:rsid w:val="535114B1"/>
    <w:rsid w:val="539A390F"/>
    <w:rsid w:val="539B2752"/>
    <w:rsid w:val="53AB7663"/>
    <w:rsid w:val="53CF14EE"/>
    <w:rsid w:val="53DB3477"/>
    <w:rsid w:val="54330562"/>
    <w:rsid w:val="54AF6B42"/>
    <w:rsid w:val="55DD6F2A"/>
    <w:rsid w:val="55ED66AB"/>
    <w:rsid w:val="56093396"/>
    <w:rsid w:val="56E23970"/>
    <w:rsid w:val="57155486"/>
    <w:rsid w:val="573E4DD7"/>
    <w:rsid w:val="577A3C7D"/>
    <w:rsid w:val="578F220A"/>
    <w:rsid w:val="57B175FD"/>
    <w:rsid w:val="57FC07D9"/>
    <w:rsid w:val="581F3840"/>
    <w:rsid w:val="582E76E8"/>
    <w:rsid w:val="58500F22"/>
    <w:rsid w:val="58B80438"/>
    <w:rsid w:val="58F16C7A"/>
    <w:rsid w:val="591C0009"/>
    <w:rsid w:val="59A6230C"/>
    <w:rsid w:val="5A6C7A6F"/>
    <w:rsid w:val="5ACF0F3A"/>
    <w:rsid w:val="5C6B1600"/>
    <w:rsid w:val="5C921AD0"/>
    <w:rsid w:val="5DFD51DB"/>
    <w:rsid w:val="5DFD543A"/>
    <w:rsid w:val="5E0D36E5"/>
    <w:rsid w:val="5E7F7360"/>
    <w:rsid w:val="5E995469"/>
    <w:rsid w:val="5EB903DA"/>
    <w:rsid w:val="5F0A6266"/>
    <w:rsid w:val="5F547067"/>
    <w:rsid w:val="5FA625C2"/>
    <w:rsid w:val="5FD204F2"/>
    <w:rsid w:val="5FF53D41"/>
    <w:rsid w:val="60140907"/>
    <w:rsid w:val="605B138A"/>
    <w:rsid w:val="607C3753"/>
    <w:rsid w:val="60C30855"/>
    <w:rsid w:val="611E3D4D"/>
    <w:rsid w:val="61421EFD"/>
    <w:rsid w:val="615C5041"/>
    <w:rsid w:val="62F56BEA"/>
    <w:rsid w:val="638273C5"/>
    <w:rsid w:val="63FD4654"/>
    <w:rsid w:val="642052D3"/>
    <w:rsid w:val="647F0B6F"/>
    <w:rsid w:val="64934878"/>
    <w:rsid w:val="64E939E2"/>
    <w:rsid w:val="650C1E4E"/>
    <w:rsid w:val="66144359"/>
    <w:rsid w:val="664805B8"/>
    <w:rsid w:val="66C40DA9"/>
    <w:rsid w:val="672A5187"/>
    <w:rsid w:val="67B77AEE"/>
    <w:rsid w:val="67CB7A93"/>
    <w:rsid w:val="684112D8"/>
    <w:rsid w:val="68731C27"/>
    <w:rsid w:val="68BA74B8"/>
    <w:rsid w:val="68CB171E"/>
    <w:rsid w:val="68E777AA"/>
    <w:rsid w:val="690F418B"/>
    <w:rsid w:val="69FB7936"/>
    <w:rsid w:val="6A154B1E"/>
    <w:rsid w:val="6A417063"/>
    <w:rsid w:val="6A7A2736"/>
    <w:rsid w:val="6A7B4B9C"/>
    <w:rsid w:val="6A850390"/>
    <w:rsid w:val="6AA70FDE"/>
    <w:rsid w:val="6C89456C"/>
    <w:rsid w:val="6CD8623E"/>
    <w:rsid w:val="6CEE7E13"/>
    <w:rsid w:val="6CF51FA2"/>
    <w:rsid w:val="6D0C558D"/>
    <w:rsid w:val="6D270AA3"/>
    <w:rsid w:val="6D663271"/>
    <w:rsid w:val="6D8C6249"/>
    <w:rsid w:val="6DA53F45"/>
    <w:rsid w:val="6DC52C98"/>
    <w:rsid w:val="6DC676EA"/>
    <w:rsid w:val="6DCE64BE"/>
    <w:rsid w:val="6DEE207F"/>
    <w:rsid w:val="6E9468E8"/>
    <w:rsid w:val="6EAF46BE"/>
    <w:rsid w:val="6EDB5AB4"/>
    <w:rsid w:val="6EE174CF"/>
    <w:rsid w:val="6F0E76F0"/>
    <w:rsid w:val="6F403311"/>
    <w:rsid w:val="6F901B66"/>
    <w:rsid w:val="6F986130"/>
    <w:rsid w:val="6FA629D4"/>
    <w:rsid w:val="6FBC1BA6"/>
    <w:rsid w:val="6FC05247"/>
    <w:rsid w:val="6FD10552"/>
    <w:rsid w:val="705C05E6"/>
    <w:rsid w:val="70681E7A"/>
    <w:rsid w:val="70BB2EF0"/>
    <w:rsid w:val="71473A67"/>
    <w:rsid w:val="717933F9"/>
    <w:rsid w:val="717F0FB3"/>
    <w:rsid w:val="71BE423B"/>
    <w:rsid w:val="71C93AC2"/>
    <w:rsid w:val="723B1234"/>
    <w:rsid w:val="72AB22E1"/>
    <w:rsid w:val="73414765"/>
    <w:rsid w:val="73455C21"/>
    <w:rsid w:val="737B3A06"/>
    <w:rsid w:val="739D46AB"/>
    <w:rsid w:val="73D425F7"/>
    <w:rsid w:val="750A2023"/>
    <w:rsid w:val="75164851"/>
    <w:rsid w:val="76511FA9"/>
    <w:rsid w:val="7676736A"/>
    <w:rsid w:val="76827869"/>
    <w:rsid w:val="76933951"/>
    <w:rsid w:val="76FA3873"/>
    <w:rsid w:val="771D661B"/>
    <w:rsid w:val="771F7714"/>
    <w:rsid w:val="77317864"/>
    <w:rsid w:val="777E145F"/>
    <w:rsid w:val="77ED6D7C"/>
    <w:rsid w:val="78782A0D"/>
    <w:rsid w:val="793F707A"/>
    <w:rsid w:val="79A2171F"/>
    <w:rsid w:val="79A252FF"/>
    <w:rsid w:val="79D33056"/>
    <w:rsid w:val="7A490EED"/>
    <w:rsid w:val="7ADE0D63"/>
    <w:rsid w:val="7C130146"/>
    <w:rsid w:val="7C26369C"/>
    <w:rsid w:val="7C9E5A24"/>
    <w:rsid w:val="7CAC00CB"/>
    <w:rsid w:val="7D194A12"/>
    <w:rsid w:val="7D575412"/>
    <w:rsid w:val="7D62117D"/>
    <w:rsid w:val="7D6A3A1A"/>
    <w:rsid w:val="7DB275A7"/>
    <w:rsid w:val="7DB54254"/>
    <w:rsid w:val="7DEE1E7A"/>
    <w:rsid w:val="7E3E1EF2"/>
    <w:rsid w:val="7E7824CA"/>
    <w:rsid w:val="7E8070E2"/>
    <w:rsid w:val="7E951513"/>
    <w:rsid w:val="7ED001FD"/>
    <w:rsid w:val="7EF74FC9"/>
    <w:rsid w:val="7FA24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semiHidden="0"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semiHidden/>
    <w:unhideWhenUsed/>
    <w:qFormat/>
    <w:uiPriority w:val="99"/>
    <w:pPr>
      <w:numPr>
        <w:ilvl w:val="3"/>
        <w:numId w:val="2"/>
      </w:numPr>
      <w:spacing w:before="280" w:beforeLines="0" w:after="290" w:afterLines="0" w:line="372" w:lineRule="auto"/>
      <w:outlineLvl w:val="3"/>
    </w:pPr>
    <w:rPr>
      <w:rFonts w:eastAsia="黑体"/>
      <w:b/>
      <w:sz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2"/>
    <w:semiHidden/>
    <w:unhideWhenUsed/>
    <w:qFormat/>
    <w:uiPriority w:val="99"/>
    <w:pPr>
      <w:jc w:val="left"/>
    </w:pPr>
  </w:style>
  <w:style w:type="paragraph" w:styleId="7">
    <w:name w:val="toc 3"/>
    <w:basedOn w:val="1"/>
    <w:next w:val="1"/>
    <w:link w:val="40"/>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link w:val="47"/>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link w:val="31"/>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4"/>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7"/>
    <w:unhideWhenUsed/>
    <w:qFormat/>
    <w:uiPriority w:val="39"/>
    <w:pPr>
      <w:snapToGrid w:val="0"/>
      <w:ind w:left="618" w:leftChars="200"/>
    </w:pPr>
    <w:rPr>
      <w:b/>
      <w:i/>
    </w:rPr>
  </w:style>
  <w:style w:type="paragraph" w:styleId="14">
    <w:name w:val="annotation subject"/>
    <w:basedOn w:val="6"/>
    <w:next w:val="6"/>
    <w:link w:val="53"/>
    <w:semiHidden/>
    <w:unhideWhenUsed/>
    <w:qFormat/>
    <w:uiPriority w:val="99"/>
    <w:rPr>
      <w:b/>
      <w:bCs/>
    </w:rPr>
  </w:style>
  <w:style w:type="table" w:styleId="16">
    <w:name w:val="Table Grid"/>
    <w:basedOn w:val="1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qFormat/>
    <w:uiPriority w:val="0"/>
    <w:rPr>
      <w:color w:val="954F72"/>
      <w:u w:val="single"/>
    </w:rPr>
  </w:style>
  <w:style w:type="character" w:styleId="19">
    <w:name w:val="Hyperlink"/>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풍선 도움말 텍스트 Char"/>
    <w:basedOn w:val="17"/>
    <w:link w:val="8"/>
    <w:semiHidden/>
    <w:qFormat/>
    <w:uiPriority w:val="99"/>
    <w:rPr>
      <w:rFonts w:eastAsia="Times New Roman"/>
      <w:kern w:val="2"/>
      <w:sz w:val="18"/>
      <w:szCs w:val="18"/>
    </w:rPr>
  </w:style>
  <w:style w:type="paragraph" w:customStyle="1" w:styleId="2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3">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4">
    <w:name w:val="!ZTE-Proposal-2021 + 段前: 0.5 行 段后: 0.5 行"/>
    <w:basedOn w:val="1"/>
    <w:qFormat/>
    <w:uiPriority w:val="0"/>
    <w:pPr>
      <w:numPr>
        <w:ilvl w:val="0"/>
        <w:numId w:val="4"/>
      </w:numPr>
      <w:spacing w:before="120" w:after="120"/>
      <w:ind w:left="1132" w:hanging="1132" w:hangingChars="564"/>
      <w:jc w:val="left"/>
    </w:pPr>
    <w:rPr>
      <w:rFonts w:cs="宋体" w:eastAsiaTheme="minorEastAsia"/>
      <w:b/>
      <w:bCs/>
      <w:i/>
      <w:iCs/>
      <w:lang w:val="en-GB"/>
    </w:rPr>
  </w:style>
  <w:style w:type="paragraph" w:customStyle="1" w:styleId="25">
    <w:name w:val="sub-proposal"/>
    <w:basedOn w:val="1"/>
    <w:qFormat/>
    <w:uiPriority w:val="0"/>
    <w:pPr>
      <w:numPr>
        <w:ilvl w:val="0"/>
        <w:numId w:val="5"/>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6">
    <w:name w:val="sub-observation"/>
    <w:basedOn w:val="25"/>
    <w:qFormat/>
    <w:uiPriority w:val="0"/>
  </w:style>
  <w:style w:type="paragraph" w:customStyle="1" w:styleId="27">
    <w:name w:val="3rd level proposal"/>
    <w:basedOn w:val="25"/>
    <w:qFormat/>
    <w:uiPriority w:val="0"/>
    <w:pPr>
      <w:numPr>
        <w:ilvl w:val="0"/>
        <w:numId w:val="6"/>
      </w:numPr>
      <w:ind w:left="1199" w:leftChars="496" w:hanging="207" w:hangingChars="103"/>
    </w:pPr>
  </w:style>
  <w:style w:type="paragraph" w:customStyle="1" w:styleId="28">
    <w:name w:val="3rd level observation"/>
    <w:basedOn w:val="26"/>
    <w:qFormat/>
    <w:uiPriority w:val="0"/>
    <w:pPr>
      <w:numPr>
        <w:ilvl w:val="0"/>
        <w:numId w:val="7"/>
      </w:numPr>
      <w:tabs>
        <w:tab w:val="left" w:pos="1134"/>
        <w:tab w:val="clear" w:pos="993"/>
      </w:tabs>
      <w:ind w:left="1131" w:leftChars="496" w:hanging="139" w:hangingChars="69"/>
    </w:pPr>
  </w:style>
  <w:style w:type="paragraph" w:customStyle="1" w:styleId="29">
    <w:name w:val="References"/>
    <w:basedOn w:val="1"/>
    <w:qFormat/>
    <w:uiPriority w:val="0"/>
    <w:pPr>
      <w:numPr>
        <w:ilvl w:val="0"/>
        <w:numId w:val="8"/>
      </w:numPr>
      <w:spacing w:after="60"/>
    </w:pPr>
    <w:rPr>
      <w:szCs w:val="16"/>
    </w:rPr>
  </w:style>
  <w:style w:type="paragraph" w:styleId="30">
    <w:name w:val="List Paragraph"/>
    <w:basedOn w:val="1"/>
    <w:qFormat/>
    <w:uiPriority w:val="34"/>
    <w:pPr>
      <w:spacing w:beforeLines="0"/>
      <w:ind w:left="720"/>
      <w:contextualSpacing/>
    </w:pPr>
    <w:rPr>
      <w:sz w:val="24"/>
      <w:szCs w:val="24"/>
    </w:rPr>
  </w:style>
  <w:style w:type="character" w:customStyle="1" w:styleId="31">
    <w:name w:val="머리글 Char"/>
    <w:basedOn w:val="17"/>
    <w:link w:val="10"/>
    <w:qFormat/>
    <w:uiPriority w:val="99"/>
    <w:rPr>
      <w:rFonts w:eastAsia="Times New Roman"/>
      <w:kern w:val="2"/>
      <w:sz w:val="18"/>
      <w:szCs w:val="18"/>
    </w:rPr>
  </w:style>
  <w:style w:type="paragraph" w:customStyle="1" w:styleId="32">
    <w:name w:val="ZTE-C-proposal"/>
    <w:basedOn w:val="11"/>
    <w:link w:val="35"/>
    <w:qFormat/>
    <w:uiPriority w:val="0"/>
    <w:pPr>
      <w:spacing w:before="120" w:after="120"/>
      <w:ind w:left="1104" w:hanging="1104" w:hangingChars="550"/>
    </w:pPr>
  </w:style>
  <w:style w:type="paragraph" w:customStyle="1" w:styleId="33">
    <w:name w:val="ZTE-C-subProposal"/>
    <w:basedOn w:val="13"/>
    <w:link w:val="38"/>
    <w:qFormat/>
    <w:uiPriority w:val="0"/>
    <w:pPr>
      <w:tabs>
        <w:tab w:val="left" w:pos="993"/>
        <w:tab w:val="right" w:leader="dot" w:pos="9650"/>
      </w:tabs>
      <w:spacing w:before="120" w:after="120"/>
      <w:ind w:left="708" w:leftChars="354"/>
    </w:pPr>
  </w:style>
  <w:style w:type="character" w:customStyle="1" w:styleId="34">
    <w:name w:val="목차 1 Char"/>
    <w:basedOn w:val="17"/>
    <w:link w:val="11"/>
    <w:qFormat/>
    <w:uiPriority w:val="39"/>
    <w:rPr>
      <w:rFonts w:eastAsia="Times New Roman"/>
      <w:b/>
      <w:i/>
      <w:kern w:val="2"/>
    </w:rPr>
  </w:style>
  <w:style w:type="character" w:customStyle="1" w:styleId="35">
    <w:name w:val="ZTE-C-proposal 字符"/>
    <w:basedOn w:val="34"/>
    <w:link w:val="32"/>
    <w:qFormat/>
    <w:uiPriority w:val="0"/>
    <w:rPr>
      <w:rFonts w:eastAsia="Times New Roman"/>
      <w:color w:val="000000"/>
      <w:kern w:val="2"/>
    </w:rPr>
  </w:style>
  <w:style w:type="paragraph" w:customStyle="1" w:styleId="36">
    <w:name w:val="ZTE-C-3rd level proposal"/>
    <w:basedOn w:val="7"/>
    <w:link w:val="41"/>
    <w:qFormat/>
    <w:uiPriority w:val="0"/>
    <w:pPr>
      <w:tabs>
        <w:tab w:val="left" w:pos="1276"/>
        <w:tab w:val="right" w:leader="dot" w:pos="9650"/>
      </w:tabs>
      <w:spacing w:before="120" w:after="120"/>
      <w:ind w:left="1134" w:leftChars="567"/>
    </w:pPr>
  </w:style>
  <w:style w:type="character" w:customStyle="1" w:styleId="37">
    <w:name w:val="목차 2 Char"/>
    <w:basedOn w:val="17"/>
    <w:link w:val="13"/>
    <w:qFormat/>
    <w:uiPriority w:val="39"/>
    <w:rPr>
      <w:rFonts w:eastAsia="Times New Roman"/>
      <w:b/>
      <w:i/>
      <w:kern w:val="2"/>
    </w:rPr>
  </w:style>
  <w:style w:type="character" w:customStyle="1" w:styleId="38">
    <w:name w:val="ZTE-C-subProposal 字符"/>
    <w:basedOn w:val="37"/>
    <w:link w:val="33"/>
    <w:qFormat/>
    <w:uiPriority w:val="0"/>
    <w:rPr>
      <w:rFonts w:eastAsia="Times New Roman"/>
      <w:kern w:val="2"/>
    </w:rPr>
  </w:style>
  <w:style w:type="paragraph" w:customStyle="1" w:styleId="39">
    <w:name w:val="ZTE-C-Observation"/>
    <w:basedOn w:val="11"/>
    <w:link w:val="43"/>
    <w:qFormat/>
    <w:uiPriority w:val="0"/>
    <w:pPr>
      <w:tabs>
        <w:tab w:val="left" w:pos="1470"/>
        <w:tab w:val="right" w:pos="9650"/>
      </w:tabs>
      <w:spacing w:before="120" w:after="120"/>
      <w:ind w:left="1273" w:hanging="1273" w:hangingChars="634"/>
    </w:pPr>
  </w:style>
  <w:style w:type="character" w:customStyle="1" w:styleId="40">
    <w:name w:val="목차 3 Char"/>
    <w:basedOn w:val="17"/>
    <w:link w:val="7"/>
    <w:qFormat/>
    <w:uiPriority w:val="39"/>
    <w:rPr>
      <w:rFonts w:eastAsia="Times New Roman"/>
      <w:b/>
      <w:i/>
      <w:kern w:val="2"/>
    </w:rPr>
  </w:style>
  <w:style w:type="character" w:customStyle="1" w:styleId="41">
    <w:name w:val="ZTE-C-3rd level proposal 字符"/>
    <w:basedOn w:val="40"/>
    <w:link w:val="36"/>
    <w:qFormat/>
    <w:uiPriority w:val="0"/>
    <w:rPr>
      <w:rFonts w:eastAsia="Times New Roman"/>
      <w:kern w:val="2"/>
    </w:rPr>
  </w:style>
  <w:style w:type="paragraph" w:customStyle="1" w:styleId="42">
    <w:name w:val="ZTE-C-sub-Observation"/>
    <w:basedOn w:val="13"/>
    <w:link w:val="45"/>
    <w:qFormat/>
    <w:uiPriority w:val="0"/>
    <w:pPr>
      <w:tabs>
        <w:tab w:val="left" w:pos="993"/>
        <w:tab w:val="right" w:pos="9650"/>
      </w:tabs>
      <w:spacing w:before="120" w:after="120"/>
      <w:ind w:left="850" w:leftChars="425"/>
    </w:pPr>
  </w:style>
  <w:style w:type="character" w:customStyle="1" w:styleId="43">
    <w:name w:val="ZTE-C-Observation 字符"/>
    <w:basedOn w:val="34"/>
    <w:link w:val="39"/>
    <w:qFormat/>
    <w:uiPriority w:val="0"/>
    <w:rPr>
      <w:rFonts w:eastAsia="Times New Roman"/>
      <w:kern w:val="2"/>
    </w:rPr>
  </w:style>
  <w:style w:type="paragraph" w:customStyle="1" w:styleId="44">
    <w:name w:val="ZTE-C-3rd level Observation"/>
    <w:basedOn w:val="7"/>
    <w:link w:val="46"/>
    <w:qFormat/>
    <w:uiPriority w:val="0"/>
    <w:pPr>
      <w:tabs>
        <w:tab w:val="left" w:pos="1260"/>
        <w:tab w:val="right" w:pos="9650"/>
      </w:tabs>
      <w:spacing w:before="120" w:after="120"/>
      <w:ind w:left="1134" w:leftChars="567"/>
    </w:pPr>
  </w:style>
  <w:style w:type="character" w:customStyle="1" w:styleId="45">
    <w:name w:val="ZTE-C-sub-Observation 字符"/>
    <w:basedOn w:val="37"/>
    <w:link w:val="42"/>
    <w:qFormat/>
    <w:uiPriority w:val="0"/>
    <w:rPr>
      <w:rFonts w:eastAsia="Times New Roman"/>
      <w:kern w:val="2"/>
    </w:rPr>
  </w:style>
  <w:style w:type="character" w:customStyle="1" w:styleId="46">
    <w:name w:val="ZTE-C-3rd level Observation 字符"/>
    <w:basedOn w:val="40"/>
    <w:link w:val="44"/>
    <w:qFormat/>
    <w:uiPriority w:val="0"/>
    <w:rPr>
      <w:rFonts w:eastAsia="Times New Roman"/>
      <w:kern w:val="2"/>
    </w:rPr>
  </w:style>
  <w:style w:type="character" w:customStyle="1" w:styleId="47">
    <w:name w:val="바닥글 Char"/>
    <w:basedOn w:val="17"/>
    <w:link w:val="9"/>
    <w:qFormat/>
    <w:uiPriority w:val="99"/>
    <w:rPr>
      <w:rFonts w:eastAsia="Times New Roman"/>
      <w:kern w:val="2"/>
      <w:sz w:val="18"/>
      <w:szCs w:val="18"/>
    </w:rPr>
  </w:style>
  <w:style w:type="paragraph" w:customStyle="1" w:styleId="48">
    <w:name w:val="TAH"/>
    <w:basedOn w:val="49"/>
    <w:qFormat/>
    <w:uiPriority w:val="0"/>
    <w:rPr>
      <w:b/>
    </w:rPr>
  </w:style>
  <w:style w:type="paragraph" w:customStyle="1" w:styleId="49">
    <w:name w:val="TAC"/>
    <w:basedOn w:val="50"/>
    <w:qFormat/>
    <w:uiPriority w:val="0"/>
    <w:pPr>
      <w:jc w:val="center"/>
    </w:pPr>
  </w:style>
  <w:style w:type="paragraph" w:customStyle="1" w:styleId="50">
    <w:name w:val="TAL"/>
    <w:basedOn w:val="1"/>
    <w:qFormat/>
    <w:uiPriority w:val="0"/>
    <w:pPr>
      <w:keepNext/>
      <w:keepLines/>
    </w:pPr>
    <w:rPr>
      <w:rFonts w:ascii="Arial" w:hAnsi="Arial"/>
      <w:sz w:val="18"/>
    </w:rPr>
  </w:style>
  <w:style w:type="character" w:customStyle="1" w:styleId="51">
    <w:name w:val="fontstyle01"/>
    <w:basedOn w:val="17"/>
    <w:qFormat/>
    <w:uiPriority w:val="0"/>
    <w:rPr>
      <w:rFonts w:hint="default" w:ascii="Times" w:hAnsi="Times"/>
      <w:color w:val="000000"/>
      <w:sz w:val="20"/>
      <w:szCs w:val="20"/>
    </w:rPr>
  </w:style>
  <w:style w:type="character" w:customStyle="1" w:styleId="52">
    <w:name w:val="메모 텍스트 Char"/>
    <w:basedOn w:val="17"/>
    <w:link w:val="6"/>
    <w:semiHidden/>
    <w:qFormat/>
    <w:uiPriority w:val="99"/>
    <w:rPr>
      <w:rFonts w:eastAsia="Times New Roman"/>
      <w:kern w:val="2"/>
    </w:rPr>
  </w:style>
  <w:style w:type="character" w:customStyle="1" w:styleId="53">
    <w:name w:val="메모 주제 Char"/>
    <w:basedOn w:val="52"/>
    <w:link w:val="14"/>
    <w:semiHidden/>
    <w:qFormat/>
    <w:uiPriority w:val="99"/>
    <w:rPr>
      <w:rFonts w:eastAsia="Times New Roman"/>
      <w:b/>
      <w:bCs/>
      <w:kern w:val="2"/>
    </w:rPr>
  </w:style>
  <w:style w:type="character" w:customStyle="1" w:styleId="54">
    <w:name w:val="ui-provider"/>
    <w:basedOn w:val="17"/>
    <w:qFormat/>
    <w:uiPriority w:val="0"/>
  </w:style>
  <w:style w:type="paragraph" w:customStyle="1" w:styleId="55">
    <w:name w:val="EQ"/>
    <w:basedOn w:val="1"/>
    <w:next w:val="1"/>
    <w:qFormat/>
    <w:uiPriority w:val="99"/>
    <w:pPr>
      <w:keepLines/>
      <w:tabs>
        <w:tab w:val="center" w:pos="4536"/>
        <w:tab w:val="right" w:pos="9072"/>
      </w:tabs>
    </w:pPr>
  </w:style>
  <w:style w:type="paragraph" w:customStyle="1" w:styleId="56">
    <w:name w:val="TF"/>
    <w:basedOn w:val="57"/>
    <w:qFormat/>
    <w:locked/>
    <w:uiPriority w:val="0"/>
    <w:pPr>
      <w:keepNext w:val="0"/>
      <w:spacing w:before="0" w:after="240"/>
    </w:pPr>
  </w:style>
  <w:style w:type="paragraph" w:customStyle="1" w:styleId="57">
    <w:name w:val="TH"/>
    <w:basedOn w:val="1"/>
    <w:qFormat/>
    <w:locked/>
    <w:uiPriority w:val="0"/>
    <w:pPr>
      <w:keepNext/>
      <w:keepLines/>
      <w:spacing w:before="60"/>
      <w:jc w:val="center"/>
    </w:pPr>
    <w:rPr>
      <w:b/>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BDB9-2617-4079-9814-5B4CB6ED123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2946</Words>
  <Characters>16793</Characters>
  <Lines>139</Lines>
  <Paragraphs>39</Paragraphs>
  <TotalTime>26</TotalTime>
  <ScaleCrop>false</ScaleCrop>
  <LinksUpToDate>false</LinksUpToDate>
  <CharactersWithSpaces>19700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2023-02-28T08:33:00Z</dcterms:created>
  <dc:creator>ZTE</dc:creator>
  <cp:lastModifiedBy>ZTE_xwm</cp:lastModifiedBy>
  <dcterms:modified xsi:type="dcterms:W3CDTF">2023-02-28T14:05:20Z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A5816D4514214A8F841D42BE15462B2A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1677530434</vt:lpwstr>
  </property>
  <property fmtid="{D5CDD505-2E9C-101B-9397-08002B2CF9AE}" pid="8" name="_2015_ms_pID_725343">
    <vt:lpwstr>(3)2v84CZLNQ3p07qBwMHg3HSDaqKKtVICopo89+raTGXg27o2oy6okPO4YRl2Q6DmjlZAWhXL1
bMOLERDz8l46VOockWcjnGIcH7btqFyJEQK4ULPXL/R2YBbxZHbQ8FElVuyPDJGi1FpfaZIM
PCbSpBteVbf99TwMCVtO2KTloP7PAffTvh+0E6ywzp6WDPwchGDc56XdyBEbtUgD+9QYvl05
Lo/TJIllNRTHVXrfEJ</vt:lpwstr>
  </property>
  <property fmtid="{D5CDD505-2E9C-101B-9397-08002B2CF9AE}" pid="9" name="_2015_ms_pID_7253431">
    <vt:lpwstr>iixR8SqgDEp3duTNkAp2rVAj7p+cgWyn0Y89sfwulEC0i5JxWxWbWI
/JCvhlATSO0tyvhVPT3IvPXvjMsv43qw90+Xvja9E5Ab3+K0Uye5gF3RtJHHtEq0gi6aQo22
l/FT5WiZRWy9ZcEcfmmIg7L8rjrI1nHSaySqCvKkfDHDurtNo52oocIVbImenP7emNQC3/qW
074Aq1o9Rofhdbg3K6t6fEO6gC4e228Exdu0</vt:lpwstr>
  </property>
  <property fmtid="{D5CDD505-2E9C-101B-9397-08002B2CF9AE}" pid="10" name="_2015_ms_pID_7253432">
    <vt:lpwstr>6g==</vt:lpwstr>
  </property>
</Properties>
</file>