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E959B8" w:rsidRDefault="00E959B8" w:rsidP="00E959B8">
      <w:pPr>
        <w:snapToGrid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RAN1#110bis-e: </w:t>
      </w:r>
      <w:r w:rsidRPr="00E959B8">
        <w:rPr>
          <w:b/>
          <w:sz w:val="24"/>
        </w:rPr>
        <w:t>Email Endorsement 1</w:t>
      </w:r>
    </w:p>
    <w:p w:rsidR="00E959B8" w:rsidRDefault="00E959B8" w:rsidP="00E959B8">
      <w:pPr>
        <w:snapToGrid w:val="0"/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959B8" w:rsidRPr="00E959B8" w:rsidTr="00E959B8">
        <w:tc>
          <w:tcPr>
            <w:tcW w:w="10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1.I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: For the Rel-18 Type-II codebook for CJT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mTRP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, the switching between mode-1 and mode-2 is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gNB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-initiated via RRC signalling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18"/>
                <w:u w:val="single"/>
                <w:lang w:val="en-GB" w:eastAsia="en-US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>: Could CATT please compromise and accept?</w:t>
            </w:r>
            <w:r w:rsidR="002A694F">
              <w:rPr>
                <w:rFonts w:ascii="Times New Roman" w:eastAsia="SimSun" w:hAnsi="Times New Roman" w:cs="Times New Roman"/>
                <w:color w:val="3333FF"/>
                <w:sz w:val="20"/>
                <w:szCs w:val="18"/>
                <w:lang w:val="en-GB" w:eastAsia="en-US"/>
              </w:rPr>
              <w:t xml:space="preserve"> </w:t>
            </w:r>
            <w:r w:rsidR="002A694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sym w:font="Wingdings" w:char="F0E0"/>
            </w:r>
            <w:r w:rsidR="002A694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  <w:r w:rsidR="002A694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en-US"/>
              </w:rPr>
              <w:t>resolved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18"/>
                <w:lang w:val="en-GB" w:eastAsia="zh-CN"/>
              </w:rPr>
            </w:pPr>
          </w:p>
          <w:p w:rsidR="00E959B8" w:rsidRPr="006033B6" w:rsidRDefault="00E959B8" w:rsidP="00E959B8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en-GB" w:eastAsia="en-US"/>
              </w:rPr>
              <w:t>Support/fine (proposal 1.I)</w:t>
            </w:r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>: Xiaomi, Samsung</w:t>
            </w:r>
            <w:r w:rsidR="00BB4805"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 (RRC only)</w:t>
            </w:r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, </w:t>
            </w:r>
            <w:proofErr w:type="spellStart"/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>MediaTek</w:t>
            </w:r>
            <w:proofErr w:type="spellEnd"/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, 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Qualcomm, Nokia/NSB (RRC only), Intel (RRC</w:t>
            </w:r>
            <w:r w:rsidR="00AC7433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AT&amp;T, Ericsson, vivo, OPPO, ZTE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(RRC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DOCOMO (RRC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CMCC (RRC</w:t>
            </w:r>
            <w:r w:rsidR="00BB4805"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only</w:t>
            </w:r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), Huawei/</w:t>
            </w:r>
            <w:proofErr w:type="spellStart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HiSi</w:t>
            </w:r>
            <w:proofErr w:type="spellEnd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, Google, </w:t>
            </w:r>
            <w:proofErr w:type="spellStart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Fraunhofer</w:t>
            </w:r>
            <w:proofErr w:type="spellEnd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 IIS/HHI, NEC, </w:t>
            </w:r>
            <w:proofErr w:type="spellStart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Spreadtrum</w:t>
            </w:r>
            <w:proofErr w:type="spellEnd"/>
            <w:r w:rsidRPr="006033B6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>, Sharp</w:t>
            </w:r>
            <w:r w:rsidR="002A694F">
              <w:rPr>
                <w:rFonts w:ascii="Times New Roman" w:eastAsia="SimSun" w:hAnsi="Times New Roman" w:cs="Times New Roman"/>
                <w:sz w:val="20"/>
                <w:szCs w:val="18"/>
                <w:lang w:val="en-GB" w:eastAsia="en-US"/>
              </w:rPr>
              <w:t xml:space="preserve">, </w:t>
            </w:r>
            <w:r w:rsidR="002A694F"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>CATT</w:t>
            </w:r>
            <w:r w:rsidR="002A694F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 (ok)</w:t>
            </w:r>
          </w:p>
          <w:p w:rsidR="00E959B8" w:rsidRPr="006033B6" w:rsidRDefault="00E959B8" w:rsidP="00E959B8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en-GB" w:eastAsia="en-US"/>
              </w:rPr>
              <w:t>Not support</w:t>
            </w:r>
            <w:r w:rsidRPr="006033B6">
              <w:rPr>
                <w:rFonts w:ascii="Times New Roman" w:eastAsia="SimSun" w:hAnsi="Times New Roman" w:cs="Times New Roman"/>
                <w:color w:val="000000"/>
                <w:sz w:val="20"/>
                <w:szCs w:val="18"/>
                <w:lang w:val="en-GB" w:eastAsia="en-US"/>
              </w:rPr>
              <w:t xml:space="preserve">: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2.B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: For the Rel-18 Type-II codebook </w:t>
            </w:r>
            <w:r w:rsidRPr="00E959B8">
              <w:rPr>
                <w:rFonts w:ascii="Times New Roman" w:eastAsia="SimSun" w:hAnsi="Times New Roman" w:cs="Times New Roman"/>
                <w:lang w:eastAsia="zh-CN"/>
              </w:rPr>
              <w:t>refinement for high/medium velocities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, support RI</w:t>
            </w:r>
            <w:proofErr w:type="gram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={</w:t>
            </w:r>
            <w:proofErr w:type="gram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1,2,3,4}.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en-US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>: Could Lenovo please compromise and accept?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sym w:font="Wingdings" w:char="F0E0"/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en-US"/>
              </w:rPr>
              <w:t>resolved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en-US"/>
              </w:rPr>
              <w:t xml:space="preserve"> 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2E391C" w:rsidRPr="002E391C" w:rsidRDefault="00E959B8" w:rsidP="00E959B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Support/fine: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Xiaomi,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Fraunhofer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 IIS/HHI, Apple, Samsung, Qualcomm, Nokia/NSB, IDC, vivo, OPPO, Google, ZTE, Ericsson, Huawei/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HiSi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, CMCC,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MediaTek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Spreadtrum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, Sharp, Intel (can discuss 1,2, first)</w:t>
            </w:r>
            <w:r w:rsidR="00DF65CD"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>, Lenovo (ok)</w:t>
            </w:r>
          </w:p>
          <w:p w:rsidR="00E959B8" w:rsidRPr="002E391C" w:rsidRDefault="00DF65CD" w:rsidP="00E959B8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Not support</w:t>
            </w:r>
            <w:r w:rsidR="00E959B8"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: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pacing w:after="0" w:line="240" w:lineRule="auto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2.D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: For the Rel-18 Type-II codebook refinement for high/medium velocities, support the following codebook structure where N</w:t>
            </w:r>
            <w:r w:rsidRPr="00E959B8">
              <w:rPr>
                <w:rFonts w:ascii="Times New Roman" w:eastAsia="SimSun" w:hAnsi="Times New Roman" w:cs="Times New Roman"/>
                <w:vertAlign w:val="subscript"/>
                <w:lang w:val="en-GB" w:eastAsia="en-US"/>
              </w:rPr>
              <w:t xml:space="preserve">4 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is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gNB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-configured via higher-layer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signaling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:</w:t>
            </w:r>
          </w:p>
          <w:p w:rsidR="00E959B8" w:rsidRPr="00E959B8" w:rsidRDefault="00E959B8" w:rsidP="00E959B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i/>
                <w:iCs/>
                <w:lang w:val="en-GB" w:eastAsia="en-US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For N</w:t>
            </w:r>
            <w:r w:rsidRPr="00E959B8">
              <w:rPr>
                <w:rFonts w:ascii="Times New Roman" w:eastAsia="Malgun Gothic" w:hAnsi="Times New Roman" w:cs="Times New Roman"/>
                <w:vertAlign w:val="subscript"/>
                <w:lang w:val="en-GB"/>
              </w:rPr>
              <w:t>4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=1, Doppler-domain basis is the identity (no Doppler-domain compression) reusing the legacy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</w:rPr>
                    <m:t>2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and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f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e.g.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Malgun Gothic" w:hAnsi="Cambria Math" w:cs="Calibri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Malgun Gothic" w:hAnsi="Cambria Math" w:cs="Calibri"/>
                        </w:rPr>
                        <m:t>f</m:t>
                      </m:r>
                    </m:sub>
                  </m:sSub>
                  <m:r>
                    <w:rPr>
                      <w:rFonts w:ascii="Cambria Math" w:eastAsia="Malgun Gothic" w:hAnsi="Cambria Math" w:cs="Calibri"/>
                    </w:rPr>
                    <m:t>)</m:t>
                  </m:r>
                </m:e>
                <m:sup>
                  <m:r>
                    <w:rPr>
                      <w:rFonts w:ascii="Cambria Math" w:eastAsia="Malgun Gothic" w:hAnsi="Cambria Math" w:cs="Calibri"/>
                    </w:rPr>
                    <m:t>H</m:t>
                  </m:r>
                </m:sup>
              </m:sSup>
            </m:oMath>
          </w:p>
          <w:p w:rsidR="00E959B8" w:rsidRPr="00E959B8" w:rsidRDefault="00E959B8" w:rsidP="00E959B8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i/>
                <w:iCs/>
                <w:lang w:val="en-GB" w:eastAsia="zh-CN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For </w:t>
            </w:r>
            <w:r w:rsidRPr="00351868">
              <w:rPr>
                <w:rFonts w:ascii="Times New Roman" w:eastAsia="Malgun Gothic" w:hAnsi="Times New Roman" w:cs="Times New Roman"/>
                <w:lang w:val="en-GB"/>
              </w:rPr>
              <w:t>N</w:t>
            </w:r>
            <w:r w:rsidRPr="00351868">
              <w:rPr>
                <w:rFonts w:ascii="Times New Roman" w:eastAsia="Malgun Gothic" w:hAnsi="Times New Roman" w:cs="Times New Roman"/>
                <w:vertAlign w:val="subscript"/>
                <w:lang w:val="en-GB"/>
              </w:rPr>
              <w:t>4</w:t>
            </w:r>
            <w:r w:rsidRPr="00351868">
              <w:rPr>
                <w:rFonts w:ascii="Times New Roman" w:eastAsia="Malgun Gothic" w:hAnsi="Times New Roman" w:cs="Times New Roman"/>
                <w:lang w:val="en-GB"/>
              </w:rPr>
              <w:t>&gt;</w:t>
            </w:r>
            <w:r w:rsidRPr="00351868">
              <w:rPr>
                <w:rFonts w:ascii="Times New Roman" w:eastAsia="Malgun Gothic" w:hAnsi="Times New Roman" w:cs="Times New Roman"/>
                <w:bCs/>
                <w:lang w:val="en-GB"/>
              </w:rPr>
              <w:t>1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, Doppler-domain orthogonal DFT basis commonly selected for all SD/FD bases reusing the legacy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</w:rPr>
              <w:t xml:space="preserve"> 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and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f</m:t>
                  </m:r>
                </m:sub>
              </m:sSub>
            </m:oMath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, 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e.g.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algun Gothic" w:hAnsi="Cambria Math" w:cs="Calibri"/>
                    </w:rPr>
                    <m:t>W</m:t>
                  </m:r>
                </m:e>
                <m:sub>
                  <m:r>
                    <w:rPr>
                      <w:rFonts w:ascii="Cambria Math" w:eastAsia="Malgun Gothic" w:hAnsi="Cambria Math" w:cs="Calibr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 w:cs="Calibri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 w:cs="Calibri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SimSun" w:hAnsi="Cambria Math" w:cs="Calibri"/>
                      <w:i/>
                      <w:iCs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Calibri"/>
                          <w:i/>
                          <w:iCs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eastAsia="Malgun Gothic" w:hAnsi="Cambria Math" w:cs="Calibri"/>
                        </w:rPr>
                        <m:t>⨂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 w:cs="Calibri"/>
                              <w:i/>
                              <w:iCs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 w:cs="Calibri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 w:cs="Calibri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Malgun Gothic" w:hAnsi="Cambria Math" w:cs="Calibri"/>
                    </w:rPr>
                    <m:t>H</m:t>
                  </m:r>
                </m:sup>
              </m:sSup>
            </m:oMath>
          </w:p>
          <w:p w:rsidR="00E959B8" w:rsidRPr="00E959B8" w:rsidRDefault="00E959B8" w:rsidP="00E959B8">
            <w:pPr>
              <w:numPr>
                <w:ilvl w:val="1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Only Q (denoting the number of selected DD basis vectors) &gt;1 is allowed</w:t>
            </w:r>
          </w:p>
          <w:p w:rsidR="00E959B8" w:rsidRPr="00E959B8" w:rsidRDefault="00E959B8" w:rsidP="00E959B8">
            <w:pPr>
              <w:numPr>
                <w:ilvl w:val="1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TBD (by RAN1#110bis): whether rotation is used or not</w:t>
            </w:r>
          </w:p>
          <w:p w:rsidR="00E959B8" w:rsidRPr="00E959B8" w:rsidRDefault="00E959B8" w:rsidP="00E959B8">
            <w:pPr>
              <w:numPr>
                <w:ilvl w:val="1"/>
                <w:numId w:val="2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FFS: identical or different rotation factors for different SD components</w:t>
            </w:r>
          </w:p>
          <w:p w:rsidR="00BB2A0A" w:rsidRPr="00D342B0" w:rsidRDefault="00E959B8" w:rsidP="00D342B0">
            <w:pPr>
              <w:numPr>
                <w:ilvl w:val="1"/>
                <w:numId w:val="3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FFS: Whether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Q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is RRC-configured or reported by the UE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>Note: Detailed designs for SD/FD bases including the associated UCI parameters follow the legacy specification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FFS: Whether one CSI reporting instance includes multiple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2</m:t>
                  </m:r>
                </m:sub>
              </m:sSub>
            </m:oMath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and a single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1</m:t>
                  </m:r>
                </m:sub>
              </m:sSub>
            </m:oMath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Calibri"/>
                      <w:lang w:eastAsia="zh-CN"/>
                    </w:rPr>
                    <m:t>f</m:t>
                  </m:r>
                </m:sub>
              </m:sSub>
            </m:oMath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report.</w:t>
            </w:r>
          </w:p>
          <w:p w:rsidR="006033B6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zh-CN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>: Could Nokia, Ericsson, and vivo please compromise and accept the above proposal as is (super-majority which is already a compromise)?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sym w:font="Wingdings" w:char="F0E0"/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>Ericsson</w:t>
            </w:r>
            <w:r w:rsidR="0051277B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>, Nokia,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 xml:space="preserve"> and vivo can accept.</w:t>
            </w:r>
            <w:r w:rsidR="00351868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yellow"/>
                <w:lang w:val="en-GB" w:eastAsia="zh-CN"/>
              </w:rPr>
              <w:t xml:space="preserve"> Lenovo added to concern. </w:t>
            </w:r>
            <w:bookmarkStart w:id="0" w:name="_GoBack"/>
            <w:bookmarkEnd w:id="0"/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203634" w:rsidP="00E959B8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Support/fine </w:t>
            </w:r>
            <w:r w:rsidR="00B95D50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N4=2 DFT</w:t>
            </w:r>
            <w:r w:rsidR="00B95D50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  <w:r w:rsidR="00E959B8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Samsung, ZTE, Qualcomm, Apple, Google, OPPO, Huawei/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HiSi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, Intel,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Spreadtrum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, CATT, DOCOMO, NEC,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Fraunhofer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IIS/HHI, Sharp, IDC, Sony,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MediaTek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CEWiT</w:t>
            </w:r>
            <w:proofErr w:type="spellEnd"/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, LG, ZTE, CMCC</w:t>
            </w:r>
            <w:r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, Ericsson (ok)</w:t>
            </w:r>
            <w:r w:rsidR="00860F59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>, vivo (ok)</w:t>
            </w:r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 </w:t>
            </w:r>
          </w:p>
          <w:p w:rsidR="00E959B8" w:rsidRPr="006033B6" w:rsidRDefault="00C2518F" w:rsidP="00E959B8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</w:pP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Concern</w:t>
            </w:r>
            <w:r w:rsidR="00203634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 xml:space="preserve">want </w:t>
            </w:r>
            <w:r w:rsidR="00203634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N4=2 identity)</w:t>
            </w:r>
            <w:r w:rsidR="00E959B8" w:rsidRPr="006033B6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E959B8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03634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 xml:space="preserve">Lenovo, </w:t>
            </w:r>
            <w:r w:rsidR="00351868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[</w:t>
            </w:r>
            <w:r w:rsidR="00203634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Nokia/NSB</w:t>
            </w:r>
            <w:r w:rsidR="006033B6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?</w:t>
            </w:r>
            <w:r w:rsidR="00351868" w:rsidRPr="006033B6">
              <w:rPr>
                <w:rFonts w:ascii="Times New Roman" w:eastAsia="Malgun Gothic" w:hAnsi="Times New Roman" w:cs="Times New Roman"/>
                <w:sz w:val="20"/>
                <w:szCs w:val="20"/>
                <w:lang w:val="en-GB"/>
              </w:rPr>
              <w:t>]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t>Proposal 2.E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:</w:t>
            </w:r>
            <w:r w:rsidRPr="00E959B8">
              <w:rPr>
                <w:rFonts w:ascii="Times New Roman" w:eastAsia="SimSun" w:hAnsi="Times New Roman" w:cs="Times New Roman"/>
                <w:color w:val="3333FF"/>
                <w:lang w:val="en-GB" w:eastAsia="en-US"/>
              </w:rPr>
              <w:t xml:space="preserve"> 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On the CSI reporting and measurement for the Rel-18 Type-II codebook refinement for high/medium velocities, when UE-side prediction is assumed, support UE “predicting” channel/CSI after slot </w:t>
            </w:r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en-US"/>
              </w:rPr>
              <w:t>l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 where the location of slot </w:t>
            </w:r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en-US"/>
              </w:rPr>
              <w:t>l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 is configured (from multiple candidate values) by </w:t>
            </w:r>
            <w:proofErr w:type="spellStart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>gNB</w:t>
            </w:r>
            <w:proofErr w:type="spellEnd"/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 via higher-layer signalling</w:t>
            </w:r>
          </w:p>
          <w:p w:rsidR="00E959B8" w:rsidRPr="00E959B8" w:rsidRDefault="00E959B8" w:rsidP="00E959B8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lastRenderedPageBreak/>
              <w:t xml:space="preserve">Candidates of slot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l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location include the legacy CSI reference resource location (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n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– </w:t>
            </w:r>
            <w:proofErr w:type="spellStart"/>
            <w:proofErr w:type="gramStart"/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n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vertAlign w:val="subscript"/>
                <w:lang w:val="en-GB"/>
              </w:rPr>
              <w:t>CSI,ref</w:t>
            </w:r>
            <w:proofErr w:type="spellEnd"/>
            <w:proofErr w:type="gram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) and slot (</w:t>
            </w:r>
            <w:proofErr w:type="spellStart"/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n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>+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δ</w:t>
            </w:r>
            <w:proofErr w:type="spell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) where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δ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≥ 0</w:t>
            </w:r>
          </w:p>
          <w:p w:rsidR="00E959B8" w:rsidRPr="00E959B8" w:rsidRDefault="00E959B8" w:rsidP="00E959B8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FFS: Possible value(s) of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δ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and possible value(s) of W</w:t>
            </w:r>
            <w:r w:rsidRPr="00E959B8">
              <w:rPr>
                <w:rFonts w:ascii="Times New Roman" w:eastAsia="Malgun Gothic" w:hAnsi="Times New Roman" w:cs="Times New Roman"/>
                <w:vertAlign w:val="subscript"/>
                <w:lang w:val="en-GB"/>
              </w:rPr>
              <w:t>CSI</w:t>
            </w:r>
          </w:p>
          <w:p w:rsid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eastAsia="zh-CN"/>
              </w:rPr>
              <w:t xml:space="preserve">Note: Per legacy behavior, the legacy CSI reference resource, i.e., </w:t>
            </w: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>(</w:t>
            </w:r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zh-CN"/>
              </w:rPr>
              <w:t>n</w:t>
            </w: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– </w:t>
            </w:r>
            <w:proofErr w:type="spellStart"/>
            <w:proofErr w:type="gramStart"/>
            <w:r w:rsidRPr="00E959B8">
              <w:rPr>
                <w:rFonts w:ascii="Times New Roman" w:eastAsia="SimSun" w:hAnsi="Times New Roman" w:cs="Times New Roman"/>
                <w:i/>
                <w:iCs/>
                <w:lang w:val="en-GB" w:eastAsia="zh-CN"/>
              </w:rPr>
              <w:t>n</w:t>
            </w:r>
            <w:r w:rsidRPr="00E959B8">
              <w:rPr>
                <w:rFonts w:ascii="Times New Roman" w:eastAsia="SimSun" w:hAnsi="Times New Roman" w:cs="Times New Roman"/>
                <w:i/>
                <w:iCs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 xml:space="preserve"> ), is reused for locating the last CSI-RS occasion used for a CSI report</w:t>
            </w:r>
          </w:p>
          <w:p w:rsidR="00A37884" w:rsidRPr="007E04FA" w:rsidRDefault="00A37884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</w:pPr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 xml:space="preserve">For a UE that supports UE-side prediction, the support of </w:t>
            </w:r>
            <w:r w:rsidRPr="007E04FA">
              <w:rPr>
                <w:rFonts w:ascii="Times New Roman" w:eastAsia="SimSun" w:hAnsi="Times New Roman" w:cs="Times New Roman"/>
                <w:i/>
                <w:color w:val="FF0000"/>
                <w:u w:val="single"/>
                <w:lang w:val="en-GB" w:eastAsia="zh-CN"/>
              </w:rPr>
              <w:t xml:space="preserve">l </w:t>
            </w:r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>= (</w:t>
            </w:r>
            <w:r w:rsidRPr="007E04FA">
              <w:rPr>
                <w:rFonts w:ascii="Times New Roman" w:eastAsia="SimSun" w:hAnsi="Times New Roman" w:cs="Times New Roman"/>
                <w:i/>
                <w:iCs/>
                <w:color w:val="FF0000"/>
                <w:u w:val="single"/>
                <w:lang w:val="en-GB" w:eastAsia="zh-CN"/>
              </w:rPr>
              <w:t>n</w:t>
            </w:r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 xml:space="preserve"> – </w:t>
            </w:r>
            <w:proofErr w:type="spellStart"/>
            <w:proofErr w:type="gramStart"/>
            <w:r w:rsidRPr="007E04FA">
              <w:rPr>
                <w:rFonts w:ascii="Times New Roman" w:eastAsia="SimSun" w:hAnsi="Times New Roman" w:cs="Times New Roman"/>
                <w:i/>
                <w:iCs/>
                <w:color w:val="FF0000"/>
                <w:u w:val="single"/>
                <w:lang w:val="en-GB" w:eastAsia="zh-CN"/>
              </w:rPr>
              <w:t>n</w:t>
            </w:r>
            <w:r w:rsidRPr="007E04FA">
              <w:rPr>
                <w:rFonts w:ascii="Times New Roman" w:eastAsia="SimSun" w:hAnsi="Times New Roman" w:cs="Times New Roman"/>
                <w:i/>
                <w:iCs/>
                <w:color w:val="FF0000"/>
                <w:u w:val="single"/>
                <w:vertAlign w:val="subscript"/>
                <w:lang w:val="en-GB" w:eastAsia="zh-CN"/>
              </w:rPr>
              <w:t>CSI,ref</w:t>
            </w:r>
            <w:proofErr w:type="spellEnd"/>
            <w:proofErr w:type="gramEnd"/>
            <w:r w:rsidRPr="007E04FA">
              <w:rPr>
                <w:rFonts w:ascii="Times New Roman" w:eastAsia="SimSun" w:hAnsi="Times New Roman" w:cs="Times New Roman"/>
                <w:color w:val="FF0000"/>
                <w:u w:val="single"/>
                <w:lang w:val="en-GB" w:eastAsia="zh-CN"/>
              </w:rPr>
              <w:t xml:space="preserve"> ) is UE optional.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Pr="00E959B8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  <w:r w:rsidRPr="006033B6">
              <w:rPr>
                <w:rFonts w:ascii="Times New Roman" w:eastAsia="SimSun" w:hAnsi="Times New Roman" w:cs="Times New Roman"/>
                <w:b/>
                <w:bCs/>
                <w:color w:val="3333FF"/>
                <w:sz w:val="20"/>
                <w:szCs w:val="20"/>
                <w:u w:val="single"/>
                <w:lang w:val="en-GB" w:eastAsia="zh-CN"/>
              </w:rPr>
              <w:t>FL Note</w:t>
            </w: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>: Can Apple please provide some tangible proposal to resolve your concern? Please keep in mind that this proposal keeps the legacy reference resource definition.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sym w:font="Wingdings" w:char="F0E0"/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="00BB4805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>resolved</w:t>
            </w:r>
            <w:r w:rsidR="00AF4F2F"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 xml:space="preserve"> by adding red underlined text (no company raised concern)</w:t>
            </w:r>
          </w:p>
          <w:p w:rsidR="00E959B8" w:rsidRPr="006033B6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2E391C" w:rsidRDefault="00E959B8" w:rsidP="00E959B8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Support/fine: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Samsung, vivo, Qualcomm (questionable regarding CQI prediction), DOCOMO, Lenovo, </w:t>
            </w:r>
            <w:r w:rsidR="00860F59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IDC, ZTE, </w:t>
            </w:r>
            <w:proofErr w:type="spellStart"/>
            <w:r w:rsidR="00860F59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Spreadtrum</w:t>
            </w:r>
            <w:proofErr w:type="spellEnd"/>
            <w:r w:rsidR="00860F59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vivo, LG (ok)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CATT, Intel, NEC, Xiaomi, CMCC,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MediaTek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Ericsson, [Nokia/NSB], OPPO, Huawei,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HiSi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Fraunhofer</w:t>
            </w:r>
            <w:proofErr w:type="spellEnd"/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IIS/HHI, Google (ok), Sharp</w:t>
            </w:r>
            <w:r w:rsidR="00203634" w:rsidRPr="002E391C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Apple (ok)</w:t>
            </w:r>
          </w:p>
          <w:p w:rsidR="00E959B8" w:rsidRPr="002E391C" w:rsidRDefault="00E959B8" w:rsidP="00E959B8">
            <w:pPr>
              <w:pStyle w:val="ListParagraph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Not support: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  <w:tr w:rsidR="00E959B8" w:rsidRPr="00E959B8" w:rsidTr="00E959B8">
        <w:tc>
          <w:tcPr>
            <w:tcW w:w="10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  <w:lastRenderedPageBreak/>
              <w:t xml:space="preserve">Proposal 2.I: </w:t>
            </w:r>
            <w:r w:rsidRPr="00E959B8">
              <w:rPr>
                <w:rFonts w:ascii="Times New Roman" w:eastAsia="SimSun" w:hAnsi="Times New Roman" w:cs="Times New Roman"/>
                <w:lang w:val="en-GB" w:eastAsia="en-US"/>
              </w:rPr>
              <w:t xml:space="preserve">For the Type-II codebook refinement for high/medium velocities, down-select from the following alternatives: </w:t>
            </w:r>
          </w:p>
          <w:p w:rsidR="00E959B8" w:rsidRPr="00E959B8" w:rsidRDefault="00E959B8" w:rsidP="00E959B8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 w:eastAsia="en-US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Alt1.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 xml:space="preserve">Q </w:t>
            </w:r>
            <w:r w:rsidR="00E31640">
              <w:rPr>
                <w:rFonts w:ascii="Times New Roman" w:eastAsia="Malgun Gothic" w:hAnsi="Times New Roman" w:cs="Times New Roman"/>
                <w:lang w:val="en-GB"/>
              </w:rPr>
              <w:t>different 2-dimens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ional bitmaps are introduced for indicating the location of the NZCs, where the </w:t>
            </w:r>
            <w:proofErr w:type="spellStart"/>
            <w:r w:rsidRPr="00E959B8">
              <w:rPr>
                <w:rFonts w:ascii="Times New Roman" w:eastAsia="Malgun Gothic" w:hAnsi="Times New Roman" w:cs="Times New Roman"/>
                <w:lang w:val="en-GB"/>
              </w:rPr>
              <w:t>q</w:t>
            </w:r>
            <w:r w:rsidRPr="00E959B8">
              <w:rPr>
                <w:rFonts w:ascii="Times New Roman" w:eastAsia="Malgun Gothic" w:hAnsi="Times New Roman" w:cs="Times New Roman"/>
                <w:vertAlign w:val="superscript"/>
                <w:lang w:val="en-GB"/>
              </w:rPr>
              <w:t>th</w:t>
            </w:r>
            <w:proofErr w:type="spell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(q=</w:t>
            </w:r>
            <w:proofErr w:type="gramStart"/>
            <w:r w:rsidRPr="00E959B8">
              <w:rPr>
                <w:rFonts w:ascii="Times New Roman" w:eastAsia="Malgun Gothic" w:hAnsi="Times New Roman" w:cs="Times New Roman"/>
                <w:lang w:val="en-GB"/>
              </w:rPr>
              <w:t>1,…</w:t>
            </w:r>
            <w:proofErr w:type="gram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.,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Q</w:t>
            </w:r>
            <w:r w:rsidR="00E31640">
              <w:rPr>
                <w:rFonts w:ascii="Times New Roman" w:eastAsia="Malgun Gothic" w:hAnsi="Times New Roman" w:cs="Times New Roman"/>
                <w:lang w:val="en-GB"/>
              </w:rPr>
              <w:t>) 2-dimens</w:t>
            </w: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ional bitmap corresponds to </w:t>
            </w:r>
            <w:proofErr w:type="spellStart"/>
            <w:r w:rsidRPr="00E959B8">
              <w:rPr>
                <w:rFonts w:ascii="Times New Roman" w:eastAsia="Malgun Gothic" w:hAnsi="Times New Roman" w:cs="Times New Roman"/>
                <w:lang w:val="en-GB"/>
              </w:rPr>
              <w:t>q</w:t>
            </w:r>
            <w:r w:rsidRPr="00E959B8">
              <w:rPr>
                <w:rFonts w:ascii="Times New Roman" w:eastAsia="Malgun Gothic" w:hAnsi="Times New Roman" w:cs="Times New Roman"/>
                <w:vertAlign w:val="superscript"/>
                <w:lang w:val="en-GB"/>
              </w:rPr>
              <w:t>th</w:t>
            </w:r>
            <w:proofErr w:type="spellEnd"/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 selected DD basis vector</w:t>
            </w:r>
          </w:p>
          <w:p w:rsidR="00E959B8" w:rsidRPr="00E959B8" w:rsidRDefault="00E959B8" w:rsidP="00E959B8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 xml:space="preserve">The number of selected DD basis vectors is denoted as </w:t>
            </w:r>
            <w:r w:rsidRPr="00E959B8">
              <w:rPr>
                <w:rFonts w:ascii="Times New Roman" w:eastAsia="Malgun Gothic" w:hAnsi="Times New Roman" w:cs="Times New Roman"/>
                <w:i/>
                <w:iCs/>
                <w:lang w:val="en-GB"/>
              </w:rPr>
              <w:t>Q</w:t>
            </w:r>
          </w:p>
          <w:p w:rsidR="00E959B8" w:rsidRPr="00E959B8" w:rsidRDefault="00E959B8" w:rsidP="00E959B8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This implies that for each layer, the location of NZCs in SD-FD can be different for different selected DD basis vectors.</w:t>
            </w:r>
          </w:p>
          <w:p w:rsidR="00E959B8" w:rsidRPr="00E959B8" w:rsidRDefault="00E959B8" w:rsidP="00E959B8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Alt2. A DD-basis-common per-layer 2-dimensional bitmap for indicating the location of NZCs used in Rel-16/17 Type-II is used</w:t>
            </w:r>
          </w:p>
          <w:p w:rsidR="00E959B8" w:rsidRPr="00E959B8" w:rsidRDefault="00E959B8" w:rsidP="00E959B8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GB"/>
              </w:rPr>
            </w:pPr>
            <w:r w:rsidRPr="00E959B8">
              <w:rPr>
                <w:rFonts w:ascii="Times New Roman" w:eastAsia="Malgun Gothic" w:hAnsi="Times New Roman" w:cs="Times New Roman"/>
                <w:lang w:val="en-GB"/>
              </w:rPr>
              <w:t>This implies that for each layer, the location of NZCs in SD-FD is common across all the Q selected DD basis vectors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val="en-GB" w:eastAsia="zh-CN"/>
              </w:rPr>
              <w:t>FFS: Further overhead reduction on bitmap(s)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val="en-GB" w:eastAsia="zh-CN"/>
              </w:rPr>
            </w:pPr>
            <w:r w:rsidRPr="00E959B8">
              <w:rPr>
                <w:rFonts w:ascii="Times New Roman" w:eastAsia="SimSun" w:hAnsi="Times New Roman" w:cs="Times New Roman"/>
                <w:lang w:eastAsia="zh-CN"/>
              </w:rPr>
              <w:t>FFS: Whether the number of NZCs is upper bounded across all DD basis vectors or per DD basis vector</w:t>
            </w:r>
          </w:p>
          <w:p w:rsidR="00E959B8" w:rsidRDefault="00E959B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6033B6" w:rsidRDefault="006033B6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351868" w:rsidRPr="006033B6" w:rsidRDefault="0035186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lang w:val="en-GB" w:eastAsia="zh-CN"/>
              </w:rPr>
            </w:pPr>
            <w:r w:rsidRPr="006033B6">
              <w:rPr>
                <w:rFonts w:ascii="Times New Roman" w:eastAsia="SimSun" w:hAnsi="Times New Roman" w:cs="Times New Roman"/>
                <w:color w:val="3333FF"/>
                <w:sz w:val="20"/>
                <w:szCs w:val="20"/>
                <w:highlight w:val="green"/>
                <w:lang w:val="en-GB" w:eastAsia="zh-CN"/>
              </w:rPr>
              <w:t>No issue raised</w:t>
            </w:r>
          </w:p>
          <w:p w:rsidR="00351868" w:rsidRPr="006033B6" w:rsidRDefault="00351868" w:rsidP="00E959B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  <w:p w:rsidR="002E391C" w:rsidRPr="002E391C" w:rsidRDefault="00E959B8" w:rsidP="00E959B8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  <w:t xml:space="preserve">Support/fine: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de-DE" w:eastAsia="zh-CN"/>
              </w:rPr>
              <w:t>Qualcomm, Samsung (Alt2), Intel (Alt1), IDC (Alt2), vivo, OPPO, ZTE(Alt1)</w:t>
            </w: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  <w:t xml:space="preserve">, </w:t>
            </w:r>
            <w:r w:rsidRPr="002E391C">
              <w:rPr>
                <w:rFonts w:ascii="Times New Roman" w:eastAsia="SimSun" w:hAnsi="Times New Roman" w:cs="Times New Roman"/>
                <w:sz w:val="20"/>
                <w:szCs w:val="20"/>
                <w:lang w:val="de-DE" w:eastAsia="zh-CN"/>
              </w:rPr>
              <w:t>Xiaomi(Alt1), DOCOMO, CATT, Ericsson (Alt1), CMCC (Alt1), Huawei/HiSi, Sharp</w:t>
            </w:r>
            <w:r w:rsidR="00351868" w:rsidRPr="002E391C">
              <w:rPr>
                <w:rFonts w:ascii="Times New Roman" w:eastAsia="SimSun" w:hAnsi="Times New Roman" w:cs="Times New Roman"/>
                <w:sz w:val="20"/>
                <w:szCs w:val="20"/>
                <w:lang w:val="de-DE" w:eastAsia="zh-CN"/>
              </w:rPr>
              <w:t xml:space="preserve"> </w:t>
            </w:r>
          </w:p>
          <w:p w:rsidR="00E959B8" w:rsidRPr="002E391C" w:rsidRDefault="00E959B8" w:rsidP="00E959B8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de-DE" w:eastAsia="zh-CN"/>
              </w:rPr>
            </w:pPr>
            <w:r w:rsidRPr="002E391C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Not support:</w:t>
            </w:r>
          </w:p>
          <w:p w:rsidR="00E959B8" w:rsidRPr="00E959B8" w:rsidRDefault="00E959B8" w:rsidP="00E959B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u w:val="single"/>
                <w:lang w:val="en-GB" w:eastAsia="en-US"/>
              </w:rPr>
            </w:pPr>
          </w:p>
        </w:tc>
      </w:tr>
    </w:tbl>
    <w:p w:rsidR="00E959B8" w:rsidRDefault="00E959B8"/>
    <w:sectPr w:rsidR="00E9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E26"/>
    <w:multiLevelType w:val="hybridMultilevel"/>
    <w:tmpl w:val="D9BC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4D74"/>
    <w:multiLevelType w:val="hybridMultilevel"/>
    <w:tmpl w:val="1D98D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B0E76"/>
    <w:multiLevelType w:val="hybridMultilevel"/>
    <w:tmpl w:val="D6F0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46094"/>
    <w:multiLevelType w:val="hybridMultilevel"/>
    <w:tmpl w:val="9874F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CB"/>
    <w:rsid w:val="001D083A"/>
    <w:rsid w:val="00203634"/>
    <w:rsid w:val="002A694F"/>
    <w:rsid w:val="002E391C"/>
    <w:rsid w:val="002F1808"/>
    <w:rsid w:val="00351868"/>
    <w:rsid w:val="0051277B"/>
    <w:rsid w:val="00586F02"/>
    <w:rsid w:val="005C3DD0"/>
    <w:rsid w:val="006033B6"/>
    <w:rsid w:val="007E04FA"/>
    <w:rsid w:val="00860F59"/>
    <w:rsid w:val="009902CB"/>
    <w:rsid w:val="009B0876"/>
    <w:rsid w:val="00A37884"/>
    <w:rsid w:val="00AC7433"/>
    <w:rsid w:val="00AF4F2F"/>
    <w:rsid w:val="00B95D50"/>
    <w:rsid w:val="00BB2A0A"/>
    <w:rsid w:val="00BB4805"/>
    <w:rsid w:val="00C2518F"/>
    <w:rsid w:val="00C57011"/>
    <w:rsid w:val="00D342B0"/>
    <w:rsid w:val="00DF65CD"/>
    <w:rsid w:val="00E0146C"/>
    <w:rsid w:val="00E31640"/>
    <w:rsid w:val="00E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DB1C"/>
  <w15:chartTrackingRefBased/>
  <w15:docId w15:val="{EBA70B64-A327-43A8-939B-212AD07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2022-10-11T14:47:00Z</dcterms:created>
  <dcterms:modified xsi:type="dcterms:W3CDTF">2022-10-11T14:47:00Z</dcterms:modified>
</cp:coreProperties>
</file>