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4A7A88BC" w:rsidR="009861B8" w:rsidRPr="004F69A7" w:rsidRDefault="004F69A7"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sidRPr="004F69A7">
        <w:rPr>
          <w:rFonts w:ascii="Arial" w:eastAsia="Batang" w:hAnsi="Arial" w:cs="Arial"/>
          <w:b/>
          <w:bCs/>
          <w:sz w:val="28"/>
          <w:szCs w:val="24"/>
          <w:lang w:eastAsia="en-US"/>
        </w:rPr>
        <w:t>3GPP TSG RAN WG1 #110</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985936">
        <w:rPr>
          <w:rFonts w:ascii="Arial" w:eastAsiaTheme="minorEastAsia" w:hAnsi="Arial" w:cs="Arial"/>
          <w:b/>
          <w:bCs/>
          <w:sz w:val="28"/>
          <w:szCs w:val="24"/>
        </w:rPr>
        <w:t>7504</w:t>
      </w:r>
      <w:bookmarkStart w:id="0" w:name="_GoBack"/>
      <w:bookmarkEnd w:id="0"/>
    </w:p>
    <w:p w14:paraId="6B61DD95" w14:textId="1FA310E8" w:rsidR="009861B8" w:rsidRPr="009861B8" w:rsidRDefault="004F69A7"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4F69A7">
        <w:rPr>
          <w:rFonts w:ascii="Arial" w:eastAsia="MS Mincho" w:hAnsi="Arial" w:cs="Arial"/>
          <w:b/>
          <w:bCs/>
          <w:sz w:val="28"/>
          <w:lang w:eastAsia="ja-JP"/>
        </w:rPr>
        <w:t>Toulouse, France, August 22</w:t>
      </w:r>
      <w:r w:rsidRPr="004F69A7">
        <w:rPr>
          <w:rFonts w:ascii="Arial" w:eastAsia="MS Mincho" w:hAnsi="Arial" w:cs="Arial"/>
          <w:b/>
          <w:bCs/>
          <w:sz w:val="28"/>
          <w:vertAlign w:val="superscript"/>
          <w:lang w:eastAsia="ja-JP"/>
        </w:rPr>
        <w:t>nd</w:t>
      </w:r>
      <w:r w:rsidRPr="004F69A7">
        <w:rPr>
          <w:rFonts w:ascii="Arial" w:eastAsia="MS Mincho" w:hAnsi="Arial" w:cs="Arial"/>
          <w:b/>
          <w:bCs/>
          <w:sz w:val="28"/>
          <w:lang w:eastAsia="ja-JP"/>
        </w:rPr>
        <w:t xml:space="preserve"> – 26</w:t>
      </w:r>
      <w:r w:rsidRPr="004F69A7">
        <w:rPr>
          <w:rFonts w:ascii="Arial" w:eastAsia="MS Mincho" w:hAnsi="Arial" w:cs="Arial"/>
          <w:b/>
          <w:bCs/>
          <w:sz w:val="28"/>
          <w:vertAlign w:val="superscript"/>
          <w:lang w:eastAsia="ja-JP"/>
        </w:rPr>
        <w:t>th</w:t>
      </w:r>
      <w:r w:rsidRPr="004F69A7">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1810618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E7AB3">
        <w:rPr>
          <w:rFonts w:ascii="Arial" w:hAnsi="Arial" w:cs="Arial"/>
          <w:sz w:val="22"/>
          <w:szCs w:val="22"/>
          <w:lang w:val="pt-BR" w:eastAsia="zh-TW"/>
        </w:rPr>
        <w:t>9.4</w:t>
      </w:r>
      <w:r w:rsidR="00766E2E">
        <w:rPr>
          <w:rFonts w:ascii="Arial" w:hAnsi="Arial" w:cs="Arial"/>
          <w:sz w:val="22"/>
          <w:szCs w:val="22"/>
          <w:lang w:val="pt-BR" w:eastAsia="zh-TW"/>
        </w:rPr>
        <w:t>.</w:t>
      </w:r>
      <w:r w:rsidR="004957BD">
        <w:rPr>
          <w:rFonts w:ascii="Arial" w:hAnsi="Arial" w:cs="Arial"/>
          <w:sz w:val="22"/>
          <w:szCs w:val="22"/>
          <w:lang w:val="pt-BR" w:eastAsia="zh-TW"/>
        </w:rPr>
        <w:t>1</w:t>
      </w:r>
      <w:r w:rsidR="00F45450">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09A726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BE7AB3" w:rsidRPr="00BE7AB3">
        <w:rPr>
          <w:rFonts w:ascii="Arial" w:hAnsi="Arial" w:cs="Arial"/>
          <w:sz w:val="22"/>
          <w:szCs w:val="22"/>
          <w:lang w:val="en-US" w:eastAsia="zh-TW"/>
        </w:rPr>
        <w:t>Discussion on sidelink on unlicensed spectrum</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260F10"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995F95">
        <w:rPr>
          <w:sz w:val="22"/>
          <w:szCs w:val="22"/>
        </w:rPr>
        <w:t>sidelink on unlicensed spectrum</w:t>
      </w:r>
      <w:r w:rsidRPr="00B36C72">
        <w:rPr>
          <w:sz w:val="22"/>
          <w:szCs w:val="22"/>
        </w:rPr>
        <w:t>.</w:t>
      </w:r>
    </w:p>
    <w:p w14:paraId="07987A38" w14:textId="3D8776B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DFE0753" w14:textId="77777777" w:rsidR="00E912B3" w:rsidRDefault="0059472D" w:rsidP="00533F25">
      <w:pPr>
        <w:jc w:val="both"/>
      </w:pPr>
      <w:r>
        <w:t>According to WID of Rel-18 SL, w</w:t>
      </w:r>
      <w:r w:rsidRPr="0059472D">
        <w:t>ith more and more devices requiring higher throughput and higher data rate, sidelink transmission on wider freq</w:t>
      </w:r>
      <w:r w:rsidR="00533F25">
        <w:t xml:space="preserve">uency resources may be desired, and </w:t>
      </w:r>
      <w:r w:rsidRPr="0059472D">
        <w:t>introduction of sidelink t</w:t>
      </w:r>
      <w:r w:rsidR="00533F25">
        <w:t>ransmission on unlicensed</w:t>
      </w:r>
      <w:r w:rsidRPr="0059472D">
        <w:t xml:space="preserve"> spectrum with large spectrum availability may be one targeted solution. In order to have fair coexistence with other devices in same or different RAT or different techniques (e.g., WiFi) in unlicensed spectrum, listen before talk (LBT) may be required. LBT is one energy detection or sensing tech</w:t>
      </w:r>
      <w:r w:rsidR="00533F25">
        <w:t>nique, according to LBT result which is idle or busy</w:t>
      </w:r>
      <w:r w:rsidRPr="0059472D">
        <w:t xml:space="preserve"> before transmission, a device could determine whether </w:t>
      </w:r>
      <w:r w:rsidR="00E912B3">
        <w:t xml:space="preserve">to </w:t>
      </w:r>
      <w:r w:rsidRPr="0059472D">
        <w:t xml:space="preserve">allow for transmission. </w:t>
      </w:r>
    </w:p>
    <w:p w14:paraId="30DCE8F5" w14:textId="1BE7A6E3" w:rsidR="0059472D" w:rsidRPr="0059472D" w:rsidRDefault="0059472D" w:rsidP="00533F25">
      <w:pPr>
        <w:jc w:val="both"/>
      </w:pPr>
      <w:r w:rsidRPr="0059472D">
        <w:t xml:space="preserve">LBT could briefly separate into short LBT (e.g., CAT1-LBT, and CAT2-LBT) and long LBT (e.g., CAT4-LBT). For short LBT, a device </w:t>
      </w:r>
      <w:r w:rsidR="00E912B3">
        <w:t>is</w:t>
      </w:r>
      <w:r w:rsidRPr="0059472D">
        <w:t xml:space="preserve"> allowed to perform transmission without LBT or perform relative short LBT</w:t>
      </w:r>
      <w:r w:rsidR="00E912B3">
        <w:t>;</w:t>
      </w:r>
      <w:r w:rsidRPr="0059472D">
        <w:t xml:space="preserve"> while for long LBT, a device need</w:t>
      </w:r>
      <w:r w:rsidR="00E912B3">
        <w:t>s</w:t>
      </w:r>
      <w:r w:rsidRPr="0059472D">
        <w:t xml:space="preserve"> to perform transmission with LBT with relative longer time (e.g., with more sensing</w:t>
      </w:r>
      <w:r w:rsidR="00533F25">
        <w:t xml:space="preserve"> slots being idle and considering</w:t>
      </w:r>
      <w:r w:rsidRPr="0059472D">
        <w:t xml:space="preserve"> back off). </w:t>
      </w:r>
      <w:r w:rsidR="00533F25">
        <w:t>According to TS 37.213</w:t>
      </w:r>
      <w:r w:rsidRPr="0059472D">
        <w:t>, there are two channel access mode</w:t>
      </w:r>
      <w:r w:rsidR="00533F25">
        <w:t>s</w:t>
      </w:r>
      <w:r w:rsidRPr="0059472D">
        <w:t xml:space="preserve"> in NR-U</w:t>
      </w:r>
      <w:r w:rsidR="00E912B3">
        <w:t>:</w:t>
      </w:r>
      <w:r w:rsidR="00E912B3" w:rsidRPr="0059472D">
        <w:t xml:space="preserve"> </w:t>
      </w:r>
      <w:r w:rsidRPr="0059472D">
        <w:t xml:space="preserve">semi static channel access (e.g., FBE, frame based equipment) and dynamic channel access (e.g., LBE, load based equipment). According to TS 37.213, FBE is intended for environments where the absence of other </w:t>
      </w:r>
      <w:r w:rsidR="00E912B3">
        <w:t>RAT</w:t>
      </w:r>
      <w:r w:rsidR="00E912B3" w:rsidRPr="0059472D">
        <w:t xml:space="preserve">s </w:t>
      </w:r>
      <w:r w:rsidRPr="0059472D">
        <w:t>is guaranteed</w:t>
      </w:r>
      <w:r w:rsidR="00E912B3">
        <w:t>,</w:t>
      </w:r>
      <w:r w:rsidRPr="0059472D">
        <w:t xml:space="preserve"> which means FBE is beneficial for network controlled environment. </w:t>
      </w:r>
      <w:r w:rsidR="00E912B3">
        <w:t>For</w:t>
      </w:r>
      <w:r w:rsidRPr="0059472D">
        <w:t xml:space="preserve"> network controlled environment, there </w:t>
      </w:r>
      <w:r w:rsidR="00E912B3">
        <w:t>seems</w:t>
      </w:r>
      <w:r w:rsidRPr="0059472D">
        <w:t xml:space="preserve"> one RAN on unlicensed band which is beneficial for network vendor to deploy smart factor and support service required higher data rate.</w:t>
      </w:r>
      <w:r w:rsidR="00533F25">
        <w:t xml:space="preserve"> On the other hands, LBE may be targeted for environment with other RAT</w:t>
      </w:r>
      <w:r w:rsidR="002209F6">
        <w:t>s</w:t>
      </w:r>
      <w:r w:rsidR="00533F25">
        <w:t>. Considering scenario of smart factory deploying SL-U, as it can be a network controlled environment, FBE is proposed to support in Rel-18 SL-U. In addition, considering another scenario of video sharing with higher amount of traffic within normal road, LBE is more preferred to have competing with other RAT</w:t>
      </w:r>
      <w:r w:rsidR="002209F6">
        <w:t>s</w:t>
      </w:r>
      <w:r w:rsidR="00533F25">
        <w:t xml:space="preserve">. </w:t>
      </w:r>
    </w:p>
    <w:p w14:paraId="2F012EAB" w14:textId="5C0163A2" w:rsidR="00354606" w:rsidRDefault="00354606" w:rsidP="009A1C2D">
      <w:pPr>
        <w:ind w:left="1418" w:hangingChars="644" w:hanging="1418"/>
        <w:jc w:val="both"/>
        <w:rPr>
          <w:rFonts w:eastAsiaTheme="minorEastAsia"/>
          <w:b/>
          <w:bCs/>
          <w:sz w:val="22"/>
          <w:szCs w:val="22"/>
        </w:rPr>
      </w:pPr>
      <w:r>
        <w:rPr>
          <w:rFonts w:eastAsiaTheme="minorEastAsia" w:hint="eastAsia"/>
          <w:b/>
          <w:bCs/>
          <w:sz w:val="22"/>
          <w:szCs w:val="22"/>
          <w:lang w:val="en-US"/>
        </w:rPr>
        <w:t>P</w:t>
      </w:r>
      <w:r>
        <w:rPr>
          <w:rFonts w:eastAsiaTheme="minorEastAsia"/>
          <w:b/>
          <w:bCs/>
          <w:sz w:val="22"/>
          <w:szCs w:val="22"/>
          <w:lang w:val="en-US"/>
        </w:rPr>
        <w:t xml:space="preserve">roposal 1:   </w:t>
      </w:r>
      <w:r w:rsidR="00457138">
        <w:rPr>
          <w:rFonts w:eastAsiaTheme="minorEastAsia"/>
          <w:b/>
          <w:bCs/>
          <w:sz w:val="22"/>
          <w:szCs w:val="22"/>
        </w:rPr>
        <w:t>For Rel-18 SL-U, i</w:t>
      </w:r>
      <w:r w:rsidR="00995F95">
        <w:rPr>
          <w:rFonts w:eastAsiaTheme="minorEastAsia"/>
          <w:b/>
          <w:bCs/>
          <w:sz w:val="22"/>
          <w:szCs w:val="22"/>
          <w:lang w:val="en-US"/>
        </w:rPr>
        <w:t xml:space="preserve">t’s beneficial to support </w:t>
      </w:r>
      <w:r w:rsidR="007A4F32">
        <w:rPr>
          <w:rFonts w:eastAsiaTheme="minorEastAsia"/>
          <w:b/>
          <w:bCs/>
          <w:sz w:val="22"/>
          <w:szCs w:val="22"/>
          <w:lang w:val="en-US"/>
        </w:rPr>
        <w:t xml:space="preserve">both </w:t>
      </w:r>
      <w:r w:rsidR="007B0218" w:rsidRPr="007B0218">
        <w:rPr>
          <w:rFonts w:eastAsiaTheme="minorEastAsia"/>
          <w:b/>
          <w:bCs/>
          <w:sz w:val="22"/>
          <w:szCs w:val="22"/>
        </w:rPr>
        <w:t>semi static channel access</w:t>
      </w:r>
      <w:r w:rsidR="00995F95">
        <w:rPr>
          <w:rFonts w:eastAsiaTheme="minorEastAsia"/>
          <w:b/>
          <w:bCs/>
          <w:sz w:val="22"/>
          <w:szCs w:val="22"/>
          <w:lang w:val="en-US"/>
        </w:rPr>
        <w:t xml:space="preserve"> and </w:t>
      </w:r>
      <w:r w:rsidR="007B0218" w:rsidRPr="007B0218">
        <w:rPr>
          <w:rFonts w:eastAsiaTheme="minorEastAsia"/>
          <w:b/>
          <w:bCs/>
          <w:sz w:val="22"/>
          <w:szCs w:val="22"/>
        </w:rPr>
        <w:t>dynamic channel access</w:t>
      </w:r>
      <w:r w:rsidR="00E867AE">
        <w:rPr>
          <w:rFonts w:eastAsiaTheme="minorEastAsia"/>
          <w:b/>
          <w:bCs/>
          <w:sz w:val="22"/>
          <w:szCs w:val="22"/>
          <w:lang w:val="en-US"/>
        </w:rPr>
        <w:t xml:space="preserve"> mechanism in NR-U</w:t>
      </w:r>
      <w:r w:rsidRPr="00354606">
        <w:rPr>
          <w:rFonts w:eastAsiaTheme="minorEastAsia"/>
          <w:b/>
          <w:bCs/>
          <w:sz w:val="22"/>
          <w:szCs w:val="22"/>
        </w:rPr>
        <w:t>.</w:t>
      </w:r>
    </w:p>
    <w:p w14:paraId="0D79460C" w14:textId="7DD40FB6" w:rsidR="00AF5672" w:rsidRDefault="007831B6" w:rsidP="007831B6">
      <w:pPr>
        <w:jc w:val="both"/>
      </w:pPr>
      <w:r>
        <w:t>For type-1 channel access or CAT-4 LBT</w:t>
      </w:r>
      <w:r w:rsidR="00D0785A">
        <w:t xml:space="preserve"> in NR-U</w:t>
      </w:r>
      <w:r>
        <w:t xml:space="preserve">, </w:t>
      </w:r>
      <w:r w:rsidR="00AF5672">
        <w:t xml:space="preserve">COT initiating device needs to randomly select a number value among [0, CWp], and CWp is a contention window size which is controlled by explicit or implicit feedback. For gNB initiating COT for downlink transmission, CWp could be controlled based on HARQ-ACK feedback in response to downlink transmission and such HARQ-ACK feedback could be delivered by PUCCH or PUSCH. For UE initiating </w:t>
      </w:r>
      <w:r w:rsidR="00AF5672">
        <w:lastRenderedPageBreak/>
        <w:t>COT for uplink transmission, CWp could be controlled based on HARQ-ACK-ACK feedback in response to uplink transmission and such HARQ-ACK feedback could be delivered by DFI in PDCCH. When it comes to SL</w:t>
      </w:r>
      <w:r w:rsidR="00D0785A">
        <w:t>-U</w:t>
      </w:r>
      <w:r w:rsidR="00AF5672">
        <w:t>, as there are PSFCH over PC5 interface, it’s considered to control CWp based on SL HARQ-ACK feedback.</w:t>
      </w:r>
    </w:p>
    <w:p w14:paraId="32F8FBBD" w14:textId="5A7EB9A5" w:rsidR="00E867AE" w:rsidRDefault="00E867AE" w:rsidP="009A1C2D">
      <w:pPr>
        <w:ind w:left="1418" w:hangingChars="644" w:hanging="1418"/>
        <w:jc w:val="both"/>
        <w:rPr>
          <w:rFonts w:eastAsiaTheme="minorEastAsia"/>
          <w:b/>
          <w:bCs/>
          <w:sz w:val="22"/>
          <w:szCs w:val="22"/>
        </w:rPr>
      </w:pPr>
      <w:r>
        <w:rPr>
          <w:rFonts w:eastAsiaTheme="minorEastAsia"/>
          <w:b/>
          <w:bCs/>
          <w:sz w:val="22"/>
          <w:szCs w:val="22"/>
        </w:rPr>
        <w:t>Pro</w:t>
      </w:r>
      <w:r w:rsidR="007831B6">
        <w:rPr>
          <w:rFonts w:eastAsiaTheme="minorEastAsia"/>
          <w:b/>
          <w:bCs/>
          <w:sz w:val="22"/>
          <w:szCs w:val="22"/>
        </w:rPr>
        <w:t xml:space="preserve">posal </w:t>
      </w:r>
      <w:r w:rsidR="007B0218">
        <w:rPr>
          <w:rFonts w:eastAsiaTheme="minorEastAsia"/>
          <w:b/>
          <w:bCs/>
          <w:sz w:val="22"/>
          <w:szCs w:val="22"/>
        </w:rPr>
        <w:t>2</w:t>
      </w:r>
      <w:r>
        <w:rPr>
          <w:rFonts w:eastAsiaTheme="minorEastAsia"/>
          <w:b/>
          <w:bCs/>
          <w:sz w:val="22"/>
          <w:szCs w:val="22"/>
        </w:rPr>
        <w:t>:</w:t>
      </w:r>
      <w:r>
        <w:rPr>
          <w:rFonts w:eastAsiaTheme="minorEastAsia"/>
          <w:b/>
          <w:bCs/>
          <w:sz w:val="22"/>
          <w:szCs w:val="22"/>
        </w:rPr>
        <w:tab/>
        <w:t xml:space="preserve">For Rel-18 SL-U, it </w:t>
      </w:r>
      <w:r w:rsidR="00D0785A">
        <w:rPr>
          <w:rFonts w:eastAsiaTheme="minorEastAsia"/>
          <w:b/>
          <w:bCs/>
          <w:sz w:val="22"/>
          <w:szCs w:val="22"/>
        </w:rPr>
        <w:t xml:space="preserve">supports </w:t>
      </w:r>
      <w:r>
        <w:rPr>
          <w:rFonts w:eastAsiaTheme="minorEastAsia"/>
          <w:b/>
          <w:bCs/>
          <w:sz w:val="22"/>
          <w:szCs w:val="22"/>
        </w:rPr>
        <w:t xml:space="preserve">to control contention window size based on </w:t>
      </w:r>
      <w:r w:rsidR="007831B6">
        <w:rPr>
          <w:rFonts w:eastAsiaTheme="minorEastAsia"/>
          <w:b/>
          <w:bCs/>
          <w:sz w:val="22"/>
          <w:szCs w:val="22"/>
        </w:rPr>
        <w:t xml:space="preserve">at least </w:t>
      </w:r>
      <w:r>
        <w:rPr>
          <w:rFonts w:eastAsiaTheme="minorEastAsia"/>
          <w:b/>
          <w:bCs/>
          <w:sz w:val="22"/>
          <w:szCs w:val="22"/>
        </w:rPr>
        <w:t>SL HARQ-ACK</w:t>
      </w:r>
      <w:r w:rsidR="00AF5672">
        <w:rPr>
          <w:rFonts w:eastAsiaTheme="minorEastAsia"/>
          <w:b/>
          <w:bCs/>
          <w:sz w:val="22"/>
          <w:szCs w:val="22"/>
        </w:rPr>
        <w:t xml:space="preserve"> feedback</w:t>
      </w:r>
      <w:r>
        <w:rPr>
          <w:rFonts w:eastAsiaTheme="minorEastAsia"/>
          <w:b/>
          <w:bCs/>
          <w:sz w:val="22"/>
          <w:szCs w:val="22"/>
        </w:rPr>
        <w:t>.</w:t>
      </w:r>
    </w:p>
    <w:p w14:paraId="4BFE821E" w14:textId="4331607D" w:rsidR="0014263C" w:rsidRDefault="007B0218" w:rsidP="0014263C">
      <w:pPr>
        <w:jc w:val="both"/>
      </w:pPr>
      <w:r>
        <w:t xml:space="preserve">There’s one FFS of UE-to-UE COT sharing regarding whether </w:t>
      </w:r>
      <w:r w:rsidRPr="003F56DF">
        <w:rPr>
          <w:rFonts w:cs="Times"/>
        </w:rPr>
        <w:t>the COT can be shared with a single UE or multiple UEs</w:t>
      </w:r>
      <w:r>
        <w:t xml:space="preserve"> which is left in last RAN1 meeting. We think UE-to-UE COT sharing regarding multiple UEs is similar to gNB initiating COT and sharing its channel availability to multiple UEs</w:t>
      </w:r>
      <w:r w:rsidR="004F29BA">
        <w:t>, which we believe UE-to-UE COT sharing to multiple UEs is feasible</w:t>
      </w:r>
      <w:r>
        <w:t xml:space="preserve">. </w:t>
      </w:r>
      <w:r w:rsidR="004F29BA">
        <w:t xml:space="preserve">In addition, it seems beneficial from responding UE’s point of view to reducing latency caused by type-1 channel access procedure due to within COT initiating UE’s COT. There may be some restriction in responding UE side such as responding UE’s sidelink transmission shall include COT initiating UE as destination UE. </w:t>
      </w:r>
      <w:r w:rsidR="00920F14">
        <w:t>In the last</w:t>
      </w:r>
      <w:r w:rsidR="004F29BA">
        <w:t>, there may be some remaining aspects to be handled such as, whether to have centralized scheduling of UE-to-UE COT sharing from COT initiating UE, and signalling detail of UE-to-UE COT sharing information</w:t>
      </w:r>
      <w:r w:rsidR="00920F14">
        <w:t>, which needs further study</w:t>
      </w:r>
      <w:r w:rsidR="004F29BA">
        <w:t>.</w:t>
      </w:r>
      <w:r w:rsidR="0014263C">
        <w:t xml:space="preserve"> </w:t>
      </w:r>
    </w:p>
    <w:p w14:paraId="2C3692C8" w14:textId="4B8867C0" w:rsidR="00995F95" w:rsidRDefault="007831B6" w:rsidP="009A1C2D">
      <w:pPr>
        <w:ind w:left="1418" w:hangingChars="644" w:hanging="1418"/>
        <w:jc w:val="both"/>
        <w:rPr>
          <w:rFonts w:eastAsiaTheme="minorEastAsia"/>
          <w:b/>
          <w:bCs/>
          <w:sz w:val="22"/>
          <w:szCs w:val="22"/>
          <w:lang w:val="en-US"/>
        </w:rPr>
      </w:pPr>
      <w:r>
        <w:rPr>
          <w:rFonts w:eastAsiaTheme="minorEastAsia"/>
          <w:b/>
          <w:bCs/>
          <w:sz w:val="22"/>
          <w:szCs w:val="22"/>
          <w:lang w:val="en-US"/>
        </w:rPr>
        <w:t xml:space="preserve">Proposal </w:t>
      </w:r>
      <w:r w:rsidR="00920F14">
        <w:rPr>
          <w:rFonts w:eastAsiaTheme="minorEastAsia"/>
          <w:b/>
          <w:bCs/>
          <w:sz w:val="22"/>
          <w:szCs w:val="22"/>
          <w:lang w:val="en-US"/>
        </w:rPr>
        <w:t>3</w:t>
      </w:r>
      <w:r w:rsidR="00995F95">
        <w:rPr>
          <w:rFonts w:eastAsiaTheme="minorEastAsia"/>
          <w:b/>
          <w:bCs/>
          <w:sz w:val="22"/>
          <w:szCs w:val="22"/>
          <w:lang w:val="en-US"/>
        </w:rPr>
        <w:t>:</w:t>
      </w:r>
      <w:r w:rsidR="00995F95">
        <w:rPr>
          <w:rFonts w:eastAsiaTheme="minorEastAsia"/>
          <w:b/>
          <w:bCs/>
          <w:sz w:val="22"/>
          <w:szCs w:val="22"/>
          <w:lang w:val="en-US"/>
        </w:rPr>
        <w:tab/>
      </w:r>
      <w:r w:rsidR="00343606">
        <w:rPr>
          <w:rFonts w:eastAsiaTheme="minorEastAsia"/>
          <w:b/>
          <w:bCs/>
          <w:sz w:val="22"/>
          <w:szCs w:val="22"/>
        </w:rPr>
        <w:t>For Rel-18 SL-U,</w:t>
      </w:r>
      <w:r w:rsidR="00343606">
        <w:rPr>
          <w:rFonts w:eastAsiaTheme="minorEastAsia"/>
          <w:b/>
          <w:bCs/>
          <w:sz w:val="22"/>
          <w:szCs w:val="22"/>
          <w:lang w:val="en-US"/>
        </w:rPr>
        <w:t xml:space="preserve"> </w:t>
      </w:r>
      <w:r w:rsidR="004F29BA">
        <w:rPr>
          <w:rFonts w:eastAsiaTheme="minorEastAsia"/>
          <w:b/>
          <w:bCs/>
          <w:sz w:val="22"/>
          <w:szCs w:val="22"/>
          <w:lang w:val="en-US"/>
        </w:rPr>
        <w:t>COT can be shared with a single UE and multiple UEs</w:t>
      </w:r>
      <w:r w:rsidR="00995F95">
        <w:rPr>
          <w:rFonts w:eastAsiaTheme="minorEastAsia"/>
          <w:b/>
          <w:bCs/>
          <w:sz w:val="22"/>
          <w:szCs w:val="22"/>
          <w:lang w:val="en-US"/>
        </w:rPr>
        <w:t>.</w:t>
      </w:r>
    </w:p>
    <w:p w14:paraId="53512557" w14:textId="17069096" w:rsidR="00DC1115" w:rsidRDefault="00381F7D" w:rsidP="00381F7D">
      <w:pPr>
        <w:jc w:val="both"/>
      </w:pPr>
      <w:r>
        <w:t xml:space="preserve">According to updated WID (RP-221798) of sidelink evolution in Rel-18, </w:t>
      </w:r>
      <w:r w:rsidR="00DC1115">
        <w:t xml:space="preserve">it has been agree that </w:t>
      </w:r>
      <w:r>
        <w:t xml:space="preserve">gNB does not perform type-1/type-2 channel access to initiate or share COT. </w:t>
      </w:r>
      <w:r w:rsidR="00DC1115">
        <w:t>In other words</w:t>
      </w:r>
      <w:r>
        <w:t>, gNB seems becomes a scheduler without guaranteeing channel availability.</w:t>
      </w:r>
      <w:r w:rsidR="00DC1115">
        <w:t xml:space="preserve"> Consequently, w</w:t>
      </w:r>
      <w:r>
        <w:t xml:space="preserve">hen a </w:t>
      </w:r>
      <w:r w:rsidR="00DC1115">
        <w:t xml:space="preserve">mode-1 UE </w:t>
      </w:r>
      <w:r>
        <w:t>performs sidelink transmission in unlicensed spectrum, t</w:t>
      </w:r>
      <w:r w:rsidR="00DC1115">
        <w:t xml:space="preserve">he </w:t>
      </w:r>
      <w:r>
        <w:t xml:space="preserve">UE may need to </w:t>
      </w:r>
      <w:r w:rsidR="00DC1115">
        <w:t xml:space="preserve">access channel by type-1 channel access first. However, due to uncertainty of channel availability, it’s needed to increase scheduling sidelink resource(s) from a SL grant. In addition, in order to avoid </w:t>
      </w:r>
      <w:r w:rsidR="007B6707">
        <w:t>loss</w:t>
      </w:r>
      <w:r w:rsidR="00DC1115">
        <w:t xml:space="preserve"> of channel availability, </w:t>
      </w:r>
      <w:r w:rsidR="007B6707">
        <w:t>consecutive scheduling by SL grant is also proposed to support in unlicensed spectrum.</w:t>
      </w:r>
      <w:r w:rsidR="00DC1115">
        <w:t xml:space="preserve"> </w:t>
      </w:r>
      <w:r w:rsidR="007D2BD7">
        <w:t xml:space="preserve">From our perspective, NR-U’s mechanism regarding DG scheduling multi-PUSCH or multiple transmission opportunity for one periodic CG occasion could be starting point for SL grant with consecutive scheduling. </w:t>
      </w:r>
      <w:r w:rsidR="007B6707">
        <w:t xml:space="preserve">In light of above, we think enhancement of mode-1 shall </w:t>
      </w:r>
      <w:r w:rsidR="007D2BD7">
        <w:t xml:space="preserve">at least </w:t>
      </w:r>
      <w:r w:rsidR="007B6707">
        <w:t>include SL grant scheduling more than 3 sidelink resource(s) and SL grant scheduling consecutive sidelink resource(s).</w:t>
      </w:r>
    </w:p>
    <w:p w14:paraId="0CC5A14F" w14:textId="4545195E" w:rsidR="00381F7D" w:rsidRPr="007B6707" w:rsidRDefault="00381F7D" w:rsidP="009A1C2D">
      <w:pPr>
        <w:ind w:left="1418" w:hangingChars="644" w:hanging="1418"/>
        <w:jc w:val="both"/>
        <w:rPr>
          <w:rFonts w:eastAsiaTheme="minorEastAsia"/>
          <w:b/>
          <w:bCs/>
          <w:sz w:val="22"/>
          <w:szCs w:val="22"/>
          <w:lang w:val="en-US"/>
        </w:rPr>
      </w:pPr>
      <w:r>
        <w:rPr>
          <w:rFonts w:eastAsiaTheme="minorEastAsia"/>
          <w:b/>
          <w:bCs/>
          <w:sz w:val="22"/>
          <w:szCs w:val="22"/>
          <w:lang w:val="en-US"/>
        </w:rPr>
        <w:t xml:space="preserve">Proposal </w:t>
      </w:r>
      <w:r w:rsidR="00920F14">
        <w:rPr>
          <w:rFonts w:eastAsiaTheme="minorEastAsia"/>
          <w:b/>
          <w:bCs/>
          <w:sz w:val="22"/>
          <w:szCs w:val="22"/>
          <w:lang w:val="en-US"/>
        </w:rPr>
        <w:t>4</w:t>
      </w:r>
      <w:r>
        <w:rPr>
          <w:rFonts w:eastAsiaTheme="minorEastAsia"/>
          <w:b/>
          <w:bCs/>
          <w:sz w:val="22"/>
          <w:szCs w:val="22"/>
          <w:lang w:val="en-US"/>
        </w:rPr>
        <w:t>:</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w:t>
      </w:r>
      <w:r w:rsidR="007B6707">
        <w:rPr>
          <w:rFonts w:eastAsiaTheme="minorEastAsia"/>
          <w:b/>
          <w:bCs/>
          <w:sz w:val="22"/>
          <w:szCs w:val="22"/>
          <w:lang w:val="en-US"/>
        </w:rPr>
        <w:t xml:space="preserve">enhancement of mode-1 RA </w:t>
      </w:r>
      <w:r w:rsidR="007D2BD7">
        <w:rPr>
          <w:rFonts w:eastAsiaTheme="minorEastAsia"/>
          <w:b/>
          <w:bCs/>
          <w:sz w:val="22"/>
          <w:szCs w:val="22"/>
          <w:lang w:val="en-US"/>
        </w:rPr>
        <w:t xml:space="preserve">at least </w:t>
      </w:r>
      <w:r w:rsidR="007B6707">
        <w:rPr>
          <w:rFonts w:eastAsiaTheme="minorEastAsia"/>
          <w:b/>
          <w:bCs/>
          <w:sz w:val="22"/>
          <w:szCs w:val="22"/>
          <w:lang w:val="en-US"/>
        </w:rPr>
        <w:t xml:space="preserve">includes </w:t>
      </w:r>
      <w:r w:rsidR="007B6707" w:rsidRPr="007B6707">
        <w:rPr>
          <w:rFonts w:eastAsiaTheme="minorEastAsia"/>
          <w:b/>
          <w:bCs/>
          <w:sz w:val="22"/>
          <w:szCs w:val="22"/>
        </w:rPr>
        <w:t>SL grant scheduling more than 3 sidelink resource(s)</w:t>
      </w:r>
      <w:r w:rsidR="007B6707">
        <w:rPr>
          <w:rFonts w:eastAsiaTheme="minorEastAsia"/>
          <w:b/>
          <w:bCs/>
          <w:sz w:val="22"/>
          <w:szCs w:val="22"/>
        </w:rPr>
        <w:t xml:space="preserve"> and </w:t>
      </w:r>
      <w:r w:rsidR="007B6707" w:rsidRPr="007B6707">
        <w:rPr>
          <w:rFonts w:eastAsiaTheme="minorEastAsia"/>
          <w:b/>
          <w:bCs/>
          <w:sz w:val="22"/>
          <w:szCs w:val="22"/>
        </w:rPr>
        <w:t>SL grant scheduling consecutive sidelink resource(s)</w:t>
      </w:r>
      <w:r>
        <w:rPr>
          <w:rFonts w:eastAsiaTheme="minorEastAsia"/>
          <w:b/>
          <w:bCs/>
          <w:sz w:val="22"/>
          <w:szCs w:val="22"/>
          <w:lang w:val="en-US"/>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E60E6C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6FD02C3" w14:textId="06EAF688" w:rsidR="0059472D" w:rsidRDefault="00920F14" w:rsidP="0059472D">
      <w:pPr>
        <w:ind w:left="1418" w:hangingChars="644" w:hanging="1418"/>
        <w:jc w:val="both"/>
        <w:rPr>
          <w:rFonts w:eastAsiaTheme="minorEastAsia"/>
          <w:b/>
          <w:bCs/>
          <w:sz w:val="22"/>
          <w:szCs w:val="22"/>
        </w:rPr>
      </w:pPr>
      <w:r>
        <w:rPr>
          <w:rFonts w:eastAsiaTheme="minorEastAsia" w:hint="eastAsia"/>
          <w:b/>
          <w:bCs/>
          <w:sz w:val="22"/>
          <w:szCs w:val="22"/>
          <w:lang w:val="en-US"/>
        </w:rPr>
        <w:t>P</w:t>
      </w:r>
      <w:r>
        <w:rPr>
          <w:rFonts w:eastAsiaTheme="minorEastAsia"/>
          <w:b/>
          <w:bCs/>
          <w:sz w:val="22"/>
          <w:szCs w:val="22"/>
          <w:lang w:val="en-US"/>
        </w:rPr>
        <w:t xml:space="preserve">roposal 1:   </w:t>
      </w:r>
      <w:r>
        <w:rPr>
          <w:rFonts w:eastAsiaTheme="minorEastAsia"/>
          <w:b/>
          <w:bCs/>
          <w:sz w:val="22"/>
          <w:szCs w:val="22"/>
        </w:rPr>
        <w:t>For Rel-18 SL-U, i</w:t>
      </w:r>
      <w:r>
        <w:rPr>
          <w:rFonts w:eastAsiaTheme="minorEastAsia"/>
          <w:b/>
          <w:bCs/>
          <w:sz w:val="22"/>
          <w:szCs w:val="22"/>
          <w:lang w:val="en-US"/>
        </w:rPr>
        <w:t xml:space="preserve">t’s beneficial to support both </w:t>
      </w:r>
      <w:r w:rsidRPr="007B0218">
        <w:rPr>
          <w:rFonts w:eastAsiaTheme="minorEastAsia"/>
          <w:b/>
          <w:bCs/>
          <w:sz w:val="22"/>
          <w:szCs w:val="22"/>
        </w:rPr>
        <w:t>semi static channel access</w:t>
      </w:r>
      <w:r>
        <w:rPr>
          <w:rFonts w:eastAsiaTheme="minorEastAsia"/>
          <w:b/>
          <w:bCs/>
          <w:sz w:val="22"/>
          <w:szCs w:val="22"/>
          <w:lang w:val="en-US"/>
        </w:rPr>
        <w:t xml:space="preserve"> and </w:t>
      </w:r>
      <w:r w:rsidRPr="007B0218">
        <w:rPr>
          <w:rFonts w:eastAsiaTheme="minorEastAsia"/>
          <w:b/>
          <w:bCs/>
          <w:sz w:val="22"/>
          <w:szCs w:val="22"/>
        </w:rPr>
        <w:t>dynamic channel access</w:t>
      </w:r>
      <w:r>
        <w:rPr>
          <w:rFonts w:eastAsiaTheme="minorEastAsia"/>
          <w:b/>
          <w:bCs/>
          <w:sz w:val="22"/>
          <w:szCs w:val="22"/>
          <w:lang w:val="en-US"/>
        </w:rPr>
        <w:t xml:space="preserve"> mechanism in NR-U</w:t>
      </w:r>
      <w:r w:rsidRPr="00354606">
        <w:rPr>
          <w:rFonts w:eastAsiaTheme="minorEastAsia"/>
          <w:b/>
          <w:bCs/>
          <w:sz w:val="22"/>
          <w:szCs w:val="22"/>
        </w:rPr>
        <w:t>.</w:t>
      </w:r>
    </w:p>
    <w:p w14:paraId="3375E27E" w14:textId="7CE26578" w:rsidR="00DF59D5" w:rsidRDefault="00DF59D5" w:rsidP="00DF59D5">
      <w:pPr>
        <w:ind w:left="1418" w:hangingChars="644" w:hanging="1418"/>
        <w:jc w:val="both"/>
        <w:rPr>
          <w:rFonts w:eastAsiaTheme="minorEastAsia"/>
          <w:b/>
          <w:bCs/>
          <w:sz w:val="22"/>
          <w:szCs w:val="22"/>
        </w:rPr>
      </w:pPr>
      <w:r>
        <w:rPr>
          <w:rFonts w:eastAsiaTheme="minorEastAsia"/>
          <w:b/>
          <w:bCs/>
          <w:sz w:val="22"/>
          <w:szCs w:val="22"/>
        </w:rPr>
        <w:t xml:space="preserve">Proposal </w:t>
      </w:r>
      <w:r w:rsidR="00920F14">
        <w:rPr>
          <w:rFonts w:eastAsiaTheme="minorEastAsia"/>
          <w:b/>
          <w:bCs/>
          <w:sz w:val="22"/>
          <w:szCs w:val="22"/>
        </w:rPr>
        <w:t>2</w:t>
      </w:r>
      <w:r>
        <w:rPr>
          <w:rFonts w:eastAsiaTheme="minorEastAsia"/>
          <w:b/>
          <w:bCs/>
          <w:sz w:val="22"/>
          <w:szCs w:val="22"/>
        </w:rPr>
        <w:t>:</w:t>
      </w:r>
      <w:r>
        <w:rPr>
          <w:rFonts w:eastAsiaTheme="minorEastAsia"/>
          <w:b/>
          <w:bCs/>
          <w:sz w:val="22"/>
          <w:szCs w:val="22"/>
        </w:rPr>
        <w:tab/>
        <w:t>For Rel-18 SL-U, it supports to control contention window size based on at least SL HARQ-ACK feedback.</w:t>
      </w:r>
    </w:p>
    <w:p w14:paraId="5A59FB97" w14:textId="77777777" w:rsidR="00920F14" w:rsidRDefault="00920F14" w:rsidP="00920F14">
      <w:pPr>
        <w:ind w:left="1418" w:hangingChars="644" w:hanging="1418"/>
        <w:jc w:val="both"/>
        <w:rPr>
          <w:rFonts w:eastAsiaTheme="minorEastAsia"/>
          <w:b/>
          <w:bCs/>
          <w:sz w:val="22"/>
          <w:szCs w:val="22"/>
          <w:lang w:val="en-US"/>
        </w:rPr>
      </w:pPr>
      <w:r>
        <w:rPr>
          <w:rFonts w:eastAsiaTheme="minorEastAsia"/>
          <w:b/>
          <w:bCs/>
          <w:sz w:val="22"/>
          <w:szCs w:val="22"/>
          <w:lang w:val="en-US"/>
        </w:rPr>
        <w:t>Proposal 3:</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COT can be shared with a single UE and multiple UEs.</w:t>
      </w:r>
    </w:p>
    <w:p w14:paraId="03E4E347" w14:textId="77777777" w:rsidR="00920F14" w:rsidRDefault="00920F14" w:rsidP="00920F14">
      <w:pPr>
        <w:ind w:left="1418" w:hangingChars="644" w:hanging="1418"/>
        <w:jc w:val="both"/>
        <w:rPr>
          <w:rFonts w:eastAsiaTheme="minorEastAsia"/>
          <w:b/>
          <w:bCs/>
          <w:sz w:val="22"/>
          <w:szCs w:val="22"/>
          <w:lang w:val="en-US"/>
        </w:rPr>
      </w:pPr>
      <w:r>
        <w:rPr>
          <w:rFonts w:eastAsiaTheme="minorEastAsia"/>
          <w:b/>
          <w:bCs/>
          <w:sz w:val="22"/>
          <w:szCs w:val="22"/>
          <w:lang w:val="en-US"/>
        </w:rPr>
        <w:lastRenderedPageBreak/>
        <w:t>Proposal 4:</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enhancement of mode-1 RA at least includes </w:t>
      </w:r>
      <w:r w:rsidRPr="007B6707">
        <w:rPr>
          <w:rFonts w:eastAsiaTheme="minorEastAsia"/>
          <w:b/>
          <w:bCs/>
          <w:sz w:val="22"/>
          <w:szCs w:val="22"/>
        </w:rPr>
        <w:t>SL grant scheduling more than 3 sidelink resource(s)</w:t>
      </w:r>
      <w:r>
        <w:rPr>
          <w:rFonts w:eastAsiaTheme="minorEastAsia"/>
          <w:b/>
          <w:bCs/>
          <w:sz w:val="22"/>
          <w:szCs w:val="22"/>
        </w:rPr>
        <w:t xml:space="preserve"> and </w:t>
      </w:r>
      <w:r w:rsidRPr="007B6707">
        <w:rPr>
          <w:rFonts w:eastAsiaTheme="minorEastAsia"/>
          <w:b/>
          <w:bCs/>
          <w:sz w:val="22"/>
          <w:szCs w:val="22"/>
        </w:rPr>
        <w:t>SL grant scheduling consecutive sidelink resource(s)</w:t>
      </w:r>
      <w:r>
        <w:rPr>
          <w:rFonts w:eastAsiaTheme="minorEastAsia"/>
          <w:b/>
          <w:bCs/>
          <w:sz w:val="22"/>
          <w:szCs w:val="22"/>
          <w:lang w:val="en-US"/>
        </w:rPr>
        <w:t>.</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0CE78" w14:textId="77777777" w:rsidR="008E503C" w:rsidRDefault="008E503C" w:rsidP="000D05D3">
      <w:pPr>
        <w:spacing w:after="0"/>
      </w:pPr>
      <w:r>
        <w:separator/>
      </w:r>
    </w:p>
  </w:endnote>
  <w:endnote w:type="continuationSeparator" w:id="0">
    <w:p w14:paraId="0924ADCA" w14:textId="77777777" w:rsidR="008E503C" w:rsidRDefault="008E503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AF038" w14:textId="77777777" w:rsidR="008E503C" w:rsidRDefault="008E503C" w:rsidP="000D05D3">
      <w:pPr>
        <w:spacing w:after="0"/>
      </w:pPr>
      <w:r>
        <w:separator/>
      </w:r>
    </w:p>
  </w:footnote>
  <w:footnote w:type="continuationSeparator" w:id="0">
    <w:p w14:paraId="0F7BDD35" w14:textId="77777777" w:rsidR="008E503C" w:rsidRDefault="008E503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62E52"/>
    <w:multiLevelType w:val="hybridMultilevel"/>
    <w:tmpl w:val="6D62A4A6"/>
    <w:lvl w:ilvl="0" w:tplc="04090001">
      <w:start w:val="1"/>
      <w:numFmt w:val="bullet"/>
      <w:lvlText w:val=""/>
      <w:lvlJc w:val="left"/>
      <w:pPr>
        <w:ind w:left="1872" w:hanging="480"/>
      </w:pPr>
      <w:rPr>
        <w:rFonts w:ascii="Wingdings" w:hAnsi="Wingdings" w:hint="default"/>
      </w:rPr>
    </w:lvl>
    <w:lvl w:ilvl="1" w:tplc="04090003" w:tentative="1">
      <w:start w:val="1"/>
      <w:numFmt w:val="bullet"/>
      <w:lvlText w:val=""/>
      <w:lvlJc w:val="left"/>
      <w:pPr>
        <w:ind w:left="2352" w:hanging="480"/>
      </w:pPr>
      <w:rPr>
        <w:rFonts w:ascii="Wingdings" w:hAnsi="Wingdings" w:hint="default"/>
      </w:rPr>
    </w:lvl>
    <w:lvl w:ilvl="2" w:tplc="04090005" w:tentative="1">
      <w:start w:val="1"/>
      <w:numFmt w:val="bullet"/>
      <w:lvlText w:val=""/>
      <w:lvlJc w:val="left"/>
      <w:pPr>
        <w:ind w:left="2832" w:hanging="480"/>
      </w:pPr>
      <w:rPr>
        <w:rFonts w:ascii="Wingdings" w:hAnsi="Wingdings" w:hint="default"/>
      </w:rPr>
    </w:lvl>
    <w:lvl w:ilvl="3" w:tplc="04090001" w:tentative="1">
      <w:start w:val="1"/>
      <w:numFmt w:val="bullet"/>
      <w:lvlText w:val=""/>
      <w:lvlJc w:val="left"/>
      <w:pPr>
        <w:ind w:left="3312" w:hanging="480"/>
      </w:pPr>
      <w:rPr>
        <w:rFonts w:ascii="Wingdings" w:hAnsi="Wingdings" w:hint="default"/>
      </w:rPr>
    </w:lvl>
    <w:lvl w:ilvl="4" w:tplc="04090003" w:tentative="1">
      <w:start w:val="1"/>
      <w:numFmt w:val="bullet"/>
      <w:lvlText w:val=""/>
      <w:lvlJc w:val="left"/>
      <w:pPr>
        <w:ind w:left="3792" w:hanging="480"/>
      </w:pPr>
      <w:rPr>
        <w:rFonts w:ascii="Wingdings" w:hAnsi="Wingdings" w:hint="default"/>
      </w:rPr>
    </w:lvl>
    <w:lvl w:ilvl="5" w:tplc="04090005" w:tentative="1">
      <w:start w:val="1"/>
      <w:numFmt w:val="bullet"/>
      <w:lvlText w:val=""/>
      <w:lvlJc w:val="left"/>
      <w:pPr>
        <w:ind w:left="4272" w:hanging="480"/>
      </w:pPr>
      <w:rPr>
        <w:rFonts w:ascii="Wingdings" w:hAnsi="Wingdings" w:hint="default"/>
      </w:rPr>
    </w:lvl>
    <w:lvl w:ilvl="6" w:tplc="04090001" w:tentative="1">
      <w:start w:val="1"/>
      <w:numFmt w:val="bullet"/>
      <w:lvlText w:val=""/>
      <w:lvlJc w:val="left"/>
      <w:pPr>
        <w:ind w:left="4752" w:hanging="480"/>
      </w:pPr>
      <w:rPr>
        <w:rFonts w:ascii="Wingdings" w:hAnsi="Wingdings" w:hint="default"/>
      </w:rPr>
    </w:lvl>
    <w:lvl w:ilvl="7" w:tplc="04090003" w:tentative="1">
      <w:start w:val="1"/>
      <w:numFmt w:val="bullet"/>
      <w:lvlText w:val=""/>
      <w:lvlJc w:val="left"/>
      <w:pPr>
        <w:ind w:left="5232" w:hanging="480"/>
      </w:pPr>
      <w:rPr>
        <w:rFonts w:ascii="Wingdings" w:hAnsi="Wingdings" w:hint="default"/>
      </w:rPr>
    </w:lvl>
    <w:lvl w:ilvl="8" w:tplc="04090005" w:tentative="1">
      <w:start w:val="1"/>
      <w:numFmt w:val="bullet"/>
      <w:lvlText w:val=""/>
      <w:lvlJc w:val="left"/>
      <w:pPr>
        <w:ind w:left="5712" w:hanging="48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7D5E78"/>
    <w:multiLevelType w:val="hybridMultilevel"/>
    <w:tmpl w:val="7CBE1256"/>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8"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2"/>
  </w:num>
  <w:num w:numId="3">
    <w:abstractNumId w:val="3"/>
  </w:num>
  <w:num w:numId="4">
    <w:abstractNumId w:val="24"/>
  </w:num>
  <w:num w:numId="5">
    <w:abstractNumId w:val="44"/>
  </w:num>
  <w:num w:numId="6">
    <w:abstractNumId w:val="25"/>
  </w:num>
  <w:num w:numId="7">
    <w:abstractNumId w:val="40"/>
  </w:num>
  <w:num w:numId="8">
    <w:abstractNumId w:val="15"/>
  </w:num>
  <w:num w:numId="9">
    <w:abstractNumId w:val="1"/>
  </w:num>
  <w:num w:numId="10">
    <w:abstractNumId w:val="0"/>
  </w:num>
  <w:num w:numId="11">
    <w:abstractNumId w:val="37"/>
  </w:num>
  <w:num w:numId="12">
    <w:abstractNumId w:val="31"/>
  </w:num>
  <w:num w:numId="13">
    <w:abstractNumId w:val="17"/>
  </w:num>
  <w:num w:numId="14">
    <w:abstractNumId w:val="20"/>
  </w:num>
  <w:num w:numId="15">
    <w:abstractNumId w:val="14"/>
  </w:num>
  <w:num w:numId="16">
    <w:abstractNumId w:val="12"/>
  </w:num>
  <w:num w:numId="17">
    <w:abstractNumId w:val="8"/>
  </w:num>
  <w:num w:numId="18">
    <w:abstractNumId w:val="35"/>
  </w:num>
  <w:num w:numId="19">
    <w:abstractNumId w:val="7"/>
  </w:num>
  <w:num w:numId="20">
    <w:abstractNumId w:val="13"/>
  </w:num>
  <w:num w:numId="21">
    <w:abstractNumId w:val="27"/>
  </w:num>
  <w:num w:numId="22">
    <w:abstractNumId w:val="33"/>
  </w:num>
  <w:num w:numId="23">
    <w:abstractNumId w:val="5"/>
  </w:num>
  <w:num w:numId="24">
    <w:abstractNumId w:val="38"/>
  </w:num>
  <w:num w:numId="25">
    <w:abstractNumId w:val="32"/>
  </w:num>
  <w:num w:numId="26">
    <w:abstractNumId w:val="9"/>
  </w:num>
  <w:num w:numId="27">
    <w:abstractNumId w:val="28"/>
  </w:num>
  <w:num w:numId="28">
    <w:abstractNumId w:val="30"/>
  </w:num>
  <w:num w:numId="29">
    <w:abstractNumId w:val="43"/>
  </w:num>
  <w:num w:numId="30">
    <w:abstractNumId w:val="11"/>
  </w:num>
  <w:num w:numId="31">
    <w:abstractNumId w:val="4"/>
  </w:num>
  <w:num w:numId="32">
    <w:abstractNumId w:val="41"/>
  </w:num>
  <w:num w:numId="33">
    <w:abstractNumId w:val="23"/>
  </w:num>
  <w:num w:numId="34">
    <w:abstractNumId w:val="34"/>
  </w:num>
  <w:num w:numId="35">
    <w:abstractNumId w:val="10"/>
  </w:num>
  <w:num w:numId="36">
    <w:abstractNumId w:val="36"/>
  </w:num>
  <w:num w:numId="37">
    <w:abstractNumId w:val="19"/>
  </w:num>
  <w:num w:numId="38">
    <w:abstractNumId w:val="42"/>
  </w:num>
  <w:num w:numId="39">
    <w:abstractNumId w:val="11"/>
  </w:num>
  <w:num w:numId="40">
    <w:abstractNumId w:val="18"/>
  </w:num>
  <w:num w:numId="41">
    <w:abstractNumId w:val="39"/>
  </w:num>
  <w:num w:numId="42">
    <w:abstractNumId w:val="21"/>
  </w:num>
  <w:num w:numId="43">
    <w:abstractNumId w:val="16"/>
  </w:num>
  <w:num w:numId="44">
    <w:abstractNumId w:val="29"/>
  </w:num>
  <w:num w:numId="45">
    <w:abstractNumId w:val="26"/>
  </w:num>
  <w:num w:numId="4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1C11"/>
    <w:rsid w:val="001C24FF"/>
    <w:rsid w:val="001C3C90"/>
    <w:rsid w:val="001C442C"/>
    <w:rsid w:val="001C4976"/>
    <w:rsid w:val="001C734A"/>
    <w:rsid w:val="001C79AF"/>
    <w:rsid w:val="001C7E68"/>
    <w:rsid w:val="001D28DF"/>
    <w:rsid w:val="001F2B71"/>
    <w:rsid w:val="001F7232"/>
    <w:rsid w:val="001F7880"/>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43606"/>
    <w:rsid w:val="00352CEC"/>
    <w:rsid w:val="00354606"/>
    <w:rsid w:val="0035664C"/>
    <w:rsid w:val="00356E0A"/>
    <w:rsid w:val="00357883"/>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5800"/>
    <w:rsid w:val="003D6098"/>
    <w:rsid w:val="003E0189"/>
    <w:rsid w:val="003E44A4"/>
    <w:rsid w:val="003F04A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23D9"/>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C49FC"/>
    <w:rsid w:val="004C5255"/>
    <w:rsid w:val="004D04C6"/>
    <w:rsid w:val="004D45D1"/>
    <w:rsid w:val="004E0B5F"/>
    <w:rsid w:val="004E4293"/>
    <w:rsid w:val="004F1ECD"/>
    <w:rsid w:val="004F21AE"/>
    <w:rsid w:val="004F29BA"/>
    <w:rsid w:val="004F6010"/>
    <w:rsid w:val="004F69A7"/>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5C11"/>
    <w:rsid w:val="00687CFC"/>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359F"/>
    <w:rsid w:val="00764A37"/>
    <w:rsid w:val="00766E2E"/>
    <w:rsid w:val="00775485"/>
    <w:rsid w:val="0077625E"/>
    <w:rsid w:val="00782FF5"/>
    <w:rsid w:val="007831B6"/>
    <w:rsid w:val="00791DA0"/>
    <w:rsid w:val="00792E84"/>
    <w:rsid w:val="0079312C"/>
    <w:rsid w:val="00796C6B"/>
    <w:rsid w:val="007A33BC"/>
    <w:rsid w:val="007A4F32"/>
    <w:rsid w:val="007A633D"/>
    <w:rsid w:val="007A6A68"/>
    <w:rsid w:val="007A6CDA"/>
    <w:rsid w:val="007A7CFD"/>
    <w:rsid w:val="007B0218"/>
    <w:rsid w:val="007B4DCB"/>
    <w:rsid w:val="007B6707"/>
    <w:rsid w:val="007D2BD7"/>
    <w:rsid w:val="007D570F"/>
    <w:rsid w:val="007E0F12"/>
    <w:rsid w:val="00800506"/>
    <w:rsid w:val="00803BE9"/>
    <w:rsid w:val="00816276"/>
    <w:rsid w:val="00823ED5"/>
    <w:rsid w:val="00824BBC"/>
    <w:rsid w:val="00824DC9"/>
    <w:rsid w:val="008303C3"/>
    <w:rsid w:val="00830BF1"/>
    <w:rsid w:val="00831F31"/>
    <w:rsid w:val="00836846"/>
    <w:rsid w:val="00840447"/>
    <w:rsid w:val="00842128"/>
    <w:rsid w:val="0084308E"/>
    <w:rsid w:val="00846086"/>
    <w:rsid w:val="008468E3"/>
    <w:rsid w:val="00854452"/>
    <w:rsid w:val="00862EAC"/>
    <w:rsid w:val="00866A83"/>
    <w:rsid w:val="008702AC"/>
    <w:rsid w:val="00881AF7"/>
    <w:rsid w:val="00893C78"/>
    <w:rsid w:val="008968B4"/>
    <w:rsid w:val="00897923"/>
    <w:rsid w:val="008A219B"/>
    <w:rsid w:val="008A7BB1"/>
    <w:rsid w:val="008B1AEA"/>
    <w:rsid w:val="008B1C30"/>
    <w:rsid w:val="008C2F03"/>
    <w:rsid w:val="008C3126"/>
    <w:rsid w:val="008C62BB"/>
    <w:rsid w:val="008C6F73"/>
    <w:rsid w:val="008D37E6"/>
    <w:rsid w:val="008D6004"/>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51E"/>
    <w:rsid w:val="009603D4"/>
    <w:rsid w:val="00960D67"/>
    <w:rsid w:val="00960F73"/>
    <w:rsid w:val="0097193E"/>
    <w:rsid w:val="009765AB"/>
    <w:rsid w:val="0098293C"/>
    <w:rsid w:val="00985936"/>
    <w:rsid w:val="009861B8"/>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7917"/>
    <w:rsid w:val="009E09B4"/>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E2101"/>
    <w:rsid w:val="00AF5672"/>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FDA"/>
    <w:rsid w:val="00BB51BE"/>
    <w:rsid w:val="00BC38BE"/>
    <w:rsid w:val="00BC44EC"/>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2EAE"/>
    <w:rsid w:val="00C64715"/>
    <w:rsid w:val="00C7089B"/>
    <w:rsid w:val="00C7381B"/>
    <w:rsid w:val="00C84956"/>
    <w:rsid w:val="00C96569"/>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05DD8"/>
    <w:rsid w:val="00D0785A"/>
    <w:rsid w:val="00D26411"/>
    <w:rsid w:val="00D3154F"/>
    <w:rsid w:val="00D319E3"/>
    <w:rsid w:val="00D43C73"/>
    <w:rsid w:val="00D55A43"/>
    <w:rsid w:val="00D57B62"/>
    <w:rsid w:val="00D61496"/>
    <w:rsid w:val="00D62F60"/>
    <w:rsid w:val="00D65F05"/>
    <w:rsid w:val="00D670C6"/>
    <w:rsid w:val="00D74598"/>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B0D72"/>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59D5"/>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CBE"/>
    <w:rsid w:val="00E4513C"/>
    <w:rsid w:val="00E45CF4"/>
    <w:rsid w:val="00E569A6"/>
    <w:rsid w:val="00E63810"/>
    <w:rsid w:val="00E64648"/>
    <w:rsid w:val="00E67302"/>
    <w:rsid w:val="00E70707"/>
    <w:rsid w:val="00E70AFC"/>
    <w:rsid w:val="00E71239"/>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006"/>
    <w:rsid w:val="00F7356E"/>
    <w:rsid w:val="00F83038"/>
    <w:rsid w:val="00F86DCD"/>
    <w:rsid w:val="00F97CA7"/>
    <w:rsid w:val="00FA1618"/>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C5405-E596-4849-9B5E-01167460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915</Words>
  <Characters>5217</Characters>
  <Application>Microsoft Office Word</Application>
  <DocSecurity>0</DocSecurity>
  <Lines>43</Lines>
  <Paragraphs>12</Paragraphs>
  <ScaleCrop>false</ScaleCrop>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cp:lastModifiedBy>
  <cp:revision>5</cp:revision>
  <dcterms:created xsi:type="dcterms:W3CDTF">2022-08-08T07:05:00Z</dcterms:created>
  <dcterms:modified xsi:type="dcterms:W3CDTF">2022-08-12T07:05:00Z</dcterms:modified>
</cp:coreProperties>
</file>